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</w:p>
    <w:bookmarkStart w:id="20" w:name="table-1"/>
    <w:p>
      <w:pPr>
        <w:pStyle w:val="Heading1"/>
      </w:pPr>
      <w:r>
        <w:t xml:space="preserve">Table 1</w:t>
      </w:r>
    </w:p>
    <w:p>
      <w:pPr>
        <w:pStyle w:val="FirstParagraph"/>
      </w:pPr>
      <w:r>
        <w:t xml:space="preserve">Landscape attributes entered in this study, the direction expected of each, and the</w:t>
      </w:r>
      <w:r>
        <w:t xml:space="preserve"> </w:t>
      </w:r>
      <w:r>
        <w:t xml:space="preserve">reasoning behind that expectation.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2039"/>
        <w:gridCol w:w="1239"/>
        <w:gridCol w:w="6076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Expected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Rationale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area, volume, crown closure, stems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Denser canopy holds the pheromone plume together; thinner stands admit wind that disperses 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[@krawchuk2020; @cartwright2018; @powell2014]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 above 25 cm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Trees under 25 cm are beetle sinks, over 25 cm are sources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[@carroll2004bionomics]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Lodgepole pine cover and basal area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 cannot occur where the host is absent; a cell without pine is not a refugium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[@cartwright2018]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Flight-period direct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 is gated between 19 and 41 degrees C and peaks on bright afternoons, so sunlit slopes are reachable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[@safranyik2006chap1; @mccambridge1971]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Growing-season direct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Shading cools, relieving water stress and funding defence, and cool sites also push the beetle toward a two-year cycle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[@krawchuk2020; @sambaraju2021]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 exposure to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Wind disrupts the pheromone plume, so exposed ground should carry less attack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[@krawchuk2020]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 ruggedness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uncertain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strongest terrain term in the companion study on this landscape, but fitted there against regeneration rather than attack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[@murphy2026]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Convergence, wetness, valley depth, slope position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positive in convergent terrain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Infested groups gather in draws and gullies, and deep snow insulates overwintering brood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[@safranyik2006chap1]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Flight-period wind speed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 mechanism acts during dispersal, and no study specifies the interval, so it is taken at the flight period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[@krawchuk2020; @jones2019]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Elevation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uncertain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 composite of temperature, snowpack, season length and host distribution that this design cannot separate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[@sambaraju2021]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bookmarkEnd w:id="20"/>
    <w:bookmarkStart w:id="21" w:name="table-2"/>
    <w:p>
      <w:pPr>
        <w:pStyle w:val="Heading1"/>
      </w:pPr>
      <w:r>
        <w:t xml:space="preserve">Table 2</w:t>
      </w:r>
    </w:p>
    <w:p>
      <w:pPr>
        <w:pStyle w:val="FirstParagraph"/>
      </w:pPr>
      <w:r>
        <w:t xml:space="preserve">Moderate-to-high beetle disturbance by year inside the study perimeter.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3118"/>
        <w:gridCol w:w="3118"/>
        <w:gridCol w:w="3118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Cells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Moderate-to-high (%)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15,339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4.5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5.6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20.2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11.5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15,322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15.5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13.3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15,339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14.2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15,340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15.1</w:t>
            </w:r>
          </w:p>
        </w:tc>
      </w:tr>
    </w:tbl>
    <w:bookmarkEnd w:id="21"/>
    <w:bookmarkStart w:id="22" w:name="table-3"/>
    <w:p>
      <w:pPr>
        <w:pStyle w:val="Heading1"/>
      </w:pPr>
      <w:r>
        <w:t xml:space="preserve">Table 3</w:t>
      </w:r>
    </w:p>
    <w:p>
      <w:pPr>
        <w:pStyle w:val="FirstParagraph"/>
      </w:pPr>
      <w:r>
        <w:t xml:space="preserve">Stand structure across the study perimeter, from the Vegetation Resources Inventory.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3270"/>
        <w:gridCol w:w="727"/>
        <w:gridCol w:w="636"/>
        <w:gridCol w:w="636"/>
        <w:gridCol w:w="545"/>
        <w:gridCol w:w="636"/>
        <w:gridCol w:w="545"/>
        <w:gridCol w:w="727"/>
        <w:gridCol w:w="818"/>
        <w:gridCol w:w="814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Skewness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Kurtosis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(m2/ha)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35.18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11.84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37.06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2.08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64.26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-0.77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0.49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Crown closure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45.32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13.55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48.00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-1.31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1.29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(n/ha)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670.00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256.78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0.733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686.00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64.00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1614.00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1.22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 (cm)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30.13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30.32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13.48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62.35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1.39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age (years)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125.22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26.47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0.076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124.00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184.00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-1.39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3.48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height (m)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28.07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6.05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29.00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7.70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41.60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-0.70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1.79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Standing volume (m3/ha)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283.40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129.22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0.369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292.90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620.32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Lodgepole pine cover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17.36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22.82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0.065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1.63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2.09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Susceptible pine basal area (m2/ha)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122,700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5.45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7.03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3.24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31.67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1.52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1.86</w:t>
            </w:r>
          </w:p>
        </w:tc>
      </w:tr>
    </w:tbl>
    <w:bookmarkEnd w:id="22"/>
    <w:bookmarkStart w:id="23" w:name="table-4"/>
    <w:p>
      <w:pPr>
        <w:pStyle w:val="Heading1"/>
      </w:pPr>
      <w:r>
        <w:t xml:space="preserve">Table 4</w:t>
      </w:r>
    </w:p>
    <w:p>
      <w:pPr>
        <w:pStyle w:val="FirstParagraph"/>
      </w:pPr>
      <w:r>
        <w:t xml:space="preserve">Model comparison. Each model adds one pathway to the previous.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3151"/>
        <w:gridCol w:w="648"/>
        <w:gridCol w:w="556"/>
        <w:gridCol w:w="556"/>
        <w:gridCol w:w="833"/>
        <w:gridCol w:w="556"/>
        <w:gridCol w:w="556"/>
        <w:gridCol w:w="833"/>
        <w:gridCol w:w="556"/>
        <w:gridCol w:w="1109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AIC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ΔAIC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RMSE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RMSE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Brier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Log loss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AUC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Brier skill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M0 host size + shading + landform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49,547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2,307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0.416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128.3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0.346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0.173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0.523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0.771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0.211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M1 + stand density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49,049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1,809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127.3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0.342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0.170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0.775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0.223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M2 + terrain and flight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48,305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1,065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0.409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126.2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0.167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0.510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0.784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0.237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M3 + interactions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47,240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0.404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124.7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0.163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0.498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0.798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0.256</w:t>
            </w:r>
          </w:p>
        </w:tc>
      </w:tr>
    </w:tbl>
    <w:bookmarkEnd w:id="23"/>
    <w:bookmarkStart w:id="24" w:name="table-5"/>
    <w:p>
      <w:pPr>
        <w:pStyle w:val="Heading1"/>
      </w:pPr>
      <w:r>
        <w:t xml:space="preserve">Table 5</w:t>
      </w:r>
    </w:p>
    <w:p>
      <w:pPr>
        <w:pStyle w:val="FirstParagraph"/>
      </w:pPr>
      <w:r>
        <w:t xml:space="preserve">Full model, continuous terms. Coefficients are log-odds per standard deviation on a</w:t>
      </w:r>
      <w:r>
        <w:t xml:space="preserve"> </w:t>
      </w:r>
      <w:r>
        <w:t xml:space="preserve">class-balanced sample, so the intercept is not landscape prevalence. SE is the standard</w:t>
      </w:r>
      <w:r>
        <w:t xml:space="preserve"> </w:t>
      </w:r>
      <w:r>
        <w:t xml:space="preserve">error of the coefficient.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5716"/>
        <w:gridCol w:w="909"/>
        <w:gridCol w:w="780"/>
        <w:gridCol w:w="909"/>
        <w:gridCol w:w="1040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Flight-window direct radiation (kWh/m2)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0.487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17.21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Susceptible pine basal area (m2/ha)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0.459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32.40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 (cm)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-0.422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-18.35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Northness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0.382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23.19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Standing volume (m3/ha)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0.381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15.61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Windward-leeward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0.358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12.37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Elevation (m)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0.329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18.20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x Windward-leeward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0.221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10.63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age (years)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11.89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July mean 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0.215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17.84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Valley depth (m)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-0.193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-8.70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Crown closure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-0.183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-9.02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x Flight-window direct radiation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-0.144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-8.58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June mean 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8.66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(n/ha)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-0.099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-5.36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Topographic wetness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0.073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3.74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Mid-slope position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0.063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4.69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Vector ruggedness measure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-0.043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-2.21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Topographic position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1.77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0.076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Profile curvature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-0.038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-3.04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Terrain ruggedness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-1.54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0.124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Convergence index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-0.029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-2.07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0.038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x June mean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0.013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0.905</w:t>
            </w:r>
          </w:p>
        </w:tc>
      </w:tr>
    </w:tbl>
    <w:bookmarkEnd w:id="24"/>
    <w:bookmarkStart w:id="25" w:name="table-6"/>
    <w:p>
      <w:pPr>
        <w:pStyle w:val="Heading1"/>
      </w:pPr>
      <w:r>
        <w:t xml:space="preserve">Table 6</w:t>
      </w:r>
    </w:p>
    <w:p>
      <w:pPr>
        <w:pStyle w:val="FirstParagraph"/>
      </w:pPr>
      <w:r>
        <w:t xml:space="preserve">The wind terms under two specifications, both with previous-year pressure in the model.</w:t>
      </w:r>
      <w:r>
        <w:t xml:space="preserve"> </w:t>
      </w:r>
      <w:r>
        <w:t xml:space="preserve">M4 carries station wind, which is flat within a year and identified only across years.</w:t>
      </w:r>
      <w:r>
        <w:t xml:space="preserve"> </w:t>
      </w:r>
      <w:r>
        <w:t xml:space="preserve">M5 carries the terrain-resolved MicroMet field, which varies within the year and is</w:t>
      </w:r>
      <w:r>
        <w:t xml:space="preserve"> </w:t>
      </w:r>
      <w:r>
        <w:t xml:space="preserve">identified in space.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2688"/>
        <w:gridCol w:w="4409"/>
        <w:gridCol w:w="753"/>
        <w:gridCol w:w="645"/>
        <w:gridCol w:w="859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M4 station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June mean 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0.926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M4 station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x June mean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1.16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0.247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M5 terrain-resolved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MicroMet flight-window wind (km/h)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0.467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28.44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0.001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M5 terrain-resolved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Live stems x MicroMet flight-window wind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2.09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0.036</w:t>
            </w:r>
          </w:p>
        </w:tc>
      </w:tr>
    </w:tbl>
    <w:bookmarkEnd w:id="25"/>
    <w:bookmarkStart w:id="26" w:name="table-7"/>
    <w:p>
      <w:pPr>
        <w:pStyle w:val="Heading1"/>
      </w:pPr>
      <w:r>
        <w:t xml:space="preserve">Table 7</w:t>
      </w:r>
    </w:p>
    <w:p>
      <w:pPr>
        <w:pStyle w:val="FirstParagraph"/>
      </w:pPr>
      <w:r>
        <w:t xml:space="preserve">Moderate-to-high beetle disturbance by quadratic mean diameter class, on the balanced</w:t>
      </w:r>
      <w:r>
        <w:t xml:space="preserve"> </w:t>
      </w:r>
      <w:r>
        <w:t xml:space="preserve">sample. The 25 cm boundary is the source-sink threshold of the species’ bionomics.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1871"/>
        <w:gridCol w:w="1871"/>
        <w:gridCol w:w="1871"/>
        <w:gridCol w:w="1871"/>
        <w:gridCol w:w="1870"/>
      </w:tblGrid>
      <w:tr>
        <w:trPr>
          <w:tblHeader w:val="on"/>
          <w:trHeight w:val="624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QMD class (cm)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Attacked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Attacked (%)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95% CI (%)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&lt;15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736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31.5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28.3-35.0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15-20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2,371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564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23.8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22.1-25.5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20-25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7,058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2,559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36.3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35.1-37.4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25-30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14,634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6,717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45.9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45.1-46.7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30-40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18,902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4,639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24.5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23.9-25.2</w:t>
            </w:r>
          </w:p>
        </w:tc>
      </w:tr>
      <w:tr>
        <w:trPr>
          <w:trHeight w:val="340" w:hRule="exact"/>
        </w:trPr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&gt;40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3,627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617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17.0</w:t>
            </w:r>
          </w:p>
        </w:tc>
        <w:tc>
          <w:tcPr/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15.8-18.3</w:t>
            </w:r>
          </w:p>
        </w:tc>
      </w:tr>
    </w:tbl>
    <w:bookmarkEnd w:id="26"/>
    <w:sectPr w:rsidR="00D931AC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12A56B-797D-444E-9FC6-5B37C5DAC035}"/>
    <w:embedBold r:id="rId2" w:fontKey="{FD3CEDD6-86AB-1C46-8A15-8877C1686B07}"/>
    <w:embedItalic r:id="rId3" w:fontKey="{67E535DB-26F2-B642-AAD5-FDC80F2CF7B9}"/>
    <w:embedBoldItalic r:id="rId4" w:fontKey="{2115481C-3572-184B-8727-E08AEF27DA6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5026BB-CCCA-E54F-A560-AED7C1963D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44E244-733C-6740-A164-0ABCEF59A7C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7" w:fontKey="{617BC16C-2D7B-C143-AA8A-DEB95EAE857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2C682040-A827-BB49-872E-27E75C7C9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62BD56F2-54D9-3244-A137-C7FEFFA6F835}"/>
    <w:embedBold r:id="rId10" w:fontKey="{7385F66A-610E-C84C-8011-3C49D62CC650}"/>
    <w:embedItalic r:id="rId11" w:fontKey="{7BBDF880-F20C-5549-927B-354C4781E948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26BD65CD-77BB-5D4C-AAB7-328BAC130273}"/>
    <w:embedBold r:id="rId15" w:fontKey="{B10BB92D-F0E2-8D46-9DED-867D0938013E}"/>
    <w:embedItalic r:id="rId16" w:fontKey="{36876C46-2E15-9F4D-A0F2-9FE2EAF64544}"/>
    <w:embedBoldItalic r:id="rId17" w:fontKey="{5F596E27-69FE-974C-B3F1-108E1B29AF8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E9871A1-0968-9547-B04A-5264525A2142}"/>
    <w:embedBold r:id="rId19" w:fontKey="{D6F14352-A8CE-2B4D-A104-F0CC6D1676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7BEA954E-5CCE-6F49-AACD-9B7B508ECA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729AC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298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06AA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92A44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2470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729AC"/>
    <w:pPr>
      <w:spacing w:line="360" w:lineRule="auto"/>
    </w:pPr>
    <w:rPr>
      <w:rFonts w:ascii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B92A4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92A44"/>
    <w:pPr>
      <w:spacing w:after="36" w:before="36" w:line="240" w:lineRule="auto"/>
    </w:pPr>
    <w:rPr>
      <w:sz w:val="20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rsid w:val="000729AC"/>
    <w:pPr>
      <w:spacing w:after="0" w:before="0"/>
      <w:jc w:val="left"/>
    </w:pPr>
    <w:rPr>
      <w:rFonts w:cs="Arial"/>
      <w:bCs/>
      <w:sz w:val="21"/>
      <w:szCs w:val="21"/>
    </w:rPr>
  </w:style>
  <w:style w:styleId="Date" w:type="paragraph">
    <w:name w:val="Date"/>
    <w:next w:val="BodyText"/>
    <w:qFormat/>
    <w:rsid w:val="000729AC"/>
    <w:pPr>
      <w:keepNext/>
      <w:keepLines/>
      <w:jc w:val="left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201298"/>
    <w:pPr>
      <w:spacing w:line="240" w:lineRule="auto"/>
      <w:ind w:hanging="720" w:left="720"/>
      <w:jc w:val="left"/>
    </w:p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Pr>
      <w:sz w:val="16"/>
      <w:szCs w:val="16"/>
      <w:lang w:val="en-C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trHeight w:hRule="atLeast" w:val="3402"/>
    </w:trPr>
    <w:tblStylePr w:type="firstRow">
      <w:tblPr>
        <w:jc w:val="left"/>
      </w:tblPr>
      <w:trPr>
        <w:trHeight w:hRule="atLeast" w:val="680"/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92A44"/>
    <w:pPr>
      <w:spacing w:after="120" w:line="240" w:lineRule="auto"/>
      <w:jc w:val="left"/>
    </w:pPr>
    <w:rPr>
      <w:i/>
      <w:sz w:val="20"/>
    </w:rPr>
  </w:style>
  <w:style w:customStyle="1" w:styleId="TableCaption" w:type="paragraph">
    <w:name w:val="Table Caption"/>
    <w:basedOn w:val="Caption"/>
    <w:rsid w:val="00B92A44"/>
    <w:pPr>
      <w:jc w:val="left"/>
      <w:keepNext/>
    </w:pPr>
    <w:rPr>
      <w:sz w:val="20"/>
      <w:szCs w:val="20"/>
    </w:rPr>
  </w:style>
  <w:style w:customStyle="1" w:styleId="ImageCaption" w:type="paragraph">
    <w:name w:val="Image Caption"/>
    <w:basedOn w:val="Caption"/>
    <w:rsid w:val="00B92A44"/>
    <w:pPr>
      <w:jc w:val="left"/>
      <w:spacing w:after="0" w:before="60"/>
    </w:pPr>
    <w:rPr>
      <w:sz w:val="20"/>
      <w:szCs w:val="20"/>
    </w:r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B92A44"/>
    <w:rPr>
      <w:rFonts w:ascii="Arial" w:hAnsi="Arial"/>
      <w:i/>
      <w:sz w:val="20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14"/>
      <w:szCs w:val="14"/>
    </w:rPr>
  </w:style>
  <w:style w:customStyle="1" w:styleId="SectionNumber" w:type="character">
    <w:name w:val="Section Number"/>
    <w:basedOn w:val="CaptionChar"/>
    <w:rPr>
      <w:rFonts w:ascii="Arial" w:hAnsi="Arial"/>
      <w:i/>
      <w:sz w:val="18"/>
    </w:rPr>
  </w:style>
  <w:style w:styleId="FootnoteReference" w:type="character">
    <w:name w:val="footnote reference"/>
    <w:basedOn w:val="CaptionChar"/>
    <w:rsid w:val="00242606"/>
    <w:rPr>
      <w:rFonts w:ascii="Arial" w:hAnsi="Arial"/>
      <w:i/>
      <w:sz w:val="18"/>
      <w:vertAlign w:val="superscript"/>
    </w:rPr>
  </w:style>
  <w:style w:styleId="Hyperlink" w:type="character">
    <w:name w:val="Hyperlink"/>
    <w:basedOn w:val="CaptionChar"/>
    <w:uiPriority w:val="99"/>
    <w:rPr>
      <w:rFonts w:ascii="Arial" w:hAnsi="Arial"/>
      <w:i/>
      <w:color w:themeColor="accent1" w:val="156082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spacing w:after="0" w:before="0" w:line="240" w:lineRule="auto"/>
      <w:contextualSpacing/>
      <w:jc w:val="left"/>
    </w:pPr>
    <w:rPr>
      <w:sz w:val="14"/>
      <w:szCs w:val="14"/>
    </w:rPr>
  </w:style>
  <w:style w:customStyle="1" w:styleId="KeywordTok" w:type="character">
    <w:name w:val="Keyword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000000"/>
      <w:sz w:val="14"/>
      <w:szCs w:val="14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EF2929"/>
      <w:sz w:val="14"/>
      <w:szCs w:val="14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i/>
      <w:color w:val="A40000"/>
      <w:sz w:val="14"/>
      <w:szCs w:val="14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i/>
      <w:sz w:val="14"/>
      <w:szCs w:val="14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13130</Words>
  <Characters>74841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dcterms:created xsi:type="dcterms:W3CDTF">2026-08-28T03:47:54Z</dcterms:created>
  <dcterms:modified xsi:type="dcterms:W3CDTF">2026-08-28T03:47:54Z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