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6"/>
        <w:gridCol w:w="1049"/>
        <w:gridCol w:w="51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Denser canopy holds the pheromone plume together; thinner stands admit wind that disperses it</w:t>
            </w:r>
            <w:r>
              <w:t xml:space="preserve"> </w:t>
            </w:r>
            <w:r>
              <w:t xml:space="preserve">(Cartwright, 2018; Krawchuk et al., 2020; Powell &amp; Bentz, 2014)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under 25 cm are beetle sinks, over 25 cm are sources</w:t>
            </w:r>
            <w:r>
              <w:t xml:space="preserve"> </w:t>
            </w:r>
            <w:r>
              <w:t xml:space="preserve">(Carroll &amp; Safranyik, 2004)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cannot occur where the host is absent; a cell without pine is not a refugium</w:t>
            </w:r>
            <w:r>
              <w:t xml:space="preserve"> </w:t>
            </w:r>
            <w:r>
              <w:t xml:space="preserve">(Cartwright, 2018)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 is gated between 19 and 41 degrees C and peaks on bright afternoons, so sunlit slopes are reachable</w:t>
            </w:r>
            <w:r>
              <w:t xml:space="preserve"> </w:t>
            </w:r>
            <w:r>
              <w:t xml:space="preserve">(McCambridge, 1971; Safranyik &amp; Carroll, 2006)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Shading cools, relieving water stress and funding defence, and cool sites also push the beetle toward a two-year cycle</w:t>
            </w:r>
            <w:r>
              <w:t xml:space="preserve"> </w:t>
            </w:r>
            <w:r>
              <w:t xml:space="preserve">(Krawchuk et al., 2020; Sambaraju &amp; Goodsman, 2021)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 disrupts the pheromone plume, so exposed ground should carry less attack</w:t>
            </w:r>
            <w:r>
              <w:t xml:space="preserve"> </w:t>
            </w:r>
            <w:r>
              <w:t xml:space="preserve">(Krawchuk et al., 2020)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strongest terrain term in the companion study on this landscape, but fitted there against regeneration rather than attack</w:t>
            </w:r>
            <w:r>
              <w:t xml:space="preserve"> </w:t>
            </w:r>
            <w:r>
              <w:t xml:space="preserve">(Murphy, Leslie, Wilson, &amp; Banks, 2026)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Infested groups gather in draws and gullies, and deep snow insulates overwintering brood</w:t>
            </w:r>
            <w:r>
              <w:t xml:space="preserve"> </w:t>
            </w:r>
            <w:r>
              <w:t xml:space="preserve">(Safranyik &amp; Carroll, 2006)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mechanism acts during dispersal, and no study specifies the interval, so it is taken at the flight period</w:t>
            </w:r>
            <w:r>
              <w:t xml:space="preserve"> </w:t>
            </w:r>
            <w:r>
              <w:t xml:space="preserve">(Jones, Shegelski, Marculis, Wijerathna, &amp; Evenden, 2019; Krawchuk et al., 2020)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composite of temperature, snowpack, season length and host distribution that this design cannot separate</w:t>
            </w:r>
            <w:r>
              <w:t xml:space="preserve"> </w:t>
            </w:r>
            <w:r>
              <w:t xml:space="preserve">(Sambaraju &amp; Goodsman, 2021)</w:t>
            </w:r>
            <w: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The datasets this study combines, with the structure and resolution of each. Every count is</w:t>
      </w:r>
      <w:r>
        <w:t xml:space="preserve"> </w:t>
      </w:r>
      <w:r>
        <w:t xml:space="preserve">read from the files at render time. Spatial resolution is the grid the variable is analysed</w:t>
      </w:r>
      <w:r>
        <w:t xml:space="preserve"> </w:t>
      </w:r>
      <w:r>
        <w:t xml:space="preserve">on; temporal resolution is the interval at which it varies. Note that the response varies</w:t>
      </w:r>
      <w:r>
        <w:t xml:space="preserve"> </w:t>
      </w:r>
      <w:r>
        <w:t xml:space="preserve">every 16 days, the inventory once a year and the terrain not at all, which is the asymmetry</w:t>
      </w:r>
      <w:r>
        <w:t xml:space="preserve"> </w:t>
      </w:r>
      <w:r>
        <w:t xml:space="preserve">the wind analysis depends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2"/>
        <w:gridCol w:w="1500"/>
        <w:gridCol w:w="2043"/>
        <w:gridCol w:w="894"/>
        <w:gridCol w:w="990"/>
        <w:gridCol w:w="894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Beetle disturbance,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Beetle disturbance, 16-day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days, the sensor’s repeat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epochs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 Historical, BC Data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Basal area, volume, stems, quadratic mean diameter, age,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Polygon, rasterised to 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year, projected to each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NRCan High Resolution DEM, indices by SAGA 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geomorphometric surfaces incl. radiation, exposure, landform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and Climate Change 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and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to 7 valley 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2005-2014, May to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236,079 hourly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Terrain-resolved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MicroMet over the DEM, driven by station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Weighting factor, modified speed, diverted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days, and 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direction bins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Modelling table,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by 38-assemble-model-data.R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and every covariate, one row per cell-year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111,707 cell-years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Modelling table, 16-day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by 45-epoch-model-data.R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and every covariate, one row per cell-epoch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66,302 cell-epochs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Moderate-to-high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Stand structure across the study perimeter, from the Vegetation Resources Inventory. n is</w:t>
      </w:r>
      <w:r>
        <w:t xml:space="preserve"> </w:t>
      </w:r>
      <w:r>
        <w:t xml:space="preserve">cell-years. SD is the standard deviation of the landscape; SE is the standard error of the</w:t>
      </w:r>
      <w:r>
        <w:t xml:space="preserve"> </w:t>
      </w:r>
      <w:r>
        <w:t xml:space="preserve">mean and is small by construction at this n, so it should not be read as precision about any</w:t>
      </w:r>
      <w:r>
        <w:t xml:space="preserve"> </w:t>
      </w:r>
      <w:r>
        <w:t xml:space="preserve">one cell. Skewness and kurtosis are the bias-corrected third and fourth standardised moments;</w:t>
      </w:r>
      <w:r>
        <w:t xml:space="preserve"> </w:t>
      </w:r>
      <w:r>
        <w:t xml:space="preserve">kurtosis is excess, so 0 is Gaussian and positive is heavy-tailed.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8"/>
        <w:gridCol w:w="615"/>
        <w:gridCol w:w="538"/>
        <w:gridCol w:w="538"/>
        <w:gridCol w:w="461"/>
        <w:gridCol w:w="538"/>
        <w:gridCol w:w="461"/>
        <w:gridCol w:w="615"/>
        <w:gridCol w:w="692"/>
        <w:gridCol w:w="6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Kurtosis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 (m2/ha)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Crown closure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stems (n/ha)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Quadratic mean diameter (cm)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age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height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Standing volume (m3/ha)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Lodgepole pine cover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Susceptible pine basal area (m2/ha)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Model comparison, panel A of the model table. Each model adds one pathway to the previous.</w:t>
      </w:r>
      <w:r>
        <w:t xml:space="preserve"> </w:t>
      </w:r>
      <w:r>
        <w:t xml:space="preserve">AIC ranks on likelihood and a parameter penalty; the remaining columns are predictive error</w:t>
      </w:r>
      <w:r>
        <w:t xml:space="preserve"> </w:t>
      </w:r>
      <w:r>
        <w:t xml:space="preserve">on the fitted probabilities. RMSE is the root mean squared error and is the square root of</w:t>
      </w:r>
      <w:r>
        <w:t xml:space="preserve"> </w:t>
      </w:r>
      <w:r>
        <w:t xml:space="preserve">the Brier score; RMSE (%) expresses it against the prevalence of the response. MAE is the</w:t>
      </w:r>
      <w:r>
        <w:t xml:space="preserve"> </w:t>
      </w:r>
      <w:r>
        <w:t xml:space="preserve">mean absolute error. AUC is the area under the receiver operating characteristic curve.</w:t>
      </w:r>
      <w:r>
        <w:t xml:space="preserve"> </w:t>
      </w:r>
      <w:r>
        <w:t xml:space="preserve">Brier skill is the improvement over predicting the prevalence for every cell, where 0 is no</w:t>
      </w:r>
      <w:r>
        <w:t xml:space="preserve"> </w:t>
      </w:r>
      <w:r>
        <w:t xml:space="preserve">better than the base rate. MAPE and Theil’s U are not reported: both divide by the observed</w:t>
      </w:r>
      <w:r>
        <w:t xml:space="preserve"> </w:t>
      </w:r>
      <w:r>
        <w:t xml:space="preserve">value, which is zero for the majority class of a binary response, so both are undefined</w:t>
      </w:r>
      <w:r>
        <w:t xml:space="preserve"> </w:t>
      </w:r>
      <w:r>
        <w:t xml:space="preserve">without discarding that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6"/>
        <w:gridCol w:w="548"/>
        <w:gridCol w:w="470"/>
        <w:gridCol w:w="470"/>
        <w:gridCol w:w="705"/>
        <w:gridCol w:w="470"/>
        <w:gridCol w:w="470"/>
        <w:gridCol w:w="705"/>
        <w:gridCol w:w="470"/>
        <w:gridCol w:w="9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 host size + shading + landform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+ stand 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+ terrain and flight radiation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+ interactions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Full model M3, panel B of the model table: continuous terms, ordered by absolute effect.</w:t>
      </w:r>
      <w:r>
        <w:t xml:space="preserve"> </w:t>
      </w:r>
      <w:r>
        <w:t xml:space="preserve">Coefficients are log-odds per standard deviation on a class-balanced sample, so the intercept</w:t>
      </w:r>
      <w:r>
        <w:t xml:space="preserve"> </w:t>
      </w:r>
      <w:r>
        <w:t xml:space="preserve">is not landscape prevalence. SE is the standard error of the coefficient; z is the Wald</w:t>
      </w:r>
      <w:r>
        <w:t xml:space="preserve"> </w:t>
      </w:r>
      <w:r>
        <w:t xml:space="preserve">statistic. The geomorphon landform classes are also in this model and are not reported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76"/>
        <w:gridCol w:w="710"/>
        <w:gridCol w:w="609"/>
        <w:gridCol w:w="710"/>
        <w:gridCol w:w="8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Susceptible pine basal area (m2/ha)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 (m2/ha)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Windward-leeward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Quadratic mean diameter (cm)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age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Flight-window calm hours (share below 5 km/h)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Topographic wetness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Crown closure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July mean wind (km/h)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Valley depth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 x Flight-window direct radiation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Topographic position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 x Flight-window calm hours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Mid-slope 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June mean wind (km/h)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ruggedness 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stems (n/ha)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curvature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 basal area x Windward-leeward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Convergence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Terrain ruggedness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QMD is quadratic mean diameter over stems 12.5 cm and up. The 25 cm boundary is the</w:t>
      </w:r>
      <w:r>
        <w:t xml:space="preserve"> </w:t>
      </w:r>
      <w:r>
        <w:t xml:space="preserve">source-sink threshold of the species’ bionomics. Intervals are Wilson score intervals on the</w:t>
      </w:r>
      <w:r>
        <w:t xml:space="preserve"> </w:t>
      </w:r>
      <w:r>
        <w:t xml:space="preserve">class proportion, which is why they are asymmetric in the smallest class; the normal</w:t>
      </w:r>
      <w:r>
        <w:t xml:space="preserve"> </w:t>
      </w:r>
      <w:r>
        <w:t xml:space="preserve">approximation is not used because it misbehaves at the small class sizes at both ends of the</w:t>
      </w:r>
      <w:r>
        <w:t xml:space="preserve"> </w:t>
      </w:r>
      <w:r>
        <w:t xml:space="preserve">range. Note that 30 m cells in a spreading outbreak are not independent, so the tests</w:t>
      </w:r>
      <w:r>
        <w:t xml:space="preserve"> </w:t>
      </w:r>
      <w:r>
        <w:t xml:space="preserve">reported beneath this table in the main text are anti-conservative.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QMD class (cm)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Attacked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22.0-30.2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23.2-25.7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25.6-27.3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39.0-40.4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24.2-25.8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14.0-17.5</w:t>
            </w:r>
          </w:p>
        </w:tc>
      </w:tr>
    </w:tbl>
    <w:bookmarkEnd w:id="26"/>
    <w:bookmarkStart w:id="27" w:name="table-8"/>
    <w:p>
      <w:pPr>
        <w:pStyle w:val="Heading1"/>
      </w:pPr>
      <w:r>
        <w:t xml:space="preserve">Table 8</w:t>
      </w:r>
    </w:p>
    <w:p>
      <w:pPr>
        <w:pStyle w:val="FirstParagraph"/>
      </w:pPr>
      <w:r>
        <w:t xml:space="preserve">The 16-day model refitted under four definitions of the wind window. The epoch wind regime,</w:t>
      </w:r>
      <w:r>
        <w:t xml:space="preserve"> </w:t>
      </w:r>
      <w:r>
        <w:t xml:space="preserve">every hour, is the definition used throughout this paper. Coefficients are log-odds per</w:t>
      </w:r>
      <w:r>
        <w:t xml:space="preserve"> </w:t>
      </w:r>
      <w:r>
        <w:t xml:space="preserve">standard deviation. AUC is the area under the receiver operating characteristic curve. The</w:t>
      </w:r>
      <w:r>
        <w:t xml:space="preserve"> </w:t>
      </w:r>
      <w:r>
        <w:t xml:space="preserve">thermal-gate row is fitted on fewer cell-epochs because two epochs had too few qualifying</w:t>
      </w:r>
      <w:r>
        <w:t xml:space="preserve"> </w:t>
      </w:r>
      <w:r>
        <w:t xml:space="preserve">hours, so its AIC is not comparable with the other three and AIC is therefore not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6"/>
        <w:gridCol w:w="922"/>
        <w:gridCol w:w="922"/>
        <w:gridCol w:w="999"/>
        <w:gridCol w:w="615"/>
        <w:gridCol w:w="1076"/>
        <w:gridCol w:w="615"/>
        <w:gridCol w:w="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Cell-epochs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 (km/h)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Stems x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 x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 wind regime (all hours)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 the 19-41 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</w:t>
            </w:r>
          </w:p>
        </w:tc>
      </w:tr>
    </w:tbl>
    <w:bookmarkEnd w:id="27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2026-08-31T23:11:59Z</dcterms:created>
  <dcterms:modified xsi:type="dcterms:W3CDTF">2026-08-31T23:11:59Z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../04.references/references-beetle.bib</vt:lpwstr>
  </property>
  <property fmtid="{D5CDD505-2E9C-101B-9397-08002B2CF9AE}" pid="4" name="csl">
    <vt:lpwstr>../04.references/apa-6th-edition.csl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ppress-bibliography">
    <vt:lpwstr>True</vt:lpwstr>
  </property>
  <property fmtid="{D5CDD505-2E9C-101B-9397-08002B2CF9AE}" pid="11" name="toc-title">
    <vt:lpwstr>Table of contents</vt:lpwstr>
  </property>
</Properties>
</file>