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rId2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Author"/>
      </w:pPr>
      <w:r>
        <w:t xml:space="preserve">Seamus Murphy</w:t>
      </w:r>
    </w:p>
    <w:p>
      <w:pPr>
        <w:pStyle w:val="Date"/>
      </w:pPr>
      <w:r>
        <w:t xml:space="preserve">2026-08-28</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are thought to form where</w:t>
      </w:r>
      <w:r>
        <w:t xml:space="preserve"> </w:t>
      </w:r>
      <w:r>
        <w:t xml:space="preserve">stands are thin enough for wind to break up the pheromone plume that coordinates mass</w:t>
      </w:r>
      <w:r>
        <w:t xml:space="preserve"> </w:t>
      </w:r>
      <w:r>
        <w:t xml:space="preserve">attack. It names three mechanisms, shading, low host density and few large-diameter hosts,</w:t>
      </w:r>
      <w:r>
        <w:t xml:space="preserve"> </w:t>
      </w:r>
      <w:r>
        <w:t xml:space="preserve">and none has been fitted. We tested all three over 5,573 ha of the Selkirk</w:t>
      </w:r>
      <w:r>
        <w:t xml:space="preserve"> </w:t>
      </w:r>
      <w:r>
        <w:t xml:space="preserve">Mountains, British Columbia, at 30 m and Landsat’s 16-day repeat, 59 epochs across</w:t>
      </w:r>
      <w:r>
        <w:t xml:space="preserve"> </w:t>
      </w:r>
      <w:r>
        <w:t xml:space="preserve">8 outbreak years, with wind from a terrain-resolved field driven hourly. Stand density interacted negatively with wind,</w:t>
      </w:r>
      <w:r>
        <w:t xml:space="preserve"> </w:t>
      </w:r>
      <w:r>
        <w:t xml:space="preserve">-0.094 for stem density and -0.041 for standing volume, both surviving a</w:t>
      </w:r>
      <w:r>
        <w:t xml:space="preserve"> </w:t>
      </w:r>
      <w:r>
        <w:t xml:space="preserve">within-season spread term. Host held through standing volume, attack peaking at</w:t>
      </w:r>
      <w:r>
        <w:t xml:space="preserve"> </w:t>
      </w:r>
      <w:r>
        <w:t xml:space="preserve">45.9 per cent at 25 to 30 cm.</w:t>
      </w:r>
      <w:r>
        <w:t xml:space="preserve"> </w:t>
      </w:r>
      <w:r>
        <w:t xml:space="preserve">Shading failed: shaded ground carried more attack, not less. Resolution decided it. One map</w:t>
      </w:r>
      <w:r>
        <w:t xml:space="preserve"> </w:t>
      </w:r>
      <w:r>
        <w:t xml:space="preserve">a year, same wind field and covariates, gave +0.031, the opposite sign.</w:t>
      </w:r>
    </w:p>
    <w:bookmarkEnd w:id="20"/>
    <w:bookmarkStart w:id="21"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the framework for them is disturbance refugia,</w:t>
      </w:r>
      <w:r>
        <w:t xml:space="preserve"> </w:t>
      </w:r>
      <w:r>
        <w:t xml:space="preserve">places buffered from disturbance over time</w:t>
      </w:r>
      <w:r>
        <w:t xml:space="preserve"> </w:t>
      </w:r>
      <w:r>
        <w:t xml:space="preserve">(Krawchuk</w:t>
      </w:r>
      <w:r>
        <w:t xml:space="preserve"> </w:t>
      </w:r>
      <w:r>
        <w:rPr>
          <w:i/>
          <w:iCs/>
        </w:rPr>
        <w:t xml:space="preserve">et al.</w:t>
      </w:r>
      <w:r>
        <w:t xml:space="preserve"> </w:t>
      </w:r>
      <w:r>
        <w:t xml:space="preserve">2020)</w:t>
      </w:r>
      <w:r>
        <w:t xml:space="preserve">. Explaining refugia rather than</w:t>
      </w:r>
      <w:r>
        <w:t xml:space="preserve"> </w:t>
      </w:r>
      <w:r>
        <w:t xml:space="preserve">locating them needs mechanistic links to terrain, soil and stand structure</w:t>
      </w:r>
      <w:r>
        <w:t xml:space="preserve"> </w:t>
      </w:r>
      <w:r>
        <w:t xml:space="preserve">(Cartwright 2018)</w:t>
      </w:r>
      <w:r>
        <w:t xml:space="preserve">.</w:t>
      </w:r>
    </w:p>
    <w:p>
      <w:pPr>
        <w:pStyle w:val="BodyText"/>
      </w:pPr>
      <w:r>
        <w:t xml:space="preserve">Krawchuk</w:t>
      </w:r>
      <w:r>
        <w:t xml:space="preserve"> </w:t>
      </w:r>
      <w:r>
        <w:rPr>
          <w:i/>
          <w:iCs/>
        </w:rPr>
        <w:t xml:space="preserve">et al.</w:t>
      </w:r>
      <w:r>
        <w:t xml:space="preserve"> </w:t>
      </w:r>
      <w:r>
        <w:t xml:space="preserve">(2020)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has been fitted</w:t>
      </w:r>
      <w:r>
        <w:t xml:space="preserve"> </w:t>
      </w:r>
      <w:r>
        <w:t xml:space="preserve">spatially. Of the studies our screen retained, only a companion study on this landscape</w:t>
      </w:r>
      <w:r>
        <w:t xml:space="preserve"> </w:t>
      </w:r>
      <w:r>
        <w:t xml:space="preserve">enters a wind term, and its response is conifer regeneration rather than attack</w:t>
      </w:r>
      <w:r>
        <w:t xml:space="preserve"> </w:t>
      </w:r>
      <w:r>
        <w:t xml:space="preserve">(Murphy</w:t>
      </w:r>
      <w:r>
        <w:t xml:space="preserve"> </w:t>
      </w:r>
      <w:r>
        <w:rPr>
          <w:i/>
          <w:iCs/>
        </w:rPr>
        <w:t xml:space="preserve">et al.</w:t>
      </w:r>
      <w:r>
        <w:t xml:space="preserve"> </w:t>
      </w:r>
      <w:r>
        <w:t xml:space="preserve">2026)</w:t>
      </w:r>
      <w:r>
        <w:t xml:space="preserve">.</w:t>
      </w:r>
    </w:p>
    <w:p>
      <w:pPr>
        <w:pStyle w:val="BodyText"/>
      </w:pPr>
      <w:r>
        <w:t xml:space="preserve">Why a plume should matter at all is a population argument. A lodgepole pine resists a</w:t>
      </w:r>
      <w:r>
        <w:t xml:space="preserve"> </w:t>
      </w:r>
      <w:r>
        <w:t xml:space="preserve">single beetle through resin flow and an induced response that saturates the phloem with</w:t>
      </w:r>
      <w:r>
        <w:t xml:space="preserve"> </w:t>
      </w:r>
      <w:r>
        <w:t xml:space="preserve">terpenes, so overwhelming that defence takes the near-simultaneous arrival of many</w:t>
      </w:r>
      <w:r>
        <w:t xml:space="preserve"> </w:t>
      </w:r>
      <w:r>
        <w:t xml:space="preserve">individuals. Arrival is coordinated chemically, pioneer females oxidising a host</w:t>
      </w:r>
      <w:r>
        <w:t xml:space="preserve"> </w:t>
      </w:r>
      <w:r>
        <w:t xml:space="preserve">monoterpene to</w:t>
      </w:r>
      <w:r>
        <w:t xml:space="preserve"> </w:t>
      </w:r>
      <w:r>
        <w:rPr>
          <w:i/>
          <w:iCs/>
        </w:rPr>
        <w:t xml:space="preserve">trans</w:t>
      </w:r>
      <w:r>
        <w:t xml:space="preserve">-verbenol while arriving males release</w:t>
      </w:r>
      <w:r>
        <w:t xml:space="preserve"> </w:t>
      </w:r>
      <w:r>
        <w:rPr>
          <w:i/>
          <w:iCs/>
        </w:rPr>
        <w:t xml:space="preserve">exo</w:t>
      </w:r>
      <w:r>
        <w:t xml:space="preserve">-brevicomin, and</w:t>
      </w:r>
      <w:r>
        <w:t xml:space="preserve"> </w:t>
      </w:r>
      <w:r>
        <w:t xml:space="preserve">colonisation is normally complete within one to two days</w:t>
      </w:r>
      <w:r>
        <w:t xml:space="preserve"> </w:t>
      </w:r>
      <w:r>
        <w:t xml:space="preserve">(Safranyik and Carroll 2006)</w:t>
      </w:r>
      <w:r>
        <w:t xml:space="preserve">. Because</w:t>
      </w:r>
      <w:r>
        <w:t xml:space="preserve"> </w:t>
      </w:r>
      <w:r>
        <w:t xml:space="preserve">that signal is airborne it is in principle susceptible to wind, and that susceptibility is</w:t>
      </w:r>
      <w:r>
        <w:t xml:space="preserve"> </w:t>
      </w:r>
      <w:r>
        <w:t xml:space="preserve">the premise under test. Stem size sets a second constraint: bark thickness, phloem</w:t>
      </w:r>
      <w:r>
        <w:t xml:space="preserve"> </w:t>
      </w:r>
      <w:r>
        <w:t xml:space="preserve">thickness and moisture retention all rise with diameter, and</w:t>
      </w:r>
      <w:r>
        <w:t xml:space="preserve"> </w:t>
      </w:r>
      <w:r>
        <w:t xml:space="preserve">Carroll and Safranyik (2004)</w:t>
      </w:r>
      <w:r>
        <w:t xml:space="preserve"> </w:t>
      </w:r>
      <w:r>
        <w:t xml:space="preserve">put the</w:t>
      </w:r>
      <w:r>
        <w:t xml:space="preserve"> </w:t>
      </w:r>
      <w:r>
        <w:t xml:space="preserve">consequence as a threshold, pine at or below 25 cm being on average beetle sinks and larger</w:t>
      </w:r>
      <w:r>
        <w:t xml:space="preserve"> </w:t>
      </w:r>
      <w:r>
        <w:t xml:space="preserve">trees sources.</w:t>
      </w:r>
    </w:p>
    <w:p>
      <w:pPr>
        <w:pStyle w:val="BodyText"/>
      </w:pPr>
      <w:r>
        <w:t xml:space="preserve">The wind half is a claim about canopy, not open air.</w:t>
      </w:r>
      <w:r>
        <w:t xml:space="preserve"> </w:t>
      </w:r>
      <w:r>
        <w:t xml:space="preserve">Cartwright (2018)</w:t>
      </w:r>
      <w:r>
        <w:t xml:space="preserve"> </w:t>
      </w:r>
      <w:r>
        <w:t xml:space="preserve">found insect refugia in</w:t>
      </w:r>
      <w:r>
        <w:t xml:space="preserve"> </w:t>
      </w:r>
      <w:r>
        <w:t xml:space="preserve">stands of low basal area:</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converse as the condition for outbreak,</w:t>
      </w:r>
      <w:r>
        <w:t xml:space="preserve"> </w:t>
      </w:r>
      <w:r>
        <w:t xml:space="preserve">“higher local host density,</w:t>
      </w:r>
      <w:r>
        <w:t xml:space="preserve"> </w:t>
      </w:r>
      <w:r>
        <w:t xml:space="preserve">which minimizes pheromone plume dispersion, reduces wind, and promotes successful switching</w:t>
      </w:r>
      <w:r>
        <w:t xml:space="preserve"> </w:t>
      </w:r>
      <w:r>
        <w:t xml:space="preserve">to nearby hosts”</w:t>
      </w:r>
      <w:r>
        <w:t xml:space="preserve">. A model that controls stand density out and then reads a terrain</w:t>
      </w:r>
      <w:r>
        <w:t xml:space="preserve"> </w:t>
      </w:r>
      <w:r>
        <w:t xml:space="preserve">coefficient as a wind effect has removed the pathway it set out to test.</w:t>
      </w:r>
    </w:p>
    <w:p>
      <w:pPr>
        <w:pStyle w:val="BodyText"/>
      </w:pPr>
      <w:r>
        <w:t xml:space="preserve">Terrain also acts through heat. Flight is thermally gated at 19 to 41 degrees C, and</w:t>
      </w:r>
      <w:r>
        <w:t xml:space="preserve"> </w:t>
      </w:r>
      <w:r>
        <w:t xml:space="preserve">“most</w:t>
      </w:r>
      <w:r>
        <w:t xml:space="preserve"> </w:t>
      </w:r>
      <w:r>
        <w:t xml:space="preserve">flights occur on bright sunny days, and peak flight is in the early to mid afternoon”</w:t>
      </w:r>
      <w:r>
        <w:t xml:space="preserve"> </w:t>
      </w:r>
      <w:r>
        <w:t xml:space="preserve">(McCambridge 1971; Safranyik and Carroll 2006)</w:t>
      </w:r>
      <w:r>
        <w:t xml:space="preserve">. Radiation during the flight window is therefore a</w:t>
      </w:r>
      <w:r>
        <w:t xml:space="preserve"> </w:t>
      </w:r>
      <w:r>
        <w:t xml:space="preserve">different quantity from radiation across the season, and the season quantity is the one the</w:t>
      </w:r>
      <w:r>
        <w:t xml:space="preserve"> </w:t>
      </w:r>
      <w:r>
        <w:t xml:space="preserve">shading pathway concerns. Cool sites also push the beetle toward a two-year cycle</w:t>
      </w:r>
      <w:r>
        <w:t xml:space="preserve"> </w:t>
      </w:r>
      <w:r>
        <w:t xml:space="preserve">(Sambaraju and Goodsman 2021)</w:t>
      </w:r>
      <w:r>
        <w:t xml:space="preserve">, so shading and tree vigour predict the same sign by independent routes</w:t>
      </w:r>
      <w:r>
        <w:t xml:space="preserve"> </w:t>
      </w:r>
      <w:r>
        <w:t xml:space="preserve">(Bartos and Amman 1989)</w:t>
      </w:r>
      <w:r>
        <w:t xml:space="preserve">.</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downscaled over a digital elevation model, which makes them partly a</w:t>
      </w:r>
      <w:r>
        <w:t xml:space="preserve"> </w:t>
      </w:r>
      <w:r>
        <w:t xml:space="preserve">transform of the terrain offered alongside them</w:t>
      </w:r>
      <w:r>
        <w:t xml:space="preserve"> </w:t>
      </w:r>
      <w:r>
        <w:t xml:space="preserve">(Badger</w:t>
      </w:r>
      <w:r>
        <w:t xml:space="preserve"> </w:t>
      </w:r>
      <w:r>
        <w:rPr>
          <w:i/>
          <w:iCs/>
        </w:rPr>
        <w:t xml:space="preserve">et al.</w:t>
      </w:r>
      <w:r>
        <w:t xml:space="preserve"> </w:t>
      </w:r>
      <w:r>
        <w:t xml:space="preserve">2014; Davis</w:t>
      </w:r>
      <w:r>
        <w:t xml:space="preserve"> </w:t>
      </w:r>
      <w:r>
        <w:rPr>
          <w:i/>
          <w:iCs/>
        </w:rPr>
        <w:t xml:space="preserve">et al.</w:t>
      </w:r>
      <w:r>
        <w:t xml:space="preserve"> </w:t>
      </w:r>
      <w:r>
        <w:t xml:space="preserve">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and test the</w:t>
      </w:r>
      <w:r>
        <w:t xml:space="preserve"> </w:t>
      </w:r>
      <w:r>
        <w:t xml:space="preserve">response at Landsat’s own 16-day repeat rather than annually. Appendix S1 gives the direction</w:t>
      </w:r>
      <w:r>
        <w:t xml:space="preserve"> </w:t>
      </w:r>
      <w:r>
        <w:t xml:space="preserve">expected of every attribute entered and the reasoning behind it.</w:t>
      </w:r>
    </w:p>
    <w:bookmarkEnd w:id="21"/>
    <w:bookmarkStart w:id="22" w:name="methods"/>
    <w:p>
      <w:pPr>
        <w:pStyle w:val="Heading1"/>
      </w:pPr>
      <w:r>
        <w:t xml:space="preserve">2. Methods</w:t>
      </w:r>
    </w:p>
    <w:p>
      <w:pPr>
        <w:pStyle w:val="FirstParagraph"/>
      </w:pPr>
      <w:r>
        <w:t xml:space="preserve">The study area is 5,573 ha of the Selkirk Mountains in southeastern British</w:t>
      </w:r>
      <w:r>
        <w:t xml:space="preserve"> </w:t>
      </w:r>
      <w:r>
        <w:t xml:space="preserve">Columbia, 61,923 cells at 30 m in EPSG:3153, spanning 830 to</w:t>
      </w:r>
      <w:r>
        <w:t xml:space="preserve"> </w:t>
      </w:r>
      <w:r>
        <w:t xml:space="preserve">1,744 m (Figure 1). The grid and the perimeter are the parent study’s</w:t>
      </w:r>
      <w:r>
        <w:t xml:space="preserve"> </w:t>
      </w:r>
      <w:r>
        <w:t xml:space="preserve">(Murphy</w:t>
      </w:r>
      <w:r>
        <w:t xml:space="preserve"> </w:t>
      </w:r>
      <w:r>
        <w:rPr>
          <w:i/>
          <w:iCs/>
        </w:rPr>
        <w:t xml:space="preserve">et al.</w:t>
      </w:r>
      <w:r>
        <w:t xml:space="preserve"> </w:t>
      </w:r>
      <w:r>
        <w:t xml:space="preserve">2026)</w:t>
      </w:r>
      <w:r>
        <w:t xml:space="preserve">, anchored on the 2015 Mt Midgeley fire and expanded to the elevation band that</w:t>
      </w:r>
      <w:r>
        <w:t xml:space="preserve"> </w:t>
      </w:r>
      <w:r>
        <w:t xml:space="preserve">site occupies, because 480 ha cannot carry the stand-density contrast the mechanism runs on.</w:t>
      </w:r>
    </w:p>
    <w:p>
      <w:pPr>
        <w:pStyle w:val="BodyText"/>
      </w:pPr>
      <w:r>
        <w:t xml:space="preserve">The response is moderate-to-high beetle disturbance, classified from Landsat normalised</w:t>
      </w:r>
      <w:r>
        <w:t xml:space="preserve"> </w:t>
      </w:r>
      <w:r>
        <w:t xml:space="preserve">difference moisture index by the parent study’s method. It covers 8 outbreak</w:t>
      </w:r>
      <w:r>
        <w:t xml:space="preserve"> </w:t>
      </w:r>
      <w:r>
        <w:t xml:space="preserve">years, 2006 to 2014, excluding 2012, the one year flown only by</w:t>
      </w:r>
      <w:r>
        <w:t xml:space="preserve"> </w:t>
      </w:r>
      <w:r>
        <w:t xml:space="preserve">Landsat 7 with its scan-line corrector off. Pooled prevalence is</w:t>
      </w:r>
      <w:r>
        <w:t xml:space="preserve"> </w:t>
      </w:r>
      <w:r>
        <w:t xml:space="preserve">12.5 per cent over 122,700 cell-years (Appendix S3). Years</w:t>
      </w:r>
      <w:r>
        <w:t xml:space="preserve"> </w:t>
      </w:r>
      <w:r>
        <w:t xml:space="preserve">are never unioned: unioning destroys the year-to-year spread this study measures.</w:t>
      </w:r>
    </w:p>
    <w:p>
      <w:pPr>
        <w:pStyle w:val="BodyText"/>
      </w:pPr>
      <w:r>
        <w:t xml:space="preserve">Stand structure comes from the provincial Vegetation Resources Inventory (Appendix S4). Six</w:t>
      </w:r>
      <w:r>
        <w:t xml:space="preserve"> </w:t>
      </w:r>
      <w:r>
        <w:t xml:space="preserve">attributes carry the mechanism and the stem-size threshold: basal area, crown closure, live</w:t>
      </w:r>
      <w:r>
        <w:t xml:space="preserve"> </w:t>
      </w:r>
      <w:r>
        <w:t xml:space="preserve">stems per hectare, quadratic mean diameter over stems 12.5 cm and up, stand age, and</w:t>
      </w:r>
      <w:r>
        <w:t xml:space="preserve"> </w:t>
      </w:r>
      <w:r>
        <w:t xml:space="preserve">susceptible pine basal area. Terrain is 29 geomorphometric surfaces computed</w:t>
      </w:r>
      <w:r>
        <w:t xml:space="preserve"> </w:t>
      </w:r>
      <w:r>
        <w:t xml:space="preserve">with SAGA GIS over the full elevation model and clipped afterwards, so a search radius near</w:t>
      </w:r>
      <w:r>
        <w:t xml:space="preserve"> </w:t>
      </w:r>
      <w:r>
        <w:t xml:space="preserve">the boundary sees real ground. They cover exposure, shape, landform and aspect, the last</w:t>
      </w:r>
      <w:r>
        <w:t xml:space="preserve"> </w:t>
      </w:r>
      <w:r>
        <w:t xml:space="preserve">entering as northward and eastward components and as the heat load index of</w:t>
      </w:r>
      <w:r>
        <w:t xml:space="preserve"> </w:t>
      </w:r>
      <w:r>
        <w:t xml:space="preserve">McCune and Keon (2002)</w:t>
      </w:r>
      <w:r>
        <w:t xml:space="preserve">. Radiation is computed twice, because two mechanisms need it:</w:t>
      </w:r>
      <w:r>
        <w:t xml:space="preserve"> </w:t>
      </w:r>
      <w:r>
        <w:t xml:space="preserve">flight-window insolation over 1 July to 15 August restricted to 12:00 to 17:00, the hours</w:t>
      </w:r>
      <w:r>
        <w:t xml:space="preserve"> </w:t>
      </w:r>
      <w:r>
        <w:t xml:space="preserve">Safranyik and Carroll (2006)</w:t>
      </w:r>
      <w:r>
        <w:t xml:space="preserve"> </w:t>
      </w:r>
      <w:r>
        <w:t xml:space="preserve">identify as the flight peak, and growing-season insolation as the</w:t>
      </w:r>
      <w:r>
        <w:t xml:space="preserve"> </w:t>
      </w:r>
      <w:r>
        <w:t xml:space="preserve">whole-day total from 1 May to 30 September. A single annual index cannot separate them, the</w:t>
      </w:r>
      <w:r>
        <w:t xml:space="preserve"> </w:t>
      </w:r>
      <w:r>
        <w:t xml:space="preserve">flight-window surface spanning a</w:t>
      </w:r>
      <w:r>
        <w:t xml:space="preserve"> </w:t>
      </w:r>
      <w:r>
        <w:t xml:space="preserve">7-fold range here</w:t>
      </w:r>
      <w:r>
        <w:t xml:space="preserve"> </w:t>
      </w:r>
      <w:r>
        <w:t xml:space="preserve">against 2.6-fold for the</w:t>
      </w:r>
      <w:r>
        <w:t xml:space="preserve"> </w:t>
      </w:r>
      <w:r>
        <w:t xml:space="preserve">season total.</w:t>
      </w:r>
    </w:p>
    <w:p>
      <w:pPr>
        <w:pStyle w:val="BodyText"/>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Its wind component is seven equations rather than a program, implemented directly. Terrain</w:t>
      </w:r>
      <w:r>
        <w:t xml:space="preserve"> </w:t>
      </w:r>
      <w:r>
        <w:t xml:space="preserve">slope, azimuth and curvature give a weighting factor</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with</w:t>
      </w:r>
      <w:r>
        <w:t xml:space="preserve"> </w:t>
      </w:r>
      <m:oMath>
        <m:sSub>
          <m:e>
            <m:r>
              <m:t>γ</m:t>
            </m:r>
          </m:e>
          <m:sub>
            <m:r>
              <m:t>s</m:t>
            </m:r>
          </m:sub>
        </m:sSub>
        <m:r>
          <m:rPr>
            <m:sty m:val="p"/>
          </m:rPr>
          <m:t>=</m:t>
        </m:r>
        <m:sSub>
          <m:e>
            <m:r>
              <m:t>γ</m:t>
            </m:r>
          </m:e>
          <m:sub>
            <m:r>
              <m:t>c</m:t>
            </m:r>
          </m:sub>
        </m:sSub>
        <m:r>
          <m:rPr>
            <m:sty m:val="p"/>
          </m:rPr>
          <m:t>=</m:t>
        </m:r>
        <m:r>
          <m:t>0.5</m:t>
        </m:r>
      </m:oMath>
      <w:r>
        <w:t xml:space="preserve">, a modified speed</w:t>
      </w:r>
      <w:r>
        <w:t xml:space="preserve"> </w:t>
      </w:r>
      <m:oMath>
        <m:sSub>
          <m:e>
            <m:r>
              <m:t>W</m:t>
            </m:r>
          </m:e>
          <m:sub>
            <m:r>
              <m:t>t</m:t>
            </m:r>
          </m:sub>
        </m:sSub>
        <m:r>
          <m:rPr>
            <m:sty m:val="p"/>
          </m:rPr>
          <m:t>=</m:t>
        </m:r>
        <m:sSub>
          <m:e>
            <m:r>
              <m:t>W</m:t>
            </m:r>
          </m:e>
          <m:sub>
            <m:r>
              <m:t>w</m:t>
            </m:r>
          </m:sub>
        </m:sSub>
        <m:r>
          <m:t>W</m:t>
        </m:r>
      </m:oMath>
      <w:r>
        <w:t xml:space="preserve">, and a</w:t>
      </w:r>
      <w:r>
        <w:t xml:space="preserve"> </w:t>
      </w:r>
      <w:r>
        <w:t xml:space="preserve">direction diversion</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w:t>
      </w:r>
      <w:r>
        <w:t xml:space="preserve"> </w:t>
      </w:r>
      <m:oMath>
        <m:sSub>
          <m:e>
            <m:r>
              <m:t>W</m:t>
            </m:r>
          </m:e>
          <m:sub>
            <m:r>
              <m:t>w</m:t>
            </m:r>
          </m:sub>
        </m:sSub>
      </m:oMath>
      <w:r>
        <w:t xml:space="preserve"> </w:t>
      </w:r>
      <w:r>
        <w:t xml:space="preserve">depends on</w:t>
      </w:r>
      <w:r>
        <w:t xml:space="preserve"> </w:t>
      </w:r>
      <w:r>
        <w:t xml:space="preserve">direction and not speed, so it is computed once for each of 16 direction bins and each hourly</w:t>
      </w:r>
      <w:r>
        <w:t xml:space="preserve"> </w:t>
      </w:r>
      <w:r>
        <w:t xml:space="preserve">observation multiplied by the surface for its own bin; nothing is averaged before the terrain</w:t>
      </w:r>
      <w:r>
        <w:t xml:space="preserve"> </w:t>
      </w:r>
      <w:r>
        <w:t xml:space="preserve">acts on it. The field varies 1.9 to</w:t>
      </w:r>
      <w:r>
        <w:t xml:space="preserve"> </w:t>
      </w:r>
      <w:r>
        <w:t xml:space="preserve">2.8 km/h across the grid within a year, and is not</w:t>
      </w:r>
      <w:r>
        <w:t xml:space="preserve"> </w:t>
      </w:r>
      <w:r>
        <w:t xml:space="preserve">a repackaged terrain index, correlating +0.153 with the</w:t>
      </w:r>
      <w:r>
        <w:t xml:space="preserve"> </w:t>
      </w:r>
      <w:r>
        <w:t xml:space="preserve">windward-leeward index.</w:t>
      </w:r>
    </w:p>
    <w:p>
      <w:pPr>
        <w:pStyle w:val="BodyText"/>
      </w:pPr>
      <w:r>
        <w:t xml:space="preserve">45 candidate variables in six groups, one per pathway, passed a four-stage selection</w:t>
      </w:r>
      <w:r>
        <w:t xml:space="preserve"> </w:t>
      </w:r>
      <w:r>
        <w:t xml:space="preserve">required to retain at least one variable from each group, so a collinearity filter could not</w:t>
      </w:r>
      <w:r>
        <w:t xml:space="preserve"> </w:t>
      </w:r>
      <w:r>
        <w:t xml:space="preserve">delete a hypothesis. Fitting used a class-balanced sample of 47,328 cell-years,</w:t>
      </w:r>
      <w:r>
        <w:t xml:space="preserve"> </w:t>
      </w:r>
      <w:r>
        <w:t xml:space="preserve">because an unbalanced fit at 12 per cent prevalence reports the</w:t>
      </w:r>
      <w:r>
        <w:t xml:space="preserve"> </w:t>
      </w:r>
      <w:r>
        <w:t xml:space="preserve">intercept rather than the covariates. Four annual logistic models each add one claim to the</w:t>
      </w:r>
      <w:r>
        <w:t xml:space="preserve"> </w:t>
      </w:r>
      <w:r>
        <w:t xml:space="preserve">last: host size, shading and landform (M0), stand density (M1), terrain shape, exposure and</w:t>
      </w:r>
      <w:r>
        <w:t xml:space="preserve"> </w:t>
      </w:r>
      <w:r>
        <w:t xml:space="preserve">flight radiation (M2), and the interactions (M3). Two further annual models add previous-year</w:t>
      </w:r>
      <w:r>
        <w:t xml:space="preserve"> </w:t>
      </w:r>
      <w:r>
        <w:t xml:space="preserve">attack and 90 m neighbourhood pressure after the autologistic design used for this province</w:t>
      </w:r>
      <w:r>
        <w:t xml:space="preserve"> </w:t>
      </w:r>
      <w:r>
        <w:t xml:space="preserve">(M4), and replace station wind with the terrain-resolved field (M5). The 16-day models (E1,</w:t>
      </w:r>
      <w:r>
        <w:t xml:space="preserve"> </w:t>
      </w:r>
      <w:r>
        <w:t xml:space="preserve">E2) refit the same covariates over 59 epochs, E2 adding the previous epoch of the</w:t>
      </w:r>
      <w:r>
        <w:t xml:space="preserve"> </w:t>
      </w:r>
      <w:r>
        <w:t xml:space="preserve">same season. Model comparison is in Appendix S2.</w:t>
      </w:r>
    </w:p>
    <w:bookmarkEnd w:id="22"/>
    <w:bookmarkStart w:id="23" w:name="results"/>
    <w:p>
      <w:pPr>
        <w:pStyle w:val="Heading1"/>
      </w:pPr>
      <w:r>
        <w:t xml:space="preserve">3. Results</w:t>
      </w:r>
    </w:p>
    <w:p>
      <w:pPr>
        <w:pStyle w:val="FirstParagraph"/>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w:t>
      </w:r>
    </w:p>
    <w:p>
      <w:pPr>
        <w:pStyle w:val="BodyText"/>
      </w:pPr>
      <w:r>
        <w:t xml:space="preserve">Stand density does not behave as one variable (Table 1). Standing volume carries</w:t>
      </w:r>
      <w:r>
        <w:t xml:space="preserve"> </w:t>
      </w:r>
      <w:r>
        <w:t xml:space="preserve">+0.381 log-odds per standard deviation, but live stems per hectare</w:t>
      </w:r>
      <w:r>
        <w:t xml:space="preserve"> </w:t>
      </w:r>
      <w:r>
        <w:t xml:space="preserve">carries -0.099 and crown closure -0.183, both</w:t>
      </w:r>
      <w:r>
        <w:t xml:space="preserve"> </w:t>
      </w:r>
      <w:r>
        <w:t xml:space="preserve">negative and both far from zero (p = &lt; 1e-16). As a main effect the density</w:t>
      </w:r>
      <w:r>
        <w:t xml:space="preserve"> </w:t>
      </w:r>
      <w:r>
        <w:t xml:space="preserve">pathway is mixed, and standing wood in large stems is the only measure of it that points the</w:t>
      </w:r>
      <w:r>
        <w:t xml:space="preserve"> </w:t>
      </w:r>
      <w:r>
        <w:t xml:space="preserve">way the mechanism predicts. That is a weaker reading than it first appears, because the</w:t>
      </w:r>
      <w:r>
        <w:t xml:space="preserve"> </w:t>
      </w:r>
      <w:r>
        <w:t xml:space="preserve">mechanism’s prediction is not about a main effect at all.</w:t>
      </w:r>
    </w:p>
    <w:p>
      <w:pPr>
        <w:pStyle w:val="BodyText"/>
      </w:pPr>
      <w:r>
        <w:t xml:space="preserve">Radiation enters once. Flight-window direct radiation carries</w:t>
      </w:r>
      <w:r>
        <w:t xml:space="preserve"> </w:t>
      </w:r>
      <w:r>
        <w:t xml:space="preserve">+0.487, which is the thermal gate on flight. Growing-season radiation</w:t>
      </w:r>
      <w:r>
        <w:t xml:space="preserve"> </w:t>
      </w:r>
      <w:r>
        <w:t xml:space="preserve">did not survive selection, so the shading pathway is carried by northness, with which it</w:t>
      </w:r>
      <w:r>
        <w:t xml:space="preserve"> </w:t>
      </w:r>
      <w:r>
        <w:t xml:space="preserve">correlates -0.834. Northness is +0.382:</w:t>
      </w:r>
      <w:r>
        <w:t xml:space="preserve"> </w:t>
      </w:r>
      <w:r>
        <w:t xml:space="preserve">shaded, north-facing ground carries more attack, against the prediction. Terrain predicts</w:t>
      </w:r>
      <w:r>
        <w:t xml:space="preserve"> </w:t>
      </w:r>
      <w:r>
        <w:t xml:space="preserve">attack independently of both, the windward-leeward index at +0.358 and</w:t>
      </w:r>
      <w:r>
        <w:t xml:space="preserve"> </w:t>
      </w:r>
      <w:r>
        <w:t xml:space="preserve">elevation at +0.329, while terrain ruggedness is -0.036 and not</w:t>
      </w:r>
      <w:r>
        <w:t xml:space="preserve"> </w:t>
      </w:r>
      <w:r>
        <w:t xml:space="preserve">distinguishable from zero (p = 0.124).</w:t>
      </w:r>
    </w:p>
    <w:p>
      <w:pPr>
        <w:pStyle w:val="BodyText"/>
      </w:pPr>
      <w:r>
        <w:t xml:space="preserve">A terrain index is partly an insolation measurement. Fitted without flight-window radiation,</w:t>
      </w:r>
      <w:r>
        <w:t xml:space="preserve"> </w:t>
      </w:r>
      <w:r>
        <w:t xml:space="preserve">stand density interacts with terrain exposure at +0.311. With radiation in the model</w:t>
      </w:r>
      <w:r>
        <w:t xml:space="preserve"> </w:t>
      </w:r>
      <w:r>
        <w:t xml:space="preserve">that interaction falls to +0.221 (p = &lt; 1e-16)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about a third of the apparent exposure effect was the sun. The</w:t>
      </w:r>
      <w:r>
        <w:t xml:space="preserve"> </w:t>
      </w:r>
      <w:r>
        <w:t xml:space="preserve">remainder is not, and it stays positive, which is the wrong sign for pheromone disruption.</w:t>
      </w:r>
      <w:r>
        <w:t xml:space="preserve"> </w:t>
      </w:r>
      <w:r>
        <w:t xml:space="preserve">That is the annual answer, and the next paragraph shows it is an artefact of the calendar.</w:t>
      </w:r>
    </w:p>
    <w:p>
      <w:pPr>
        <w:pStyle w:val="BodyText"/>
      </w:pPr>
      <w:r>
        <w:t xml:space="preserve">Temporal resolution decided the outcome (Figure 2). At 16 days, stand density interacts with</w:t>
      </w:r>
      <w:r>
        <w:t xml:space="preserve"> </w:t>
      </w:r>
      <w:r>
        <w:t xml:space="preserve">terrain-resolved wind at -0.094 for stem density (p = &lt; 1e-16) and</w:t>
      </w:r>
      <w:r>
        <w:t xml:space="preserve"> </w:t>
      </w:r>
      <w:r>
        <w:t xml:space="preserve">-0.041 for standing volume (p = 4.91e-07), both negative, which is the</w:t>
      </w:r>
      <w:r>
        <w:t xml:space="preserve"> </w:t>
      </w:r>
      <w:r>
        <w:t xml:space="preserve">mechanism’s signature: a dense stand is worth less where and when the wind blows harder. Both</w:t>
      </w:r>
      <w:r>
        <w:t xml:space="preserve"> </w:t>
      </w:r>
      <w:r>
        <w:t xml:space="preserve">survive entering the previous epoch of the same season, which carries</w:t>
      </w:r>
      <w:r>
        <w:t xml:space="preserve"> </w:t>
      </w:r>
      <w:r>
        <w:t xml:space="preserve">+0.672, so the result is not the outbreak’s own spread wearing a wind</w:t>
      </w:r>
      <w:r>
        <w:t xml:space="preserve"> </w:t>
      </w:r>
      <w:r>
        <w:t xml:space="preserve">coefficient, and they discriminate at 0.668 and</w:t>
      </w:r>
      <w:r>
        <w:t xml:space="preserve"> </w:t>
      </w:r>
      <w:r>
        <w:t xml:space="preserve">0.756 respectively. With one map a year, the same wind field,</w:t>
      </w:r>
      <w:r>
        <w:t xml:space="preserve"> </w:t>
      </w:r>
      <w:r>
        <w:t xml:space="preserve">covariates and classification</w:t>
      </w:r>
      <w:r>
        <w:t xml:space="preserve"> </w:t>
      </w:r>
      <w:r>
        <w:t xml:space="preserve">threshold give +0.031 (p = 0.0364), the opposite sign. Nothing about the</w:t>
      </w:r>
      <w:r>
        <w:t xml:space="preserve"> </w:t>
      </w:r>
      <w:r>
        <w:t xml:space="preserve">landscape or the wind product changed between the two. What changed is that an annual</w:t>
      </w:r>
      <w:r>
        <w:t xml:space="preserve"> </w:t>
      </w:r>
      <w:r>
        <w:t xml:space="preserve">response can only ask whether windy summers carry less attack than calm ones, and a summer</w:t>
      </w:r>
      <w:r>
        <w:t xml:space="preserve"> </w:t>
      </w:r>
      <w:r>
        <w:t xml:space="preserve">contains both windy and calm weeks.</w:t>
      </w:r>
    </w:p>
    <w:p>
      <w:pPr>
        <w:pStyle w:val="BodyText"/>
      </w:pPr>
      <w:r>
        <w:t xml:space="preserve">Attack also recurs where it was, by a margin that changes how every other coefficient reads.</w:t>
      </w:r>
      <w:r>
        <w:t xml:space="preserve"> </w:t>
      </w:r>
      <w:r>
        <w:t xml:space="preserve">Entering persistence and 90 m spread separately gives +0.873 and</w:t>
      </w:r>
      <w:r>
        <w:t xml:space="preserve"> </w:t>
      </w:r>
      <w:r>
        <w:t xml:space="preserve">+0.950 and raises discrimination from 0.799 to</w:t>
      </w:r>
      <w:r>
        <w:t xml:space="preserve"> </w:t>
      </w:r>
      <w:r>
        <w:t xml:space="preserve">0.888. Which environmental terms survive is the informative part.</w:t>
      </w:r>
      <w:r>
        <w:t xml:space="preserve"> </w:t>
      </w:r>
      <w:r>
        <w:t xml:space="preserve">Ruggedness keeps 0.61 of its value, a term describing a condition a cell has</w:t>
      </w:r>
      <w:r>
        <w:t xml:space="preserve"> </w:t>
      </w:r>
      <w:r>
        <w:t xml:space="preserve">whether or not the beetle was there. The landform terms are not stable: valley depth keeps</w:t>
      </w:r>
      <w:r>
        <w:t xml:space="preserve"> </w:t>
      </w:r>
      <w:r>
        <w:t xml:space="preserve">0.50 while mid-slope position moves to 1.32,</w:t>
      </w:r>
      <w:r>
        <w:t xml:space="preserve"> </w:t>
      </w:r>
      <w:r>
        <w:t xml:space="preserve">growing rather than shrinking. Part of what the landform terms measured was where the</w:t>
      </w:r>
      <w:r>
        <w:t xml:space="preserve"> </w:t>
      </w:r>
      <w:r>
        <w:t xml:space="preserve">outbreak had already been.</w:t>
      </w:r>
    </w:p>
    <w:p>
      <w:pPr>
        <w:pStyle w:val="BodyText"/>
      </w:pPr>
      <w:r>
        <w:t xml:space="preserve">Host coded as diameter holds as a threshold rather than a slope. Attack peaks in the 25 to</w:t>
      </w:r>
      <w:r>
        <w:t xml:space="preserve"> </w:t>
      </w:r>
      <w:r>
        <w:t xml:space="preserve">30 cm class at 45.9 per cent,</w:t>
      </w:r>
      <w:r>
        <w:t xml:space="preserve"> </w:t>
      </w:r>
      <w:r>
        <w:t xml:space="preserve">stepping up from 36.3 per cent</w:t>
      </w:r>
      <w:r>
        <w:t xml:space="preserve"> </w:t>
      </w:r>
      <w:r>
        <w:t xml:space="preserve">below the 25 cm source-sink boundary of</w:t>
      </w:r>
      <w:r>
        <w:t xml:space="preserve"> </w:t>
      </w:r>
      <w:r>
        <w:t xml:space="preserve">Carroll and Safranyik (2004)</w:t>
      </w:r>
      <w:r>
        <w:t xml:space="preserve"> </w:t>
      </w:r>
      <w:r>
        <w:t xml:space="preserve">and falling to</w:t>
      </w:r>
      <w:r>
        <w:t xml:space="preserve"> </w:t>
      </w:r>
      <w:r>
        <w:t xml:space="preserve">17.0 per cent above 40 cm</w:t>
      </w:r>
      <w:r>
        <w:t xml:space="preserve"> </w:t>
      </w:r>
      <w:r>
        <w:t xml:space="preserve">(Appendix S5). The linear coefficient is negative, -0.422, because a</w:t>
      </w:r>
      <w:r>
        <w:t xml:space="preserve"> </w:t>
      </w:r>
      <w:r>
        <w:t xml:space="preserve">straight line through a humped response returns the slope of its falling limb.</w:t>
      </w:r>
    </w:p>
    <w:bookmarkEnd w:id="23"/>
    <w:bookmarkStart w:id="24" w:name="conclusions"/>
    <w:p>
      <w:pPr>
        <w:pStyle w:val="Heading1"/>
      </w:pPr>
      <w:r>
        <w:t xml:space="preserve">4. Conclusions</w:t>
      </w:r>
    </w:p>
    <w:p>
      <w:pPr>
        <w:pStyle w:val="FirstParagraph"/>
      </w:pPr>
      <w:r>
        <w:t xml:space="preserve">Of the three mechanisms</w:t>
      </w:r>
      <w:r>
        <w:t xml:space="preserve"> </w:t>
      </w:r>
      <w:r>
        <w:t xml:space="preserve">Krawchuk</w:t>
      </w:r>
      <w:r>
        <w:t xml:space="preserve"> </w:t>
      </w:r>
      <w:r>
        <w:rPr>
          <w:i/>
          <w:iCs/>
        </w:rPr>
        <w:t xml:space="preserve">et al.</w:t>
      </w:r>
      <w:r>
        <w:t xml:space="preserve"> </w:t>
      </w:r>
      <w:r>
        <w:t xml:space="preserve">(2020)</w:t>
      </w:r>
      <w:r>
        <w:t xml:space="preserve"> </w:t>
      </w:r>
      <w:r>
        <w:t xml:space="preserve">name, two hold at the resolution the sensor and the</w:t>
      </w:r>
      <w:r>
        <w:t xml:space="preserve"> </w:t>
      </w:r>
      <w:r>
        <w:t xml:space="preserve">insect share and one does not. Host density holds in the conditional form the mechanism</w:t>
      </w:r>
      <w:r>
        <w:t xml:space="preserve"> </w:t>
      </w:r>
      <w:r>
        <w:t xml:space="preserve">specifies rather than as a bare main effect, which is the important distinction: as main</w:t>
      </w:r>
      <w:r>
        <w:t xml:space="preserve"> </w:t>
      </w:r>
      <w:r>
        <w:t xml:space="preserve">effects the three density measures disagree in sign, but what a dense canopy buys shrinks as</w:t>
      </w:r>
      <w:r>
        <w:t xml:space="preserve"> </w:t>
      </w:r>
      <w:r>
        <w:t xml:space="preserve">the wind rises, and that is the claim. Large-diameter host holds as a threshold at 25 to</w:t>
      </w:r>
      <w:r>
        <w:t xml:space="preserve"> </w:t>
      </w:r>
      <w:r>
        <w:t xml:space="preserve">30 cm. Topographic shading fails, and it fails on a surrogate: growing-season radiation did</w:t>
      </w:r>
      <w:r>
        <w:t xml:space="preserve"> </w:t>
      </w:r>
      <w:r>
        <w:t xml:space="preserve">not survive selection, so the pathway is carried by northness, which correlates</w:t>
      </w:r>
      <w:r>
        <w:t xml:space="preserve"> </w:t>
      </w:r>
      <w:r>
        <w:t xml:space="preserve">-0.834 with it. Northness tests aspect, and aspect</w:t>
      </w:r>
      <w:r>
        <w:t xml:space="preserve"> </w:t>
      </w:r>
      <w:r>
        <w:t xml:space="preserve">carries more than shade, so this is the least secure of the three verdicts.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left</w:t>
      </w:r>
      <w:r>
        <w:t xml:space="preserve"> </w:t>
      </w:r>
      <w:r>
        <w:t xml:space="preserve">valley depth at 0.50 of its value while mid-slope position moved to</w:t>
      </w:r>
      <w:r>
        <w:t xml:space="preserve"> </w:t>
      </w:r>
      <w:r>
        <w:t xml:space="preserve">1.32, against 0.61 for ruggedness. And an annual response cannot test a mechanism that operates over weeks: the</w:t>
      </w:r>
      <w:r>
        <w:t xml:space="preserve"> </w:t>
      </w:r>
      <w:r>
        <w:t xml:space="preserve">same wind field, covariates and threshold gave +0.031 annually against</w:t>
      </w:r>
      <w:r>
        <w:t xml:space="preserve"> </w:t>
      </w:r>
      <w:r>
        <w:t xml:space="preserve">-0.094 at sixteen days. A test that aggregates past the flight period is not a</w:t>
      </w:r>
      <w:r>
        <w:t xml:space="preserve"> </w:t>
      </w:r>
      <w:r>
        <w:t xml:space="preserve">weaker version of the right test. It is a different question, and this study answers it in</w:t>
      </w:r>
      <w:r>
        <w:t xml:space="preserve"> </w:t>
      </w:r>
      <w:r>
        <w:t xml:space="preserve">the opposite direction.</w:t>
      </w:r>
    </w:p>
    <w:p>
      <w:pPr>
        <w:pStyle w:val="BodyText"/>
      </w:pPr>
      <w:r>
        <w:t xml:space="preserve">Since no previous study has fitted a wind term at all, nothing establishes the resolution at</w:t>
      </w:r>
      <w:r>
        <w:t xml:space="preserve"> </w:t>
      </w:r>
      <w:r>
        <w:t xml:space="preserve">which one should be fitted. Our answer is that it must be no coarser than the flight period.</w:t>
      </w:r>
      <w:r>
        <w:t xml:space="preserve"> </w:t>
      </w:r>
      <w:r>
        <w:t xml:space="preserve">For managers reading refugia maps built from annual disturbance products, that matters</w:t>
      </w:r>
      <w:r>
        <w:t xml:space="preserve"> </w:t>
      </w:r>
      <w:r>
        <w:t xml:space="preserve">directly: a map that shows no wind signal may be showing the calendar rather than the</w:t>
      </w:r>
      <w:r>
        <w:t xml:space="preserve"> </w:t>
      </w:r>
      <w:r>
        <w:t xml:space="preserve">landscape.</w:t>
      </w:r>
    </w:p>
    <w:p>
      <w:pPr>
        <w:pStyle w:val="BodyText"/>
      </w:pPr>
      <w:r>
        <w:t xml:space="preserve">Four limits stay attached. Flight-window radiation and terrain exposure are not separable</w:t>
      </w:r>
      <w:r>
        <w:t xml:space="preserve"> </w:t>
      </w:r>
      <w:r>
        <w:t xml:space="preserve">here, correlating -0.599, so the positive flight</w:t>
      </w:r>
      <w:r>
        <w:t xml:space="preserve"> </w:t>
      </w:r>
      <w:r>
        <w:t xml:space="preserve">radiation coefficient is consistent with the thermal gate and with exposure alike, and the</w:t>
      </w:r>
      <w:r>
        <w:t xml:space="preserve"> </w:t>
      </w:r>
      <w:r>
        <w:t xml:space="preserve">annual density by exposure interaction stays positive after radiation enters. The wind</w:t>
      </w:r>
      <w:r>
        <w:t xml:space="preserve"> </w:t>
      </w:r>
      <w:r>
        <w:t xml:space="preserve">field is modelled from station data rather than measured on the ridge, so what is established</w:t>
      </w:r>
      <w:r>
        <w:t xml:space="preserve"> </w:t>
      </w:r>
      <w:r>
        <w:t xml:space="preserve">is that the modelled field behaves as the mechanism requires, not that the air did. The</w:t>
      </w:r>
      <w:r>
        <w:t xml:space="preserve"> </w:t>
      </w:r>
      <w:r>
        <w:t xml:space="preserve">inventory postdates part of the outbreak, which is the likeliest reason total basal area</w:t>
      </w:r>
      <w:r>
        <w:t xml:space="preserve"> </w:t>
      </w:r>
      <w:r>
        <w:t xml:space="preserve">discriminates below chance at</w:t>
      </w:r>
      <w:r>
        <w:t xml:space="preserve"> </w:t>
      </w:r>
      <w:r>
        <w:t xml:space="preserve">0.516. And every conclusion rests on one</w:t>
      </w:r>
      <w:r>
        <w:t xml:space="preserve"> </w:t>
      </w:r>
      <w:r>
        <w:t xml:space="preserve">mountain range over 8 years and 59 epochs.</w:t>
      </w:r>
    </w:p>
    <w:bookmarkEnd w:id="24"/>
    <w:bookmarkStart w:id="31" w:name="open-research"/>
    <w:p>
      <w:pPr>
        <w:pStyle w:val="Heading1"/>
      </w:pPr>
      <w:r>
        <w:t xml:space="preserve">5. Open research</w:t>
      </w:r>
    </w:p>
    <w:p>
      <w:pPr>
        <w:pStyle w:val="FirstParagraph"/>
      </w:pPr>
      <w:r>
        <w:t xml:space="preserve">This study complies with the Ecological Society of America’s Open Research Policy. Every</w:t>
      </w:r>
      <w:r>
        <w:t xml:space="preserve"> </w:t>
      </w:r>
      <w:r>
        <w:t xml:space="preserve">dataset is public and none was collected by the authors. Beetle disturbance is classified</w:t>
      </w:r>
      <w:r>
        <w:t xml:space="preserve"> </w:t>
      </w:r>
      <w:r>
        <w:t xml:space="preserve">from Landsat Collection 2 Level-2 surface reflectance. Stand structure is the provincial</w:t>
      </w:r>
      <w:r>
        <w:t xml:space="preserve"> </w:t>
      </w:r>
      <w:r>
        <w:t xml:space="preserve">Vegetation Resources Inventory layer</w:t>
      </w:r>
      <w:r>
        <w:t xml:space="preserve"> </w:t>
      </w:r>
      <w:r>
        <w:rPr>
          <w:rStyle w:val="VerbatimChar"/>
        </w:rPr>
        <w:t xml:space="preserve">VEG_COMP_LYR_R1_POLY</w:t>
      </w:r>
      <w:r>
        <w:t xml:space="preserve">, retrieved from the British</w:t>
      </w:r>
      <w:r>
        <w:t xml:space="preserve"> </w:t>
      </w:r>
      <w:r>
        <w:t xml:space="preserve">Columbia Data Catalogue web feature service. Terrain derives from the Natural Resources</w:t>
      </w:r>
      <w:r>
        <w:t xml:space="preserve"> </w:t>
      </w:r>
      <w:r>
        <w:t xml:space="preserve">Canada High Resolution Digital Elevation Model</w:t>
      </w:r>
      <w:r>
        <w:t xml:space="preserve"> </w:t>
      </w:r>
      <w:r>
        <w:t xml:space="preserve">(Natural Resources Canada 2017)</w:t>
      </w:r>
      <w:r>
        <w:t xml:space="preserve">, with geomorphometry computed by</w:t>
      </w:r>
      <w:r>
        <w:t xml:space="preserve"> </w:t>
      </w:r>
      <w:r>
        <w:t xml:space="preserve">SAGA GIS. Wind is Environment and Climate Change Canada hourly station data. All processing</w:t>
      </w:r>
      <w:r>
        <w:t xml:space="preserve"> </w:t>
      </w:r>
      <w:r>
        <w:t xml:space="preserve">scripts and the derived model tables that reproduce every number reported here will be</w:t>
      </w:r>
      <w:r>
        <w:t xml:space="preserve"> </w:t>
      </w:r>
      <w:r>
        <w:t xml:space="preserve">deposited in Dryad on acceptance, and are available to reviewers on request.</w:t>
      </w:r>
    </w:p>
    <w:p>
      <w:pPr>
        <w:pStyle w:val="CaptionedFigure"/>
      </w:pPr>
      <w:r>
        <w:drawing>
          <wp:inline>
            <wp:extent cx="5943600" cy="6656832"/>
            <wp:effectExtent b="0" l="0" r="0" t="0"/>
            <wp:docPr descr="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 title="" id="26" name="Picture"/>
            <a:graphic>
              <a:graphicData uri="http://schemas.openxmlformats.org/drawingml/2006/picture">
                <pic:pic>
                  <pic:nvPicPr>
                    <pic:cNvPr descr="beetle-topography-wind-study-short-short_files/figure-docx/figure-1-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pStyle w:val="ImageCaption"/>
      </w:pPr>
      <w:r>
        <w:t xml:space="preserve">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p>
      <w:pPr>
        <w:pStyle w:val="CaptionedFigure"/>
      </w:pPr>
      <w:r>
        <w:drawing>
          <wp:inline>
            <wp:extent cx="5943600" cy="3962400"/>
            <wp:effectExtent b="0" l="0" r="0" t="0"/>
            <wp:docPr descr="Figure 2.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 title="" id="29" name="Picture"/>
            <a:graphic>
              <a:graphicData uri="http://schemas.openxmlformats.org/drawingml/2006/picture">
                <pic:pic>
                  <pic:nvPicPr>
                    <pic:cNvPr descr="beetle-topography-wind-study-short-short_files/figure-docx/figure-2-1.png"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p>
      <w:pPr>
        <w:pStyle w:val="TableCaption"/>
      </w:pPr>
      <w:r>
        <w:rPr>
          <w:b/>
          <w:bCs/>
        </w:rPr>
        <w:t xml:space="preserve">Table 1.</w:t>
      </w:r>
      <w:r>
        <w:t xml:space="preserve"> </w:t>
      </w:r>
      <w:r>
        <w:t xml:space="preserve">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w:t>
      </w:r>
    </w:p>
    <w:tbl>
      <w:tblPr>
        <w:tblStyle w:val="Table"/>
        <w:tblLook w:firstRow="1" w:lastRow="0" w:firstColumn="0" w:lastColumn="0" w:noHBand="0" w:noVBand="0" w:val="0020"/>
        <w:tblCaption w:val="Table 1.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
        <w:tblW w:w="9354" w:type="dxa"/>
        <w:tblLayout w:type="fixed"/>
      </w:tblPr>
      <w:tblGrid>
        <w:gridCol w:w="2757"/>
        <w:gridCol w:w="4431"/>
        <w:gridCol w:w="689"/>
        <w:gridCol w:w="591"/>
        <w:gridCol w:w="886"/>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Mechanism 1: shading</w:t>
            </w:r>
          </w:p>
        </w:tc>
        <w:tc>
          <w:tcPr/>
          <w:p>
            <w:pPr>
              <w:pStyle w:val="Compact"/>
              <w:jc w:val="left"/>
              <w:rPr>
                <w:sz w:val="16"/>
                <w:szCs w:val="16"/>
              </w:rPr>
            </w:pPr>
            <w:r>
              <w:rPr>
                <w:sz w:val="16"/>
                <w:szCs w:val="16"/>
              </w:rPr>
              <w:t xml:space="preserve">Northness (shading surrogate)</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2: host density</w:t>
            </w:r>
          </w:p>
        </w:tc>
        <w:tc>
          <w:tcPr/>
          <w:p>
            <w:pPr>
              <w:pStyle w:val="Compact"/>
              <w:jc w:val="left"/>
              <w:rPr>
                <w:sz w:val="16"/>
                <w:szCs w:val="16"/>
              </w:rPr>
            </w:pPr>
            <w:r>
              <w:rPr>
                <w:sz w:val="16"/>
                <w:szCs w:val="16"/>
              </w:rPr>
              <w:t xml:space="preserve">Standing volume</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15.6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Live stems per hectare</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Crown closure</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3: host size</w:t>
            </w:r>
          </w:p>
        </w:tc>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-18.4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Susceptible pine basal area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Flight-window direct radiation</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17.2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Radiation and exposure</w:t>
            </w:r>
          </w:p>
        </w:tc>
        <w:tc>
          <w:tcPr/>
          <w:p>
            <w:pPr>
              <w:pStyle w:val="Compact"/>
              <w:jc w:val="left"/>
              <w:rPr>
                <w:sz w:val="16"/>
                <w:szCs w:val="16"/>
              </w:rPr>
            </w:pPr>
            <w:r>
              <w:rPr>
                <w:sz w:val="16"/>
                <w:szCs w:val="16"/>
              </w:rPr>
              <w:t xml:space="preserve">Density x terrain exposure, no radiation</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Density x terrain exposure, with radiation</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10.6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Resolution decides the sign</w:t>
            </w:r>
          </w:p>
        </w:tc>
        <w:tc>
          <w:tcPr/>
          <w:p>
            <w:pPr>
              <w:pStyle w:val="Compact"/>
              <w:jc w:val="left"/>
              <w:rPr>
                <w:sz w:val="16"/>
                <w:szCs w:val="16"/>
              </w:rPr>
            </w:pPr>
            <w:r>
              <w:rPr>
                <w:sz w:val="16"/>
                <w:szCs w:val="16"/>
              </w:rPr>
              <w:t xml:space="preserve">Density x wind, annual (M5)</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Stem density x wind, 16-day (E1)</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(E1)</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with lag (E2)</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bl>
    <w:bookmarkEnd w:id="31"/>
    <w:bookmarkStart w:id="37" w:name="supporting-information"/>
    <w:p>
      <w:pPr>
        <w:pStyle w:val="Heading1"/>
      </w:pPr>
      <w:r>
        <w:t xml:space="preserve">Supporting information</w:t>
      </w:r>
    </w:p>
    <w:p>
      <w:pPr>
        <w:pStyle w:val="FirstParagraph"/>
      </w:pPr>
      <w:r>
        <w:t xml:space="preserve">Five components accompany this paper and are supplied as stand-alone documents at</w:t>
      </w:r>
      <w:r>
        <w:t xml:space="preserve"> </w:t>
      </w:r>
      <w:r>
        <w:t xml:space="preserve">submission. They are reproduced below for review.</w:t>
      </w:r>
    </w:p>
    <w:bookmarkStart w:id="32" w:name="appendix-s1"/>
    <w:p>
      <w:pPr>
        <w:pStyle w:val="Heading2"/>
      </w:pPr>
      <w:r>
        <w:t xml:space="preserve">5.1 Appendix S1</w:t>
      </w:r>
    </w:p>
    <w:p>
      <w:pPr>
        <w:pStyle w:val="TableCaption"/>
      </w:pPr>
      <w:r>
        <w:rPr>
          <w:b/>
          <w:bCs/>
        </w:rPr>
        <w:t xml:space="preserve">Appendix S1.</w:t>
      </w:r>
      <w:r>
        <w:t xml:space="preserve"> </w:t>
      </w:r>
      <w:r>
        <w:t xml:space="preserve">Landscape attributes entered in this study, the direction expected of each, and the reasoning behind that expectation.</w:t>
      </w:r>
    </w:p>
    <w:tbl>
      <w:tblPr>
        <w:tblStyle w:val="Table"/>
        <w:tblLook w:firstRow="1" w:lastRow="0" w:firstColumn="0" w:lastColumn="0" w:noHBand="0" w:noVBand="0" w:val="0020"/>
        <w:tblCaption w:val="Appendix S1. Landscape attributes entered in this study, the direction expected of each, and the reasoning behind that expectation."/>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w:t>
            </w:r>
            <w:r>
              <w:rPr>
                <w:sz w:val="16"/>
                <w:szCs w:val="16"/>
              </w:rPr>
              <w:t xml:space="preserve"> </w:t>
            </w:r>
            <w:r>
              <w:rPr>
                <w:i/>
                <w:iCs/>
                <w:sz w:val="16"/>
                <w:szCs w:val="16"/>
              </w:rPr>
              <w:t xml:space="preserve">et al.</w:t>
            </w:r>
            <w:r>
              <w:rPr>
                <w:sz w:val="16"/>
                <w:szCs w:val="16"/>
              </w:rPr>
              <w:t xml:space="preserve"> </w:t>
            </w:r>
            <w:r>
              <w:rPr>
                <w:sz w:val="16"/>
                <w:szCs w:val="16"/>
              </w:rPr>
              <w:t xml:space="preserve">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w:t>
            </w:r>
            <w:r>
              <w:rPr>
                <w:sz w:val="16"/>
                <w:szCs w:val="16"/>
              </w:rPr>
              <w:t xml:space="preserve"> </w:t>
            </w:r>
            <w:r>
              <w:rPr>
                <w:i/>
                <w:iCs/>
                <w:sz w:val="16"/>
                <w:szCs w:val="16"/>
              </w:rPr>
              <w:t xml:space="preserve">et al.</w:t>
            </w:r>
            <w:r>
              <w:rPr>
                <w:sz w:val="16"/>
                <w:szCs w:val="16"/>
              </w:rPr>
              <w:t xml:space="preserve"> </w:t>
            </w:r>
            <w:r>
              <w:rPr>
                <w:sz w:val="16"/>
                <w:szCs w:val="16"/>
              </w:rPr>
              <w:t xml:space="preserve">2019;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32"/>
    <w:bookmarkStart w:id="33" w:name="appendix-s2"/>
    <w:p>
      <w:pPr>
        <w:pStyle w:val="Heading2"/>
      </w:pPr>
      <w:r>
        <w:t xml:space="preserve">5.2 Appendix S2</w:t>
      </w:r>
    </w:p>
    <w:p>
      <w:pPr>
        <w:pStyle w:val="TableCaption"/>
      </w:pPr>
      <w:r>
        <w:t xml:space="preserve">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Caption w:val="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33"/>
    <w:bookmarkStart w:id="34" w:name="appendix-s3"/>
    <w:p>
      <w:pPr>
        <w:pStyle w:val="Heading2"/>
      </w:pPr>
      <w:r>
        <w:t xml:space="preserve">5.3 Appendix S3</w:t>
      </w:r>
    </w:p>
    <w:p>
      <w:pPr>
        <w:pStyle w:val="TableCaption"/>
      </w:pPr>
      <w:r>
        <w:rPr>
          <w:b/>
          <w:bCs/>
        </w:rPr>
        <w:t xml:space="preserve">Appendix S3.</w:t>
      </w:r>
      <w:r>
        <w:t xml:space="preserve"> </w:t>
      </w:r>
      <w:r>
        <w:t xml:space="preserve">Moderate-to-high beetle disturbance by year inside the study perimeter.</w:t>
      </w:r>
    </w:p>
    <w:tbl>
      <w:tblPr>
        <w:tblStyle w:val="Table"/>
        <w:tblLook w:firstRow="1" w:lastRow="0" w:firstColumn="0" w:lastColumn="0" w:noHBand="0" w:noVBand="0" w:val="0020"/>
        <w:tblCaption w:val="Appendix S3. Moderate-to-high beetle disturbance by year inside the study perimeter."/>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bookmarkStart w:id="35" w:name="appendix-s4"/>
    <w:p>
      <w:pPr>
        <w:pStyle w:val="Heading2"/>
      </w:pPr>
      <w:r>
        <w:t xml:space="preserve">5.4 Appendix S4</w:t>
      </w:r>
    </w:p>
    <w:p>
      <w:pPr>
        <w:pStyle w:val="TableCaption"/>
      </w:pPr>
      <w:r>
        <w:t xml:space="preserve">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Caption w:val="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5"/>
    <w:bookmarkStart w:id="36" w:name="appendix-s5"/>
    <w:p>
      <w:pPr>
        <w:pStyle w:val="Heading2"/>
      </w:pPr>
      <w:r>
        <w:t xml:space="preserve">5.5 Appendix S5</w:t>
      </w:r>
    </w:p>
    <w:p>
      <w:pPr>
        <w:pStyle w:val="TableCaption"/>
      </w:pPr>
      <w:r>
        <w:t xml:space="preserve">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Caption w:val="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36"/>
    <w:bookmarkEnd w:id="37"/>
    <w:bookmarkStart w:id="68" w:name="references"/>
    <w:p>
      <w:pPr>
        <w:pStyle w:val="Heading1"/>
      </w:pPr>
      <w:r>
        <w:t xml:space="preserve">6. References</w:t>
      </w:r>
    </w:p>
    <w:bookmarkStart w:id="67" w:name="refs"/>
    <w:bookmarkStart w:id="39" w:name="ref-badger2014"/>
    <w:p>
      <w:pPr>
        <w:pStyle w:val="Bibliography"/>
      </w:pPr>
      <w:r>
        <w:t xml:space="preserve">Badger J, Frank H, Hahmann AN, and Giebel G. 2014.</w:t>
      </w:r>
      <w:r>
        <w:t xml:space="preserve"> </w:t>
      </w:r>
      <w:hyperlink r:id="rId3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 </w:t>
      </w:r>
      <w:r>
        <w:rPr>
          <w:b/>
          <w:bCs/>
        </w:rPr>
        <w:t xml:space="preserve">53</w:t>
      </w:r>
      <w:r>
        <w:t xml:space="preserve">: 1901–19.</w:t>
      </w:r>
    </w:p>
    <w:bookmarkEnd w:id="39"/>
    <w:bookmarkStart w:id="41" w:name="ref-bartos1989"/>
    <w:p>
      <w:pPr>
        <w:pStyle w:val="Bibliography"/>
      </w:pPr>
      <w:r>
        <w:t xml:space="preserve">Bartos DL and Amman GD. 1989.</w:t>
      </w:r>
      <w:r>
        <w:t xml:space="preserve"> </w:t>
      </w:r>
      <w:hyperlink r:id="rId40">
        <w:r>
          <w:rPr>
            <w:rStyle w:val="Hyperlink"/>
          </w:rPr>
          <w:t xml:space="preserve">Microclimate: An alternative to tree vigor as a basis for mountain pine beetle infestations</w:t>
        </w:r>
      </w:hyperlink>
      <w:r>
        <w:t xml:space="preserve">. Ogden, UT: U.S. Department of Agriculture, Forest Service, Intermountain Research Station.</w:t>
      </w:r>
    </w:p>
    <w:bookmarkEnd w:id="41"/>
    <w:bookmarkStart w:id="42" w:name="ref-carroll2004bionomics"/>
    <w:p>
      <w:pPr>
        <w:pStyle w:val="Bibliography"/>
      </w:pPr>
      <w:r>
        <w:t xml:space="preserve">Carroll AL and Safranyik L. 2004. The bionomics of the mountain pine beetle in lodgepole pine forests: Establishing a context. In: Shore TL, Brooks JE, Stone JE (Eds). Mountain pine beetle symposium: Challenges and solutions, october 30–31, 2003, kelowna, british columbia. Victoria, British Columbia:</w:t>
      </w:r>
      <w:r>
        <w:t xml:space="preserve"> </w:t>
      </w:r>
      <w:r>
        <w:t xml:space="preserve">Natural Resources Canada, Canadian Forest Service, Pacific Forestry Centre</w:t>
      </w:r>
      <w:r>
        <w:t xml:space="preserve">.</w:t>
      </w:r>
    </w:p>
    <w:bookmarkEnd w:id="42"/>
    <w:bookmarkStart w:id="44" w:name="ref-cartwright2018"/>
    <w:p>
      <w:pPr>
        <w:pStyle w:val="Bibliography"/>
      </w:pPr>
      <w:r>
        <w:t xml:space="preserve">Cartwright JM. 2018.</w:t>
      </w:r>
      <w:r>
        <w:t xml:space="preserve"> </w:t>
      </w:r>
      <w:hyperlink r:id="rId4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 </w:t>
      </w:r>
      <w:r>
        <w:rPr>
          <w:b/>
          <w:bCs/>
        </w:rPr>
        <w:t xml:space="preserve">9</w:t>
      </w:r>
      <w:r>
        <w:t xml:space="preserve">: 715.</w:t>
      </w:r>
    </w:p>
    <w:bookmarkEnd w:id="44"/>
    <w:bookmarkStart w:id="46" w:name="ref-davis2023"/>
    <w:p>
      <w:pPr>
        <w:pStyle w:val="Bibliography"/>
      </w:pPr>
      <w:r>
        <w:t xml:space="preserve">Davis NN, Badger J, Hahmann AN,</w:t>
      </w:r>
      <w:r>
        <w:t xml:space="preserve"> </w:t>
      </w:r>
      <w:r>
        <w:rPr>
          <w:i/>
          <w:iCs/>
        </w:rPr>
        <w:t xml:space="preserve">et al.</w:t>
      </w:r>
      <w:r>
        <w:t xml:space="preserve"> 2023.</w:t>
      </w:r>
      <w:r>
        <w:t xml:space="preserve"> </w:t>
      </w:r>
      <w:hyperlink r:id="rId45">
        <w:r>
          <w:rPr>
            <w:rStyle w:val="Hyperlink"/>
          </w:rPr>
          <w:t xml:space="preserve">The</w:t>
        </w:r>
        <w:r>
          <w:rPr>
            <w:rStyle w:val="Hyperlink"/>
          </w:rPr>
          <w:t xml:space="preserve"> </w:t>
        </w:r>
        <w:r>
          <w:rPr>
            <w:rStyle w:val="Hyperlink"/>
          </w:rPr>
          <w:t xml:space="preserve">Global Wind Atlas</w:t>
        </w:r>
        <w:r>
          <w:rPr>
            <w:rStyle w:val="Hyperlink"/>
          </w:rPr>
          <w:t xml:space="preserve">: A high-resolution dataset of climatologies and associated web-based application</w:t>
        </w:r>
      </w:hyperlink>
      <w:r>
        <w:t xml:space="preserve">.</w:t>
      </w:r>
      <w:r>
        <w:t xml:space="preserve"> </w:t>
      </w:r>
      <w:r>
        <w:rPr>
          <w:i/>
          <w:iCs/>
        </w:rPr>
        <w:t xml:space="preserve">Bulletin of the American Meteorological Society</w:t>
      </w:r>
      <w:r>
        <w:t xml:space="preserve"> </w:t>
      </w:r>
      <w:r>
        <w:rPr>
          <w:b/>
          <w:bCs/>
        </w:rPr>
        <w:t xml:space="preserve">104</w:t>
      </w:r>
      <w:r>
        <w:t xml:space="preserve">: E1507–25.</w:t>
      </w:r>
    </w:p>
    <w:bookmarkEnd w:id="46"/>
    <w:bookmarkStart w:id="48" w:name="ref-jones2019"/>
    <w:p>
      <w:pPr>
        <w:pStyle w:val="Bibliography"/>
      </w:pPr>
      <w:r>
        <w:t xml:space="preserve">Jones KL, Shegelski VA, Marculis NG,</w:t>
      </w:r>
      <w:r>
        <w:t xml:space="preserve"> </w:t>
      </w:r>
      <w:r>
        <w:rPr>
          <w:i/>
          <w:iCs/>
        </w:rPr>
        <w:t xml:space="preserve">et al.</w:t>
      </w:r>
      <w:r>
        <w:t xml:space="preserve"> 2019.</w:t>
      </w:r>
      <w:r>
        <w:t xml:space="preserve"> </w:t>
      </w:r>
      <w:hyperlink r:id="rId47">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 </w:t>
      </w:r>
      <w:r>
        <w:rPr>
          <w:b/>
          <w:bCs/>
        </w:rPr>
        <w:t xml:space="preserve">49</w:t>
      </w:r>
      <w:r>
        <w:t xml:space="preserve">: 1024–41.</w:t>
      </w:r>
    </w:p>
    <w:bookmarkEnd w:id="48"/>
    <w:bookmarkStart w:id="50" w:name="ref-krawchuk2020"/>
    <w:p>
      <w:pPr>
        <w:pStyle w:val="Bibliography"/>
      </w:pPr>
      <w:r>
        <w:t xml:space="preserve">Krawchuk MA, Meigs GW, Cartwright JM,</w:t>
      </w:r>
      <w:r>
        <w:t xml:space="preserve"> </w:t>
      </w:r>
      <w:r>
        <w:rPr>
          <w:i/>
          <w:iCs/>
        </w:rPr>
        <w:t xml:space="preserve">et al.</w:t>
      </w:r>
      <w:r>
        <w:t xml:space="preserve"> 2020.</w:t>
      </w:r>
      <w:r>
        <w:t xml:space="preserve"> </w:t>
      </w:r>
      <w:hyperlink r:id="rId49">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 </w:t>
      </w:r>
      <w:r>
        <w:rPr>
          <w:b/>
          <w:bCs/>
        </w:rPr>
        <w:t xml:space="preserve">18</w:t>
      </w:r>
      <w:r>
        <w:t xml:space="preserve">: 235–44.</w:t>
      </w:r>
    </w:p>
    <w:bookmarkEnd w:id="50"/>
    <w:bookmarkStart w:id="52" w:name="ref-liston2006"/>
    <w:p>
      <w:pPr>
        <w:pStyle w:val="Bibliography"/>
      </w:pPr>
      <w:r>
        <w:t xml:space="preserve">Liston GE and Elder K. 2006.</w:t>
      </w:r>
      <w:r>
        <w:t xml:space="preserve"> </w:t>
      </w:r>
      <w:hyperlink r:id="rId51">
        <w:r>
          <w:rPr>
            <w:rStyle w:val="Hyperlink"/>
          </w:rPr>
          <w:t xml:space="preserve">A meteorological distribution system for high-resolution terrestrial modeling (MicroMet)</w:t>
        </w:r>
      </w:hyperlink>
      <w:r>
        <w:t xml:space="preserve">.</w:t>
      </w:r>
      <w:r>
        <w:t xml:space="preserve"> </w:t>
      </w:r>
      <w:r>
        <w:rPr>
          <w:i/>
          <w:iCs/>
        </w:rPr>
        <w:t xml:space="preserve">Journal of Hydrometeorology</w:t>
      </w:r>
      <w:r>
        <w:t xml:space="preserve"> </w:t>
      </w:r>
      <w:r>
        <w:rPr>
          <w:b/>
          <w:bCs/>
        </w:rPr>
        <w:t xml:space="preserve">7</w:t>
      </w:r>
      <w:r>
        <w:t xml:space="preserve">: 217–34.</w:t>
      </w:r>
    </w:p>
    <w:bookmarkEnd w:id="52"/>
    <w:bookmarkStart w:id="54" w:name="ref-mccambridge1971"/>
    <w:p>
      <w:pPr>
        <w:pStyle w:val="Bibliography"/>
      </w:pPr>
      <w:r>
        <w:t xml:space="preserve">McCambridge WF. 1971.</w:t>
      </w:r>
      <w:r>
        <w:t xml:space="preserve"> </w:t>
      </w:r>
      <w:hyperlink r:id="rId53">
        <w:r>
          <w:rPr>
            <w:rStyle w:val="Hyperlink"/>
          </w:rPr>
          <w:t xml:space="preserve">Temperature limits of flight of the mountain pine beetle,</w:t>
        </w:r>
        <w:r>
          <w:rPr>
            <w:rStyle w:val="Hyperlink"/>
          </w:rPr>
          <w:t xml:space="preserve"> </w:t>
        </w:r>
        <w:r>
          <w:rPr>
            <w:rStyle w:val="Hyperlink"/>
          </w:rPr>
          <w:t xml:space="preserve">Dendroctonus ponderosae</w:t>
        </w:r>
      </w:hyperlink>
      <w:r>
        <w:t xml:space="preserve">.</w:t>
      </w:r>
      <w:r>
        <w:t xml:space="preserve"> </w:t>
      </w:r>
      <w:r>
        <w:rPr>
          <w:i/>
          <w:iCs/>
        </w:rPr>
        <w:t xml:space="preserve">Annals of the Entomological Society of America</w:t>
      </w:r>
      <w:r>
        <w:t xml:space="preserve"> </w:t>
      </w:r>
      <w:r>
        <w:rPr>
          <w:b/>
          <w:bCs/>
        </w:rPr>
        <w:t xml:space="preserve">64</w:t>
      </w:r>
      <w:r>
        <w:t xml:space="preserve">: 534–5.</w:t>
      </w:r>
    </w:p>
    <w:bookmarkEnd w:id="54"/>
    <w:bookmarkStart w:id="56" w:name="ref-mccune2002"/>
    <w:p>
      <w:pPr>
        <w:pStyle w:val="Bibliography"/>
      </w:pPr>
      <w:r>
        <w:t xml:space="preserve">McCune B and Keon D. 2002.</w:t>
      </w:r>
      <w:r>
        <w:t xml:space="preserve"> </w:t>
      </w:r>
      <w:hyperlink r:id="rId55">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 </w:t>
      </w:r>
      <w:r>
        <w:rPr>
          <w:b/>
          <w:bCs/>
        </w:rPr>
        <w:t xml:space="preserve">13</w:t>
      </w:r>
      <w:r>
        <w:t xml:space="preserve">: 603–6.</w:t>
      </w:r>
    </w:p>
    <w:bookmarkEnd w:id="56"/>
    <w:bookmarkStart w:id="58" w:name="ref-murphy2026"/>
    <w:p>
      <w:pPr>
        <w:pStyle w:val="Bibliography"/>
      </w:pPr>
      <w:r>
        <w:t xml:space="preserve">Murphy S, Leslie A, Wilson J, and Banks LK. 2026.</w:t>
      </w:r>
      <w:r>
        <w:t xml:space="preserve"> </w:t>
      </w:r>
      <w:hyperlink r:id="rId57">
        <w:r>
          <w:rPr>
            <w:rStyle w:val="Hyperlink"/>
          </w:rPr>
          <w:t xml:space="preserve">Spatial patterns of conifer regeneration following mountain pine beetle outbreak (</w:t>
        </w:r>
        <w:r>
          <w:rPr>
            <w:rStyle w:val="Hyperlink"/>
            <w:i/>
            <w:iCs/>
          </w:rPr>
          <w:t xml:space="preserve">Dendroctonus ponderosae</w:t>
        </w:r>
        <w:r>
          <w:rPr>
            <w:rStyle w:val="Hyperlink"/>
          </w:rPr>
          <w:t xml:space="preserve">) and mixed-severity wildfire: A point process model of disturbance interactions in the southern</w:t>
        </w:r>
        <w:r>
          <w:rPr>
            <w:rStyle w:val="Hyperlink"/>
          </w:rPr>
          <w:t xml:space="preserve"> </w:t>
        </w:r>
        <w:r>
          <w:rPr>
            <w:rStyle w:val="Hyperlink"/>
          </w:rPr>
          <w:t xml:space="preserve">Selkirk Mountains</w:t>
        </w:r>
        <w:r>
          <w:rPr>
            <w:rStyle w:val="Hyperlink"/>
          </w:rPr>
          <w:t xml:space="preserve">,</w:t>
        </w:r>
        <w:r>
          <w:rPr>
            <w:rStyle w:val="Hyperlink"/>
          </w:rPr>
          <w:t xml:space="preserve"> </w:t>
        </w:r>
        <w:r>
          <w:rPr>
            <w:rStyle w:val="Hyperlink"/>
          </w:rPr>
          <w:t xml:space="preserve">British Columbia</w:t>
        </w:r>
      </w:hyperlink>
      <w:r>
        <w:t xml:space="preserve">.</w:t>
      </w:r>
      <w:r>
        <w:t xml:space="preserve"> </w:t>
      </w:r>
      <w:r>
        <w:rPr>
          <w:i/>
          <w:iCs/>
        </w:rPr>
        <w:t xml:space="preserve">Forest Ecology and Management</w:t>
      </w:r>
      <w:r>
        <w:t xml:space="preserve"> </w:t>
      </w:r>
      <w:r>
        <w:rPr>
          <w:b/>
          <w:bCs/>
        </w:rPr>
        <w:t xml:space="preserve">618</w:t>
      </w:r>
      <w:r>
        <w:t xml:space="preserve">: 123985.</w:t>
      </w:r>
    </w:p>
    <w:bookmarkEnd w:id="58"/>
    <w:bookmarkStart w:id="6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59">
        <w:r>
          <w:rPr>
            <w:rStyle w:val="Hyperlink"/>
          </w:rPr>
          <w:t xml:space="preserve">https://open.canada.ca/data/en/dataset/957782bf-847c-4644-a757-e383c0057995</w:t>
        </w:r>
      </w:hyperlink>
      <w:r>
        <w:t xml:space="preserve">.</w:t>
      </w:r>
    </w:p>
    <w:bookmarkEnd w:id="60"/>
    <w:bookmarkStart w:id="62" w:name="ref-powell2014"/>
    <w:p>
      <w:pPr>
        <w:pStyle w:val="Bibliography"/>
      </w:pPr>
      <w:r>
        <w:t xml:space="preserve">Powell JA and Bentz BJ. 2014.</w:t>
      </w:r>
      <w:r>
        <w:t xml:space="preserve"> </w:t>
      </w:r>
      <w:hyperlink r:id="rId61">
        <w:r>
          <w:rPr>
            <w:rStyle w:val="Hyperlink"/>
          </w:rPr>
          <w:t xml:space="preserve">Phenology and density-dependent dispersal predict patterns of mountain pine beetle (</w:t>
        </w:r>
        <w:r>
          <w:rPr>
            <w:rStyle w:val="Hyperlink"/>
          </w:rPr>
          <w:t xml:space="preserve">Dendroctonus ponderosae</w:t>
        </w:r>
        <w:r>
          <w:rPr>
            <w:rStyle w:val="Hyperlink"/>
          </w:rPr>
          <w:t xml:space="preserve">) impact</w:t>
        </w:r>
      </w:hyperlink>
      <w:r>
        <w:t xml:space="preserve">.</w:t>
      </w:r>
      <w:r>
        <w:t xml:space="preserve"> </w:t>
      </w:r>
      <w:r>
        <w:rPr>
          <w:i/>
          <w:iCs/>
        </w:rPr>
        <w:t xml:space="preserve">Ecological Modelling</w:t>
      </w:r>
      <w:r>
        <w:t xml:space="preserve"> </w:t>
      </w:r>
      <w:r>
        <w:rPr>
          <w:b/>
          <w:bCs/>
        </w:rPr>
        <w:t xml:space="preserve">273</w:t>
      </w:r>
      <w:r>
        <w:t xml:space="preserve">: 173–85.</w:t>
      </w:r>
    </w:p>
    <w:bookmarkEnd w:id="62"/>
    <w:bookmarkStart w:id="63" w:name="ref-safranyik2006chap1"/>
    <w:p>
      <w:pPr>
        <w:pStyle w:val="Bibliography"/>
      </w:pPr>
      <w:r>
        <w:t xml:space="preserve">Safranyik L and Carroll AL. 2006. The biology and epidemiology of the mountain pine beetle in lodgepole pine forests. In: Safranyik L, Wilson B (Eds). The mountain pine beetle: A synthesis of biology, management, and impacts on lodgepole pine. Victoria, British Columbia:</w:t>
      </w:r>
      <w:r>
        <w:t xml:space="preserve"> </w:t>
      </w:r>
      <w:r>
        <w:t xml:space="preserve">Natural Resources Canada, Canadian Forest Service, Pacific Forestry Centre</w:t>
      </w:r>
      <w:r>
        <w:t xml:space="preserve">.</w:t>
      </w:r>
    </w:p>
    <w:bookmarkEnd w:id="63"/>
    <w:bookmarkStart w:id="65" w:name="ref-sambaraju2021"/>
    <w:p>
      <w:pPr>
        <w:pStyle w:val="Bibliography"/>
      </w:pPr>
      <w:r>
        <w:t xml:space="preserve">Sambaraju KR and Goodsman DW. 2021.</w:t>
      </w:r>
      <w:r>
        <w:t xml:space="preserve"> </w:t>
      </w:r>
      <w:hyperlink r:id="rId64">
        <w:r>
          <w:rPr>
            <w:rStyle w:val="Hyperlink"/>
          </w:rPr>
          <w:t xml:space="preserve">Mountain pine beetle: An example of a climate-driven eruptive insect impacting conifer forest ecosystems</w:t>
        </w:r>
      </w:hyperlink>
      <w:r>
        <w:t xml:space="preserve">.</w:t>
      </w:r>
      <w:r>
        <w:t xml:space="preserve"> </w:t>
      </w:r>
      <w:r>
        <w:rPr>
          <w:i/>
          <w:iCs/>
        </w:rPr>
        <w:t xml:space="preserve">CAB Reviews</w:t>
      </w:r>
      <w:r>
        <w:t xml:space="preserve"> </w:t>
      </w:r>
      <w:r>
        <w:rPr>
          <w:b/>
          <w:bCs/>
        </w:rPr>
        <w:t xml:space="preserve">16</w:t>
      </w:r>
      <w:r>
        <w:t xml:space="preserve">.</w:t>
      </w:r>
    </w:p>
    <w:bookmarkEnd w:id="65"/>
    <w:bookmarkStart w:id="66" w:name="ref-taylor2003"/>
    <w:p>
      <w:pPr>
        <w:pStyle w:val="Bibliography"/>
      </w:pPr>
      <w:r>
        <w:t xml:space="preserve">Taylor SW and Carroll AL. 2003. Disturbance, forest age, and mountain pine beetle outbreak dynamics in</w:t>
      </w:r>
      <w:r>
        <w:t xml:space="preserve"> </w:t>
      </w:r>
      <w:r>
        <w:t xml:space="preserve">BC</w:t>
      </w:r>
      <w:r>
        <w:t xml:space="preserve">: A historical perspective. Mountain pine beetle symposium: Challenges and solutions, october 30–31, 2003, kelowna, british columbia. Victoria, British Columbia: Natural Resources Canada, Canadian Forest Service, Pacific Forestry Centre.</w:t>
      </w:r>
    </w:p>
    <w:bookmarkEnd w:id="66"/>
    <w:bookmarkEnd w:id="67"/>
    <w:bookmarkEnd w:id="6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2026-08-28T12:06:28Z</dcterms:created>
  <dcterms:modified xsi:type="dcterms:W3CDTF">2026-08-28T12:06:28Z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../04.references/frontiers-in-ecology-and-the-environment.csl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