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@cartwright2018; @powell2014]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[@carroll2004bionomics]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[@cartwright2018]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[@safranyik2006chap1; @mccambridge1971]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[@murphy2026]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@jones2019]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15.1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Stand structure across the study perimeter, from the Vegetation Resources Inventory.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256.78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686.00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13.48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1.39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3.48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283.40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292.90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1.86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Model comparison. Each model adds one pathway to the previous.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49,547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49,049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1,809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127.3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126.2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47,240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0.256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Full model, continuous terms. Coefficients are log-odds per standard deviation on a</w:t>
      </w:r>
      <w:r>
        <w:t xml:space="preserve"> </w:t>
      </w:r>
      <w:r>
        <w:t xml:space="preserve">class-balanced sample, so the intercept is not landscape prevalence. SE is the standard</w:t>
      </w:r>
      <w:r>
        <w:t xml:space="preserve"> </w:t>
      </w:r>
      <w:r>
        <w:t xml:space="preserve">error of the coefficient.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716"/>
        <w:gridCol w:w="909"/>
        <w:gridCol w:w="780"/>
        <w:gridCol w:w="909"/>
        <w:gridCol w:w="104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-0.422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-18.35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-9.02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0.905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688"/>
        <w:gridCol w:w="4409"/>
        <w:gridCol w:w="753"/>
        <w:gridCol w:w="645"/>
        <w:gridCol w:w="8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0.926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flight-window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MicroMet flight-window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0.036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The 25 cm boundary is the source-sink threshold of the species’ bionomics.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28.3-35.0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22.1-25.5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7,058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2,559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35.1-37.4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14,634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6,717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45.1-46.7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18,902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4,639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23.9-25.2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15.8-18.3</w:t>
            </w:r>
          </w:p>
        </w:tc>
      </w:tr>
    </w:tbl>
    <w:bookmarkEnd w:id="26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2026-08-28T12:07:16Z</dcterms:created>
  <dcterms:modified xsi:type="dcterms:W3CDTF">2026-08-28T12:07:16Z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