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79.png" ContentType="image/png"/>
  <Override PartName="/word/media/rId183.png" ContentType="image/png"/>
  <Override PartName="/word/media/rId17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2026-09-23</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hypothesised by</w:t>
      </w:r>
      <w:r>
        <w:t xml:space="preserve"> </w:t>
      </w:r>
      <w:r>
        <w:t xml:space="preserve">Krawchuk et al. (2020)</w:t>
      </w:r>
      <w:r>
        <w:t xml:space="preserve"> </w:t>
      </w:r>
      <w:r>
        <w:t xml:space="preserve">to form where tree defences remain effective, on shaded ground that spares trees water stress or in thin stands with few large hosts where wind may disrupt the aggregation pheromone.</w:t>
      </w:r>
    </w:p>
    <w:p>
      <w:pPr>
        <w:pStyle w:val="Compact"/>
        <w:numPr>
          <w:ilvl w:val="0"/>
          <w:numId w:val="1001"/>
        </w:numPr>
      </w:pPr>
      <w:r>
        <w:t xml:space="preserve">All three were tested across 5,573 ha of the Selkirk Mountains, British Columbia, using 59 sixteen-day Landsat epochs over eight outbreak years with annualized forest inventory, geomorphometric variables and a terrain-resolved MicroMet wind field from hourly station records, entered with stand density so that a terrain main effect could be told apart from a density by wind interaction.</w:t>
      </w:r>
    </w:p>
    <w:p>
      <w:pPr>
        <w:pStyle w:val="Compact"/>
        <w:numPr>
          <w:ilvl w:val="0"/>
          <w:numId w:val="1001"/>
        </w:numPr>
      </w:pPr>
      <w:r>
        <w:t xml:space="preserve">Wind disruption was supported conditionally, in that attack fell where a thin stand and strong flight-period wind coincided, the density-by-wind interaction -0.049 for stem density (p &lt; 0.001) and -0.017 for standing volume (p &lt; 0.05), both remaining after within-season contagion entered the model.</w:t>
      </w:r>
    </w:p>
    <w:p>
      <w:pPr>
        <w:pStyle w:val="Compact"/>
        <w:numPr>
          <w:ilvl w:val="0"/>
          <w:numId w:val="1001"/>
        </w:numPr>
      </w:pPr>
      <w:r>
        <w:t xml:space="preserve">Terrain acted differently. Leeward ground had more attack as a main effect, -0.267, independent of stand density, and open gentle ground more still, sky view +0.285, the pattern expected where wind-borne beetles settle as the flow slows. Attack responded to host size as a threshold, peaking at 31.5 per cent in the 25 to 30 cm quadratic mean diameter class.</w:t>
      </w:r>
    </w:p>
    <w:p>
      <w:pPr>
        <w:pStyle w:val="Compact"/>
        <w:numPr>
          <w:ilvl w:val="0"/>
          <w:numId w:val="1001"/>
        </w:numPr>
      </w:pPr>
      <w:r>
        <w:t xml:space="preserve">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Sambaraju et al., 2012)</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started infestations in new ground</w:t>
      </w:r>
      <w:r>
        <w:t xml:space="preserve"> </w:t>
      </w:r>
      <w:r>
        <w:t xml:space="preserve">(Chen &amp; Walton, 2011; Robertson et al., 2007)</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and stand structure alone mapped susceptibility across the region</w:t>
      </w:r>
      <w:r>
        <w:t xml:space="preserve"> </w:t>
      </w:r>
      <w:r>
        <w:t xml:space="preserve">(Hicke &amp; Jenkins, 2008; Shore et al., 2000)</w:t>
      </w:r>
      <w:r>
        <w:t xml:space="preserve">.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before the residual trees could have gained vigour, a pheromone trap catch there of 5 per cent of the adjacent unthinned stand’s, and 2 per cent of trees killed against 16.</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A daily or monthly mean wind therefore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Elevation enters as a composite of temperature, snowpack, season length and host distribution that this design cannot separate</w:t>
      </w:r>
      <w:r>
        <w:t xml:space="preserve"> </w:t>
      </w:r>
      <w:r>
        <w:t xml:space="preserve">(Amman, 1973; Sambaraju &amp; Goodsman, 2021)</w:t>
      </w:r>
      <w:r>
        <w:t xml:space="preserve">, and its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31" w:name="methods"/>
    <w:p>
      <w:pPr>
        <w:pStyle w:val="Heading1"/>
      </w:pPr>
      <w:r>
        <w:t xml:space="preserve">2. Methods</w:t>
      </w:r>
    </w:p>
    <w:bookmarkStart w:id="23" w:name="literature-review"/>
    <w:p>
      <w:pPr>
        <w:pStyle w:val="Heading2"/>
      </w:pPr>
      <w:r>
        <w:t xml:space="preserve">2.1 Literature review</w:t>
      </w:r>
    </w:p>
    <w:p>
      <w:pPr>
        <w:pStyle w:val="FirstParagraph"/>
      </w:pPr>
      <w:r>
        <w:t xml:space="preserve">The literature the Introduction rests on was assembled under a written protocol frozen by commit before the first query ran, with a review question for each of the three study questions and a fourth asking whether the study’s design had a precedent. Two indexes and the author’s reading store were searched on 23 September 2026 with terms drawn from the title and keywords, one round of citation chasing ran from eight central papers, and titles were screened against the criteria of the protocol, which admitted any year and any peer-reviewed or agency source on the beetle. The searches returned 1,636 records, 1,257 after duplicates were removed, of which 198 were retained and 35 were read in full. One reader screened and read, and a record without an accessible full text was used from its abstract alone, which the synthesis records.</w:t>
      </w:r>
    </w:p>
    <w:bookmarkEnd w:id="23"/>
    <w:bookmarkStart w:id="24" w:name="study-area"/>
    <w:p>
      <w:pPr>
        <w:pStyle w:val="Heading2"/>
      </w:pPr>
      <w:r>
        <w:t xml:space="preserve">2.2 Study area</w:t>
      </w:r>
    </w:p>
    <w:p>
      <w:pPr>
        <w:pStyle w:val="FirstParagraph"/>
      </w:pPr>
      <w:r>
        <w:t xml:space="preserve">The study area covered 5,573 ha of the Selkirk Mountains in southeastern British Columbia, 61,923 cells of 30 m spanning 830 to 1,744 m, 914 m of relief, on the grid of the parent study, so that results compared directly with it. 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resolutions were uneven, and the analysis depended on that unevenness. The response was measured every sixteen days, the inventory once a year and the station winds every hour, and the terrain was measured once.</w:t>
      </w:r>
    </w:p>
    <w:p>
      <w:pPr>
        <w:pStyle w:val="BodyText"/>
      </w:pPr>
      <w:hyperlink w:anchor="fig-study-area">
        <w:r>
          <w:rPr>
            <w:rStyle w:val="Hyperlink"/>
            <w:i/>
            <w:iCs/>
          </w:rPr>
          <w:t xml:space="preserve">Figure 1</w:t>
        </w:r>
      </w:hyperlink>
      <w:r>
        <w:rPr>
          <w:i/>
          <w:iCs/>
        </w:rPr>
        <w:t xml:space="preserve"> </w:t>
      </w:r>
      <w:r>
        <w:rPr>
          <w:i/>
          <w:iCs/>
        </w:rPr>
        <w:t xml:space="preserve">near here</w:t>
      </w:r>
    </w:p>
    <w:bookmarkEnd w:id="24"/>
    <w:bookmarkStart w:id="25" w:name="X907dca6343b4a374db9f4a421eba590b269741a"/>
    <w:p>
      <w:pPr>
        <w:pStyle w:val="Heading2"/>
      </w:pPr>
      <w:r>
        <w:t xml:space="preserve">2.3 Beetle disturbance and flight-period wind</w:t>
      </w:r>
    </w:p>
    <w:p>
      <w:pPr>
        <w:pStyle w:val="FirstParagraph"/>
      </w:pPr>
      <w:r>
        <w:t xml:space="preserve">The response was red-stage beetle attack in each of eight outbreak years, 2006 to 2014 excluding 2012, mapped by the method of</w:t>
      </w:r>
      <w:r>
        <w:t xml:space="preserve"> </w:t>
      </w:r>
      <w:r>
        <w:t xml:space="preserve">Murphy et al. (2026)</w:t>
      </w:r>
      <w:r>
        <w:t xml:space="preserve"> </w:t>
      </w:r>
      <w:r>
        <w:t xml:space="preserve">over the study perimeter. That study mapped red-stage mortality from Landsat surface reflectance as the change in the normalised difference moisture index (NDMI) between the pre-outbreak scene, its pre-disturbance baseline, and one scene in each later year, and validated the map against 28 field plots of 20 by 20 m in which beetle-killed pine was confirmed from pitch tubes, frass and gallery architecture and measured as the fraction of plot basal area killed. NDMI was chosen from four candidate indices, the other three being tasselled-cap wetness, greenness and brightness, because it separated attacked from unattacked plots most cleanly, predicted killed basal area most closely and classified red stage most accurately (kappa = 0.750, overall accuracy 0.824). The full diagnostics are reported there. Scenes were dated 7 to 31 August in every year but 2014, because red needles are fully expressed by the end of the first summer after attack and a near-anniversary date holds leaf phenology and sun angle constant between the two images being differenced. The present study kept that baseline, that index and that season, building each annual image as the median of the cloud-masked Landsat scenes from 1 June to 31 August, with Landsat 5 for 2005 to 2011 and Landsat 8 for 2013 and 2014 rescaled to the Landsat 5 range over forest that showed no attack, and subtracting the pre-outbreak NDMI from each later year. Each year was mapped separately with water masked, and the years were never merged, so that the year-to-year variation the study measured was kept. Annual prevalence inside the perimeter ran from 3.9 to 18.6 per cent, pooled 9.7 per cent over 111,707 cell-years (Table S2), and</w:t>
      </w:r>
      <w:r>
        <w:t xml:space="preserve"> </w:t>
      </w:r>
      <w:hyperlink w:anchor="fig-first-attack">
        <w:r>
          <w:rPr>
            <w:rStyle w:val="Hyperlink"/>
          </w:rPr>
          <w:t xml:space="preserve">Figure 2</w:t>
        </w:r>
      </w:hyperlink>
      <w:r>
        <w:t xml:space="preserve"> </w:t>
      </w:r>
      <w:r>
        <w:t xml:space="preserve">shows where the outbreak arrived first and how much of the perimeter it reached each year.</w:t>
      </w:r>
    </w:p>
    <w:p>
      <w:pPr>
        <w:pStyle w:val="BodyText"/>
      </w:pPr>
      <w:hyperlink w:anchor="fig-first-attack">
        <w:r>
          <w:rPr>
            <w:rStyle w:val="Hyperlink"/>
            <w:i/>
            <w:iCs/>
          </w:rPr>
          <w:t xml:space="preserve">Figure 2</w:t>
        </w:r>
      </w:hyperlink>
      <w:r>
        <w:rPr>
          <w:i/>
          <w:iCs/>
        </w:rPr>
        <w:t xml:space="preserve"> </w:t>
      </w:r>
      <w:r>
        <w:rPr>
          <w:i/>
          <w:iCs/>
        </w:rPr>
        <w:t xml:space="preserve">near here</w:t>
      </w:r>
    </w:p>
    <w:p>
      <w:pPr>
        <w:pStyle w:val="BodyText"/>
      </w:pPr>
      <w:r>
        <w:t xml:space="preserve">The flight window was 1 July to 15 August and the hours 12:00 to 17:00. Neither bound was chosen from these data, which is what multi-year phenology studies of forest insects do when they fix activity windows from monitoring rather than from the response</w:t>
      </w:r>
      <w:r>
        <w:t xml:space="preserve"> </w:t>
      </w:r>
      <w:r>
        <w:t xml:space="preserve">(Pawson et al., 2021)</w:t>
      </w:r>
      <w:r>
        <w:t xml:space="preserve">. The dates were the flight period</w:t>
      </w:r>
      <w:r>
        <w:t xml:space="preserve"> </w:t>
      </w:r>
      <w:r>
        <w:t xml:space="preserve">Safranyik &amp; Carroll (2006)</w:t>
      </w:r>
      <w:r>
        <w:t xml:space="preserve"> </w:t>
      </w:r>
      <w:r>
        <w:t xml:space="preserve">give for this region.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taken to the later side because emergence precedes the flight it starts.</w:t>
      </w:r>
    </w:p>
    <w:p>
      <w:pPr>
        <w:pStyle w:val="BodyText"/>
      </w:pPr>
      <w:r>
        <w:t xml:space="preserve">The window was checked against the station climate, 236,079 hourly records from May to September of the nine study years (Figure S1). Inside it, 89.5 per cent of afternoon hours fell within the 19 to 41 degrees C flight range against 51.4 per cent outside it, and mean wind peaked in the same hours as temperature, at 10.4 km/h in mid-afternoon against 4.6 km/h at dawn, so the hours in which the beetle could fly were also the windiest of the day.</w:t>
      </w:r>
    </w:p>
    <w:p>
      <w:pPr>
        <w:pStyle w:val="BodyText"/>
      </w:pPr>
      <w:r>
        <w:t xml:space="preserve">Station wind from Environment and Climate Change Canada entered hour by hour, and the terrain adjustment described next acted on each observation rather than on a mean. Wind was then summarised by sixteen-day epoch, the interval at which the response was measured and the finest at which wind varied within a season as well as between seasons.</w:t>
      </w:r>
    </w:p>
    <w:bookmarkEnd w:id="25"/>
    <w:bookmarkStart w:id="26" w:name="sec-micromet"/>
    <w:p>
      <w:pPr>
        <w:pStyle w:val="Heading2"/>
      </w:pPr>
      <w:r>
        <w:t xml:space="preserve">2.4 Terrain-resolved wind</w:t>
      </w:r>
    </w:p>
    <w:p>
      <w:pPr>
        <w:pStyle w:val="FirstParagraph"/>
      </w:pPr>
      <w:r>
        <w:t xml:space="preserve">Station wind interpolated from four to seven valley stations was nearly flat within a year, so wind was also computed as a field varying in space with the MicroMet model of</w:t>
      </w:r>
      <w:r>
        <w:t xml:space="preserve"> </w:t>
      </w:r>
      <w:r>
        <w:t xml:space="preserve">Liston &amp; Elder (2006)</w:t>
      </w:r>
      <w:r>
        <w:t xml:space="preserve">, whose wind component is seven equations implemented directly from the source paper and set out in Methods S1. The terrain weighting factor depends on direction and not on speed. It was computed once for each of 16 wind direction sectors of 22.5 degrees, the sixteen points of the compass, and each hourly observation was multiplied by the surface for its own sector, so that nothing was averaged before the terrain acted on it. Over all sectors the factor ran from 0.60 to 1.38.</w:t>
      </w:r>
    </w:p>
    <w:p>
      <w:pPr>
        <w:pStyle w:val="BodyText"/>
      </w:pPr>
      <w:r>
        <w:t xml:space="preserve">Speed and direction were combined as vector components. The resulting field varied from 1.9 to 2.8 km/h across the grid within a year. It was not a terrain index under another name, correlating +0.148 with the windward-leeward index and +0.123 with flight-window radiation, while its strongest association was with elevation at +0.320.</w:t>
      </w:r>
    </w:p>
    <w:bookmarkEnd w:id="26"/>
    <w:bookmarkStart w:id="27" w:name="stand-structure"/>
    <w:p>
      <w:pPr>
        <w:pStyle w:val="Heading2"/>
      </w:pPr>
      <w:r>
        <w:t xml:space="preserve">2.5 Stand structure</w:t>
      </w:r>
    </w:p>
    <w:p>
      <w:pPr>
        <w:pStyle w:val="FirstParagraph"/>
      </w:pPr>
      <w:r>
        <w:t xml:space="preserve">Stand structure came from the provincial Vegetation Resources Inventory layer VEG_COMP_LYR_R1_POLY, retrieved within the perimeter. Six of its attributes covered the mechanism and the stem-size threshold, total basal area, crown closure, live stems per hectare, quadratic mean diameter over stems of 12.5 cm and larger, stand age, and susceptible pine basal area, formed as total basal area times the pine share of cover.</w:t>
      </w:r>
    </w:p>
    <w:p>
      <w:pPr>
        <w:pStyle w:val="BodyText"/>
      </w:pPr>
      <w:r>
        <w:t xml:space="preserve">Every model was fitted on annualized stand structure.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 xml:space="preserve">Table 1</w:t>
        </w:r>
      </w:hyperlink>
      <w:r>
        <w:t xml:space="preserve">).</w:t>
      </w:r>
    </w:p>
    <w:p>
      <w:pPr>
        <w:pStyle w:val="BodyText"/>
      </w:pPr>
      <w:hyperlink w:anchor="tbl-vri">
        <w:r>
          <w:rPr>
            <w:rStyle w:val="Hyperlink"/>
            <w:i/>
            <w:iCs/>
          </w:rPr>
          <w:t xml:space="preserve">Table 1</w:t>
        </w:r>
      </w:hyperlink>
      <w:r>
        <w:rPr>
          <w:i/>
          <w:iCs/>
        </w:rPr>
        <w:t xml:space="preserve"> </w:t>
      </w:r>
      <w:r>
        <w:rPr>
          <w:i/>
          <w:iCs/>
        </w:rPr>
        <w:t xml:space="preserve">near here</w:t>
      </w:r>
    </w:p>
    <w:p>
      <w:pPr>
        <w:pStyle w:val="BodyText"/>
      </w:pPr>
      <w:r>
        <w:t xml:space="preserve">The inventory is a projected operational product rather than a census, and its polygons here had reference years spanning several decades. A polygon interpreted from late-outbreak photography described a stand the beetle had already attacked, and basal area and pine cover were post-attack over part of the study window. Unattacked vintages were not reported in this study, and the limit this places on the results is taken up in the Discussion.</w:t>
      </w:r>
    </w:p>
    <w:bookmarkEnd w:id="27"/>
    <w:bookmarkStart w:id="28" w:name="geomorphometry"/>
    <w:p>
      <w:pPr>
        <w:pStyle w:val="Heading2"/>
      </w:pPr>
      <w:r>
        <w:t xml:space="preserve">2.6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&amp;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7-fold range here against 2.6-fold for the season total.</w:t>
      </w:r>
    </w:p>
    <w:p>
      <w:pPr>
        <w:pStyle w:val="BodyText"/>
      </w:pPr>
      <w:r>
        <w:t xml:space="preserve">Exposure entered as the windward-leeward index, effective air flow height, the wind exposition index and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with topographic openness and sky view. Shape entered as ruggedness, topographic position, convergence, slope, curvature and geomorphon class, a landform class read from the horizons visible around a cell,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its northward and eastward components with the heat load index of</w:t>
      </w:r>
      <w:r>
        <w:t xml:space="preserve"> </w:t>
      </w:r>
      <w:r>
        <w:t xml:space="preserve">McCune &amp; Keon (2002)</w:t>
      </w:r>
      <w:r>
        <w:t xml:space="preserve">. Every candidate is listed in Table S3.</w:t>
      </w:r>
    </w:p>
    <w:bookmarkEnd w:id="28"/>
    <w:bookmarkStart w:id="30" w:name="beetle-refugia-modelling"/>
    <w:p>
      <w:pPr>
        <w:pStyle w:val="Heading2"/>
      </w:pPr>
      <w:r>
        <w:t xml:space="preserve">2.7 Beetle refugia modelling</w:t>
      </w:r>
    </w:p>
    <w:p>
      <w:pPr>
        <w:pStyle w:val="FirstParagraph"/>
      </w:pPr>
      <w:r>
        <w:t xml:space="preserve">Candidates were grouped by pathway, stand density, host size, topographic shading, flight-window radiation, terrain exposure to wind, terrain shape, landform and flight-window wind. Selection ran over four stages and was required to keep at least one variable from each pathway, so that a filter could not silently remove a hypothesis the Introduction established. Candidates whose univariate logistic fit was not significant at 0.01 left first. Clusters at an absolute correlation of 0.75 then kept their member with the highest univariate area under the receiver operating characteristic curve (AUC), variables were removed until every variance inflation factor was below 5, and a lasso penalty chosen by ten-fold cross-validation at the one-standard-error rule, the selection</w:t>
      </w:r>
      <w:r>
        <w:t xml:space="preserve"> </w:t>
      </w:r>
      <w:r>
        <w:t xml:space="preserve">Murphy et al. (2026)</w:t>
      </w:r>
      <w:r>
        <w:t xml:space="preserve"> </w:t>
      </w:r>
      <w:r>
        <w:t xml:space="preserve">used, removed the rest, with the highest-ranked survivor of each pathway exempt. Table S3 gives every candidate and the stage at which it left. The 15 variables that entered the models, 8 of them terrain, are listed in</w:t>
      </w:r>
      <w:r>
        <w:t xml:space="preserve"> </w:t>
      </w:r>
      <w:hyperlink w:anchor="tbl-variables">
        <w:r>
          <w:rPr>
            <w:rStyle w:val="Hyperlink"/>
          </w:rPr>
          <w:t xml:space="preserve">Table 2</w:t>
        </w:r>
      </w:hyperlink>
      <w:r>
        <w:t xml:space="preserve"> </w:t>
      </w:r>
      <w:r>
        <w:t xml:space="preserve">with the direction expected of each. Fitting used a class-balanced sample of 42,791 cell-years, 4,000 of each class per year, because landscape prevalence was about 10 per cent and an unbalanced fit at that prevalence would report the magnitude of the intercept rather than the effect of the covariates.</w:t>
      </w:r>
    </w:p>
    <w:p>
      <w:pPr>
        <w:pStyle w:val="BodyText"/>
      </w:pPr>
      <w:hyperlink w:anchor="tbl-variables">
        <w:r>
          <w:rPr>
            <w:rStyle w:val="Hyperlink"/>
            <w:i/>
            <w:iCs/>
          </w:rPr>
          <w:t xml:space="preserve">Table 2</w:t>
        </w:r>
      </w:hyperlink>
      <w:r>
        <w:rPr>
          <w:i/>
          <w:iCs/>
        </w:rPr>
        <w:t xml:space="preserve"> </w:t>
      </w:r>
      <w:r>
        <w:rPr>
          <w:i/>
          <w:iCs/>
        </w:rPr>
        <w:t xml:space="preserve">near here</w:t>
      </w:r>
    </w:p>
    <w:p>
      <w:pPr>
        <w:pStyle w:val="BodyText"/>
      </w:pPr>
      <w:r>
        <w:t xml:space="preserve">Every model was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29"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1</m:t>
              </m:r>
            </m:e>
          </m:d>
        </m:oMath>
      </m:oMathPara>
      <w:bookmarkEnd w:id="29"/>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was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were the interaction terms, so that every coefficient was a change in log-odds per standard deviation of its variable. Four annual models were fitted in sequence, each adding one mechanism to the one before, M0 host size, shading and landform, M1 stand density, M2 terrain shape, terrain exposure and flight-window radiation, and M3 the interactions of stand density with terrain exposure, flight-window radiation and flight-window wind. They were compared on AIC and on predictive error on the fitted probabilities. M0 to M2 answered the first question and M3 the second at the annual scale. The sixteen-day models answered the second question again where wind varied within a season, the scale at which the plume mechanism acts. The sixteen-day response was a fall in NDMI of 0.080 or more against the same sixteen-day epoch of the 2005 pre-outbreak imagery, over nine epochs from May in each of the eight years. It was regressed on the same covariates as the annual models, with the epoch wind of the terrain-resolved field replacing the annual wind terms, together with its interactions with stem density and standing volume. The model was then refitted with the previous epoch’s attack entered twice, as the cell’s own state and as the share of cells attacked within 90 m, the radius at which previous attack predicted current attack most strongly of those tested, so that the interaction was read against within-season spread. The third question compared the coefficient of terrain shelter on its own, from M2 and M3, with the coefficient of the shelter by density interaction from M3. Deposition predicts the first present and the second absent, whereas plume disruption predicts the second present whether or not the first is.</w:t>
      </w:r>
    </w:p>
    <w:bookmarkEnd w:id="30"/>
    <w:bookmarkEnd w:id="31"/>
    <w:bookmarkStart w:id="35" w:name="sec-results"/>
    <w:p>
      <w:pPr>
        <w:pStyle w:val="Heading1"/>
      </w:pPr>
      <w:r>
        <w:t xml:space="preserve">3. Results</w:t>
      </w:r>
    </w:p>
    <w:bookmarkStart w:id="32" w:name="the-three-mechanisms"/>
    <w:p>
      <w:pPr>
        <w:pStyle w:val="Heading2"/>
      </w:pPr>
      <w:r>
        <w:t xml:space="preserve">3.1 The three mechanisms</w:t>
      </w:r>
    </w:p>
    <w:p>
      <w:pPr>
        <w:pStyle w:val="FirstParagraph"/>
      </w:pPr>
      <w:hyperlink w:anchor="tbl-aic">
        <w:r>
          <w:rPr>
            <w:rStyle w:val="Hyperlink"/>
            <w:i/>
            <w:iCs/>
          </w:rPr>
          <w:t xml:space="preserve">Table 3</w:t>
        </w:r>
      </w:hyperlink>
      <w:r>
        <w:rPr>
          <w:i/>
          <w:iCs/>
        </w:rPr>
        <w:t xml:space="preserve"> </w:t>
      </w:r>
      <w:r>
        <w:rPr>
          <w:i/>
          <w:iCs/>
        </w:rPr>
        <w:t xml:space="preserve">near here</w:t>
      </w:r>
    </w:p>
    <w:p>
      <w:pPr>
        <w:pStyle w:val="BodyText"/>
      </w:pPr>
      <w:r>
        <w:t xml:space="preserve">Each mechanism improved the fit when it entered. AIC fell by 298 when stand density entered, by a further 322 with terrain and flight-window radiation, and by a further 562 with the interactions (</w:t>
      </w:r>
      <w:hyperlink w:anchor="tbl-aic">
        <w:r>
          <w:rPr>
            <w:rStyle w:val="Hyperlink"/>
          </w:rPr>
          <w:t xml:space="preserve">Table 3</w:t>
        </w:r>
      </w:hyperlink>
      <w:r>
        <w:t xml:space="preserve">).</w:t>
      </w:r>
    </w:p>
    <w:p>
      <w:pPr>
        <w:pStyle w:val="BodyText"/>
      </w:pPr>
      <w:hyperlink w:anchor="tbl-m3">
        <w:r>
          <w:rPr>
            <w:rStyle w:val="Hyperlink"/>
            <w:i/>
            <w:iCs/>
          </w:rPr>
          <w:t xml:space="preserve">Table 4</w:t>
        </w:r>
      </w:hyperlink>
      <w:r>
        <w:rPr>
          <w:i/>
          <w:iCs/>
        </w:rPr>
        <w:t xml:space="preserve"> </w:t>
      </w:r>
      <w:r>
        <w:rPr>
          <w:i/>
          <w:iCs/>
        </w:rPr>
        <w:t xml:space="preserve">near here</w:t>
      </w:r>
    </w:p>
    <w:p>
      <w:pPr>
        <w:pStyle w:val="BodyText"/>
      </w:pPr>
      <w:r>
        <w:t xml:space="preserve">Stand basal area was the density term the penalty kept. It entered at +0.430 log-odds per standard deviation, an odds ratio of 1.537, so a stand one standard deviation above the mean in basal area had 53.7 per cent higher odds of moderate-to-high disturbance (p &lt; 0.001), the direction a canopy that keeps the pheromone plume together implies. Live stems and crown closure left at the penalty stage (Table S3), and crown closure is in any case recorded by the inventory to a ceiling of 60 per cent.</w:t>
      </w:r>
    </w:p>
    <w:p>
      <w:pPr>
        <w:pStyle w:val="BodyText"/>
      </w:pPr>
      <w:hyperlink w:anchor="tbl-qmd">
        <w:r>
          <w:rPr>
            <w:rStyle w:val="Hyperlink"/>
            <w:i/>
            <w:iCs/>
          </w:rPr>
          <w:t xml:space="preserve">Table 5</w:t>
        </w:r>
      </w:hyperlink>
      <w:r>
        <w:rPr>
          <w:i/>
          <w:iCs/>
        </w:rPr>
        <w:t xml:space="preserve"> </w:t>
      </w:r>
      <w:r>
        <w:rPr>
          <w:i/>
          <w:iCs/>
        </w:rPr>
        <w:t xml:space="preserve">near here</w:t>
      </w:r>
    </w:p>
    <w:p>
      <w:pPr>
        <w:pStyle w:val="BodyText"/>
      </w:pPr>
      <w:r>
        <w:t xml:space="preserve">Host size acted as a threshold rather than a gradient. Attack peaked in the 25 to 30 cm class at 31.5 per cent and fell above it, to 22.4 per cent at 30 to 40 cm and 13.2 per cent above 40 (</w:t>
      </w:r>
      <w:hyperlink w:anchor="tbl-qmd">
        <w:r>
          <w:rPr>
            <w:rStyle w:val="Hyperlink"/>
          </w:rPr>
          <w:t xml:space="preserve">Table 5</w:t>
        </w:r>
      </w:hyperlink>
      <w:r>
        <w:t xml:space="preserve">). The step across the 25 cm source-sink boundary ran from 21.5 to 31.5 per cent, +10.0 percentage points (95 per cent confidence interval 8.9 to 11.1, P &lt; 0.001). In the full model diameter was -0.341 per standard deviation (z = -15.37), negative because a linear term fitted through a humped response returned the slope of its falling limb, so the class table rather than the coefficient was the result here. Across all six classes attack depended on diameter class [</w:t>
      </w:r>
      <m:oMath>
        <m:sSup>
          <m:e>
            <m:r>
              <m:t>χ</m:t>
            </m:r>
          </m:e>
          <m:sup>
            <m:r>
              <m:t>2</m:t>
            </m:r>
          </m:sup>
        </m:sSup>
      </m:oMath>
      <w:r>
        <w:t xml:space="preserve"> </w:t>
      </w:r>
      <w:r>
        <w:t xml:space="preserve">= 678.2 on 5 degrees of freedom, P &lt; 0.001, Cramer’s V = 0.126], while 30 m cells in a spreading outbreak were not independent, so both P-values were anti-conservative.</w:t>
      </w:r>
    </w:p>
    <w:p>
      <w:pPr>
        <w:pStyle w:val="BodyText"/>
      </w:pPr>
      <w:r>
        <w:t xml:space="preserve">Topographic shading was not supported. Radiation entered the model once, as direct radiation during the flight window, at +0.319, the term that represents the temperature limit on flight, while growing-season radiation did not survive selection, so northness, which correlated -0.824 with it, stood in for the shading pathway. Northness entered at +0.384, so shaded, north-facing ground had more attack rather than less, against the prediction.</w:t>
      </w:r>
    </w:p>
    <w:bookmarkEnd w:id="32"/>
    <w:bookmarkStart w:id="33" w:name="wind-through-stand-density-in-time"/>
    <w:p>
      <w:pPr>
        <w:pStyle w:val="Heading2"/>
      </w:pPr>
      <w:r>
        <w:t xml:space="preserve">3.2 Wind through stand density in time</w:t>
      </w:r>
    </w:p>
    <w:p>
      <w:pPr>
        <w:pStyle w:val="FirstParagraph"/>
      </w:pPr>
      <w:r>
        <w:t xml:space="preserve">Stand density interacted negatively with terrain-resolved wind, the form the pheromone mechanism predicted.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remained after the previous epoch of the same season was entered, so neither was the outbreak’s own spread appearing as a wind coefficient.</w:t>
      </w:r>
    </w:p>
    <w:p>
      <w:pPr>
        <w:pStyle w:val="BodyText"/>
      </w:pPr>
      <w:r>
        <w:t xml:space="preserve">Wind alone gave no protection. Its main effect was +0.022, marginally more attack rather than less, and the density terms were positive, so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p>
      <w:pPr>
        <w:pStyle w:val="BodyText"/>
      </w:pPr>
      <w:hyperlink w:anchor="fig-interaction">
        <w:r>
          <w:rPr>
            <w:rStyle w:val="Hyperlink"/>
            <w:i/>
            <w:iCs/>
          </w:rPr>
          <w:t xml:space="preserve">Figure 3</w:t>
        </w:r>
      </w:hyperlink>
      <w:r>
        <w:rPr>
          <w:i/>
          <w:iCs/>
        </w:rPr>
        <w:t xml:space="preserve"> </w:t>
      </w:r>
      <w:r>
        <w:rPr>
          <w:i/>
          <w:iCs/>
        </w:rPr>
        <w:t xml:space="preserve">near here</w:t>
      </w:r>
    </w:p>
    <w:p>
      <w:pPr>
        <w:pStyle w:val="BodyText"/>
      </w:pPr>
      <w:r>
        <w:t xml:space="preserve">Attack recurred where it had already occurred, by a margin large enough to change how every other coefficient should be read. A cell attacked in one year was between 9 and 88 times more likely to be attacked in the next. Entering persistence and 90 m neighbourhood spread separately, following the autologistic design used for this province, gave +0.725 and +0.692 and raised discrimination from 0.774 to 0.857.</w:t>
      </w:r>
    </w:p>
    <w:p>
      <w:pPr>
        <w:pStyle w:val="BodyText"/>
      </w:pPr>
      <w:r>
        <w:t xml:space="preserve">The result that mattered was which environmental terms remained after that term entered. Sky view moved from +0.317 to +0.225 and the wind shelter index from -0.260 to -0.215, both describing conditions a cell had whether or not the beetle was ever present. Conversely, the shape terms were less stable, convergence moving from -0.081 to -0.045 and profile curvature from -0.064 to -0.036. Part of what the landform terms measured was thus where the outbreak had already been, the same failure the terrain-wind index showed against radiation.</w:t>
      </w:r>
    </w:p>
    <w:bookmarkEnd w:id="33"/>
    <w:bookmarkStart w:id="34" w:name="terrain-shelter-alone-or-through-density"/>
    <w:p>
      <w:pPr>
        <w:pStyle w:val="Heading2"/>
      </w:pPr>
      <w:r>
        <w:t xml:space="preserve">3.3 Terrain shelter alone or through density</w:t>
      </w:r>
    </w:p>
    <w:p>
      <w:pPr>
        <w:pStyle w:val="FirstParagraph"/>
      </w:pPr>
      <w:r>
        <w:t xml:space="preserve">Terrain predicted attack after stand structure and radiation were in the model, through shelter and openness rather than ruggedness, since neither terrain ruggedness nor the windward-leeward index survived selection (Table S3). The wind shelter index as computed here rose on slopes that faced the prevailing wind, correlating +0.71 with that orientation, and it entered at -0.267 (p &lt; 0.001), so leeward ground had more attack and windward ground less. Sky view factor, the share of the sky visible from a cell, which is high on gentle, open, upper ground, entered at +0.285 (p &lt; 0.001), so open, sheltered ground had the most attack. The two valley terms, valley depth and height above the valley floor, left at the penalty stage once sky view and elevation were in the model. Elevation entered at +0.381. Of the shape terms, convergence entered at -0.077 and profile curvature at -0.059, while topographic position was not distinguishable from zero (p = 0.521). The landform classes are in Table S5.</w:t>
      </w:r>
    </w:p>
    <w:p>
      <w:pPr>
        <w:pStyle w:val="BodyText"/>
      </w:pPr>
      <w:r>
        <w:t xml:space="preserve">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bookmarkEnd w:id="34"/>
    <w:bookmarkEnd w:id="35"/>
    <w:bookmarkStart w:id="41" w:name="discussion"/>
    <w:p>
      <w:pPr>
        <w:pStyle w:val="Heading1"/>
      </w:pPr>
      <w:r>
        <w:t xml:space="preserve">4. Discussion</w:t>
      </w:r>
    </w:p>
    <w:bookmarkStart w:id="36" w:name="wind-and-density"/>
    <w:p>
      <w:pPr>
        <w:pStyle w:val="Heading2"/>
      </w:pPr>
      <w:r>
        <w:t xml:space="preserve">4.1 Wind and density</w:t>
      </w:r>
    </w:p>
    <w:p>
      <w:pPr>
        <w:pStyle w:val="FirstParagraph"/>
      </w:pPr>
      <w:r>
        <w:t xml:space="preserve">The density by wind interaction took the form the thinning literature predicted and was small. Attack fell where a thin stand and strong flight-period wind coincided, at -0.049 log-odds per standard deviation for stem density, roughly a tenth of the stand basal area main effect, and it held after within-season spread entered. That was the pattern</w:t>
      </w:r>
      <w:r>
        <w:t xml:space="preserve"> </w:t>
      </w:r>
      <w:r>
        <w:t xml:space="preserve">Bartos &amp; Amman (1989)</w:t>
      </w:r>
      <w:r>
        <w:t xml:space="preserve"> </w:t>
      </w:r>
      <w:r>
        <w:t xml:space="preserve">measured at the stand scale, where thinning raised wind, light and temperature and lowered the pheromone trap catch to 5 per cent of the unthinned stand’s before any gain in vigour. It is also the pattern the tracer plumes of</w:t>
      </w:r>
      <w:r>
        <w:t xml:space="preserve"> </w:t>
      </w:r>
      <w:r>
        <w:t xml:space="preserve">Thistle et al. (2004)</w:t>
      </w:r>
      <w:r>
        <w:t xml:space="preserve"> </w:t>
      </w:r>
      <w:r>
        <w:t xml:space="preserve">imply, which diluted fastest in the most open canopy. Two results pointed the other way.</w:t>
      </w:r>
      <w:r>
        <w:t xml:space="preserve"> </w:t>
      </w:r>
      <w:r>
        <w:t xml:space="preserve">Preisler &amp; Mitchell (1993)</w:t>
      </w:r>
      <w:r>
        <w:t xml:space="preserve"> </w:t>
      </w:r>
      <w:r>
        <w:t xml:space="preserve">found that wide spacing did not stop attacks switching between neighbouring trees once a thinned plot was entered. Wind alone gave no protection here, its main effect being +0.022, so wind acted only through the canopy that kept the plume together and only in the weeks when it was strong. The size of the effect was closer to the field record than to the strength of the claim in the refugia literature. Thinning reduced mortality from about half of the pines to almost none in the ponderosa pine trial of</w:t>
      </w:r>
      <w:r>
        <w:t xml:space="preserve"> </w:t>
      </w:r>
      <w:r>
        <w:t xml:space="preserve">Hood et al. (2016)</w:t>
      </w:r>
      <w:r>
        <w:t xml:space="preserve"> </w:t>
      </w:r>
      <w:r>
        <w:t xml:space="preserve">and from 16 to 2 per cent in lodgepole pine</w:t>
      </w:r>
      <w:r>
        <w:t xml:space="preserve"> </w:t>
      </w:r>
      <w:r>
        <w:t xml:space="preserve">(Bartos &amp; Amman, 1989)</w:t>
      </w:r>
      <w:r>
        <w:t xml:space="preserve">. Those were contrasts of managed against unmanaged stands, whereas here the density range was the one an unmanaged landscape offered and the wind was terrain-modified station data rather than measurement on the ridge. What was established was that the modelled wind field behaved as the mechanism required, not that the air itself did. For management the result gave an upper limit. Thinning to the basal area the susceptibility rating targets</w:t>
      </w:r>
      <w:r>
        <w:t xml:space="preserve"> </w:t>
      </w:r>
      <w:r>
        <w:t xml:space="preserve">(Fettig et al., 2007; Shore et al., 2000)</w:t>
      </w:r>
      <w:r>
        <w:t xml:space="preserve"> </w:t>
      </w:r>
      <w:r>
        <w:t xml:space="preserve">could be expected to lower attack on windward ground during windy flight periods and to do little on sheltered lee slopes, which is where the terrain result placed the beetles.</w:t>
      </w:r>
    </w:p>
    <w:bookmarkEnd w:id="36"/>
    <w:bookmarkStart w:id="37" w:name="terrain-and-landing"/>
    <w:p>
      <w:pPr>
        <w:pStyle w:val="Heading2"/>
      </w:pPr>
      <w:r>
        <w:t xml:space="preserve">4.2 Terrain and landing</w:t>
      </w:r>
    </w:p>
    <w:p>
      <w:pPr>
        <w:pStyle w:val="FirstParagraph"/>
      </w:pPr>
      <w:r>
        <w:t xml:space="preserve">Terrain acted on attack as a main effect of shelter and openness that did not depend on stand density. Leeward ground had more attack, -0.267 on an index that rose windward, and open gently sloping ground more still, sky view +0.285, while the shelter by density interaction fell by 59 per cent when flight-window radiation entered and could not then be told from zero. Read with the dispersal record, that was where beetles came down rather than where they chose to attack. A beetle descending through slowing air settled where the flow decelerated, as</w:t>
      </w:r>
      <w:r>
        <w:t xml:space="preserve"> </w:t>
      </w:r>
      <w:r>
        <w:t xml:space="preserve">Byers (2000)</w:t>
      </w:r>
      <w:r>
        <w:t xml:space="preserve"> </w:t>
      </w:r>
      <w:r>
        <w:t xml:space="preserve">simulated and as the shelter index of</w:t>
      </w:r>
      <w:r>
        <w:t xml:space="preserve"> </w:t>
      </w:r>
      <w:r>
        <w:t xml:space="preserve">Plattner et al. (2004)</w:t>
      </w:r>
      <w:r>
        <w:t xml:space="preserve"> </w:t>
      </w:r>
      <w:r>
        <w:t xml:space="preserve">predicted for snow.</w:t>
      </w:r>
      <w:r>
        <w:t xml:space="preserve"> </w:t>
      </w:r>
      <w:r>
        <w:t xml:space="preserve">de la Giroday et al. (2011)</w:t>
      </w:r>
      <w:r>
        <w:t xml:space="preserve"> </w:t>
      </w:r>
      <w:r>
        <w:t xml:space="preserve">found the same for landscape features that intercept a plume of insects, though in the Peace River region those surfaces were the southwest-facing open slopes that met a westerly wind rather than the lee. Impaction on faces that met the wind and settlement where it slowed were both deposition, and which one a landscape showed may have depended on how much of its relief a descending beetle cleared. The reading was an interpretation rather than an observation. No beetle was tracked to the ground here, sky view factor also set diffuse radiation, and open upper ground warmed first, so the same pattern would have followed from faster development as readily as from deposition</w:t>
      </w:r>
      <w:r>
        <w:t xml:space="preserve"> </w:t>
      </w:r>
      <w:r>
        <w:t xml:space="preserve">(Sambaraju &amp; Goodsman, 2021)</w:t>
      </w:r>
      <w:r>
        <w:t xml:space="preserve">. The aspect result told the same story from the other side. North-facing ground had more attack, +0.384, where the shading mechanism required less. That agreed with the watershed record of</w:t>
      </w:r>
      <w:r>
        <w:t xml:space="preserve"> </w:t>
      </w:r>
      <w:r>
        <w:t xml:space="preserve">Kaiser et al. (2012)</w:t>
      </w:r>
      <w:r>
        <w:t xml:space="preserve">, in which the beetle reached south-facing and drier positions first, and with the hot spots of</w:t>
      </w:r>
      <w:r>
        <w:t xml:space="preserve"> </w:t>
      </w:r>
      <w:r>
        <w:t xml:space="preserve">Nelson et al. (2007)</w:t>
      </w:r>
      <w:r>
        <w:t xml:space="preserve">, which lay on warm south and west aspects in the early years of the outbreak in the Morice Timber Supply Area of north-central British Columbia, so shaded ground here was not the refugium the hypothesis named but the ground the outbreak reached last. Northness tested aspect, and aspect measured more than shade, so this was the least secure of the three verdicts, and the water-stress pathway</w:t>
      </w:r>
      <w:r>
        <w:t xml:space="preserve"> </w:t>
      </w:r>
      <w:r>
        <w:t xml:space="preserve">Krawchuk et al. (2020)</w:t>
      </w:r>
      <w:r>
        <w:t xml:space="preserve"> </w:t>
      </w:r>
      <w:r>
        <w:t xml:space="preserve">described was not measured.</w:t>
      </w:r>
    </w:p>
    <w:bookmarkEnd w:id="37"/>
    <w:bookmarkStart w:id="38" w:name="host-size"/>
    <w:p>
      <w:pPr>
        <w:pStyle w:val="Heading2"/>
      </w:pPr>
      <w:r>
        <w:t xml:space="preserve">4.3 Host size</w:t>
      </w:r>
    </w:p>
    <w:p>
      <w:pPr>
        <w:pStyle w:val="FirstParagraph"/>
      </w:pPr>
      <w:r>
        <w:t xml:space="preserve">Attack peaked at 31.5 per cent in the 25 to 30 cm class and fell on both sides, which is the source and sink boundary of</w:t>
      </w:r>
      <w:r>
        <w:t xml:space="preserve"> </w:t>
      </w:r>
      <w:r>
        <w:t xml:space="preserve">Carroll &amp; Safranyik (2004)</w:t>
      </w:r>
      <w:r>
        <w:t xml:space="preserve"> </w:t>
      </w:r>
      <w:r>
        <w:t xml:space="preserve">read as a landscape pattern. Larger stems were the preferred and the better-defended hosts while populations were low, and those defences stopped mattering once stand densities crossed the eruptive threshold</w:t>
      </w:r>
      <w:r>
        <w:t xml:space="preserve"> </w:t>
      </w:r>
      <w:r>
        <w:t xml:space="preserve">(Boone et al., 2011)</w:t>
      </w:r>
      <w:r>
        <w:t xml:space="preserve">, which is consistent with the class above 40 cm, the oldest and sparsest stands here, taking less attack than the class at the threshold. The susceptibility rating of</w:t>
      </w:r>
      <w:r>
        <w:t xml:space="preserve"> </w:t>
      </w:r>
      <w:r>
        <w:t xml:space="preserve">Shore et al. (2000)</w:t>
      </w:r>
      <w:r>
        <w:t xml:space="preserve">, which weights age, density and pine basal area, predicted basal area killed as a straight line, and the mapping of</w:t>
      </w:r>
      <w:r>
        <w:t xml:space="preserve"> </w:t>
      </w:r>
      <w:r>
        <w:t xml:space="preserve">Hicke &amp; Jenkins (2008)</w:t>
      </w:r>
      <w:r>
        <w:t xml:space="preserve"> </w:t>
      </w:r>
      <w:r>
        <w:t xml:space="preserve">applied the same structure across the western United States. The present result added that the diameter term was a step rather than a slope.</w:t>
      </w:r>
    </w:p>
    <w:bookmarkEnd w:id="38"/>
    <w:bookmarkStart w:id="39" w:name="measurement-lessons"/>
    <w:p>
      <w:pPr>
        <w:pStyle w:val="Heading2"/>
      </w:pPr>
      <w:r>
        <w:t xml:space="preserve">4.4 Measurement lessons</w:t>
      </w:r>
    </w:p>
    <w:p>
      <w:pPr>
        <w:pStyle w:val="FirstParagraph"/>
      </w:pPr>
      <w:r>
        <w:t xml:space="preserve">Two measurement results extended beyond this landscape. The first was that a terrain wind index was in part a measurement of incident radiation, flight-window radiation having moved the density by shelter interaction from +0.055 to +0.023. A shelter index and an afternoon radiation surface were both functions of slope and aspect, and on a range whose prevailing flight-window bearing was 258 degrees the slopes that met the wind were the west-facing ones, which also took the afternoon sun during the flight peak. Any study entering a terrain wind index without a radiation term over the same hours would attribute radiation to wind, and the same confound is present in the temperature terms of the regional models</w:t>
      </w:r>
      <w:r>
        <w:t xml:space="preserve"> </w:t>
      </w:r>
      <w:r>
        <w:t xml:space="preserve">(Creeden et al., 2014; Preisler et al., 2012)</w:t>
      </w:r>
      <w:r>
        <w:t xml:space="preserve">. The second was that a landform variable in a spreading outbreak recorded in part where the outbreak had already been, previous-year attack having moved convergence from -0.081 to -0.045 while sky view moved only from +0.317 to +0.225. That was the cell-scale form of the dependence</w:t>
      </w:r>
      <w:r>
        <w:t xml:space="preserve"> </w:t>
      </w:r>
      <w:r>
        <w:t xml:space="preserve">Aukema et al. (2008)</w:t>
      </w:r>
      <w:r>
        <w:t xml:space="preserve"> </w:t>
      </w:r>
      <w:r>
        <w:t xml:space="preserve">found on attack within 18 km in the same year and within 6 km in the two years before, and of the finding of</w:t>
      </w:r>
      <w:r>
        <w:t xml:space="preserve"> </w:t>
      </w:r>
      <w:r>
        <w:t xml:space="preserve">Walter &amp; Platt (2013)</w:t>
      </w:r>
      <w:r>
        <w:t xml:space="preserve"> </w:t>
      </w:r>
      <w:r>
        <w:t xml:space="preserve">that the predictors of infestation changed through an outbreak. The terms that remained described conditions a cell had whether or not the beetle was ever present, and the terms that moved described its shape.</w:t>
      </w:r>
    </w:p>
    <w:bookmarkEnd w:id="39"/>
    <w:bookmarkStart w:id="40" w:name="limits-and-management"/>
    <w:p>
      <w:pPr>
        <w:pStyle w:val="Heading2"/>
      </w:pPr>
      <w:r>
        <w:t xml:space="preserve">4.5 Limits and management</w:t>
      </w:r>
    </w:p>
    <w:p>
      <w:pPr>
        <w:pStyle w:val="FirstParagraph"/>
      </w:pPr>
      <w:r>
        <w:t xml:space="preserve">Elevation was among the largest terms in the model at +0.381 and was not a single quantity, since it combined temperature, snowpack, growing-season length and the distribution of lodgepole pine in a way this design could not separate. Three limits lay outside the model. The inventory postdated part of the outbreak, since polygons interpreted after the beetle passed described the stand it left, and total basal area discriminated only weakly on its own, a univariate AUC of 0.601. The response was classified rather than observed, from 28 plots inside one burn, so the reported accuracy measured how well the classification reproduced those plots and not agreement with ground mortality elsewhere. Every conclusion rested on one mountain range across eight years. 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by the modest margin the interaction measured. A review of harvesting for outbreak suppression found the field evidence for that effect weaker than policy assumed</w:t>
      </w:r>
      <w:r>
        <w:t xml:space="preserve"> </w:t>
      </w:r>
      <w:r>
        <w:t xml:space="preserve">(Six et al., 2014)</w:t>
      </w:r>
      <w:r>
        <w:t xml:space="preserve">.</w:t>
      </w:r>
    </w:p>
    <w:bookmarkEnd w:id="40"/>
    <w:bookmarkEnd w:id="41"/>
    <w:bookmarkStart w:id="167" w:name="references"/>
    <w:p>
      <w:pPr>
        <w:pStyle w:val="Heading1"/>
      </w:pPr>
      <w:r>
        <w:t xml:space="preserve">References</w:t>
      </w:r>
    </w:p>
    <w:bookmarkStart w:id="166" w:name="refs"/>
    <w:bookmarkStart w:id="43"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2">
        <w:r>
          <w:rPr>
            <w:rStyle w:val="Hyperlink"/>
          </w:rPr>
          <w:t xml:space="preserve">https://doi.org/10.1007/s10453-010-9176-9</w:t>
        </w:r>
      </w:hyperlink>
    </w:p>
    <w:bookmarkEnd w:id="43"/>
    <w:bookmarkStart w:id="45"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44">
        <w:r>
          <w:rPr>
            <w:rStyle w:val="Hyperlink"/>
          </w:rPr>
          <w:t xml:space="preserve">https://doi.org/10.1093/ee/2.4.541</w:t>
        </w:r>
      </w:hyperlink>
    </w:p>
    <w:bookmarkEnd w:id="45"/>
    <w:bookmarkStart w:id="47"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46">
        <w:r>
          <w:rPr>
            <w:rStyle w:val="Hyperlink"/>
          </w:rPr>
          <w:t xml:space="preserve">https://doi.org/10.1139/x88-105</w:t>
        </w:r>
      </w:hyperlink>
    </w:p>
    <w:bookmarkEnd w:id="47"/>
    <w:bookmarkStart w:id="49"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48">
        <w:r>
          <w:rPr>
            <w:rStyle w:val="Hyperlink"/>
          </w:rPr>
          <w:t xml:space="preserve">https://doi.org/10.1093/ee/16.3.738</w:t>
        </w:r>
      </w:hyperlink>
    </w:p>
    <w:bookmarkEnd w:id="49"/>
    <w:bookmarkStart w:id="51"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0">
        <w:r>
          <w:rPr>
            <w:rStyle w:val="Hyperlink"/>
          </w:rPr>
          <w:t xml:space="preserve">https://doi.org/10.1111/j.0906-7590.2007.05453.x</w:t>
        </w:r>
      </w:hyperlink>
    </w:p>
    <w:bookmarkEnd w:id="51"/>
    <w:bookmarkStart w:id="53"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52">
        <w:r>
          <w:rPr>
            <w:rStyle w:val="Hyperlink"/>
          </w:rPr>
          <w:t xml:space="preserve">https://doi.org/10.1111/j.2006.0906-7590.04445.x</w:t>
        </w:r>
      </w:hyperlink>
    </w:p>
    <w:bookmarkEnd w:id="53"/>
    <w:bookmarkStart w:id="55"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54">
        <w:r>
          <w:rPr>
            <w:rStyle w:val="Hyperlink"/>
          </w:rPr>
          <w:t xml:space="preserve">https://doi.org/10.2737/int-rp-400</w:t>
        </w:r>
      </w:hyperlink>
    </w:p>
    <w:bookmarkEnd w:id="55"/>
    <w:bookmarkStart w:id="57"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56">
        <w:r>
          <w:rPr>
            <w:rStyle w:val="Hyperlink"/>
          </w:rPr>
          <w:t xml:space="preserve">https://doi.org/10.2737/int-rp-479</w:t>
        </w:r>
      </w:hyperlink>
    </w:p>
    <w:bookmarkEnd w:id="57"/>
    <w:bookmarkStart w:id="59"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58">
        <w:r>
          <w:rPr>
            <w:rStyle w:val="Hyperlink"/>
          </w:rPr>
          <w:t xml:space="preserve">https://doi.org/10.1525/bio.2010.60.8.6</w:t>
        </w:r>
      </w:hyperlink>
    </w:p>
    <w:bookmarkEnd w:id="59"/>
    <w:bookmarkStart w:id="61"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0">
        <w:r>
          <w:rPr>
            <w:rStyle w:val="Hyperlink"/>
          </w:rPr>
          <w:t xml:space="preserve">https://doi.org/10.1093/ee/nvw121</w:t>
        </w:r>
      </w:hyperlink>
    </w:p>
    <w:bookmarkEnd w:id="61"/>
    <w:bookmarkStart w:id="63"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62">
        <w:r>
          <w:rPr>
            <w:rStyle w:val="Hyperlink"/>
          </w:rPr>
          <w:t xml:space="preserve">https://doi.org/10.1139/x11-041</w:t>
        </w:r>
      </w:hyperlink>
    </w:p>
    <w:bookmarkEnd w:id="63"/>
    <w:bookmarkStart w:id="65"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64">
        <w:r>
          <w:rPr>
            <w:rStyle w:val="Hyperlink"/>
          </w:rPr>
          <w:t xml:space="preserve">https://doi.org/10.1016/S0304-3800(99)00187-8</w:t>
        </w:r>
      </w:hyperlink>
    </w:p>
    <w:bookmarkEnd w:id="65"/>
    <w:bookmarkStart w:id="66"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66"/>
    <w:bookmarkStart w:id="68"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67">
        <w:r>
          <w:rPr>
            <w:rStyle w:val="Hyperlink"/>
          </w:rPr>
          <w:t xml:space="preserve">https://doi.org/10.3390/f9110715</w:t>
        </w:r>
      </w:hyperlink>
    </w:p>
    <w:bookmarkEnd w:id="68"/>
    <w:bookmarkStart w:id="70"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69">
        <w:r>
          <w:rPr>
            <w:rStyle w:val="Hyperlink"/>
          </w:rPr>
          <w:t xml:space="preserve">https://doi.org/10.1890/11-1055.1</w:t>
        </w:r>
      </w:hyperlink>
    </w:p>
    <w:bookmarkEnd w:id="70"/>
    <w:bookmarkStart w:id="72"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71">
        <w:r>
          <w:rPr>
            <w:rStyle w:val="Hyperlink"/>
          </w:rPr>
          <w:t xml:space="preserve">https://doi.org/10.1890/es10-00172.1</w:t>
        </w:r>
      </w:hyperlink>
    </w:p>
    <w:bookmarkEnd w:id="72"/>
    <w:bookmarkStart w:id="74"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73">
        <w:r>
          <w:rPr>
            <w:rStyle w:val="Hyperlink"/>
          </w:rPr>
          <w:t xml:space="preserve">https://doi.org/10.1111/jen.13262</w:t>
        </w:r>
      </w:hyperlink>
    </w:p>
    <w:bookmarkEnd w:id="74"/>
    <w:bookmarkStart w:id="76" w:name="ref-creeden2014climate"/>
    <w:p>
      <w:pPr>
        <w:pStyle w:val="Bibliography"/>
      </w:pPr>
      <w:r>
        <w:t xml:space="preserve">Creeden, E. P., Hicke, J. A., &amp; Buotte, P. C. (2014). Climate, weather, and recent mountain pine beetle outbreaks in the western united states.</w:t>
      </w:r>
      <w:r>
        <w:t xml:space="preserve"> </w:t>
      </w:r>
      <w:r>
        <w:rPr>
          <w:i/>
          <w:iCs/>
        </w:rPr>
        <w:t xml:space="preserve">Forest Ecology and Management</w:t>
      </w:r>
      <w:r>
        <w:t xml:space="preserve">,</w:t>
      </w:r>
      <w:r>
        <w:t xml:space="preserve"> </w:t>
      </w:r>
      <w:r>
        <w:rPr>
          <w:i/>
          <w:iCs/>
        </w:rPr>
        <w:t xml:space="preserve">312</w:t>
      </w:r>
      <w:r>
        <w:t xml:space="preserve">, 239–251.</w:t>
      </w:r>
      <w:r>
        <w:t xml:space="preserve"> </w:t>
      </w:r>
      <w:hyperlink r:id="rId75">
        <w:r>
          <w:rPr>
            <w:rStyle w:val="Hyperlink"/>
          </w:rPr>
          <w:t xml:space="preserve">https://doi.org/10.1016/j.foreco.2013.09.051</w:t>
        </w:r>
      </w:hyperlink>
    </w:p>
    <w:bookmarkEnd w:id="76"/>
    <w:bookmarkStart w:id="78"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77">
        <w:r>
          <w:rPr>
            <w:rStyle w:val="Hyperlink"/>
          </w:rPr>
          <w:t xml:space="preserve">https://doi.org/10.1007/s10980-011-9628-9</w:t>
        </w:r>
      </w:hyperlink>
    </w:p>
    <w:bookmarkEnd w:id="78"/>
    <w:bookmarkStart w:id="80"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79">
        <w:r>
          <w:rPr>
            <w:rStyle w:val="Hyperlink"/>
          </w:rPr>
          <w:t xml:space="preserve">https://doi.org/10.1175/2010jamc2339.1</w:t>
        </w:r>
      </w:hyperlink>
    </w:p>
    <w:bookmarkEnd w:id="80"/>
    <w:bookmarkStart w:id="82"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81">
        <w:r>
          <w:rPr>
            <w:rStyle w:val="Hyperlink"/>
          </w:rPr>
          <w:t xml:space="preserve">https://doi.org/10.1016/j.foreco.2006.10.011</w:t>
        </w:r>
      </w:hyperlink>
    </w:p>
    <w:bookmarkEnd w:id="82"/>
    <w:bookmarkStart w:id="84"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83">
        <w:r>
          <w:rPr>
            <w:rStyle w:val="Hyperlink"/>
          </w:rPr>
          <w:t xml:space="preserve">https://doi.org/10.1111/j.1439-0418.1972.tb01745.x</w:t>
        </w:r>
      </w:hyperlink>
    </w:p>
    <w:bookmarkEnd w:id="84"/>
    <w:bookmarkStart w:id="86"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85">
        <w:r>
          <w:rPr>
            <w:rStyle w:val="Hyperlink"/>
          </w:rPr>
          <w:t xml:space="preserve">https://doi.org/10.1016/j.foreco.2007.11.027</w:t>
        </w:r>
      </w:hyperlink>
    </w:p>
    <w:bookmarkEnd w:id="86"/>
    <w:bookmarkStart w:id="88"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87">
        <w:r>
          <w:rPr>
            <w:rStyle w:val="Hyperlink"/>
          </w:rPr>
          <w:t xml:space="preserve">https://doi.org/10.1002/eap.1363</w:t>
        </w:r>
      </w:hyperlink>
    </w:p>
    <w:bookmarkEnd w:id="88"/>
    <w:bookmarkStart w:id="90"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89">
        <w:r>
          <w:rPr>
            <w:rStyle w:val="Hyperlink"/>
          </w:rPr>
          <w:t xml:space="preserve">https://doi.org/10.1007/s00442-022-05129-4</w:t>
        </w:r>
      </w:hyperlink>
    </w:p>
    <w:bookmarkEnd w:id="90"/>
    <w:bookmarkStart w:id="92"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91">
        <w:r>
          <w:rPr>
            <w:rStyle w:val="Hyperlink"/>
          </w:rPr>
          <w:t xml:space="preserve">https://doi.org/10.4039/Ent112185-2</w:t>
        </w:r>
      </w:hyperlink>
    </w:p>
    <w:bookmarkEnd w:id="92"/>
    <w:bookmarkStart w:id="94"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3">
        <w:r>
          <w:rPr>
            <w:rStyle w:val="Hyperlink"/>
          </w:rPr>
          <w:t xml:space="preserve">https://doi.org/10.1139/X08-066</w:t>
        </w:r>
      </w:hyperlink>
    </w:p>
    <w:bookmarkEnd w:id="94"/>
    <w:bookmarkStart w:id="96"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5">
        <w:r>
          <w:rPr>
            <w:rStyle w:val="Hyperlink"/>
          </w:rPr>
          <w:t xml:space="preserve">https://doi.org/10.1139/cjfr-2018-0304</w:t>
        </w:r>
      </w:hyperlink>
    </w:p>
    <w:bookmarkEnd w:id="96"/>
    <w:bookmarkStart w:id="98"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97">
        <w:r>
          <w:rPr>
            <w:rStyle w:val="Hyperlink"/>
          </w:rPr>
          <w:t xml:space="preserve">https://doi.org/10.1002/eco.1286</w:t>
        </w:r>
      </w:hyperlink>
    </w:p>
    <w:bookmarkEnd w:id="98"/>
    <w:bookmarkStart w:id="100"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99">
        <w:r>
          <w:rPr>
            <w:rStyle w:val="Hyperlink"/>
          </w:rPr>
          <w:t xml:space="preserve">https://doi.org/10.1007/s10340-022-01490-8</w:t>
        </w:r>
      </w:hyperlink>
    </w:p>
    <w:bookmarkEnd w:id="100"/>
    <w:bookmarkStart w:id="102"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01">
        <w:r>
          <w:rPr>
            <w:rStyle w:val="Hyperlink"/>
          </w:rPr>
          <w:t xml:space="preserve">https://doi.org/10.1016/j.foreco.2020.118257</w:t>
        </w:r>
      </w:hyperlink>
    </w:p>
    <w:bookmarkEnd w:id="102"/>
    <w:bookmarkStart w:id="104"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03">
        <w:r>
          <w:rPr>
            <w:rStyle w:val="Hyperlink"/>
          </w:rPr>
          <w:t xml:space="preserve">https://doi.org/10.1002/fee.2190</w:t>
        </w:r>
      </w:hyperlink>
    </w:p>
    <w:bookmarkEnd w:id="104"/>
    <w:bookmarkStart w:id="106"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05">
        <w:r>
          <w:rPr>
            <w:rStyle w:val="Hyperlink"/>
          </w:rPr>
          <w:t xml:space="preserve">https://doi.org/10.1038/s41598-020-63388-8</w:t>
        </w:r>
      </w:hyperlink>
    </w:p>
    <w:bookmarkEnd w:id="106"/>
    <w:bookmarkStart w:id="108"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7">
        <w:r>
          <w:rPr>
            <w:rStyle w:val="Hyperlink"/>
          </w:rPr>
          <w:t xml:space="preserve">https://doi.org/10.1175/JHM486.1</w:t>
        </w:r>
      </w:hyperlink>
    </w:p>
    <w:bookmarkEnd w:id="108"/>
    <w:bookmarkStart w:id="110"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09">
        <w:r>
          <w:rPr>
            <w:rStyle w:val="Hyperlink"/>
          </w:rPr>
          <w:t xml:space="preserve">https://doi.org/10.1002/eap.2274</w:t>
        </w:r>
      </w:hyperlink>
    </w:p>
    <w:bookmarkEnd w:id="110"/>
    <w:bookmarkStart w:id="112"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11">
        <w:r>
          <w:rPr>
            <w:rStyle w:val="Hyperlink"/>
          </w:rPr>
          <w:t xml:space="preserve">https://doi.org/10.1093/aesa/64.2.534</w:t>
        </w:r>
      </w:hyperlink>
    </w:p>
    <w:bookmarkEnd w:id="112"/>
    <w:bookmarkStart w:id="114"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13">
        <w:r>
          <w:rPr>
            <w:rStyle w:val="Hyperlink"/>
          </w:rPr>
          <w:t xml:space="preserve">https://doi.org/10.1111/j.1654-1103.2002.tb02087.x</w:t>
        </w:r>
      </w:hyperlink>
    </w:p>
    <w:bookmarkEnd w:id="114"/>
    <w:bookmarkStart w:id="116"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15">
        <w:r>
          <w:rPr>
            <w:rStyle w:val="Hyperlink"/>
          </w:rPr>
          <w:t xml:space="preserve">https://doi.org/10.1093/forestscience/29.1.204</w:t>
        </w:r>
      </w:hyperlink>
    </w:p>
    <w:bookmarkEnd w:id="116"/>
    <w:bookmarkStart w:id="118"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17">
        <w:r>
          <w:rPr>
            <w:rStyle w:val="Hyperlink"/>
          </w:rPr>
          <w:t xml:space="preserve">https://doi.org/10.1016/j.foreco.2026.123985</w:t>
        </w:r>
      </w:hyperlink>
    </w:p>
    <w:bookmarkEnd w:id="118"/>
    <w:bookmarkStart w:id="120"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19">
        <w:r>
          <w:rPr>
            <w:rStyle w:val="Hyperlink"/>
          </w:rPr>
          <w:t xml:space="preserve">https://open.canada.ca/data/en/dataset/957782bf-847c-4644-a757-e383c0057995</w:t>
        </w:r>
      </w:hyperlink>
    </w:p>
    <w:bookmarkEnd w:id="120"/>
    <w:bookmarkStart w:id="122"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21">
        <w:r>
          <w:rPr>
            <w:rStyle w:val="Hyperlink"/>
          </w:rPr>
          <w:t xml:space="preserve">https://doi.org/10.3390/f10010018</w:t>
        </w:r>
      </w:hyperlink>
    </w:p>
    <w:bookmarkEnd w:id="122"/>
    <w:bookmarkStart w:id="124"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23">
        <w:r>
          <w:rPr>
            <w:rStyle w:val="Hyperlink"/>
          </w:rPr>
          <w:t xml:space="preserve">https://doi.org/10.22230/jem.2007v8n1a367</w:t>
        </w:r>
      </w:hyperlink>
    </w:p>
    <w:bookmarkEnd w:id="124"/>
    <w:bookmarkStart w:id="126"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25">
        <w:r>
          <w:rPr>
            <w:rStyle w:val="Hyperlink"/>
          </w:rPr>
          <w:t xml:space="preserve">https://doi.org/10.1007/s10340-021-01341-y</w:t>
        </w:r>
      </w:hyperlink>
    </w:p>
    <w:bookmarkEnd w:id="126"/>
    <w:bookmarkStart w:id="128" w:name="ref-pawson2021"/>
    <w:p>
      <w:pPr>
        <w:pStyle w:val="Bibliography"/>
      </w:pPr>
      <w:r>
        <w:t xml:space="preserve">Pawson, S. M., Kerr, J. L., Kimberley, M. O., Meurisse, N., Somchit, C., &amp; Wardhaugh, C. W. (2021). Large-scale, multi-year, phenology modelling of forest insects in</w:t>
      </w:r>
      <w:r>
        <w:t xml:space="preserve"> </w:t>
      </w:r>
      <w:r>
        <w:t xml:space="preserve">Pinus radiata</w:t>
      </w:r>
      <w:r>
        <w:t xml:space="preserve"> </w:t>
      </w:r>
      <w:r>
        <w:t xml:space="preserve">plantations.</w:t>
      </w:r>
      <w:r>
        <w:t xml:space="preserve"> </w:t>
      </w:r>
      <w:r>
        <w:rPr>
          <w:i/>
          <w:iCs/>
        </w:rPr>
        <w:t xml:space="preserve">Journal of Pest Science</w:t>
      </w:r>
      <w:r>
        <w:t xml:space="preserve">,</w:t>
      </w:r>
      <w:r>
        <w:t xml:space="preserve"> </w:t>
      </w:r>
      <w:r>
        <w:rPr>
          <w:i/>
          <w:iCs/>
        </w:rPr>
        <w:t xml:space="preserve">94</w:t>
      </w:r>
      <w:r>
        <w:t xml:space="preserve">(4), 1375–1392.</w:t>
      </w:r>
      <w:r>
        <w:t xml:space="preserve"> </w:t>
      </w:r>
      <w:hyperlink r:id="rId127">
        <w:r>
          <w:rPr>
            <w:rStyle w:val="Hyperlink"/>
          </w:rPr>
          <w:t xml:space="preserve">https://doi.org/10.1007/s10340-021-01328-9</w:t>
        </w:r>
      </w:hyperlink>
    </w:p>
    <w:bookmarkEnd w:id="128"/>
    <w:bookmarkStart w:id="129"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29"/>
    <w:bookmarkStart w:id="131"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30">
        <w:r>
          <w:rPr>
            <w:rStyle w:val="Hyperlink"/>
          </w:rPr>
          <w:t xml:space="preserve">https://doi.org/10.1016/j.ecolmodel.2013.10.034</w:t>
        </w:r>
      </w:hyperlink>
    </w:p>
    <w:bookmarkEnd w:id="131"/>
    <w:bookmarkStart w:id="133"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32">
        <w:r>
          <w:rPr>
            <w:rStyle w:val="Hyperlink"/>
          </w:rPr>
          <w:t xml:space="preserve">https://doi.org/10.1890/11-1412.1</w:t>
        </w:r>
      </w:hyperlink>
    </w:p>
    <w:bookmarkEnd w:id="133"/>
    <w:bookmarkStart w:id="135"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34">
        <w:r>
          <w:rPr>
            <w:rStyle w:val="Hyperlink"/>
          </w:rPr>
          <w:t xml:space="preserve">https://doi.org/10.1093/forestscience/39.3.528</w:t>
        </w:r>
      </w:hyperlink>
    </w:p>
    <w:bookmarkEnd w:id="135"/>
    <w:bookmarkStart w:id="137"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36">
        <w:r>
          <w:rPr>
            <w:rStyle w:val="Hyperlink"/>
          </w:rPr>
          <w:t xml:space="preserve">https://doi.org/10.1641/b580607</w:t>
        </w:r>
      </w:hyperlink>
    </w:p>
    <w:bookmarkEnd w:id="137"/>
    <w:bookmarkStart w:id="139"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38">
        <w:r>
          <w:rPr>
            <w:rStyle w:val="Hyperlink"/>
          </w:rPr>
          <w:t xml:space="preserve">https://doi.org/10.1002/ece3.7921</w:t>
        </w:r>
      </w:hyperlink>
    </w:p>
    <w:bookmarkEnd w:id="139"/>
    <w:bookmarkStart w:id="141"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40">
        <w:r>
          <w:rPr>
            <w:rStyle w:val="Hyperlink"/>
          </w:rPr>
          <w:t xml:space="preserve">https://doi.org/10.1093/forestscience/53.3.395</w:t>
        </w:r>
      </w:hyperlink>
    </w:p>
    <w:bookmarkEnd w:id="141"/>
    <w:bookmarkStart w:id="142"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42"/>
    <w:bookmarkStart w:id="144"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43">
        <w:r>
          <w:rPr>
            <w:rStyle w:val="Hyperlink"/>
          </w:rPr>
          <w:t xml:space="preserve">https://doi.org/10.1111/j.1600-0587.2011.06847.x</w:t>
        </w:r>
      </w:hyperlink>
    </w:p>
    <w:bookmarkEnd w:id="144"/>
    <w:bookmarkStart w:id="146"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45">
        <w:r>
          <w:rPr>
            <w:rStyle w:val="Hyperlink"/>
          </w:rPr>
          <w:t xml:space="preserve">https://doi.org/10.1079/PAVSNNR202116018</w:t>
        </w:r>
      </w:hyperlink>
    </w:p>
    <w:bookmarkEnd w:id="146"/>
    <w:bookmarkStart w:id="148"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47">
        <w:r>
          <w:rPr>
            <w:rStyle w:val="Hyperlink"/>
          </w:rPr>
          <w:t xml:space="preserve">https://doi.org/10.1139/x92-220</w:t>
        </w:r>
      </w:hyperlink>
    </w:p>
    <w:bookmarkEnd w:id="148"/>
    <w:bookmarkStart w:id="150"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49">
        <w:r>
          <w:rPr>
            <w:rStyle w:val="Hyperlink"/>
          </w:rPr>
          <w:t xml:space="preserve">https://doi.org/10.1139/x99-182</w:t>
        </w:r>
      </w:hyperlink>
    </w:p>
    <w:bookmarkEnd w:id="150"/>
    <w:bookmarkStart w:id="152"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51">
        <w:r>
          <w:rPr>
            <w:rStyle w:val="Hyperlink"/>
          </w:rPr>
          <w:t xml:space="preserve">https://doi.org/10.1111/j.1466-8238.2011.00710.x</w:t>
        </w:r>
      </w:hyperlink>
    </w:p>
    <w:bookmarkEnd w:id="152"/>
    <w:bookmarkStart w:id="154"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53">
        <w:r>
          <w:rPr>
            <w:rStyle w:val="Hyperlink"/>
          </w:rPr>
          <w:t xml:space="preserve">https://doi.org/10.3390/f5010103</w:t>
        </w:r>
      </w:hyperlink>
    </w:p>
    <w:bookmarkEnd w:id="154"/>
    <w:bookmarkStart w:id="155"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55"/>
    <w:bookmarkStart w:id="157"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56">
        <w:r>
          <w:rPr>
            <w:rStyle w:val="Hyperlink"/>
          </w:rPr>
          <w:t xml:space="preserve">https://doi.org/10.1093/forestscience/50.5.610</w:t>
        </w:r>
      </w:hyperlink>
    </w:p>
    <w:bookmarkEnd w:id="157"/>
    <w:bookmarkStart w:id="159"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58">
        <w:r>
          <w:rPr>
            <w:rStyle w:val="Hyperlink"/>
          </w:rPr>
          <w:t xml:space="preserve">https://doi.org/10.1111/j.1461-9563.2008.00408.x</w:t>
        </w:r>
      </w:hyperlink>
    </w:p>
    <w:bookmarkEnd w:id="159"/>
    <w:bookmarkStart w:id="161"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160">
        <w:r>
          <w:rPr>
            <w:rStyle w:val="Hyperlink"/>
          </w:rPr>
          <w:t xml:space="preserve">https://doi.org/10.1016/j.foreco.2013.03.038</w:t>
        </w:r>
      </w:hyperlink>
    </w:p>
    <w:bookmarkEnd w:id="161"/>
    <w:bookmarkStart w:id="163"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162">
        <w:r>
          <w:rPr>
            <w:rStyle w:val="Hyperlink"/>
          </w:rPr>
          <w:t xml:space="preserve">https://doi.org/10.2307/1940551</w:t>
        </w:r>
      </w:hyperlink>
    </w:p>
    <w:bookmarkEnd w:id="163"/>
    <w:bookmarkStart w:id="165"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164">
        <w:r>
          <w:rPr>
            <w:rStyle w:val="Hyperlink"/>
          </w:rPr>
          <w:t xml:space="preserve">https://doi.org/10.1016/j.rse.2005.12.010</w:t>
        </w:r>
      </w:hyperlink>
    </w:p>
    <w:bookmarkEnd w:id="165"/>
    <w:bookmarkEnd w:id="166"/>
    <w:p>
      <w:r>
        <w:br w:type="page"/>
      </w:r>
    </w:p>
    <w:bookmarkEnd w:id="167"/>
    <w:bookmarkStart w:id="168"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bookmarkEnd w:id="168"/>
    <w:bookmarkStart w:id="174"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69" w:name="tbl-vri"/>
          <w:p>
            <w:pPr>
              <w:jc w:val="center"/>
            </w:pPr>
            <w:pPr>
              <w:jc w:val="start"/>
              <w:spacing w:before="200"/>
              <w:pStyle w:val="ImageCaption"/>
            </w:pPr>
            <w:r>
              <w:t xml:space="preserve">Table 1: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35.56</w:t>
                  </w:r>
                </w:p>
              </w:tc>
              <w:tc>
                <w:tcPr>
                  <w:tcW w:w="864" w:type="dxa"/>
                </w:tcPr>
                <w:p>
                  <w:pPr>
                    <w:pStyle w:val="Compact"/>
                    <w:jc w:val="left"/>
                    <w:rPr>
                      <w:sz w:val="15"/>
                      <w:szCs w:val="15"/>
                    </w:rPr>
                  </w:pPr>
                  <w:r>
                    <w:rPr>
                      <w:sz w:val="15"/>
                      <w:szCs w:val="15"/>
                    </w:rPr>
                    <w:t xml:space="preserve">11.60</w:t>
                  </w:r>
                </w:p>
              </w:tc>
              <w:tc>
                <w:tcPr>
                  <w:tcW w:w="864" w:type="dxa"/>
                </w:tcPr>
                <w:p>
                  <w:pPr>
                    <w:pStyle w:val="Compact"/>
                    <w:jc w:val="left"/>
                    <w:rPr>
                      <w:sz w:val="15"/>
                      <w:szCs w:val="15"/>
                    </w:rPr>
                  </w:pPr>
                  <w:r>
                    <w:rPr>
                      <w:sz w:val="15"/>
                      <w:szCs w:val="15"/>
                    </w:rPr>
                    <w:t xml:space="preserve">0.035</w:t>
                  </w:r>
                </w:p>
              </w:tc>
              <w:tc>
                <w:tcPr>
                  <w:tcW w:w="864" w:type="dxa"/>
                </w:tcPr>
                <w:p>
                  <w:pPr>
                    <w:pStyle w:val="Compact"/>
                    <w:jc w:val="left"/>
                    <w:rPr>
                      <w:sz w:val="15"/>
                      <w:szCs w:val="15"/>
                    </w:rPr>
                  </w:pPr>
                  <w:r>
                    <w:rPr>
                      <w:sz w:val="15"/>
                      <w:szCs w:val="15"/>
                    </w:rPr>
                    <w:t xml:space="preserve">37.39</w:t>
                  </w:r>
                </w:p>
              </w:tc>
              <w:tc>
                <w:tcPr>
                  <w:tcW w:w="863" w:type="dxa"/>
                </w:tcPr>
                <w:p>
                  <w:pPr>
                    <w:pStyle w:val="Compact"/>
                    <w:jc w:val="left"/>
                    <w:rPr>
                      <w:sz w:val="15"/>
                      <w:szCs w:val="15"/>
                    </w:rPr>
                  </w:pPr>
                  <w:r>
                    <w:rPr>
                      <w:sz w:val="15"/>
                      <w:szCs w:val="15"/>
                    </w:rPr>
                    <w:t xml:space="preserve">0.98</w:t>
                  </w:r>
                </w:p>
              </w:tc>
              <w:tc>
                <w:tcPr>
                  <w:tcW w:w="864" w:type="dxa"/>
                </w:tcPr>
                <w:p>
                  <w:pPr>
                    <w:pStyle w:val="Compact"/>
                    <w:jc w:val="left"/>
                    <w:rPr>
                      <w:sz w:val="15"/>
                      <w:szCs w:val="15"/>
                    </w:rPr>
                  </w:pPr>
                  <w:r>
                    <w:rPr>
                      <w:sz w:val="15"/>
                      <w:szCs w:val="15"/>
                    </w:rPr>
                    <w:t xml:space="preserve">62.43</w:t>
                  </w:r>
                </w:p>
              </w:tc>
              <w:tc>
                <w:tcPr>
                  <w:tcW w:w="864" w:type="dxa"/>
                </w:tcPr>
                <w:p>
                  <w:pPr>
                    <w:pStyle w:val="Compact"/>
                    <w:jc w:val="left"/>
                    <w:rPr>
                      <w:sz w:val="15"/>
                      <w:szCs w:val="15"/>
                    </w:rPr>
                  </w:pPr>
                  <w:r>
                    <w:rPr>
                      <w:sz w:val="15"/>
                      <w:szCs w:val="15"/>
                    </w:rPr>
                    <w:t xml:space="preserve">-1.01</w:t>
                  </w:r>
                </w:p>
              </w:tc>
              <w:tc>
                <w:tcPr>
                  <w:tcW w:w="864" w:type="dxa"/>
                </w:tcPr>
                <w:p>
                  <w:pPr>
                    <w:pStyle w:val="Compact"/>
                    <w:jc w:val="left"/>
                    <w:rPr>
                      <w:sz w:val="15"/>
                      <w:szCs w:val="15"/>
                    </w:rPr>
                  </w:pPr>
                  <w:r>
                    <w:rPr>
                      <w:sz w:val="15"/>
                      <w:szCs w:val="15"/>
                    </w:rPr>
                    <w:t xml:space="preserve">+1.42</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50.10</w:t>
                  </w:r>
                </w:p>
              </w:tc>
              <w:tc>
                <w:tcPr>
                  <w:tcW w:w="864" w:type="dxa"/>
                </w:tcPr>
                <w:p>
                  <w:pPr>
                    <w:pStyle w:val="Compact"/>
                    <w:jc w:val="left"/>
                    <w:rPr>
                      <w:sz w:val="15"/>
                      <w:szCs w:val="15"/>
                    </w:rPr>
                  </w:pPr>
                  <w:r>
                    <w:rPr>
                      <w:sz w:val="15"/>
                      <w:szCs w:val="15"/>
                    </w:rPr>
                    <w:t xml:space="preserve">13.54</w:t>
                  </w:r>
                </w:p>
              </w:tc>
              <w:tc>
                <w:tcPr>
                  <w:tcW w:w="864" w:type="dxa"/>
                </w:tcPr>
                <w:p>
                  <w:pPr>
                    <w:pStyle w:val="Compact"/>
                    <w:jc w:val="left"/>
                    <w:rPr>
                      <w:sz w:val="15"/>
                      <w:szCs w:val="15"/>
                    </w:rPr>
                  </w:pPr>
                  <w:r>
                    <w:rPr>
                      <w:sz w:val="15"/>
                      <w:szCs w:val="15"/>
                    </w:rPr>
                    <w:t xml:space="preserve">0.041</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3.00</w:t>
                  </w:r>
                </w:p>
              </w:tc>
              <w:tc>
                <w:tcPr>
                  <w:tcW w:w="864" w:type="dxa"/>
                </w:tcPr>
                <w:p>
                  <w:pPr>
                    <w:pStyle w:val="Compact"/>
                    <w:jc w:val="left"/>
                    <w:rPr>
                      <w:sz w:val="15"/>
                      <w:szCs w:val="15"/>
                    </w:rPr>
                  </w:pPr>
                  <w:r>
                    <w:rPr>
                      <w:sz w:val="15"/>
                      <w:szCs w:val="15"/>
                    </w:rPr>
                    <w:t xml:space="preserve">70.00</w:t>
                  </w:r>
                </w:p>
              </w:tc>
              <w:tc>
                <w:tcPr>
                  <w:tcW w:w="864" w:type="dxa"/>
                </w:tcPr>
                <w:p>
                  <w:pPr>
                    <w:pStyle w:val="Compact"/>
                    <w:jc w:val="left"/>
                    <w:rPr>
                      <w:sz w:val="15"/>
                      <w:szCs w:val="15"/>
                    </w:rPr>
                  </w:pPr>
                  <w:r>
                    <w:rPr>
                      <w:sz w:val="15"/>
                      <w:szCs w:val="15"/>
                    </w:rPr>
                    <w:t xml:space="preserve">-1.74</w:t>
                  </w:r>
                </w:p>
              </w:tc>
              <w:tc>
                <w:tcPr>
                  <w:tcW w:w="864" w:type="dxa"/>
                </w:tcPr>
                <w:p>
                  <w:pPr>
                    <w:pStyle w:val="Compact"/>
                    <w:jc w:val="left"/>
                    <w:rPr>
                      <w:sz w:val="15"/>
                      <w:szCs w:val="15"/>
                    </w:rPr>
                  </w:pPr>
                  <w:r>
                    <w:rPr>
                      <w:sz w:val="15"/>
                      <w:szCs w:val="15"/>
                    </w:rPr>
                    <w:t xml:space="preserve">+3.37</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772.75</w:t>
                  </w:r>
                </w:p>
              </w:tc>
              <w:tc>
                <w:tcPr>
                  <w:tcW w:w="864" w:type="dxa"/>
                </w:tcPr>
                <w:p>
                  <w:pPr>
                    <w:pStyle w:val="Compact"/>
                    <w:jc w:val="left"/>
                    <w:rPr>
                      <w:sz w:val="15"/>
                      <w:szCs w:val="15"/>
                    </w:rPr>
                  </w:pPr>
                  <w:r>
                    <w:rPr>
                      <w:sz w:val="15"/>
                      <w:szCs w:val="15"/>
                    </w:rPr>
                    <w:t xml:space="preserve">312.80</w:t>
                  </w:r>
                </w:p>
              </w:tc>
              <w:tc>
                <w:tcPr>
                  <w:tcW w:w="864" w:type="dxa"/>
                </w:tcPr>
                <w:p>
                  <w:pPr>
                    <w:pStyle w:val="Compact"/>
                    <w:jc w:val="left"/>
                    <w:rPr>
                      <w:sz w:val="15"/>
                      <w:szCs w:val="15"/>
                    </w:rPr>
                  </w:pPr>
                  <w:r>
                    <w:rPr>
                      <w:sz w:val="15"/>
                      <w:szCs w:val="15"/>
                    </w:rPr>
                    <w:t xml:space="preserve">0.936</w:t>
                  </w:r>
                </w:p>
              </w:tc>
              <w:tc>
                <w:tcPr>
                  <w:tcW w:w="864" w:type="dxa"/>
                </w:tcPr>
                <w:p>
                  <w:pPr>
                    <w:pStyle w:val="Compact"/>
                    <w:jc w:val="left"/>
                    <w:rPr>
                      <w:sz w:val="15"/>
                      <w:szCs w:val="15"/>
                    </w:rPr>
                  </w:pPr>
                  <w:r>
                    <w:rPr>
                      <w:sz w:val="15"/>
                      <w:szCs w:val="15"/>
                    </w:rPr>
                    <w:t xml:space="preserve">775.00</w:t>
                  </w:r>
                </w:p>
              </w:tc>
              <w:tc>
                <w:tcPr>
                  <w:tcW w:w="863" w:type="dxa"/>
                </w:tcPr>
                <w:p>
                  <w:pPr>
                    <w:pStyle w:val="Compact"/>
                    <w:jc w:val="left"/>
                    <w:rPr>
                      <w:sz w:val="15"/>
                      <w:szCs w:val="15"/>
                    </w:rPr>
                  </w:pPr>
                  <w:r>
                    <w:rPr>
                      <w:sz w:val="15"/>
                      <w:szCs w:val="15"/>
                    </w:rPr>
                    <w:t xml:space="preserve">23.00</w:t>
                  </w:r>
                </w:p>
              </w:tc>
              <w:tc>
                <w:tcPr>
                  <w:tcW w:w="864" w:type="dxa"/>
                </w:tcPr>
                <w:p>
                  <w:pPr>
                    <w:pStyle w:val="Compact"/>
                    <w:jc w:val="left"/>
                    <w:rPr>
                      <w:sz w:val="15"/>
                      <w:szCs w:val="15"/>
                    </w:rPr>
                  </w:pPr>
                  <w:r>
                    <w:rPr>
                      <w:sz w:val="15"/>
                      <w:szCs w:val="15"/>
                    </w:rPr>
                    <w:t xml:space="preserve">4600.00</w:t>
                  </w:r>
                </w:p>
              </w:tc>
              <w:tc>
                <w:tcPr>
                  <w:tcW w:w="864" w:type="dxa"/>
                </w:tcPr>
                <w:p>
                  <w:pPr>
                    <w:pStyle w:val="Compact"/>
                    <w:jc w:val="left"/>
                    <w:rPr>
                      <w:sz w:val="15"/>
                      <w:szCs w:val="15"/>
                    </w:rPr>
                  </w:pPr>
                  <w:r>
                    <w:rPr>
                      <w:sz w:val="15"/>
                      <w:szCs w:val="15"/>
                    </w:rPr>
                    <w:t xml:space="preserve">+1.70</w:t>
                  </w:r>
                </w:p>
              </w:tc>
              <w:tc>
                <w:tcPr>
                  <w:tcW w:w="864" w:type="dxa"/>
                </w:tcPr>
                <w:p>
                  <w:pPr>
                    <w:pStyle w:val="Compact"/>
                    <w:jc w:val="left"/>
                    <w:rPr>
                      <w:sz w:val="15"/>
                      <w:szCs w:val="15"/>
                    </w:rPr>
                  </w:pPr>
                  <w:r>
                    <w:rPr>
                      <w:sz w:val="15"/>
                      <w:szCs w:val="15"/>
                    </w:rPr>
                    <w:t xml:space="preserve">+19.51</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27.38</w:t>
                  </w:r>
                </w:p>
              </w:tc>
              <w:tc>
                <w:tcPr>
                  <w:tcW w:w="864" w:type="dxa"/>
                </w:tcPr>
                <w:p>
                  <w:pPr>
                    <w:pStyle w:val="Compact"/>
                    <w:jc w:val="left"/>
                    <w:rPr>
                      <w:sz w:val="15"/>
                      <w:szCs w:val="15"/>
                    </w:rPr>
                  </w:pPr>
                  <w:r>
                    <w:rPr>
                      <w:sz w:val="15"/>
                      <w:szCs w:val="15"/>
                    </w:rPr>
                    <w:t xml:space="preserve">6.40</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26.95</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58.90</w:t>
                  </w:r>
                </w:p>
              </w:tc>
              <w:tc>
                <w:tcPr>
                  <w:tcW w:w="864" w:type="dxa"/>
                </w:tcPr>
                <w:p>
                  <w:pPr>
                    <w:pStyle w:val="Compact"/>
                    <w:jc w:val="left"/>
                    <w:rPr>
                      <w:sz w:val="15"/>
                      <w:szCs w:val="15"/>
                    </w:rPr>
                  </w:pPr>
                  <w:r>
                    <w:rPr>
                      <w:sz w:val="15"/>
                      <w:szCs w:val="15"/>
                    </w:rPr>
                    <w:t xml:space="preserve">+0.73</w:t>
                  </w:r>
                </w:p>
              </w:tc>
              <w:tc>
                <w:tcPr>
                  <w:tcW w:w="864" w:type="dxa"/>
                </w:tcPr>
                <w:p>
                  <w:pPr>
                    <w:pStyle w:val="Compact"/>
                    <w:jc w:val="left"/>
                    <w:rPr>
                      <w:sz w:val="15"/>
                      <w:szCs w:val="15"/>
                    </w:rPr>
                  </w:pPr>
                  <w:r>
                    <w:rPr>
                      <w:sz w:val="15"/>
                      <w:szCs w:val="15"/>
                    </w:rPr>
                    <w:t xml:space="preserve">+1.24</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115.46</w:t>
                  </w:r>
                </w:p>
              </w:tc>
              <w:tc>
                <w:tcPr>
                  <w:tcW w:w="864" w:type="dxa"/>
                </w:tcPr>
                <w:p>
                  <w:pPr>
                    <w:pStyle w:val="Compact"/>
                    <w:jc w:val="left"/>
                    <w:rPr>
                      <w:sz w:val="15"/>
                      <w:szCs w:val="15"/>
                    </w:rPr>
                  </w:pPr>
                  <w:r>
                    <w:rPr>
                      <w:sz w:val="15"/>
                      <w:szCs w:val="15"/>
                    </w:rPr>
                    <w:t xml:space="preserve">20.88</w:t>
                  </w:r>
                </w:p>
              </w:tc>
              <w:tc>
                <w:tcPr>
                  <w:tcW w:w="864" w:type="dxa"/>
                </w:tcPr>
                <w:p>
                  <w:pPr>
                    <w:pStyle w:val="Compact"/>
                    <w:jc w:val="left"/>
                    <w:rPr>
                      <w:sz w:val="15"/>
                      <w:szCs w:val="15"/>
                    </w:rPr>
                  </w:pPr>
                  <w:r>
                    <w:rPr>
                      <w:sz w:val="15"/>
                      <w:szCs w:val="15"/>
                    </w:rPr>
                    <w:t xml:space="preserve">0.062</w:t>
                  </w:r>
                </w:p>
              </w:tc>
              <w:tc>
                <w:tcPr>
                  <w:tcW w:w="864" w:type="dxa"/>
                </w:tcPr>
                <w:p>
                  <w:pPr>
                    <w:pStyle w:val="Compact"/>
                    <w:jc w:val="left"/>
                    <w:rPr>
                      <w:sz w:val="15"/>
                      <w:szCs w:val="15"/>
                    </w:rPr>
                  </w:pPr>
                  <w:r>
                    <w:rPr>
                      <w:sz w:val="15"/>
                      <w:szCs w:val="15"/>
                    </w:rPr>
                    <w:t xml:space="preserve">116.00</w:t>
                  </w:r>
                </w:p>
              </w:tc>
              <w:tc>
                <w:tcPr>
                  <w:tcW w:w="863" w:type="dxa"/>
                </w:tcPr>
                <w:p>
                  <w:pPr>
                    <w:pStyle w:val="Compact"/>
                    <w:jc w:val="left"/>
                    <w:rPr>
                      <w:sz w:val="15"/>
                      <w:szCs w:val="15"/>
                    </w:rPr>
                  </w:pPr>
                  <w:r>
                    <w:rPr>
                      <w:sz w:val="15"/>
                      <w:szCs w:val="15"/>
                    </w:rPr>
                    <w:t xml:space="preserve">22.00</w:t>
                  </w:r>
                </w:p>
              </w:tc>
              <w:tc>
                <w:tcPr>
                  <w:tcW w:w="864" w:type="dxa"/>
                </w:tcPr>
                <w:p>
                  <w:pPr>
                    <w:pStyle w:val="Compact"/>
                    <w:jc w:val="left"/>
                    <w:rPr>
                      <w:sz w:val="15"/>
                      <w:szCs w:val="15"/>
                    </w:rPr>
                  </w:pPr>
                  <w:r>
                    <w:rPr>
                      <w:sz w:val="15"/>
                      <w:szCs w:val="15"/>
                    </w:rPr>
                    <w:t xml:space="preserve">237.00</w:t>
                  </w:r>
                </w:p>
              </w:tc>
              <w:tc>
                <w:tcPr>
                  <w:tcW w:w="864" w:type="dxa"/>
                </w:tcPr>
                <w:p>
                  <w:pPr>
                    <w:pStyle w:val="Compact"/>
                    <w:jc w:val="left"/>
                    <w:rPr>
                      <w:sz w:val="15"/>
                      <w:szCs w:val="15"/>
                    </w:rPr>
                  </w:pPr>
                  <w:r>
                    <w:rPr>
                      <w:sz w:val="15"/>
                      <w:szCs w:val="15"/>
                    </w:rPr>
                    <w:t xml:space="preserve">-0.78</w:t>
                  </w:r>
                </w:p>
              </w:tc>
              <w:tc>
                <w:tcPr>
                  <w:tcW w:w="864" w:type="dxa"/>
                </w:tcPr>
                <w:p>
                  <w:pPr>
                    <w:pStyle w:val="Compact"/>
                    <w:jc w:val="left"/>
                    <w:rPr>
                      <w:sz w:val="15"/>
                      <w:szCs w:val="15"/>
                    </w:rPr>
                  </w:pPr>
                  <w:r>
                    <w:rPr>
                      <w:sz w:val="15"/>
                      <w:szCs w:val="15"/>
                    </w:rPr>
                    <w:t xml:space="preserve">+1.97</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26.97</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27.90</w:t>
                  </w:r>
                </w:p>
              </w:tc>
              <w:tc>
                <w:tcPr>
                  <w:tcW w:w="863" w:type="dxa"/>
                </w:tcPr>
                <w:p>
                  <w:pPr>
                    <w:pStyle w:val="Compact"/>
                    <w:jc w:val="left"/>
                    <w:rPr>
                      <w:sz w:val="15"/>
                      <w:szCs w:val="15"/>
                    </w:rPr>
                  </w:pPr>
                  <w:r>
                    <w:rPr>
                      <w:sz w:val="15"/>
                      <w:szCs w:val="15"/>
                    </w:rPr>
                    <w:t xml:space="preserve">7.00</w:t>
                  </w:r>
                </w:p>
              </w:tc>
              <w:tc>
                <w:tcPr>
                  <w:tcW w:w="864" w:type="dxa"/>
                </w:tcPr>
                <w:p>
                  <w:pPr>
                    <w:pStyle w:val="Compact"/>
                    <w:jc w:val="left"/>
                    <w:rPr>
                      <w:sz w:val="15"/>
                      <w:szCs w:val="15"/>
                    </w:rPr>
                  </w:pPr>
                  <w:r>
                    <w:rPr>
                      <w:sz w:val="15"/>
                      <w:szCs w:val="15"/>
                    </w:rPr>
                    <w:t xml:space="preserve">40.30</w:t>
                  </w:r>
                </w:p>
              </w:tc>
              <w:tc>
                <w:tcPr>
                  <w:tcW w:w="864" w:type="dxa"/>
                </w:tcPr>
                <w:p>
                  <w:pPr>
                    <w:pStyle w:val="Compact"/>
                    <w:jc w:val="left"/>
                    <w:rPr>
                      <w:sz w:val="15"/>
                      <w:szCs w:val="15"/>
                    </w:rPr>
                  </w:pPr>
                  <w:r>
                    <w:rPr>
                      <w:sz w:val="15"/>
                      <w:szCs w:val="15"/>
                    </w:rPr>
                    <w:t xml:space="preserve">-0.26</w:t>
                  </w:r>
                </w:p>
              </w:tc>
              <w:tc>
                <w:tcPr>
                  <w:tcW w:w="864" w:type="dxa"/>
                </w:tcPr>
                <w:p>
                  <w:pPr>
                    <w:pStyle w:val="Compact"/>
                    <w:jc w:val="left"/>
                    <w:rPr>
                      <w:sz w:val="15"/>
                      <w:szCs w:val="15"/>
                    </w:rPr>
                  </w:pPr>
                  <w:r>
                    <w:rPr>
                      <w:sz w:val="15"/>
                      <w:szCs w:val="15"/>
                    </w:rPr>
                    <w:t xml:space="preserve">+0.23</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272.33</w:t>
                  </w:r>
                </w:p>
              </w:tc>
              <w:tc>
                <w:tcPr>
                  <w:tcW w:w="864" w:type="dxa"/>
                </w:tcPr>
                <w:p>
                  <w:pPr>
                    <w:pStyle w:val="Compact"/>
                    <w:jc w:val="left"/>
                    <w:rPr>
                      <w:sz w:val="15"/>
                      <w:szCs w:val="15"/>
                    </w:rPr>
                  </w:pPr>
                  <w:r>
                    <w:rPr>
                      <w:sz w:val="15"/>
                      <w:szCs w:val="15"/>
                    </w:rPr>
                    <w:t xml:space="preserve">131.38</w:t>
                  </w:r>
                </w:p>
              </w:tc>
              <w:tc>
                <w:tcPr>
                  <w:tcW w:w="864" w:type="dxa"/>
                </w:tcPr>
                <w:p>
                  <w:pPr>
                    <w:pStyle w:val="Compact"/>
                    <w:jc w:val="left"/>
                    <w:rPr>
                      <w:sz w:val="15"/>
                      <w:szCs w:val="15"/>
                    </w:rPr>
                  </w:pPr>
                  <w:r>
                    <w:rPr>
                      <w:sz w:val="15"/>
                      <w:szCs w:val="15"/>
                    </w:rPr>
                    <w:t xml:space="preserve">0.393</w:t>
                  </w:r>
                </w:p>
              </w:tc>
              <w:tc>
                <w:tcPr>
                  <w:tcW w:w="864" w:type="dxa"/>
                </w:tcPr>
                <w:p>
                  <w:pPr>
                    <w:pStyle w:val="Compact"/>
                    <w:jc w:val="left"/>
                    <w:rPr>
                      <w:sz w:val="15"/>
                      <w:szCs w:val="15"/>
                    </w:rPr>
                  </w:pPr>
                  <w:r>
                    <w:rPr>
                      <w:sz w:val="15"/>
                      <w:szCs w:val="15"/>
                    </w:rPr>
                    <w:t xml:space="preserve">281.47</w:t>
                  </w:r>
                </w:p>
              </w:tc>
              <w:tc>
                <w:tcPr>
                  <w:tcW w:w="863" w:type="dxa"/>
                </w:tcPr>
                <w:p>
                  <w:pPr>
                    <w:pStyle w:val="Compact"/>
                    <w:jc w:val="left"/>
                    <w:rPr>
                      <w:sz w:val="15"/>
                      <w:szCs w:val="15"/>
                    </w:rPr>
                  </w:pPr>
                  <w:r>
                    <w:rPr>
                      <w:sz w:val="15"/>
                      <w:szCs w:val="15"/>
                    </w:rPr>
                    <w:t xml:space="preserve">0.82</w:t>
                  </w:r>
                </w:p>
              </w:tc>
              <w:tc>
                <w:tcPr>
                  <w:tcW w:w="864" w:type="dxa"/>
                </w:tcPr>
                <w:p>
                  <w:pPr>
                    <w:pStyle w:val="Compact"/>
                    <w:jc w:val="left"/>
                    <w:rPr>
                      <w:sz w:val="15"/>
                      <w:szCs w:val="15"/>
                    </w:rPr>
                  </w:pPr>
                  <w:r>
                    <w:rPr>
                      <w:sz w:val="15"/>
                      <w:szCs w:val="15"/>
                    </w:rPr>
                    <w:t xml:space="preserve">586.61</w:t>
                  </w:r>
                </w:p>
              </w:tc>
              <w:tc>
                <w:tcPr>
                  <w:tcW w:w="864" w:type="dxa"/>
                </w:tcPr>
                <w:p>
                  <w:pPr>
                    <w:pStyle w:val="Compact"/>
                    <w:jc w:val="left"/>
                    <w:rPr>
                      <w:sz w:val="15"/>
                      <w:szCs w:val="15"/>
                    </w:rPr>
                  </w:pPr>
                  <w:r>
                    <w:rPr>
                      <w:sz w:val="15"/>
                      <w:szCs w:val="15"/>
                    </w:rPr>
                    <w:t xml:space="preserve">+0.01</w:t>
                  </w:r>
                </w:p>
              </w:tc>
              <w:tc>
                <w:tcPr>
                  <w:tcW w:w="864" w:type="dxa"/>
                </w:tcPr>
                <w:p>
                  <w:pPr>
                    <w:pStyle w:val="Compact"/>
                    <w:jc w:val="left"/>
                    <w:rPr>
                      <w:sz w:val="15"/>
                      <w:szCs w:val="15"/>
                    </w:rPr>
                  </w:pPr>
                  <w:r>
                    <w:rPr>
                      <w:sz w:val="15"/>
                      <w:szCs w:val="15"/>
                    </w:rPr>
                    <w:t xml:space="preserve">-0.35</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20.11</w:t>
                  </w:r>
                </w:p>
              </w:tc>
              <w:tc>
                <w:tcPr>
                  <w:tcW w:w="864" w:type="dxa"/>
                </w:tcPr>
                <w:p>
                  <w:pPr>
                    <w:pStyle w:val="Compact"/>
                    <w:jc w:val="left"/>
                    <w:rPr>
                      <w:sz w:val="15"/>
                      <w:szCs w:val="15"/>
                    </w:rPr>
                  </w:pPr>
                  <w:r>
                    <w:rPr>
                      <w:sz w:val="15"/>
                      <w:szCs w:val="15"/>
                    </w:rPr>
                    <w:t xml:space="preserve">23.93</w:t>
                  </w:r>
                </w:p>
              </w:tc>
              <w:tc>
                <w:tcPr>
                  <w:tcW w:w="864" w:type="dxa"/>
                </w:tcPr>
                <w:p>
                  <w:pPr>
                    <w:pStyle w:val="Compact"/>
                    <w:jc w:val="left"/>
                    <w:rPr>
                      <w:sz w:val="15"/>
                      <w:szCs w:val="15"/>
                    </w:rPr>
                  </w:pPr>
                  <w:r>
                    <w:rPr>
                      <w:sz w:val="15"/>
                      <w:szCs w:val="15"/>
                    </w:rPr>
                    <w:t xml:space="preserve">0.072</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+1.45</w:t>
                  </w:r>
                </w:p>
              </w:tc>
              <w:tc>
                <w:tcPr>
                  <w:tcW w:w="864" w:type="dxa"/>
                </w:tcPr>
                <w:p>
                  <w:pPr>
                    <w:pStyle w:val="Compact"/>
                    <w:jc w:val="left"/>
                    <w:rPr>
                      <w:sz w:val="15"/>
                      <w:szCs w:val="15"/>
                    </w:rPr>
                  </w:pPr>
                  <w:r>
                    <w:rPr>
                      <w:sz w:val="15"/>
                      <w:szCs w:val="15"/>
                    </w:rPr>
                    <w:t xml:space="preserve">+1.56</w:t>
                  </w:r>
                </w:p>
              </w:tc>
            </w:tr>
            <w:tr>
              <w:trPr>
                <w:trHeight w:val="454" w:hRule="auto"/>
              </w:trPr>
              <w:tc>
                <w:tcPr>
                  <w:tcW w:w="2446" w:type="dxa"/>
                </w:tcPr>
                <w:p>
                  <w:pPr>
                    <w:pStyle w:val="Compact"/>
                    <w:jc w:val="left"/>
                    <w:rPr>
                      <w:sz w:val="16"/>
                      <w:szCs w:val="16"/>
                    </w:rPr>
                  </w:pPr>
                  <w:r>
                    <w:rPr>
                      <w:sz w:val="16"/>
                      <w:szCs w:val="16"/>
                    </w:rPr>
                    <w:t xml:space="preserve">Susceptible pine BA (m² ha⁻¹)</w:t>
                  </w:r>
                </w:p>
              </w:tc>
              <w:tc>
                <w:tcPr>
                  <w:tcW w:w="863" w:type="dxa"/>
                </w:tcPr>
                <w:p>
                  <w:pPr>
                    <w:pStyle w:val="Compact"/>
                    <w:jc w:val="left"/>
                    <w:rPr>
                      <w:sz w:val="15"/>
                      <w:szCs w:val="15"/>
                    </w:rPr>
                  </w:pPr>
                  <w:r>
                    <w:rPr>
                      <w:sz w:val="15"/>
                      <w:szCs w:val="15"/>
                    </w:rPr>
                    <w:t xml:space="preserve">7.07</w:t>
                  </w:r>
                </w:p>
              </w:tc>
              <w:tc>
                <w:tcPr>
                  <w:tcW w:w="864" w:type="dxa"/>
                </w:tcPr>
                <w:p>
                  <w:pPr>
                    <w:pStyle w:val="Compact"/>
                    <w:jc w:val="left"/>
                    <w:rPr>
                      <w:sz w:val="15"/>
                      <w:szCs w:val="15"/>
                    </w:rPr>
                  </w:pPr>
                  <w:r>
                    <w:rPr>
                      <w:sz w:val="15"/>
                      <w:szCs w:val="15"/>
                    </w:rPr>
                    <w:t xml:space="preserve">8.85</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4.00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+1.63</w:t>
                  </w:r>
                </w:p>
              </w:tc>
              <w:tc>
                <w:tcPr>
                  <w:tcW w:w="864" w:type="dxa"/>
                </w:tcPr>
                <w:p>
                  <w:pPr>
                    <w:pStyle w:val="Compact"/>
                    <w:jc w:val="left"/>
                    <w:rPr>
                      <w:sz w:val="15"/>
                      <w:szCs w:val="15"/>
                    </w:rPr>
                  </w:pPr>
                  <w:r>
                    <w:rPr>
                      <w:sz w:val="15"/>
                      <w:szCs w:val="15"/>
                    </w:rPr>
                    <w:t xml:space="preserve">+2.63</w:t>
                  </w:r>
                </w:p>
              </w:tc>
            </w:tr>
            <w:tr>
              <w:trPr>
                <w:trHeight w:val="340" w:hRule="atLeast"/>
              </w:trPr>
              <w:tc>
                <w:tcPr>
                  <w:tcW w:w="9356" w:type="dxa"/>
                  <w:gridSpan w:val="9"/>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r>
          </w:tbl>
          <w:bookmarkEnd w:id="16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0" w:name="tbl-variables"/>
          <w:p>
            <w:pPr>
              <w:jc w:val="center"/>
            </w:pPr>
            <w:pPr>
              <w:jc w:val="start"/>
              <w:spacing w:before="200"/>
              <w:pStyle w:val="ImageCaption"/>
            </w:pPr>
            <w:r>
              <w:t xml:space="preserve">Table 2: 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Look w:firstRow="1" w:lastRow="0" w:firstColumn="0" w:lastColumn="0" w:noHBand="0" w:noVBand="0" w:val="0020"/>
              <w:tblW w:w="9354" w:type="dxa"/>
              <w:tblLayout w:type="fixed"/>
            </w:tblPr>
            <w:tblGrid>
              <w:gridCol w:w="1800"/>
              <w:gridCol w:w="2518"/>
              <w:gridCol w:w="2518"/>
              <w:gridCol w:w="2518"/>
            </w:tblGrid>
            <w:tr>
              <w:trPr>
                <w:tblHeader w:val="on"/>
                <w:trHeight w:val="397" w:hRule="exact"/>
              </w:trPr>
              <w:tc>
                <w:tcPr>
                  <w:tcW w:w="1800" w:type="dxa"/>
                  <w:vAlign w:val="center"/>
                </w:tcPr>
                <w:p>
                  <w:pPr>
                    <w:pStyle w:val="Compact"/>
                    <w:jc w:val="left"/>
                    <w:rPr>
                      <w:sz w:val="16"/>
                      <w:szCs w:val="16"/>
                    </w:rPr>
                  </w:pPr>
                  <w:r>
                    <w:rPr>
                      <w:b/>
                      <w:sz w:val="16"/>
                      <w:szCs w:val="16"/>
                    </w:rPr>
                    <w:t xml:space="preserve">Variable</w:t>
                  </w:r>
                </w:p>
              </w:tc>
              <w:tc>
                <w:tcPr>
                  <w:tcW w:w="2518" w:type="dxa"/>
                  <w:vAlign w:val="center"/>
                </w:tcPr>
                <w:p>
                  <w:pPr>
                    <w:pStyle w:val="Compact"/>
                    <w:jc w:val="left"/>
                    <w:rPr>
                      <w:sz w:val="16"/>
                      <w:szCs w:val="16"/>
                    </w:rPr>
                  </w:pPr>
                  <w:r>
                    <w:rPr>
                      <w:b/>
                      <w:sz w:val="16"/>
                      <w:szCs w:val="16"/>
                    </w:rPr>
                    <w:t xml:space="preserve">Pathway</w:t>
                  </w:r>
                </w:p>
              </w:tc>
              <w:tc>
                <w:tcPr>
                  <w:tcW w:w="2518" w:type="dxa"/>
                  <w:vAlign w:val="center"/>
                </w:tcPr>
                <w:p>
                  <w:pPr>
                    <w:pStyle w:val="Compact"/>
                    <w:jc w:val="left"/>
                    <w:rPr>
                      <w:sz w:val="16"/>
                      <w:szCs w:val="16"/>
                    </w:rPr>
                  </w:pPr>
                  <w:r>
                    <w:rPr>
                      <w:b/>
                      <w:sz w:val="16"/>
                      <w:szCs w:val="16"/>
                    </w:rPr>
                    <w:t xml:space="preserve">Expected</w:t>
                  </w:r>
                </w:p>
              </w:tc>
              <w:tc>
                <w:tcPr>
                  <w:tcW w:w="2518" w:type="dxa"/>
                  <w:vAlign w:val="center"/>
                </w:tcPr>
                <w:p>
                  <w:pPr>
                    <w:pStyle w:val="Compact"/>
                    <w:jc w:val="left"/>
                    <w:rPr>
                      <w:sz w:val="16"/>
                      <w:szCs w:val="16"/>
                    </w:rPr>
                  </w:pPr>
                  <w:r>
                    <w:rPr>
                      <w:b/>
                      <w:sz w:val="16"/>
                      <w:szCs w:val="16"/>
                    </w:rPr>
                    <w:t xml:space="preserve">Univariate AUC</w:t>
                  </w:r>
                </w:p>
              </w:tc>
            </w:tr>
            <w:tr>
              <w:trPr>
                <w:trHeight w:val="624" w:hRule="exact"/>
              </w:trPr>
              <w:tc>
                <w:tcPr>
                  <w:tcW w:w="1800" w:type="dxa"/>
                  <w:vAlign w:val="center"/>
                </w:tcPr>
                <w:p>
                  <w:pPr>
                    <w:pStyle w:val="Compact"/>
                    <w:jc w:val="left"/>
                    <w:rPr>
                      <w:sz w:val="16"/>
                      <w:szCs w:val="16"/>
                    </w:rPr>
                  </w:pPr>
                  <w:r>
                    <w:rPr>
                      <w:sz w:val="16"/>
                      <w:szCs w:val="16"/>
                    </w:rPr>
                    <w:t xml:space="preserve">Elevation (m)</w:t>
                  </w:r>
                </w:p>
              </w:tc>
              <w:tc>
                <w:tcPr>
                  <w:tcW w:w="2518" w:type="dxa"/>
                  <w:vAlign w:val="center"/>
                </w:tcPr>
                <w:p>
                  <w:pPr>
                    <w:pStyle w:val="Compact"/>
                    <w:jc w:val="left"/>
                    <w:rPr>
                      <w:sz w:val="16"/>
                      <w:szCs w:val="16"/>
                    </w:rPr>
                  </w:pPr>
                  <w:r>
                    <w:rPr>
                      <w:sz w:val="16"/>
                      <w:szCs w:val="16"/>
                    </w:rPr>
                    <w:t xml:space="preserve">Landform</w:t>
                  </w:r>
                </w:p>
              </w:tc>
              <w:tc>
                <w:tcPr>
                  <w:tcW w:w="2518" w:type="dxa"/>
                  <w:vAlign w:val="center"/>
                </w:tcPr>
                <w:p>
                  <w:pPr>
                    <w:pStyle w:val="Compact"/>
                    <w:jc w:val="left"/>
                    <w:rPr>
                      <w:sz w:val="16"/>
                      <w:szCs w:val="16"/>
                    </w:rPr>
                  </w:pPr>
                  <w:r>
                    <w:rPr>
                      <w:sz w:val="16"/>
                      <w:szCs w:val="16"/>
                    </w:rPr>
                    <w:t xml:space="preserve">uncertain</w:t>
                  </w:r>
                </w:p>
              </w:tc>
              <w:tc>
                <w:tcPr>
                  <w:tcW w:w="2518" w:type="dxa"/>
                  <w:vAlign w:val="center"/>
                </w:tcPr>
                <w:p>
                  <w:pPr>
                    <w:pStyle w:val="Compact"/>
                    <w:jc w:val="left"/>
                    <w:rPr>
                      <w:sz w:val="16"/>
                      <w:szCs w:val="16"/>
                    </w:rPr>
                  </w:pPr>
                  <w:r>
                    <w:rPr>
                      <w:sz w:val="16"/>
                      <w:szCs w:val="16"/>
                    </w:rPr>
                    <w:t xml:space="preserve">0.682****</w:t>
                  </w:r>
                </w:p>
              </w:tc>
            </w:tr>
            <w:tr>
              <w:trPr>
                <w:trHeight w:val="624" w:hRule="exact"/>
              </w:trPr>
              <w:tc>
                <w:tcPr>
                  <w:tcW w:w="1800" w:type="dxa"/>
                  <w:vAlign w:val="center"/>
                </w:tcPr>
                <w:p>
                  <w:pPr>
                    <w:pStyle w:val="Compact"/>
                    <w:jc w:val="left"/>
                    <w:rPr>
                      <w:sz w:val="16"/>
                      <w:szCs w:val="16"/>
                    </w:rPr>
                  </w:pPr>
                  <w:r>
                    <w:rPr>
                      <w:sz w:val="16"/>
                      <w:szCs w:val="16"/>
                    </w:rPr>
                    <w:t xml:space="preserve">Susceptible pine BA (m² ha⁻¹)</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0.678****</w:t>
                  </w:r>
                </w:p>
              </w:tc>
            </w:tr>
            <w:tr>
              <w:trPr>
                <w:trHeight w:val="624" w:hRule="exact"/>
              </w:trPr>
              <w:tc>
                <w:tcPr>
                  <w:tcW w:w="1800" w:type="dxa"/>
                  <w:vAlign w:val="center"/>
                </w:tcPr>
                <w:p>
                  <w:pPr>
                    <w:pStyle w:val="Compact"/>
                    <w:jc w:val="left"/>
                    <w:rPr>
                      <w:sz w:val="16"/>
                      <w:szCs w:val="16"/>
                    </w:rPr>
                  </w:pPr>
                  <w:r>
                    <w:rPr>
                      <w:sz w:val="16"/>
                      <w:szCs w:val="16"/>
                    </w:rPr>
                    <w:t xml:space="preserve">Stand basal area (m² ha⁻¹)</w:t>
                  </w:r>
                </w:p>
              </w:tc>
              <w:tc>
                <w:tcPr>
                  <w:tcW w:w="2518" w:type="dxa"/>
                  <w:vAlign w:val="center"/>
                </w:tcPr>
                <w:p>
                  <w:pPr>
                    <w:pStyle w:val="Compact"/>
                    <w:jc w:val="left"/>
                    <w:rPr>
                      <w:sz w:val="16"/>
                      <w:szCs w:val="16"/>
                    </w:rPr>
                  </w:pPr>
                  <w:r>
                    <w:rPr>
                      <w:sz w:val="16"/>
                      <w:szCs w:val="16"/>
                    </w:rPr>
                    <w:t xml:space="preserve">Stand density</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0.601****</w:t>
                  </w:r>
                </w:p>
              </w:tc>
            </w:tr>
            <w:tr>
              <w:trPr>
                <w:trHeight w:val="624" w:hRule="exact"/>
              </w:trPr>
              <w:tc>
                <w:tcPr>
                  <w:tcW w:w="1800" w:type="dxa"/>
                  <w:vAlign w:val="center"/>
                </w:tcPr>
                <w:p>
                  <w:pPr>
                    <w:pStyle w:val="Compact"/>
                    <w:jc w:val="left"/>
                    <w:rPr>
                      <w:sz w:val="16"/>
                      <w:szCs w:val="16"/>
                    </w:rPr>
                  </w:pPr>
                  <w:r>
                    <w:rPr>
                      <w:sz w:val="16"/>
                      <w:szCs w:val="16"/>
                    </w:rPr>
                    <w:t xml:space="preserve">Sky view factor</w:t>
                  </w:r>
                </w:p>
              </w:tc>
              <w:tc>
                <w:tcPr>
                  <w:tcW w:w="2518" w:type="dxa"/>
                  <w:vAlign w:val="center"/>
                </w:tcPr>
                <w:p>
                  <w:pPr>
                    <w:pStyle w:val="Compact"/>
                    <w:jc w:val="left"/>
                    <w:rPr>
                      <w:sz w:val="16"/>
                      <w:szCs w:val="16"/>
                    </w:rPr>
                  </w:pPr>
                  <w:r>
                    <w:rPr>
                      <w:sz w:val="16"/>
                      <w:szCs w:val="16"/>
                    </w:rPr>
                    <w:t xml:space="preserve">Topographic shading</w:t>
                  </w:r>
                </w:p>
              </w:tc>
              <w:tc>
                <w:tcPr>
                  <w:tcW w:w="2518" w:type="dxa"/>
                  <w:vAlign w:val="center"/>
                </w:tcPr>
                <w:p>
                  <w:pPr>
                    <w:pStyle w:val="Compact"/>
                    <w:jc w:val="left"/>
                    <w:rPr>
                      <w:sz w:val="16"/>
                      <w:szCs w:val="16"/>
                    </w:rPr>
                  </w:pPr>
                  <w:r>
                    <w:rPr>
                      <w:sz w:val="16"/>
                      <w:szCs w:val="16"/>
                    </w:rPr>
                    <w:t xml:space="preserve">positive, as main effect</w:t>
                  </w:r>
                </w:p>
              </w:tc>
              <w:tc>
                <w:tcPr>
                  <w:tcW w:w="2518" w:type="dxa"/>
                  <w:vAlign w:val="center"/>
                </w:tcPr>
                <w:p>
                  <w:pPr>
                    <w:pStyle w:val="Compact"/>
                    <w:jc w:val="left"/>
                    <w:rPr>
                      <w:sz w:val="16"/>
                      <w:szCs w:val="16"/>
                    </w:rPr>
                  </w:pPr>
                  <w:r>
                    <w:rPr>
                      <w:sz w:val="16"/>
                      <w:szCs w:val="16"/>
                    </w:rPr>
                    <w:t xml:space="preserve">0.686****</w:t>
                  </w:r>
                </w:p>
              </w:tc>
            </w:tr>
            <w:tr>
              <w:trPr>
                <w:trHeight w:val="624" w:hRule="exact"/>
              </w:trPr>
              <w:tc>
                <w:tcPr>
                  <w:tcW w:w="1800" w:type="dxa"/>
                  <w:vAlign w:val="center"/>
                </w:tcPr>
                <w:p>
                  <w:pPr>
                    <w:pStyle w:val="Compact"/>
                    <w:jc w:val="left"/>
                    <w:rPr>
                      <w:sz w:val="16"/>
                      <w:szCs w:val="16"/>
                    </w:rPr>
                  </w:pPr>
                  <w:r>
                    <w:rPr>
                      <w:sz w:val="16"/>
                      <w:szCs w:val="16"/>
                    </w:rPr>
                    <w:t xml:space="preserve">Stand age (years)</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0.571****</w:t>
                  </w:r>
                </w:p>
              </w:tc>
            </w:tr>
            <w:tr>
              <w:trPr>
                <w:trHeight w:val="624" w:hRule="exact"/>
              </w:trPr>
              <w:tc>
                <w:tcPr>
                  <w:tcW w:w="1800" w:type="dxa"/>
                  <w:vAlign w:val="center"/>
                </w:tcPr>
                <w:p>
                  <w:pPr>
                    <w:pStyle w:val="Compact"/>
                    <w:jc w:val="left"/>
                    <w:rPr>
                      <w:sz w:val="16"/>
                      <w:szCs w:val="16"/>
                    </w:rPr>
                  </w:pPr>
                  <w:r>
                    <w:rPr>
                      <w:sz w:val="16"/>
                      <w:szCs w:val="16"/>
                    </w:rPr>
                    <w:t xml:space="preserve">July mean wind (km/h)</w:t>
                  </w:r>
                </w:p>
              </w:tc>
              <w:tc>
                <w:tcPr>
                  <w:tcW w:w="2518" w:type="dxa"/>
                  <w:vAlign w:val="center"/>
                </w:tcPr>
                <w:p>
                  <w:pPr>
                    <w:pStyle w:val="Compact"/>
                    <w:jc w:val="left"/>
                    <w:rPr>
                      <w:sz w:val="16"/>
                      <w:szCs w:val="16"/>
                    </w:rPr>
                  </w:pPr>
                  <w:r>
                    <w:rPr>
                      <w:sz w:val="16"/>
                      <w:szCs w:val="16"/>
                    </w:rPr>
                    <w:t xml:space="preserve">Flight-window wind, stations</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0.563****</w:t>
                  </w:r>
                </w:p>
              </w:tc>
            </w:tr>
            <w:tr>
              <w:trPr>
                <w:trHeight w:val="624" w:hRule="exact"/>
              </w:trPr>
              <w:tc>
                <w:tcPr>
                  <w:tcW w:w="1800" w:type="dxa"/>
                  <w:vAlign w:val="center"/>
                </w:tcPr>
                <w:p>
                  <w:pPr>
                    <w:pStyle w:val="Compact"/>
                    <w:jc w:val="left"/>
                    <w:rPr>
                      <w:sz w:val="16"/>
                      <w:szCs w:val="16"/>
                    </w:rPr>
                  </w:pPr>
                  <w:r>
                    <w:rPr>
                      <w:sz w:val="16"/>
                      <w:szCs w:val="16"/>
                    </w:rPr>
                    <w:t xml:space="preserve">Northness</w:t>
                  </w:r>
                </w:p>
              </w:tc>
              <w:tc>
                <w:tcPr>
                  <w:tcW w:w="2518" w:type="dxa"/>
                  <w:vAlign w:val="center"/>
                </w:tcPr>
                <w:p>
                  <w:pPr>
                    <w:pStyle w:val="Compact"/>
                    <w:jc w:val="left"/>
                    <w:rPr>
                      <w:sz w:val="16"/>
                      <w:szCs w:val="16"/>
                    </w:rPr>
                  </w:pPr>
                  <w:r>
                    <w:rPr>
                      <w:sz w:val="16"/>
                      <w:szCs w:val="16"/>
                    </w:rPr>
                    <w:t xml:space="preserve">Topographic shading</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0.586****</w:t>
                  </w:r>
                </w:p>
              </w:tc>
            </w:tr>
            <w:tr>
              <w:trPr>
                <w:trHeight w:val="624" w:hRule="exact"/>
              </w:trPr>
              <w:tc>
                <w:tcPr>
                  <w:tcW w:w="1800" w:type="dxa"/>
                  <w:vAlign w:val="center"/>
                </w:tcPr>
                <w:p>
                  <w:pPr>
                    <w:pStyle w:val="Compact"/>
                    <w:jc w:val="left"/>
                    <w:rPr>
                      <w:sz w:val="16"/>
                      <w:szCs w:val="16"/>
                    </w:rPr>
                  </w:pPr>
                  <w:r>
                    <w:rPr>
                      <w:sz w:val="16"/>
                      <w:szCs w:val="16"/>
                    </w:rPr>
                    <w:t xml:space="preserve">Quadratic mean diameter (cm)</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 above 25 cm</w:t>
                  </w:r>
                </w:p>
              </w:tc>
              <w:tc>
                <w:tcPr>
                  <w:tcW w:w="2518" w:type="dxa"/>
                  <w:vAlign w:val="center"/>
                </w:tcPr>
                <w:p>
                  <w:pPr>
                    <w:pStyle w:val="Compact"/>
                    <w:jc w:val="left"/>
                    <w:rPr>
                      <w:sz w:val="16"/>
                      <w:szCs w:val="16"/>
                    </w:rPr>
                  </w:pPr>
                  <w:r>
                    <w:rPr>
                      <w:sz w:val="16"/>
                      <w:szCs w:val="16"/>
                    </w:rPr>
                    <w:t xml:space="preserve">0.510****</w:t>
                  </w:r>
                </w:p>
              </w:tc>
            </w:tr>
            <w:tr>
              <w:trPr>
                <w:trHeight w:val="624" w:hRule="exact"/>
              </w:trPr>
              <w:tc>
                <w:tcPr>
                  <w:tcW w:w="1800" w:type="dxa"/>
                  <w:vAlign w:val="center"/>
                </w:tcPr>
                <w:p>
                  <w:pPr>
                    <w:pStyle w:val="Compact"/>
                    <w:jc w:val="left"/>
                    <w:rPr>
                      <w:sz w:val="16"/>
                      <w:szCs w:val="16"/>
                    </w:rPr>
                  </w:pPr>
                  <w:r>
                    <w:rPr>
                      <w:sz w:val="16"/>
                      <w:szCs w:val="16"/>
                    </w:rPr>
                    <w:t xml:space="preserve">June mean wind (km/h)</w:t>
                  </w:r>
                </w:p>
              </w:tc>
              <w:tc>
                <w:tcPr>
                  <w:tcW w:w="2518" w:type="dxa"/>
                  <w:vAlign w:val="center"/>
                </w:tcPr>
                <w:p>
                  <w:pPr>
                    <w:pStyle w:val="Compact"/>
                    <w:jc w:val="left"/>
                    <w:rPr>
                      <w:sz w:val="16"/>
                      <w:szCs w:val="16"/>
                    </w:rPr>
                  </w:pPr>
                  <w:r>
                    <w:rPr>
                      <w:sz w:val="16"/>
                      <w:szCs w:val="16"/>
                    </w:rPr>
                    <w:t xml:space="preserve">Flight-window wind, stations</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0.534****</w:t>
                  </w:r>
                </w:p>
              </w:tc>
            </w:tr>
            <w:tr>
              <w:trPr>
                <w:trHeight w:val="624" w:hRule="exact"/>
              </w:trPr>
              <w:tc>
                <w:tcPr>
                  <w:tcW w:w="1800" w:type="dxa"/>
                  <w:vAlign w:val="center"/>
                </w:tcPr>
                <w:p>
                  <w:pPr>
                    <w:pStyle w:val="Compact"/>
                    <w:jc w:val="left"/>
                    <w:rPr>
                      <w:sz w:val="16"/>
                      <w:szCs w:val="16"/>
                    </w:rPr>
                  </w:pPr>
                  <w:r>
                    <w:rPr>
                      <w:sz w:val="16"/>
                      <w:szCs w:val="16"/>
                    </w:rPr>
                    <w:t xml:space="preserve">Wind shelter index</w:t>
                  </w:r>
                </w:p>
              </w:tc>
              <w:tc>
                <w:tcPr>
                  <w:tcW w:w="2518" w:type="dxa"/>
                  <w:vAlign w:val="center"/>
                </w:tcPr>
                <w:p>
                  <w:pPr>
                    <w:pStyle w:val="Compact"/>
                    <w:jc w:val="left"/>
                    <w:rPr>
                      <w:sz w:val="16"/>
                      <w:szCs w:val="16"/>
                    </w:rPr>
                  </w:pPr>
                  <w:r>
                    <w:rPr>
                      <w:sz w:val="16"/>
                      <w:szCs w:val="16"/>
                    </w:rPr>
                    <w:t xml:space="preserve">Terrain exposure to wind</w:t>
                  </w:r>
                </w:p>
              </w:tc>
              <w:tc>
                <w:tcPr>
                  <w:tcW w:w="2518" w:type="dxa"/>
                  <w:vAlign w:val="center"/>
                </w:tcPr>
                <w:p>
                  <w:pPr>
                    <w:pStyle w:val="Compact"/>
                    <w:jc w:val="left"/>
                    <w:rPr>
                      <w:sz w:val="16"/>
                      <w:szCs w:val="16"/>
                    </w:rPr>
                  </w:pPr>
                  <w:r>
                    <w:rPr>
                      <w:sz w:val="16"/>
                      <w:szCs w:val="16"/>
                    </w:rPr>
                    <w:t xml:space="preserve">negative, the index rising windward</w:t>
                  </w:r>
                </w:p>
              </w:tc>
              <w:tc>
                <w:tcPr>
                  <w:tcW w:w="2518" w:type="dxa"/>
                  <w:vAlign w:val="center"/>
                </w:tcPr>
                <w:p>
                  <w:pPr>
                    <w:pStyle w:val="Compact"/>
                    <w:jc w:val="left"/>
                    <w:rPr>
                      <w:sz w:val="16"/>
                      <w:szCs w:val="16"/>
                    </w:rPr>
                  </w:pPr>
                  <w:r>
                    <w:rPr>
                      <w:sz w:val="16"/>
                      <w:szCs w:val="16"/>
                    </w:rPr>
                    <w:t xml:space="preserve">0.526****</w:t>
                  </w:r>
                </w:p>
              </w:tc>
            </w:tr>
            <w:tr>
              <w:trPr>
                <w:trHeight w:val="624" w:hRule="exact"/>
              </w:trPr>
              <w:tc>
                <w:tcPr>
                  <w:tcW w:w="1800" w:type="dxa"/>
                  <w:vAlign w:val="center"/>
                </w:tcPr>
                <w:p>
                  <w:pPr>
                    <w:pStyle w:val="Compact"/>
                    <w:jc w:val="left"/>
                    <w:rPr>
                      <w:sz w:val="16"/>
                      <w:szCs w:val="16"/>
                    </w:rPr>
                  </w:pPr>
                  <w:r>
                    <w:rPr>
                      <w:sz w:val="16"/>
                      <w:szCs w:val="16"/>
                    </w:rPr>
                    <w:t xml:space="preserve">MicroMet flight-window wind (km/h)</w:t>
                  </w:r>
                </w:p>
              </w:tc>
              <w:tc>
                <w:tcPr>
                  <w:tcW w:w="2518" w:type="dxa"/>
                  <w:vAlign w:val="center"/>
                </w:tcPr>
                <w:p>
                  <w:pPr>
                    <w:pStyle w:val="Compact"/>
                    <w:jc w:val="left"/>
                    <w:rPr>
                      <w:sz w:val="16"/>
                      <w:szCs w:val="16"/>
                    </w:rPr>
                  </w:pPr>
                  <w:r>
                    <w:rPr>
                      <w:sz w:val="16"/>
                      <w:szCs w:val="16"/>
                    </w:rPr>
                    <w:t xml:space="preserve">Flight-window wind, terrain-resolved</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0.580****</w:t>
                  </w:r>
                </w:p>
              </w:tc>
            </w:tr>
            <w:tr>
              <w:trPr>
                <w:trHeight w:val="624" w:hRule="exact"/>
              </w:trPr>
              <w:tc>
                <w:tcPr>
                  <w:tcW w:w="1800" w:type="dxa"/>
                  <w:vAlign w:val="center"/>
                </w:tcPr>
                <w:p>
                  <w:pPr>
                    <w:pStyle w:val="Compact"/>
                    <w:jc w:val="left"/>
                    <w:rPr>
                      <w:sz w:val="16"/>
                      <w:szCs w:val="16"/>
                    </w:rPr>
                  </w:pPr>
                  <w:r>
                    <w:rPr>
                      <w:sz w:val="16"/>
                      <w:szCs w:val="16"/>
                    </w:rPr>
                    <w:t xml:space="preserve">Topographic position index</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0.585****</w:t>
                  </w:r>
                </w:p>
              </w:tc>
            </w:tr>
            <w:tr>
              <w:trPr>
                <w:trHeight w:val="624" w:hRule="exact"/>
              </w:trPr>
              <w:tc>
                <w:tcPr>
                  <w:tcW w:w="1800" w:type="dxa"/>
                  <w:vAlign w:val="center"/>
                </w:tcPr>
                <w:p>
                  <w:pPr>
                    <w:pStyle w:val="Compact"/>
                    <w:jc w:val="left"/>
                    <w:rPr>
                      <w:sz w:val="16"/>
                      <w:szCs w:val="16"/>
                    </w:rPr>
                  </w:pPr>
                  <w:r>
                    <w:rPr>
                      <w:sz w:val="16"/>
                      <w:szCs w:val="16"/>
                    </w:rPr>
                    <w:t xml:space="preserve">Flight-window direct radiation (kWh/m2)</w:t>
                  </w:r>
                </w:p>
              </w:tc>
              <w:tc>
                <w:tcPr>
                  <w:tcW w:w="2518" w:type="dxa"/>
                  <w:vAlign w:val="center"/>
                </w:tcPr>
                <w:p>
                  <w:pPr>
                    <w:pStyle w:val="Compact"/>
                    <w:jc w:val="left"/>
                    <w:rPr>
                      <w:sz w:val="16"/>
                      <w:szCs w:val="16"/>
                    </w:rPr>
                  </w:pPr>
                  <w:r>
                    <w:rPr>
                      <w:sz w:val="16"/>
                      <w:szCs w:val="16"/>
                    </w:rPr>
                    <w:t xml:space="preserve">Flight-window radiation</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0.561****</w:t>
                  </w:r>
                </w:p>
              </w:tc>
            </w:tr>
            <w:tr>
              <w:trPr>
                <w:trHeight w:val="624" w:hRule="exact"/>
              </w:trPr>
              <w:tc>
                <w:tcPr>
                  <w:tcW w:w="1800" w:type="dxa"/>
                  <w:vAlign w:val="center"/>
                </w:tcPr>
                <w:p>
                  <w:pPr>
                    <w:pStyle w:val="Compact"/>
                    <w:jc w:val="left"/>
                    <w:rPr>
                      <w:sz w:val="16"/>
                      <w:szCs w:val="16"/>
                    </w:rPr>
                  </w:pPr>
                  <w:r>
                    <w:rPr>
                      <w:sz w:val="16"/>
                      <w:szCs w:val="16"/>
                    </w:rPr>
                    <w:t xml:space="preserve">Convergence index</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0.530****</w:t>
                  </w:r>
                </w:p>
              </w:tc>
            </w:tr>
            <w:tr>
              <w:trPr>
                <w:trHeight w:val="624" w:hRule="exact"/>
              </w:trPr>
              <w:tc>
                <w:tcPr>
                  <w:tcW w:w="1800" w:type="dxa"/>
                  <w:vAlign w:val="center"/>
                </w:tcPr>
                <w:p>
                  <w:pPr>
                    <w:pStyle w:val="Compact"/>
                    <w:jc w:val="left"/>
                    <w:rPr>
                      <w:sz w:val="16"/>
                      <w:szCs w:val="16"/>
                    </w:rPr>
                  </w:pPr>
                  <w:r>
                    <w:rPr>
                      <w:sz w:val="16"/>
                      <w:szCs w:val="16"/>
                    </w:rPr>
                    <w:t xml:space="preserve">Profile curvature</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0.514****</w:t>
                  </w:r>
                </w:p>
              </w:tc>
            </w:tr>
          </w:tbl>
          <w:bookmarkEnd w:id="17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1" w:name="tbl-aic"/>
          <w:p>
            <w:pPr>
              <w:jc w:val="center"/>
            </w:pPr>
            <w:pPr>
              <w:jc w:val="start"/>
              <w:spacing w:before="200"/>
              <w:pStyle w:val="ImageCaption"/>
            </w:pPr>
            <w:r>
              <w:t xml:space="preserve">Table 3: Comparison of the four annual models, each adding one mechanism to the one before.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2447"/>
              <w:gridCol w:w="1151"/>
              <w:gridCol w:w="1151"/>
              <w:gridCol w:w="1151"/>
              <w:gridCol w:w="1151"/>
              <w:gridCol w:w="1151"/>
              <w:gridCol w:w="1152"/>
            </w:tblGrid>
            <w:tr>
              <w:trPr>
                <w:tblHeader w:val="on"/>
                <w:trHeight w:val="567" w:hRule="auto"/>
              </w:trPr>
              <w:tc>
                <w:tcPr>
                  <w:tcW w:w="2447" w:type="dxa"/>
                  <w:vAlign w:val="center"/>
                </w:tcPr>
                <w:p>
                  <w:pPr>
                    <w:pStyle w:val="Compact"/>
                    <w:jc w:val="left"/>
                    <w:rPr>
                      <w:sz w:val="16"/>
                      <w:szCs w:val="16"/>
                    </w:rPr>
                  </w:pPr>
                  <w:r>
                    <w:rPr>
                      <w:b/>
                      <w:sz w:val="16"/>
                      <w:szCs w:val="16"/>
                    </w:rPr>
                    <w:t xml:space="preserve">Model</w:t>
                  </w:r>
                </w:p>
              </w:tc>
              <w:tc>
                <w:tcPr>
                  <w:tcW w:w="1151" w:type="dxa"/>
                  <w:vAlign w:val="center"/>
                </w:tcPr>
                <w:p>
                  <w:pPr>
                    <w:pStyle w:val="Compact"/>
                    <w:jc w:val="left"/>
                    <w:rPr>
                      <w:sz w:val="16"/>
                      <w:szCs w:val="16"/>
                    </w:rPr>
                  </w:pPr>
                  <w:r>
                    <w:rPr>
                      <w:b/>
                      <w:sz w:val="16"/>
                      <w:szCs w:val="16"/>
                    </w:rPr>
                    <w:t xml:space="preserve">AIC</w:t>
                  </w:r>
                </w:p>
              </w:tc>
              <w:tc>
                <w:tcPr>
                  <w:tcW w:w="1151" w:type="dxa"/>
                  <w:vAlign w:val="center"/>
                </w:tcPr>
                <w:p>
                  <w:pPr>
                    <w:pStyle w:val="Compact"/>
                    <w:jc w:val="left"/>
                    <w:rPr>
                      <w:sz w:val="16"/>
                      <w:szCs w:val="16"/>
                    </w:rPr>
                  </w:pPr>
                  <w:r>
                    <w:rPr>
                      <w:b/>
                      <w:sz w:val="16"/>
                      <w:szCs w:val="16"/>
                    </w:rPr>
                    <w:t xml:space="preserve">ΔAIC</w:t>
                  </w:r>
                </w:p>
              </w:tc>
              <w:tc>
                <w:tcPr>
                  <w:tcW w:w="1151" w:type="dxa"/>
                  <w:vAlign w:val="center"/>
                </w:tcPr>
                <w:p>
                  <w:pPr>
                    <w:pStyle w:val="Compact"/>
                    <w:jc w:val="left"/>
                    <w:rPr>
                      <w:sz w:val="16"/>
                      <w:szCs w:val="16"/>
                    </w:rPr>
                  </w:pPr>
                  <w:r>
                    <w:rPr>
                      <w:b/>
                      <w:sz w:val="16"/>
                      <w:szCs w:val="16"/>
                    </w:rPr>
                    <w:t xml:space="preserve">RMSE</w:t>
                  </w:r>
                </w:p>
              </w:tc>
              <w:tc>
                <w:tcPr>
                  <w:tcW w:w="1151" w:type="dxa"/>
                  <w:vAlign w:val="center"/>
                </w:tcPr>
                <w:p>
                  <w:pPr>
                    <w:pStyle w:val="Compact"/>
                    <w:jc w:val="left"/>
                    <w:rPr>
                      <w:sz w:val="16"/>
                      <w:szCs w:val="16"/>
                    </w:rPr>
                  </w:pPr>
                  <w:r>
                    <w:rPr>
                      <w:b/>
                      <w:sz w:val="16"/>
                      <w:szCs w:val="16"/>
                    </w:rPr>
                    <w:t xml:space="preserve">MAE</w:t>
                  </w:r>
                </w:p>
              </w:tc>
              <w:tc>
                <w:tcPr>
                  <w:tcW w:w="1151" w:type="dxa"/>
                  <w:vAlign w:val="center"/>
                </w:tcPr>
                <w:p>
                  <w:pPr>
                    <w:pStyle w:val="Compact"/>
                    <w:jc w:val="left"/>
                    <w:rPr>
                      <w:sz w:val="16"/>
                      <w:szCs w:val="16"/>
                    </w:rPr>
                  </w:pPr>
                  <w:r>
                    <w:rPr>
                      <w:b/>
                      <w:sz w:val="16"/>
                      <w:szCs w:val="16"/>
                    </w:rPr>
                    <w:t xml:space="preserve">AUC</w:t>
                  </w:r>
                </w:p>
              </w:tc>
              <w:tc>
                <w:tcPr>
                  <w:tcW w:w="1152" w:type="dxa"/>
                  <w:vAlign w:val="center"/>
                </w:tcPr>
                <w:p>
                  <w:pPr>
                    <w:pStyle w:val="Compact"/>
                    <w:jc w:val="left"/>
                    <w:rPr>
                      <w:sz w:val="16"/>
                      <w:szCs w:val="16"/>
                    </w:rPr>
                  </w:pPr>
                  <w:r>
                    <w:rPr>
                      <w:b/>
                      <w:sz w:val="16"/>
                      <w:szCs w:val="16"/>
                    </w:rPr>
                    <w:t xml:space="preserve">Brier skill</w:t>
                  </w:r>
                </w:p>
              </w:tc>
            </w:tr>
            <w:tr>
              <w:trPr>
                <w:trHeight w:val="397" w:hRule="auto"/>
              </w:trPr>
              <w:tc>
                <w:tcPr>
                  <w:tcW w:w="2447" w:type="dxa"/>
                  <w:vAlign w:val="center"/>
                </w:tcPr>
                <w:p>
                  <w:pPr>
                    <w:pStyle w:val="Compact"/>
                    <w:jc w:val="left"/>
                    <w:rPr>
                      <w:sz w:val="16"/>
                      <w:szCs w:val="16"/>
                    </w:rPr>
                  </w:pPr>
                  <w:r>
                    <w:rPr>
                      <w:sz w:val="16"/>
                      <w:szCs w:val="16"/>
                    </w:rPr>
                    <w:t xml:space="preserve">M0 host size, shading, terrain</w:t>
                  </w:r>
                </w:p>
              </w:tc>
              <w:tc>
                <w:tcPr>
                  <w:tcW w:w="1151" w:type="dxa"/>
                  <w:vAlign w:val="center"/>
                </w:tcPr>
                <w:p>
                  <w:pPr>
                    <w:pStyle w:val="Compact"/>
                    <w:jc w:val="left"/>
                    <w:rPr>
                      <w:sz w:val="16"/>
                      <w:szCs w:val="16"/>
                    </w:rPr>
                  </w:pPr>
                  <w:r>
                    <w:rPr>
                      <w:sz w:val="16"/>
                      <w:szCs w:val="16"/>
                    </w:rPr>
                    <w:t xml:space="preserve">41,269</w:t>
                  </w:r>
                </w:p>
              </w:tc>
              <w:tc>
                <w:tcPr>
                  <w:tcW w:w="1151" w:type="dxa"/>
                  <w:vAlign w:val="center"/>
                </w:tcPr>
                <w:p>
                  <w:pPr>
                    <w:pStyle w:val="Compact"/>
                    <w:jc w:val="left"/>
                    <w:rPr>
                      <w:sz w:val="16"/>
                      <w:szCs w:val="16"/>
                    </w:rPr>
                  </w:pPr>
                  <w:r>
                    <w:rPr>
                      <w:sz w:val="16"/>
                      <w:szCs w:val="16"/>
                    </w:rPr>
                    <w:t xml:space="preserve">1,182</w:t>
                  </w:r>
                </w:p>
              </w:tc>
              <w:tc>
                <w:tcPr>
                  <w:tcW w:w="1151" w:type="dxa"/>
                  <w:vAlign w:val="center"/>
                </w:tcPr>
                <w:p>
                  <w:pPr>
                    <w:pStyle w:val="Compact"/>
                    <w:jc w:val="left"/>
                    <w:rPr>
                      <w:sz w:val="16"/>
                      <w:szCs w:val="16"/>
                    </w:rPr>
                  </w:pPr>
                  <w:r>
                    <w:rPr>
                      <w:sz w:val="16"/>
                      <w:szCs w:val="16"/>
                    </w:rPr>
                    <w:t xml:space="preserve">0.396</w:t>
                  </w:r>
                </w:p>
              </w:tc>
              <w:tc>
                <w:tcPr>
                  <w:tcW w:w="1151" w:type="dxa"/>
                  <w:vAlign w:val="center"/>
                </w:tcPr>
                <w:p>
                  <w:pPr>
                    <w:pStyle w:val="Compact"/>
                    <w:jc w:val="left"/>
                    <w:rPr>
                      <w:sz w:val="16"/>
                      <w:szCs w:val="16"/>
                    </w:rPr>
                  </w:pPr>
                  <w:r>
                    <w:rPr>
                      <w:sz w:val="16"/>
                      <w:szCs w:val="16"/>
                    </w:rPr>
                    <w:t xml:space="preserve">0.315</w:t>
                  </w:r>
                </w:p>
              </w:tc>
              <w:tc>
                <w:tcPr>
                  <w:tcW w:w="1151" w:type="dxa"/>
                  <w:vAlign w:val="center"/>
                </w:tcPr>
                <w:p>
                  <w:pPr>
                    <w:pStyle w:val="Compact"/>
                    <w:jc w:val="left"/>
                    <w:rPr>
                      <w:sz w:val="16"/>
                      <w:szCs w:val="16"/>
                    </w:rPr>
                  </w:pPr>
                  <w:r>
                    <w:rPr>
                      <w:sz w:val="16"/>
                      <w:szCs w:val="16"/>
                    </w:rPr>
                    <w:t xml:space="preserve">0.758</w:t>
                  </w:r>
                </w:p>
              </w:tc>
              <w:tc>
                <w:tcPr>
                  <w:tcW w:w="1152" w:type="dxa"/>
                  <w:vAlign w:val="center"/>
                </w:tcPr>
                <w:p>
                  <w:pPr>
                    <w:pStyle w:val="Compact"/>
                    <w:jc w:val="left"/>
                    <w:rPr>
                      <w:sz w:val="16"/>
                      <w:szCs w:val="16"/>
                    </w:rPr>
                  </w:pPr>
                  <w:r>
                    <w:rPr>
                      <w:sz w:val="16"/>
                      <w:szCs w:val="16"/>
                    </w:rPr>
                    <w:t xml:space="preserve">0.166</w:t>
                  </w:r>
                </w:p>
              </w:tc>
            </w:tr>
            <w:tr>
              <w:trPr>
                <w:trHeight w:val="397" w:hRule="auto"/>
              </w:trPr>
              <w:tc>
                <w:tcPr>
                  <w:tcW w:w="2447" w:type="dxa"/>
                  <w:vAlign w:val="center"/>
                </w:tcPr>
                <w:p>
                  <w:pPr>
                    <w:pStyle w:val="Compact"/>
                    <w:jc w:val="left"/>
                    <w:rPr>
                      <w:sz w:val="16"/>
                      <w:szCs w:val="16"/>
                    </w:rPr>
                  </w:pPr>
                  <w:r>
                    <w:rPr>
                      <w:sz w:val="16"/>
                      <w:szCs w:val="16"/>
                    </w:rPr>
                    <w:t xml:space="preserve">M1 + stand density</w:t>
                  </w:r>
                </w:p>
              </w:tc>
              <w:tc>
                <w:tcPr>
                  <w:tcW w:w="1151" w:type="dxa"/>
                  <w:vAlign w:val="center"/>
                </w:tcPr>
                <w:p>
                  <w:pPr>
                    <w:pStyle w:val="Compact"/>
                    <w:jc w:val="left"/>
                    <w:rPr>
                      <w:sz w:val="16"/>
                      <w:szCs w:val="16"/>
                    </w:rPr>
                  </w:pPr>
                  <w:r>
                    <w:rPr>
                      <w:sz w:val="16"/>
                      <w:szCs w:val="16"/>
                    </w:rPr>
                    <w:t xml:space="preserve">40,971</w:t>
                  </w:r>
                </w:p>
              </w:tc>
              <w:tc>
                <w:tcPr>
                  <w:tcW w:w="1151" w:type="dxa"/>
                  <w:vAlign w:val="center"/>
                </w:tcPr>
                <w:p>
                  <w:pPr>
                    <w:pStyle w:val="Compact"/>
                    <w:jc w:val="left"/>
                    <w:rPr>
                      <w:sz w:val="16"/>
                      <w:szCs w:val="16"/>
                    </w:rPr>
                  </w:pPr>
                  <w:r>
                    <w:rPr>
                      <w:sz w:val="16"/>
                      <w:szCs w:val="16"/>
                    </w:rPr>
                    <w:t xml:space="preserve">884</w:t>
                  </w:r>
                </w:p>
              </w:tc>
              <w:tc>
                <w:tcPr>
                  <w:tcW w:w="1151" w:type="dxa"/>
                  <w:vAlign w:val="center"/>
                </w:tcPr>
                <w:p>
                  <w:pPr>
                    <w:pStyle w:val="Compact"/>
                    <w:jc w:val="left"/>
                    <w:rPr>
                      <w:sz w:val="16"/>
                      <w:szCs w:val="16"/>
                    </w:rPr>
                  </w:pPr>
                  <w:r>
                    <w:rPr>
                      <w:sz w:val="16"/>
                      <w:szCs w:val="16"/>
                    </w:rPr>
                    <w:t xml:space="preserve">0.394</w:t>
                  </w:r>
                </w:p>
              </w:tc>
              <w:tc>
                <w:tcPr>
                  <w:tcW w:w="1151" w:type="dxa"/>
                  <w:vAlign w:val="center"/>
                </w:tcPr>
                <w:p>
                  <w:pPr>
                    <w:pStyle w:val="Compact"/>
                    <w:jc w:val="left"/>
                    <w:rPr>
                      <w:sz w:val="16"/>
                      <w:szCs w:val="16"/>
                    </w:rPr>
                  </w:pPr>
                  <w:r>
                    <w:rPr>
                      <w:sz w:val="16"/>
                      <w:szCs w:val="16"/>
                    </w:rPr>
                    <w:t xml:space="preserve">0.312</w:t>
                  </w:r>
                </w:p>
              </w:tc>
              <w:tc>
                <w:tcPr>
                  <w:tcW w:w="1151" w:type="dxa"/>
                  <w:vAlign w:val="center"/>
                </w:tcPr>
                <w:p>
                  <w:pPr>
                    <w:pStyle w:val="Compact"/>
                    <w:jc w:val="left"/>
                    <w:rPr>
                      <w:sz w:val="16"/>
                      <w:szCs w:val="16"/>
                    </w:rPr>
                  </w:pPr>
                  <w:r>
                    <w:rPr>
                      <w:sz w:val="16"/>
                      <w:szCs w:val="16"/>
                    </w:rPr>
                    <w:t xml:space="preserve">0.761</w:t>
                  </w:r>
                </w:p>
              </w:tc>
              <w:tc>
                <w:tcPr>
                  <w:tcW w:w="1152" w:type="dxa"/>
                  <w:vAlign w:val="center"/>
                </w:tcPr>
                <w:p>
                  <w:pPr>
                    <w:pStyle w:val="Compact"/>
                    <w:jc w:val="left"/>
                    <w:rPr>
                      <w:sz w:val="16"/>
                      <w:szCs w:val="16"/>
                    </w:rPr>
                  </w:pPr>
                  <w:r>
                    <w:rPr>
                      <w:sz w:val="16"/>
                      <w:szCs w:val="16"/>
                    </w:rPr>
                    <w:t xml:space="preserve">0.175</w:t>
                  </w:r>
                </w:p>
              </w:tc>
            </w:tr>
            <w:tr>
              <w:trPr>
                <w:trHeight w:val="397" w:hRule="auto"/>
              </w:trPr>
              <w:tc>
                <w:tcPr>
                  <w:tcW w:w="2447" w:type="dxa"/>
                  <w:vAlign w:val="center"/>
                </w:tcPr>
                <w:p>
                  <w:pPr>
                    <w:pStyle w:val="Compact"/>
                    <w:jc w:val="left"/>
                    <w:rPr>
                      <w:sz w:val="16"/>
                      <w:szCs w:val="16"/>
                    </w:rPr>
                  </w:pPr>
                  <w:r>
                    <w:rPr>
                      <w:sz w:val="16"/>
                      <w:szCs w:val="16"/>
                    </w:rPr>
                    <w:t xml:space="preserve">M2 + terrain, flight radiation</w:t>
                  </w:r>
                </w:p>
              </w:tc>
              <w:tc>
                <w:tcPr>
                  <w:tcW w:w="1151" w:type="dxa"/>
                  <w:vAlign w:val="center"/>
                </w:tcPr>
                <w:p>
                  <w:pPr>
                    <w:pStyle w:val="Compact"/>
                    <w:jc w:val="left"/>
                    <w:rPr>
                      <w:sz w:val="16"/>
                      <w:szCs w:val="16"/>
                    </w:rPr>
                  </w:pPr>
                  <w:r>
                    <w:rPr>
                      <w:sz w:val="16"/>
                      <w:szCs w:val="16"/>
                    </w:rPr>
                    <w:t xml:space="preserve">40,649</w:t>
                  </w:r>
                </w:p>
              </w:tc>
              <w:tc>
                <w:tcPr>
                  <w:tcW w:w="1151" w:type="dxa"/>
                  <w:vAlign w:val="center"/>
                </w:tcPr>
                <w:p>
                  <w:pPr>
                    <w:pStyle w:val="Compact"/>
                    <w:jc w:val="left"/>
                    <w:rPr>
                      <w:sz w:val="16"/>
                      <w:szCs w:val="16"/>
                    </w:rPr>
                  </w:pPr>
                  <w:r>
                    <w:rPr>
                      <w:sz w:val="16"/>
                      <w:szCs w:val="16"/>
                    </w:rPr>
                    <w:t xml:space="preserve">562</w:t>
                  </w:r>
                </w:p>
              </w:tc>
              <w:tc>
                <w:tcPr>
                  <w:tcW w:w="1151" w:type="dxa"/>
                  <w:vAlign w:val="center"/>
                </w:tcPr>
                <w:p>
                  <w:pPr>
                    <w:pStyle w:val="Compact"/>
                    <w:jc w:val="left"/>
                    <w:rPr>
                      <w:sz w:val="16"/>
                      <w:szCs w:val="16"/>
                    </w:rPr>
                  </w:pPr>
                  <w:r>
                    <w:rPr>
                      <w:sz w:val="16"/>
                      <w:szCs w:val="16"/>
                    </w:rPr>
                    <w:t xml:space="preserve">0.393</w:t>
                  </w:r>
                </w:p>
              </w:tc>
              <w:tc>
                <w:tcPr>
                  <w:tcW w:w="1151" w:type="dxa"/>
                  <w:vAlign w:val="center"/>
                </w:tcPr>
                <w:p>
                  <w:pPr>
                    <w:pStyle w:val="Compact"/>
                    <w:jc w:val="left"/>
                    <w:rPr>
                      <w:sz w:val="16"/>
                      <w:szCs w:val="16"/>
                    </w:rPr>
                  </w:pPr>
                  <w:r>
                    <w:rPr>
                      <w:sz w:val="16"/>
                      <w:szCs w:val="16"/>
                    </w:rPr>
                    <w:t xml:space="preserve">0.309</w:t>
                  </w:r>
                </w:p>
              </w:tc>
              <w:tc>
                <w:tcPr>
                  <w:tcW w:w="1151" w:type="dxa"/>
                  <w:vAlign w:val="center"/>
                </w:tcPr>
                <w:p>
                  <w:pPr>
                    <w:pStyle w:val="Compact"/>
                    <w:jc w:val="left"/>
                    <w:rPr>
                      <w:sz w:val="16"/>
                      <w:szCs w:val="16"/>
                    </w:rPr>
                  </w:pPr>
                  <w:r>
                    <w:rPr>
                      <w:sz w:val="16"/>
                      <w:szCs w:val="16"/>
                    </w:rPr>
                    <w:t xml:space="preserve">0.767</w:t>
                  </w:r>
                </w:p>
              </w:tc>
              <w:tc>
                <w:tcPr>
                  <w:tcW w:w="1152" w:type="dxa"/>
                  <w:vAlign w:val="center"/>
                </w:tcPr>
                <w:p>
                  <w:pPr>
                    <w:pStyle w:val="Compact"/>
                    <w:jc w:val="left"/>
                    <w:rPr>
                      <w:sz w:val="16"/>
                      <w:szCs w:val="16"/>
                    </w:rPr>
                  </w:pPr>
                  <w:r>
                    <w:rPr>
                      <w:sz w:val="16"/>
                      <w:szCs w:val="16"/>
                    </w:rPr>
                    <w:t xml:space="preserve">0.182</w:t>
                  </w:r>
                </w:p>
              </w:tc>
            </w:tr>
            <w:tr>
              <w:trPr>
                <w:trHeight w:val="397" w:hRule="auto"/>
              </w:trPr>
              <w:tc>
                <w:tcPr>
                  <w:tcW w:w="2447" w:type="dxa"/>
                  <w:vAlign w:val="center"/>
                </w:tcPr>
                <w:p>
                  <w:pPr>
                    <w:pStyle w:val="Compact"/>
                    <w:jc w:val="left"/>
                    <w:rPr>
                      <w:sz w:val="16"/>
                      <w:szCs w:val="16"/>
                    </w:rPr>
                  </w:pPr>
                  <w:r>
                    <w:rPr>
                      <w:sz w:val="16"/>
                      <w:szCs w:val="16"/>
                    </w:rPr>
                    <w:t xml:space="preserve">M3 + interactions</w:t>
                  </w:r>
                </w:p>
              </w:tc>
              <w:tc>
                <w:tcPr>
                  <w:tcW w:w="1151" w:type="dxa"/>
                  <w:vAlign w:val="center"/>
                </w:tcPr>
                <w:p>
                  <w:pPr>
                    <w:pStyle w:val="Compact"/>
                    <w:jc w:val="left"/>
                    <w:rPr>
                      <w:sz w:val="16"/>
                      <w:szCs w:val="16"/>
                    </w:rPr>
                  </w:pPr>
                  <w:r>
                    <w:rPr>
                      <w:sz w:val="16"/>
                      <w:szCs w:val="16"/>
                    </w:rPr>
                    <w:t xml:space="preserve">40,087</w:t>
                  </w:r>
                </w:p>
              </w:tc>
              <w:tc>
                <w:tcPr>
                  <w:tcW w:w="1151" w:type="dxa"/>
                  <w:vAlign w:val="center"/>
                </w:tcPr>
                <w:p>
                  <w:pPr>
                    <w:pStyle w:val="Compact"/>
                    <w:jc w:val="left"/>
                    <w:rPr>
                      <w:sz w:val="16"/>
                      <w:szCs w:val="16"/>
                    </w:rPr>
                  </w:pPr>
                  <w:r>
                    <w:rPr>
                      <w:sz w:val="16"/>
                      <w:szCs w:val="16"/>
                    </w:rPr>
                    <w:t xml:space="preserve">0</w:t>
                  </w:r>
                </w:p>
              </w:tc>
              <w:tc>
                <w:tcPr>
                  <w:tcW w:w="1151" w:type="dxa"/>
                  <w:vAlign w:val="center"/>
                </w:tcPr>
                <w:p>
                  <w:pPr>
                    <w:pStyle w:val="Compact"/>
                    <w:jc w:val="left"/>
                    <w:rPr>
                      <w:sz w:val="16"/>
                      <w:szCs w:val="16"/>
                    </w:rPr>
                  </w:pPr>
                  <w:r>
                    <w:rPr>
                      <w:sz w:val="16"/>
                      <w:szCs w:val="16"/>
                    </w:rPr>
                    <w:t xml:space="preserve">0.390</w:t>
                  </w:r>
                </w:p>
              </w:tc>
              <w:tc>
                <w:tcPr>
                  <w:tcW w:w="1151" w:type="dxa"/>
                  <w:vAlign w:val="center"/>
                </w:tcPr>
                <w:p>
                  <w:pPr>
                    <w:pStyle w:val="Compact"/>
                    <w:jc w:val="left"/>
                    <w:rPr>
                      <w:sz w:val="16"/>
                      <w:szCs w:val="16"/>
                    </w:rPr>
                  </w:pPr>
                  <w:r>
                    <w:rPr>
                      <w:sz w:val="16"/>
                      <w:szCs w:val="16"/>
                    </w:rPr>
                    <w:t xml:space="preserve">0.305</w:t>
                  </w:r>
                </w:p>
              </w:tc>
              <w:tc>
                <w:tcPr>
                  <w:tcW w:w="1151" w:type="dxa"/>
                  <w:vAlign w:val="center"/>
                </w:tcPr>
                <w:p>
                  <w:pPr>
                    <w:pStyle w:val="Compact"/>
                    <w:jc w:val="left"/>
                    <w:rPr>
                      <w:sz w:val="16"/>
                      <w:szCs w:val="16"/>
                    </w:rPr>
                  </w:pPr>
                  <w:r>
                    <w:rPr>
                      <w:sz w:val="16"/>
                      <w:szCs w:val="16"/>
                    </w:rPr>
                    <w:t xml:space="preserve">0.778</w:t>
                  </w:r>
                </w:p>
              </w:tc>
              <w:tc>
                <w:tcPr>
                  <w:tcW w:w="1152" w:type="dxa"/>
                  <w:vAlign w:val="center"/>
                </w:tcPr>
                <w:p>
                  <w:pPr>
                    <w:pStyle w:val="Compact"/>
                    <w:jc w:val="left"/>
                    <w:rPr>
                      <w:sz w:val="16"/>
                      <w:szCs w:val="16"/>
                    </w:rPr>
                  </w:pPr>
                  <w:r>
                    <w:rPr>
                      <w:sz w:val="16"/>
                      <w:szCs w:val="16"/>
                    </w:rPr>
                    <w:t xml:space="preserve">0.193</w:t>
                  </w:r>
                </w:p>
              </w:tc>
            </w:tr>
          </w:tbl>
          <w:bookmarkEnd w:id="171"/>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2" w:name="tbl-m3"/>
          <w:p>
            <w:pPr>
              <w:jc w:val="center"/>
            </w:pPr>
            <w:pPr>
              <w:jc w:val="start"/>
              <w:spacing w:before="200"/>
              <w:pStyle w:val="ImageCaption"/>
            </w:pPr>
            <w:r>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Table S5.</w:t>
            </w:r>
          </w:p>
          <w:tbl>
            <w:tblPr>
              <w:tblStyle w:val="Table"/>
              <w:tblLook w:firstRow="1" w:lastRow="0" w:firstColumn="0" w:lastColumn="0" w:noHBand="0" w:noVBand="0" w:val="0020"/>
              <w:tblW w:w="9354" w:type="dxa"/>
              <w:tblLayout w:type="fixed"/>
            </w:tblPr>
            <w:tblGrid>
              <w:gridCol w:w="5997"/>
              <w:gridCol w:w="1119"/>
              <w:gridCol w:w="1119"/>
              <w:gridCol w:w="1119"/>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1119" w:type="dxa"/>
                  <w:vAlign w:val="center"/>
                </w:tcPr>
                <w:p>
                  <w:pPr>
                    <w:pStyle w:val="Compact"/>
                    <w:jc w:val="left"/>
                    <w:rPr>
                      <w:sz w:val="16"/>
                      <w:szCs w:val="16"/>
                    </w:rPr>
                  </w:pPr>
                  <w:r>
                    <w:rPr>
                      <w:b/>
                      <w:sz w:val="16"/>
                      <w:szCs w:val="16"/>
                    </w:rPr>
                    <w:t xml:space="preserve">Beta</w:t>
                  </w:r>
                </w:p>
              </w:tc>
              <w:tc>
                <w:tcPr>
                  <w:tcW w:w="1119" w:type="dxa"/>
                  <w:vAlign w:val="center"/>
                </w:tcPr>
                <w:p>
                  <w:pPr>
                    <w:pStyle w:val="Compact"/>
                    <w:jc w:val="left"/>
                    <w:rPr>
                      <w:sz w:val="16"/>
                      <w:szCs w:val="16"/>
                    </w:rPr>
                  </w:pPr>
                  <w:r>
                    <w:rPr>
                      <w:b/>
                      <w:sz w:val="16"/>
                      <w:szCs w:val="16"/>
                    </w:rPr>
                    <w:t xml:space="preserve">SE</w:t>
                  </w:r>
                </w:p>
              </w:tc>
              <w:tc>
                <w:tcPr>
                  <w:tcW w:w="1119" w:type="dxa"/>
                  <w:vAlign w:val="center"/>
                </w:tcPr>
                <w:p>
                  <w:pPr>
                    <w:pStyle w:val="Compact"/>
                    <w:jc w:val="left"/>
                    <w:rPr>
                      <w:sz w:val="16"/>
                      <w:szCs w:val="16"/>
                    </w:rPr>
                  </w:pPr>
                  <w:r>
                    <w:rPr>
                      <w:b/>
                      <w:sz w:val="16"/>
                      <w:szCs w:val="16"/>
                    </w:rPr>
                    <w:t xml:space="preserve">z</w:t>
                  </w:r>
                </w:p>
              </w:tc>
            </w:tr>
            <w:tr>
              <w:trPr>
                <w:trHeight w:val="340" w:hRule="exact"/>
              </w:trPr>
              <w:tc>
                <w:tcPr>
                  <w:tcW w:w="5997" w:type="dxa"/>
                </w:tcPr>
                <w:p>
                  <w:pPr>
                    <w:pStyle w:val="Compact"/>
                    <w:jc w:val="left"/>
                    <w:rPr>
                      <w:sz w:val="16"/>
                      <w:szCs w:val="16"/>
                    </w:rPr>
                  </w:pPr>
                  <w:r>
                    <w:rPr>
                      <w:sz w:val="16"/>
                      <w:szCs w:val="16"/>
                    </w:rPr>
                    <w:t xml:space="preserve">Stand basal area (m² ha⁻¹)</w:t>
                  </w:r>
                </w:p>
              </w:tc>
              <w:tc>
                <w:tcPr>
                  <w:tcW w:w="1119" w:type="dxa"/>
                </w:tcPr>
                <w:p>
                  <w:pPr>
                    <w:pStyle w:val="Compact"/>
                    <w:jc w:val="left"/>
                    <w:rPr>
                      <w:sz w:val="16"/>
                      <w:szCs w:val="16"/>
                    </w:rPr>
                  </w:pPr>
                  <w:r>
                    <w:rPr>
                      <w:sz w:val="16"/>
                      <w:szCs w:val="16"/>
                    </w:rPr>
                    <w:t xml:space="preserve">+0.430****</w:t>
                  </w:r>
                </w:p>
              </w:tc>
              <w:tc>
                <w:tcPr>
                  <w:tcW w:w="1119" w:type="dxa"/>
                </w:tcPr>
                <w:p>
                  <w:pPr>
                    <w:pStyle w:val="Compact"/>
                    <w:jc w:val="left"/>
                    <w:rPr>
                      <w:sz w:val="16"/>
                      <w:szCs w:val="16"/>
                    </w:rPr>
                  </w:pPr>
                  <w:r>
                    <w:rPr>
                      <w:sz w:val="16"/>
                      <w:szCs w:val="16"/>
                    </w:rPr>
                    <w:t xml:space="preserve">0.024</w:t>
                  </w:r>
                </w:p>
              </w:tc>
              <w:tc>
                <w:tcPr>
                  <w:tcW w:w="1119" w:type="dxa"/>
                </w:tcPr>
                <w:p>
                  <w:pPr>
                    <w:pStyle w:val="Compact"/>
                    <w:jc w:val="left"/>
                    <w:rPr>
                      <w:sz w:val="16"/>
                      <w:szCs w:val="16"/>
                    </w:rPr>
                  </w:pPr>
                  <w:r>
                    <w:rPr>
                      <w:sz w:val="16"/>
                      <w:szCs w:val="16"/>
                    </w:rPr>
                    <w:t xml:space="preserve">18.20</w:t>
                  </w:r>
                </w:p>
              </w:tc>
            </w:tr>
            <w:tr>
              <w:trPr>
                <w:trHeight w:val="340" w:hRule="exact"/>
              </w:trPr>
              <w:tc>
                <w:tcPr>
                  <w:tcW w:w="5997" w:type="dxa"/>
                </w:tcPr>
                <w:p>
                  <w:pPr>
                    <w:pStyle w:val="Compact"/>
                    <w:jc w:val="left"/>
                    <w:rPr>
                      <w:sz w:val="16"/>
                      <w:szCs w:val="16"/>
                    </w:rPr>
                  </w:pPr>
                  <w:r>
                    <w:rPr>
                      <w:sz w:val="16"/>
                      <w:szCs w:val="16"/>
                    </w:rPr>
                    <w:t xml:space="preserve">Northness</w:t>
                  </w:r>
                </w:p>
              </w:tc>
              <w:tc>
                <w:tcPr>
                  <w:tcW w:w="1119" w:type="dxa"/>
                </w:tcPr>
                <w:p>
                  <w:pPr>
                    <w:pStyle w:val="Compact"/>
                    <w:jc w:val="left"/>
                    <w:rPr>
                      <w:sz w:val="16"/>
                      <w:szCs w:val="16"/>
                    </w:rPr>
                  </w:pPr>
                  <w:r>
                    <w:rPr>
                      <w:sz w:val="16"/>
                      <w:szCs w:val="16"/>
                    </w:rPr>
                    <w:t xml:space="preserve">+0.384****</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24.85</w:t>
                  </w:r>
                </w:p>
              </w:tc>
            </w:tr>
            <w:tr>
              <w:trPr>
                <w:trHeight w:val="340" w:hRule="exact"/>
              </w:trPr>
              <w:tc>
                <w:tcPr>
                  <w:tcW w:w="5997" w:type="dxa"/>
                </w:tcPr>
                <w:p>
                  <w:pPr>
                    <w:pStyle w:val="Compact"/>
                    <w:jc w:val="left"/>
                    <w:rPr>
                      <w:sz w:val="16"/>
                      <w:szCs w:val="16"/>
                    </w:rPr>
                  </w:pPr>
                  <w:r>
                    <w:rPr>
                      <w:sz w:val="16"/>
                      <w:szCs w:val="16"/>
                    </w:rPr>
                    <w:t xml:space="preserve">Elevation (m)</w:t>
                  </w:r>
                </w:p>
              </w:tc>
              <w:tc>
                <w:tcPr>
                  <w:tcW w:w="1119" w:type="dxa"/>
                </w:tcPr>
                <w:p>
                  <w:pPr>
                    <w:pStyle w:val="Compact"/>
                    <w:jc w:val="left"/>
                    <w:rPr>
                      <w:sz w:val="16"/>
                      <w:szCs w:val="16"/>
                    </w:rPr>
                  </w:pPr>
                  <w:r>
                    <w:rPr>
                      <w:sz w:val="16"/>
                      <w:szCs w:val="16"/>
                    </w:rPr>
                    <w:t xml:space="preserve">+0.381****</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24.18</w:t>
                  </w:r>
                </w:p>
              </w:tc>
            </w:tr>
            <w:tr>
              <w:trPr>
                <w:trHeight w:val="340" w:hRule="exact"/>
              </w:trPr>
              <w:tc>
                <w:tcPr>
                  <w:tcW w:w="5997" w:type="dxa"/>
                </w:tcPr>
                <w:p>
                  <w:pPr>
                    <w:pStyle w:val="Compact"/>
                    <w:jc w:val="left"/>
                    <w:rPr>
                      <w:sz w:val="16"/>
                      <w:szCs w:val="16"/>
                    </w:rPr>
                  </w:pPr>
                  <w:r>
                    <w:rPr>
                      <w:sz w:val="16"/>
                      <w:szCs w:val="16"/>
                    </w:rPr>
                    <w:t xml:space="preserve">Susceptible pine BA (m² ha⁻¹)</w:t>
                  </w:r>
                </w:p>
              </w:tc>
              <w:tc>
                <w:tcPr>
                  <w:tcW w:w="1119" w:type="dxa"/>
                </w:tcPr>
                <w:p>
                  <w:pPr>
                    <w:pStyle w:val="Compact"/>
                    <w:jc w:val="left"/>
                    <w:rPr>
                      <w:sz w:val="16"/>
                      <w:szCs w:val="16"/>
                    </w:rPr>
                  </w:pPr>
                  <w:r>
                    <w:rPr>
                      <w:sz w:val="16"/>
                      <w:szCs w:val="16"/>
                    </w:rPr>
                    <w:t xml:space="preserve">+0.343****</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23.65</w:t>
                  </w:r>
                </w:p>
              </w:tc>
            </w:tr>
            <w:tr>
              <w:trPr>
                <w:trHeight w:val="340" w:hRule="exact"/>
              </w:trPr>
              <w:tc>
                <w:tcPr>
                  <w:tcW w:w="5997" w:type="dxa"/>
                </w:tcPr>
                <w:p>
                  <w:pPr>
                    <w:pStyle w:val="Compact"/>
                    <w:jc w:val="left"/>
                    <w:rPr>
                      <w:sz w:val="16"/>
                      <w:szCs w:val="16"/>
                    </w:rPr>
                  </w:pPr>
                  <w:r>
                    <w:rPr>
                      <w:sz w:val="16"/>
                      <w:szCs w:val="16"/>
                    </w:rPr>
                    <w:t xml:space="preserve">Quadratic mean diameter (cm)</w:t>
                  </w:r>
                </w:p>
              </w:tc>
              <w:tc>
                <w:tcPr>
                  <w:tcW w:w="1119" w:type="dxa"/>
                </w:tcPr>
                <w:p>
                  <w:pPr>
                    <w:pStyle w:val="Compact"/>
                    <w:jc w:val="left"/>
                    <w:rPr>
                      <w:sz w:val="16"/>
                      <w:szCs w:val="16"/>
                    </w:rPr>
                  </w:pPr>
                  <w:r>
                    <w:rPr>
                      <w:sz w:val="16"/>
                      <w:szCs w:val="16"/>
                    </w:rPr>
                    <w:t xml:space="preserve">-0.341****</w:t>
                  </w:r>
                </w:p>
              </w:tc>
              <w:tc>
                <w:tcPr>
                  <w:tcW w:w="1119" w:type="dxa"/>
                </w:tcPr>
                <w:p>
                  <w:pPr>
                    <w:pStyle w:val="Compact"/>
                    <w:jc w:val="left"/>
                    <w:rPr>
                      <w:sz w:val="16"/>
                      <w:szCs w:val="16"/>
                    </w:rPr>
                  </w:pPr>
                  <w:r>
                    <w:rPr>
                      <w:sz w:val="16"/>
                      <w:szCs w:val="16"/>
                    </w:rPr>
                    <w:t xml:space="preserve">0.022</w:t>
                  </w:r>
                </w:p>
              </w:tc>
              <w:tc>
                <w:tcPr>
                  <w:tcW w:w="1119" w:type="dxa"/>
                </w:tcPr>
                <w:p>
                  <w:pPr>
                    <w:pStyle w:val="Compact"/>
                    <w:jc w:val="left"/>
                    <w:rPr>
                      <w:sz w:val="16"/>
                      <w:szCs w:val="16"/>
                    </w:rPr>
                  </w:pPr>
                  <w:r>
                    <w:rPr>
                      <w:sz w:val="16"/>
                      <w:szCs w:val="16"/>
                    </w:rPr>
                    <w:t xml:space="preserve">-15.37</w:t>
                  </w:r>
                </w:p>
              </w:tc>
            </w:tr>
            <w:tr>
              <w:trPr>
                <w:trHeight w:val="340" w:hRule="exact"/>
              </w:trPr>
              <w:tc>
                <w:tcPr>
                  <w:tcW w:w="5997" w:type="dxa"/>
                </w:tcPr>
                <w:p>
                  <w:pPr>
                    <w:pStyle w:val="Compact"/>
                    <w:jc w:val="left"/>
                    <w:rPr>
                      <w:sz w:val="16"/>
                      <w:szCs w:val="16"/>
                    </w:rPr>
                  </w:pPr>
                  <w:r>
                    <w:rPr>
                      <w:sz w:val="16"/>
                      <w:szCs w:val="16"/>
                    </w:rPr>
                    <w:t xml:space="preserve">Flight-window direct radiation (kWh/m2)</w:t>
                  </w:r>
                </w:p>
              </w:tc>
              <w:tc>
                <w:tcPr>
                  <w:tcW w:w="1119" w:type="dxa"/>
                </w:tcPr>
                <w:p>
                  <w:pPr>
                    <w:pStyle w:val="Compact"/>
                    <w:jc w:val="left"/>
                    <w:rPr>
                      <w:sz w:val="16"/>
                      <w:szCs w:val="16"/>
                    </w:rPr>
                  </w:pPr>
                  <w:r>
                    <w:rPr>
                      <w:sz w:val="16"/>
                      <w:szCs w:val="16"/>
                    </w:rPr>
                    <w:t xml:space="preserve">+0.319****</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13.98</w:t>
                  </w:r>
                </w:p>
              </w:tc>
            </w:tr>
            <w:tr>
              <w:trPr>
                <w:trHeight w:val="340" w:hRule="exact"/>
              </w:trPr>
              <w:tc>
                <w:tcPr>
                  <w:tcW w:w="5997" w:type="dxa"/>
                </w:tcPr>
                <w:p>
                  <w:pPr>
                    <w:pStyle w:val="Compact"/>
                    <w:jc w:val="left"/>
                    <w:rPr>
                      <w:sz w:val="16"/>
                      <w:szCs w:val="16"/>
                    </w:rPr>
                  </w:pPr>
                  <w:r>
                    <w:rPr>
                      <w:sz w:val="16"/>
                      <w:szCs w:val="16"/>
                    </w:rPr>
                    <w:t xml:space="preserve">July mean wind (km/h)</w:t>
                  </w:r>
                </w:p>
              </w:tc>
              <w:tc>
                <w:tcPr>
                  <w:tcW w:w="1119" w:type="dxa"/>
                </w:tcPr>
                <w:p>
                  <w:pPr>
                    <w:pStyle w:val="Compact"/>
                    <w:jc w:val="left"/>
                    <w:rPr>
                      <w:sz w:val="16"/>
                      <w:szCs w:val="16"/>
                    </w:rPr>
                  </w:pPr>
                  <w:r>
                    <w:rPr>
                      <w:sz w:val="16"/>
                      <w:szCs w:val="16"/>
                    </w:rPr>
                    <w:t xml:space="preserve">+0.286****</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20.95</w:t>
                  </w:r>
                </w:p>
              </w:tc>
            </w:tr>
            <w:tr>
              <w:trPr>
                <w:trHeight w:val="340" w:hRule="exact"/>
              </w:trPr>
              <w:tc>
                <w:tcPr>
                  <w:tcW w:w="5997" w:type="dxa"/>
                </w:tcPr>
                <w:p>
                  <w:pPr>
                    <w:pStyle w:val="Compact"/>
                    <w:jc w:val="left"/>
                    <w:rPr>
                      <w:sz w:val="16"/>
                      <w:szCs w:val="16"/>
                    </w:rPr>
                  </w:pPr>
                  <w:r>
                    <w:rPr>
                      <w:sz w:val="16"/>
                      <w:szCs w:val="16"/>
                    </w:rPr>
                    <w:t xml:space="preserve">Sky view factor</w:t>
                  </w:r>
                </w:p>
              </w:tc>
              <w:tc>
                <w:tcPr>
                  <w:tcW w:w="1119" w:type="dxa"/>
                </w:tcPr>
                <w:p>
                  <w:pPr>
                    <w:pStyle w:val="Compact"/>
                    <w:jc w:val="left"/>
                    <w:rPr>
                      <w:sz w:val="16"/>
                      <w:szCs w:val="16"/>
                    </w:rPr>
                  </w:pPr>
                  <w:r>
                    <w:rPr>
                      <w:sz w:val="16"/>
                      <w:szCs w:val="16"/>
                    </w:rPr>
                    <w:t xml:space="preserve">+0.285****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12.60</w:t>
                  </w:r>
                </w:p>
              </w:tc>
            </w:tr>
            <w:tr>
              <w:trPr>
                <w:trHeight w:val="340" w:hRule="exact"/>
              </w:trPr>
              <w:tc>
                <w:tcPr>
                  <w:tcW w:w="5997" w:type="dxa"/>
                </w:tcPr>
                <w:p>
                  <w:pPr>
                    <w:pStyle w:val="Compact"/>
                    <w:jc w:val="left"/>
                    <w:rPr>
                      <w:sz w:val="16"/>
                      <w:szCs w:val="16"/>
                    </w:rPr>
                  </w:pPr>
                  <w:r>
                    <w:rPr>
                      <w:sz w:val="16"/>
                      <w:szCs w:val="16"/>
                    </w:rPr>
                    <w:t xml:space="preserve">Wind shelter index</w:t>
                  </w:r>
                </w:p>
              </w:tc>
              <w:tc>
                <w:tcPr>
                  <w:tcW w:w="1119" w:type="dxa"/>
                </w:tcPr>
                <w:p>
                  <w:pPr>
                    <w:pStyle w:val="Compact"/>
                    <w:jc w:val="left"/>
                    <w:rPr>
                      <w:sz w:val="16"/>
                      <w:szCs w:val="16"/>
                    </w:rPr>
                  </w:pPr>
                  <w:r>
                    <w:rPr>
                      <w:sz w:val="16"/>
                      <w:szCs w:val="16"/>
                    </w:rPr>
                    <w:t xml:space="preserve">-0.267****</w:t>
                  </w:r>
                </w:p>
              </w:tc>
              <w:tc>
                <w:tcPr>
                  <w:tcW w:w="1119" w:type="dxa"/>
                </w:tcPr>
                <w:p>
                  <w:pPr>
                    <w:pStyle w:val="Compact"/>
                    <w:jc w:val="left"/>
                    <w:rPr>
                      <w:sz w:val="16"/>
                      <w:szCs w:val="16"/>
                    </w:rPr>
                  </w:pPr>
                  <w:r>
                    <w:rPr>
                      <w:sz w:val="16"/>
                      <w:szCs w:val="16"/>
                    </w:rPr>
                    <w:t xml:space="preserve">0.021</w:t>
                  </w:r>
                </w:p>
              </w:tc>
              <w:tc>
                <w:tcPr>
                  <w:tcW w:w="1119" w:type="dxa"/>
                </w:tcPr>
                <w:p>
                  <w:pPr>
                    <w:pStyle w:val="Compact"/>
                    <w:jc w:val="left"/>
                    <w:rPr>
                      <w:sz w:val="16"/>
                      <w:szCs w:val="16"/>
                    </w:rPr>
                  </w:pPr>
                  <w:r>
                    <w:rPr>
                      <w:sz w:val="16"/>
                      <w:szCs w:val="16"/>
                    </w:rPr>
                    <w:t xml:space="preserve">-12.48</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1119" w:type="dxa"/>
                </w:tcPr>
                <w:p>
                  <w:pPr>
                    <w:pStyle w:val="Compact"/>
                    <w:jc w:val="left"/>
                    <w:rPr>
                      <w:sz w:val="16"/>
                      <w:szCs w:val="16"/>
                    </w:rPr>
                  </w:pPr>
                  <w:r>
                    <w:rPr>
                      <w:sz w:val="16"/>
                      <w:szCs w:val="16"/>
                    </w:rPr>
                    <w:t xml:space="preserve">+0.201****</w:t>
                  </w:r>
                </w:p>
              </w:tc>
              <w:tc>
                <w:tcPr>
                  <w:tcW w:w="1119" w:type="dxa"/>
                </w:tcPr>
                <w:p>
                  <w:pPr>
                    <w:pStyle w:val="Compact"/>
                    <w:jc w:val="left"/>
                    <w:rPr>
                      <w:sz w:val="16"/>
                      <w:szCs w:val="16"/>
                    </w:rPr>
                  </w:pPr>
                  <w:r>
                    <w:rPr>
                      <w:sz w:val="16"/>
                      <w:szCs w:val="16"/>
                    </w:rPr>
                    <w:t xml:space="preserve">0.018</w:t>
                  </w:r>
                </w:p>
              </w:tc>
              <w:tc>
                <w:tcPr>
                  <w:tcW w:w="1119" w:type="dxa"/>
                </w:tcPr>
                <w:p>
                  <w:pPr>
                    <w:pStyle w:val="Compact"/>
                    <w:jc w:val="left"/>
                    <w:rPr>
                      <w:sz w:val="16"/>
                      <w:szCs w:val="16"/>
                    </w:rPr>
                  </w:pPr>
                  <w:r>
                    <w:rPr>
                      <w:sz w:val="16"/>
                      <w:szCs w:val="16"/>
                    </w:rPr>
                    <w:t xml:space="preserve">11.31</w:t>
                  </w:r>
                </w:p>
              </w:tc>
            </w:tr>
            <w:tr>
              <w:trPr>
                <w:trHeight w:val="340" w:hRule="exact"/>
              </w:trPr>
              <w:tc>
                <w:tcPr>
                  <w:tcW w:w="5997" w:type="dxa"/>
                </w:tcPr>
                <w:p>
                  <w:pPr>
                    <w:pStyle w:val="Compact"/>
                    <w:jc w:val="left"/>
                    <w:rPr>
                      <w:sz w:val="16"/>
                      <w:szCs w:val="16"/>
                    </w:rPr>
                  </w:pPr>
                  <w:r>
                    <w:rPr>
                      <w:sz w:val="16"/>
                      <w:szCs w:val="16"/>
                    </w:rPr>
                    <w:t xml:space="preserve">Convergence index</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-5.07</w:t>
                  </w:r>
                </w:p>
              </w:tc>
            </w:tr>
            <w:tr>
              <w:trPr>
                <w:trHeight w:val="340" w:hRule="exact"/>
              </w:trPr>
              <w:tc>
                <w:tcPr>
                  <w:tcW w:w="5997" w:type="dxa"/>
                </w:tcPr>
                <w:p>
                  <w:pPr>
                    <w:pStyle w:val="Compact"/>
                    <w:jc w:val="left"/>
                    <w:rPr>
                      <w:sz w:val="16"/>
                      <w:szCs w:val="16"/>
                    </w:rPr>
                  </w:pPr>
                  <w:r>
                    <w:rPr>
                      <w:sz w:val="16"/>
                      <w:szCs w:val="16"/>
                    </w:rPr>
                    <w:t xml:space="preserve">Stand basal area x July mean wind</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-4.81</w:t>
                  </w:r>
                </w:p>
              </w:tc>
            </w:tr>
            <w:tr>
              <w:trPr>
                <w:trHeight w:val="340" w:hRule="exact"/>
              </w:trPr>
              <w:tc>
                <w:tcPr>
                  <w:tcW w:w="5997" w:type="dxa"/>
                </w:tcPr>
                <w:p>
                  <w:pPr>
                    <w:pStyle w:val="Compact"/>
                    <w:jc w:val="left"/>
                    <w:rPr>
                      <w:sz w:val="16"/>
                      <w:szCs w:val="16"/>
                    </w:rPr>
                  </w:pPr>
                  <w:r>
                    <w:rPr>
                      <w:sz w:val="16"/>
                      <w:szCs w:val="16"/>
                    </w:rPr>
                    <w:t xml:space="preserve">Stand basal area x Flight-window direct radiation</w:t>
                  </w:r>
                </w:p>
              </w:tc>
              <w:tc>
                <w:tcPr>
                  <w:tcW w:w="1119" w:type="dxa"/>
                </w:tcPr>
                <w:p>
                  <w:pPr>
                    <w:pStyle w:val="Compact"/>
                    <w:jc w:val="left"/>
                    <w:rPr>
                      <w:sz w:val="16"/>
                      <w:szCs w:val="16"/>
                    </w:rPr>
                  </w:pPr>
                  <w:r>
                    <w:rPr>
                      <w:sz w:val="16"/>
                      <w:szCs w:val="16"/>
                    </w:rPr>
                    <w:t xml:space="preserve">+0.073***</w:t>
                  </w:r>
                </w:p>
              </w:tc>
              <w:tc>
                <w:tcPr>
                  <w:tcW w:w="1119" w:type="dxa"/>
                </w:tcPr>
                <w:p>
                  <w:pPr>
                    <w:pStyle w:val="Compact"/>
                    <w:jc w:val="left"/>
                    <w:rPr>
                      <w:sz w:val="16"/>
                      <w:szCs w:val="16"/>
                    </w:rPr>
                  </w:pPr>
                  <w:r>
                    <w:rPr>
                      <w:sz w:val="16"/>
                      <w:szCs w:val="16"/>
                    </w:rPr>
                    <w:t xml:space="preserve">0.020</w:t>
                  </w:r>
                </w:p>
              </w:tc>
              <w:tc>
                <w:tcPr>
                  <w:tcW w:w="1119" w:type="dxa"/>
                </w:tcPr>
                <w:p>
                  <w:pPr>
                    <w:pStyle w:val="Compact"/>
                    <w:jc w:val="left"/>
                    <w:rPr>
                      <w:sz w:val="16"/>
                      <w:szCs w:val="16"/>
                    </w:rPr>
                  </w:pPr>
                  <w:r>
                    <w:rPr>
                      <w:sz w:val="16"/>
                      <w:szCs w:val="16"/>
                    </w:rPr>
                    <w:t xml:space="preserve">3.58</w:t>
                  </w:r>
                </w:p>
              </w:tc>
            </w:tr>
            <w:tr>
              <w:trPr>
                <w:trHeight w:val="340" w:hRule="exact"/>
              </w:trPr>
              <w:tc>
                <w:tcPr>
                  <w:tcW w:w="5997" w:type="dxa"/>
                </w:tcPr>
                <w:p>
                  <w:pPr>
                    <w:pStyle w:val="Compact"/>
                    <w:jc w:val="left"/>
                    <w:rPr>
                      <w:sz w:val="16"/>
                      <w:szCs w:val="16"/>
                    </w:rPr>
                  </w:pPr>
                  <w:r>
                    <w:rPr>
                      <w:sz w:val="16"/>
                      <w:szCs w:val="16"/>
                    </w:rPr>
                    <w:t xml:space="preserve">Profile curvature</w:t>
                  </w:r>
                </w:p>
              </w:tc>
              <w:tc>
                <w:tcPr>
                  <w:tcW w:w="1119" w:type="dxa"/>
                </w:tcPr>
                <w:p>
                  <w:pPr>
                    <w:pStyle w:val="Compact"/>
                    <w:jc w:val="left"/>
                    <w:rPr>
                      <w:sz w:val="16"/>
                      <w:szCs w:val="16"/>
                    </w:rPr>
                  </w:pPr>
                  <w:r>
                    <w:rPr>
                      <w:sz w:val="16"/>
                      <w:szCs w:val="16"/>
                    </w:rPr>
                    <w:t xml:space="preserve">-0.059****</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-4.10</w:t>
                  </w:r>
                </w:p>
              </w:tc>
            </w:tr>
            <w:tr>
              <w:trPr>
                <w:trHeight w:val="340" w:hRule="exact"/>
              </w:trPr>
              <w:tc>
                <w:tcPr>
                  <w:tcW w:w="5997" w:type="dxa"/>
                </w:tcPr>
                <w:p>
                  <w:pPr>
                    <w:pStyle w:val="Compact"/>
                    <w:jc w:val="left"/>
                    <w:rPr>
                      <w:sz w:val="16"/>
                      <w:szCs w:val="16"/>
                    </w:rPr>
                  </w:pPr>
                  <w:r>
                    <w:rPr>
                      <w:sz w:val="16"/>
                      <w:szCs w:val="16"/>
                    </w:rPr>
                    <w:t xml:space="preserve">June mean wind (km/h)</w:t>
                  </w:r>
                </w:p>
              </w:tc>
              <w:tc>
                <w:tcPr>
                  <w:tcW w:w="1119" w:type="dxa"/>
                </w:tcPr>
                <w:p>
                  <w:pPr>
                    <w:pStyle w:val="Compact"/>
                    <w:jc w:val="left"/>
                    <w:rPr>
                      <w:sz w:val="16"/>
                      <w:szCs w:val="16"/>
                    </w:rPr>
                  </w:pPr>
                  <w:r>
                    <w:rPr>
                      <w:sz w:val="16"/>
                      <w:szCs w:val="16"/>
                    </w:rPr>
                    <w:t xml:space="preserve">+0.030*</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2.20</w:t>
                  </w:r>
                </w:p>
              </w:tc>
            </w:tr>
            <w:tr>
              <w:trPr>
                <w:trHeight w:val="340" w:hRule="exact"/>
              </w:trPr>
              <w:tc>
                <w:tcPr>
                  <w:tcW w:w="5997" w:type="dxa"/>
                </w:tcPr>
                <w:p>
                  <w:pPr>
                    <w:pStyle w:val="Compact"/>
                    <w:jc w:val="left"/>
                    <w:rPr>
                      <w:sz w:val="16"/>
                      <w:szCs w:val="16"/>
                    </w:rPr>
                  </w:pPr>
                  <w:r>
                    <w:rPr>
                      <w:sz w:val="16"/>
                      <w:szCs w:val="16"/>
                    </w:rPr>
                    <w:t xml:space="preserve">Stand basal area x Wind shelter index</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0.025</w:t>
                  </w:r>
                </w:p>
              </w:tc>
              <w:tc>
                <w:tcPr>
                  <w:tcW w:w="1119" w:type="dxa"/>
                </w:tcPr>
                <w:p>
                  <w:pPr>
                    <w:pStyle w:val="Compact"/>
                    <w:jc w:val="left"/>
                    <w:rPr>
                      <w:sz w:val="16"/>
                      <w:szCs w:val="16"/>
                    </w:rPr>
                  </w:pPr>
                  <w:r>
                    <w:rPr>
                      <w:sz w:val="16"/>
                      <w:szCs w:val="16"/>
                    </w:rPr>
                    <w:t xml:space="preserve">0.89</w:t>
                  </w:r>
                </w:p>
              </w:tc>
            </w:tr>
            <w:tr>
              <w:trPr>
                <w:trHeight w:val="340" w:hRule="exact"/>
              </w:trPr>
              <w:tc>
                <w:tcPr>
                  <w:tcW w:w="5997" w:type="dxa"/>
                </w:tcPr>
                <w:p>
                  <w:pPr>
                    <w:pStyle w:val="Compact"/>
                    <w:jc w:val="left"/>
                    <w:rPr>
                      <w:sz w:val="16"/>
                      <w:szCs w:val="16"/>
                    </w:rPr>
                  </w:pPr>
                  <w:r>
                    <w:rPr>
                      <w:sz w:val="16"/>
                      <w:szCs w:val="16"/>
                    </w:rPr>
                    <w:t xml:space="preserve">Topographic position index</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-0.64</w:t>
                  </w:r>
                </w:p>
              </w:tc>
            </w:tr>
          </w:tbl>
          <w:bookmarkEnd w:id="172"/>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3" w:name="tbl-qmd"/>
          <w:p>
            <w:pPr>
              <w:jc w:val="center"/>
            </w:pPr>
            <w:pPr>
              <w:jc w:val="start"/>
              <w:spacing w:before="200"/>
              <w:pStyle w:val="ImageCaption"/>
            </w:pPr>
            <w:r>
              <w:t xml:space="preserve">Table 5: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text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vAlign w:val="center"/>
                </w:tcPr>
                <w:p>
                  <w:pPr>
                    <w:pStyle w:val="Compact"/>
                    <w:jc w:val="left"/>
                    <w:rPr>
                      <w:sz w:val="16"/>
                      <w:szCs w:val="16"/>
                    </w:rPr>
                  </w:pPr>
                  <w:r>
                    <w:rPr>
                      <w:b/>
                      <w:sz w:val="16"/>
                      <w:szCs w:val="16"/>
                    </w:rPr>
                    <w:t xml:space="preserve">QMD class (cm)</w:t>
                  </w:r>
                </w:p>
              </w:tc>
              <w:tc>
                <w:tcPr>
                  <w:tcW w:w="1871" w:type="dxa"/>
                  <w:vAlign w:val="center"/>
                </w:tcPr>
                <w:p>
                  <w:pPr>
                    <w:pStyle w:val="Compact"/>
                    <w:jc w:val="left"/>
                    <w:rPr>
                      <w:sz w:val="16"/>
                      <w:szCs w:val="16"/>
                    </w:rPr>
                  </w:pPr>
                  <w:r>
                    <w:rPr>
                      <w:b/>
                      <w:sz w:val="16"/>
                      <w:szCs w:val="16"/>
                    </w:rPr>
                    <w:t xml:space="preserve">n</w:t>
                  </w:r>
                </w:p>
              </w:tc>
              <w:tc>
                <w:tcPr>
                  <w:tcW w:w="1871" w:type="dxa"/>
                  <w:vAlign w:val="center"/>
                </w:tcPr>
                <w:p>
                  <w:pPr>
                    <w:pStyle w:val="Compact"/>
                    <w:jc w:val="left"/>
                    <w:rPr>
                      <w:sz w:val="16"/>
                      <w:szCs w:val="16"/>
                    </w:rPr>
                  </w:pPr>
                  <w:r>
                    <w:rPr>
                      <w:b/>
                      <w:sz w:val="16"/>
                      <w:szCs w:val="16"/>
                    </w:rPr>
                    <w:t xml:space="preserve">Attacked</w:t>
                  </w:r>
                </w:p>
              </w:tc>
              <w:tc>
                <w:tcPr>
                  <w:tcW w:w="1871" w:type="dxa"/>
                  <w:vAlign w:val="center"/>
                </w:tcPr>
                <w:p>
                  <w:pPr>
                    <w:pStyle w:val="Compact"/>
                    <w:jc w:val="left"/>
                    <w:rPr>
                      <w:sz w:val="16"/>
                      <w:szCs w:val="16"/>
                    </w:rPr>
                  </w:pPr>
                  <w:r>
                    <w:rPr>
                      <w:b/>
                      <w:sz w:val="16"/>
                      <w:szCs w:val="16"/>
                    </w:rPr>
                    <w:t xml:space="preserve">Attacked (%)</w:t>
                  </w:r>
                </w:p>
              </w:tc>
              <w:tc>
                <w:tcPr>
                  <w:tcW w:w="1870" w:type="dxa"/>
                  <w:vAlign w:val="center"/>
                </w:tcPr>
                <w:p>
                  <w:pPr>
                    <w:pStyle w:val="Compact"/>
                    <w:jc w:val="left"/>
                    <w:rPr>
                      <w:sz w:val="16"/>
                      <w:szCs w:val="16"/>
                    </w:rPr>
                  </w:pPr>
                  <w:r>
                    <w:rPr>
                      <w:b/>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173"/>
          <w:p/>
        </w:tc>
      </w:tr>
    </w:tbl>
    <w:p>
      <w:r>
        <w:br w:type="page"/>
      </w:r>
    </w:p>
    <w:p>
      <w:r>
        <w:br w:type="page"/>
      </w:r>
    </w:p>
    <w:bookmarkEnd w:id="174"/>
    <w:bookmarkStart w:id="18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78" w:name="fig-study-area"/>
          <w:p>
            <w:pPr>
              <w:pStyle w:val="Compact"/>
              <w:jc w:val="center"/>
            </w:pPr>
            <w:r>
              <w:drawing>
                <wp:inline>
                  <wp:extent cx="5943600" cy="6656832"/>
                  <wp:effectExtent b="0" l="0" r="0" t="0"/>
                  <wp:docPr descr="" title="" id="176" name="Picture"/>
                  <a:graphic>
                    <a:graphicData uri="http://schemas.openxmlformats.org/drawingml/2006/picture">
                      <pic:pic>
                        <pic:nvPicPr>
                          <pic:cNvPr descr="Manuscript_files/figure-docx/fig-study-area-1.png" id="177" name="Picture"/>
                          <pic:cNvPicPr>
                            <a:picLocks noChangeArrowheads="1" noChangeAspect="1"/>
                          </pic:cNvPicPr>
                        </pic:nvPicPr>
                        <pic:blipFill>
                          <a:blip r:embed="rId17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bookmarkEnd w:id="178"/>
        </w:tc>
      </w:tr>
    </w:tbl>
    <w:p>
      <w:r>
        <w:br w:type="page"/>
      </w:r>
    </w:p>
    <w:tbl>
      <w:tblPr>
        <w:tblStyle w:val="Table"/>
        <w:tblW w:type="pct" w:w="5000"/>
        <w:tblLayout w:type="fixed"/>
        <w:tblLook w:firstRow="0" w:lastRow="0" w:firstColumn="0" w:lastColumn="0" w:noHBand="0" w:noVBand="0" w:val="0000"/>
      </w:tblPr>
      <w:tblGrid>
        <w:gridCol w:w="7920"/>
      </w:tblGrid>
      <w:tr>
        <w:tc>
          <w:tcPr/>
          <w:bookmarkStart w:id="182" w:name="fig-first-attack"/>
          <w:p>
            <w:pPr>
              <w:pStyle w:val="Compact"/>
              <w:jc w:val="center"/>
            </w:pPr>
            <w:r>
              <w:drawing>
                <wp:inline>
                  <wp:extent cx="5943600" cy="4279392"/>
                  <wp:effectExtent b="0" l="0" r="0" t="0"/>
                  <wp:docPr descr="" title="" id="180" name="Picture"/>
                  <a:graphic>
                    <a:graphicData uri="http://schemas.openxmlformats.org/drawingml/2006/picture">
                      <pic:pic>
                        <pic:nvPicPr>
                          <pic:cNvPr descr="Manuscript_files/figure-docx/fig-first-attack-1.png" id="181" name="Picture"/>
                          <pic:cNvPicPr>
                            <a:picLocks noChangeArrowheads="1" noChangeAspect="1"/>
                          </pic:cNvPicPr>
                        </pic:nvPicPr>
                        <pic:blipFill>
                          <a:blip r:embed="rId179"/>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bookmarkEnd w:id="182"/>
        </w:tc>
      </w:tr>
    </w:tbl>
    <w:p>
      <w:r>
        <w:br w:type="page"/>
      </w:r>
    </w:p>
    <w:p>
      <w:r>
        <w:br w:type="page"/>
      </w:r>
    </w:p>
    <w:tbl>
      <w:tblPr>
        <w:tblStyle w:val="Table"/>
        <w:tblW w:type="pct" w:w="5000"/>
        <w:tblLayout w:type="fixed"/>
        <w:tblLook w:firstRow="0" w:lastRow="0" w:firstColumn="0" w:lastColumn="0" w:noHBand="0" w:noVBand="0" w:val="0000"/>
      </w:tblPr>
      <w:tblGrid>
        <w:gridCol w:w="7920"/>
      </w:tblGrid>
      <w:tr>
        <w:tc>
          <w:tcPr/>
          <w:bookmarkStart w:id="186" w:name="fig-interaction"/>
          <w:p>
            <w:pPr>
              <w:pStyle w:val="Compact"/>
              <w:jc w:val="center"/>
            </w:pPr>
            <w:r>
              <w:drawing>
                <wp:inline>
                  <wp:extent cx="5943600" cy="3962400"/>
                  <wp:effectExtent b="0" l="0" r="0" t="0"/>
                  <wp:docPr descr="" title="" id="184" name="Picture"/>
                  <a:graphic>
                    <a:graphicData uri="http://schemas.openxmlformats.org/drawingml/2006/picture">
                      <pic:pic>
                        <pic:nvPicPr>
                          <pic:cNvPr descr="Manuscript_files/figure-docx/fig-interaction-1.png" id="185" name="Picture"/>
                          <pic:cNvPicPr>
                            <a:picLocks noChangeArrowheads="1" noChangeAspect="1"/>
                          </pic:cNvPicPr>
                        </pic:nvPicPr>
                        <pic:blipFill>
                          <a:blip r:embed="rId18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bookmarkEnd w:id="186"/>
        </w:tc>
      </w:tr>
    </w:tbl>
    <w:bookmarkEnd w:id="187"/>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75" Target="media/rId175.png" /><Relationship Type="http://schemas.openxmlformats.org/officeDocument/2006/relationships/hyperlink" Id="rId87" Target="https://doi.org/10.1002/eap.1363" TargetMode="External" /><Relationship Type="http://schemas.openxmlformats.org/officeDocument/2006/relationships/hyperlink" Id="rId109" Target="https://doi.org/10.1002/eap.2274" TargetMode="External" /><Relationship Type="http://schemas.openxmlformats.org/officeDocument/2006/relationships/hyperlink" Id="rId138" Target="https://doi.org/10.1002/ece3.7921" TargetMode="External" /><Relationship Type="http://schemas.openxmlformats.org/officeDocument/2006/relationships/hyperlink" Id="rId97" Target="https://doi.org/10.1002/eco.1286" TargetMode="External" /><Relationship Type="http://schemas.openxmlformats.org/officeDocument/2006/relationships/hyperlink" Id="rId103" Target="https://doi.org/10.1002/fee.2190" TargetMode="External" /><Relationship Type="http://schemas.openxmlformats.org/officeDocument/2006/relationships/hyperlink" Id="rId89" Target="https://doi.org/10.1007/s00442-022-05129-4" TargetMode="External" /><Relationship Type="http://schemas.openxmlformats.org/officeDocument/2006/relationships/hyperlink" Id="rId127" Target="https://doi.org/10.1007/s10340-021-01328-9" TargetMode="External" /><Relationship Type="http://schemas.openxmlformats.org/officeDocument/2006/relationships/hyperlink" Id="rId125" Target="https://doi.org/10.1007/s10340-021-01341-y" TargetMode="External" /><Relationship Type="http://schemas.openxmlformats.org/officeDocument/2006/relationships/hyperlink" Id="rId99" Target="https://doi.org/10.1007/s10340-022-01490-8" TargetMode="External" /><Relationship Type="http://schemas.openxmlformats.org/officeDocument/2006/relationships/hyperlink" Id="rId42" Target="https://doi.org/10.1007/s10453-010-9176-9" TargetMode="External" /><Relationship Type="http://schemas.openxmlformats.org/officeDocument/2006/relationships/hyperlink" Id="rId77" Target="https://doi.org/10.1007/s10980-011-9628-9" TargetMode="External" /><Relationship Type="http://schemas.openxmlformats.org/officeDocument/2006/relationships/hyperlink" Id="rId64" Target="https://doi.org/10.1016/S0304-3800(99)00187-8" TargetMode="External" /><Relationship Type="http://schemas.openxmlformats.org/officeDocument/2006/relationships/hyperlink" Id="rId130" Target="https://doi.org/10.1016/j.ecolmodel.2013.10.034" TargetMode="External" /><Relationship Type="http://schemas.openxmlformats.org/officeDocument/2006/relationships/hyperlink" Id="rId81" Target="https://doi.org/10.1016/j.foreco.2006.10.011" TargetMode="External" /><Relationship Type="http://schemas.openxmlformats.org/officeDocument/2006/relationships/hyperlink" Id="rId85" Target="https://doi.org/10.1016/j.foreco.2007.11.027" TargetMode="External" /><Relationship Type="http://schemas.openxmlformats.org/officeDocument/2006/relationships/hyperlink" Id="rId160" Target="https://doi.org/10.1016/j.foreco.2013.03.038" TargetMode="External" /><Relationship Type="http://schemas.openxmlformats.org/officeDocument/2006/relationships/hyperlink" Id="rId75" Target="https://doi.org/10.1016/j.foreco.2013.09.051" TargetMode="External" /><Relationship Type="http://schemas.openxmlformats.org/officeDocument/2006/relationships/hyperlink" Id="rId101" Target="https://doi.org/10.1016/j.foreco.2020.118257" TargetMode="External" /><Relationship Type="http://schemas.openxmlformats.org/officeDocument/2006/relationships/hyperlink" Id="rId117" Target="https://doi.org/10.1016/j.foreco.2026.123985" TargetMode="External" /><Relationship Type="http://schemas.openxmlformats.org/officeDocument/2006/relationships/hyperlink" Id="rId164" Target="https://doi.org/10.1016/j.rse.2005.12.010" TargetMode="External" /><Relationship Type="http://schemas.openxmlformats.org/officeDocument/2006/relationships/hyperlink" Id="rId105" Target="https://doi.org/10.1038/s41598-020-63388-8" TargetMode="External" /><Relationship Type="http://schemas.openxmlformats.org/officeDocument/2006/relationships/hyperlink" Id="rId145" Target="https://doi.org/10.1079/PAVSNNR202116018" TargetMode="External" /><Relationship Type="http://schemas.openxmlformats.org/officeDocument/2006/relationships/hyperlink" Id="rId111" Target="https://doi.org/10.1093/aesa/64.2.534" TargetMode="External" /><Relationship Type="http://schemas.openxmlformats.org/officeDocument/2006/relationships/hyperlink" Id="rId48" Target="https://doi.org/10.1093/ee/16.3.738" TargetMode="External" /><Relationship Type="http://schemas.openxmlformats.org/officeDocument/2006/relationships/hyperlink" Id="rId44" Target="https://doi.org/10.1093/ee/2.4.541" TargetMode="External" /><Relationship Type="http://schemas.openxmlformats.org/officeDocument/2006/relationships/hyperlink" Id="rId60" Target="https://doi.org/10.1093/ee/nvw121" TargetMode="External" /><Relationship Type="http://schemas.openxmlformats.org/officeDocument/2006/relationships/hyperlink" Id="rId115" Target="https://doi.org/10.1093/forestscience/29.1.204" TargetMode="External" /><Relationship Type="http://schemas.openxmlformats.org/officeDocument/2006/relationships/hyperlink" Id="rId134" Target="https://doi.org/10.1093/forestscience/39.3.528" TargetMode="External" /><Relationship Type="http://schemas.openxmlformats.org/officeDocument/2006/relationships/hyperlink" Id="rId156" Target="https://doi.org/10.1093/forestscience/50.5.610" TargetMode="External" /><Relationship Type="http://schemas.openxmlformats.org/officeDocument/2006/relationships/hyperlink" Id="rId140" Target="https://doi.org/10.1093/forestscience/53.3.395" TargetMode="External" /><Relationship Type="http://schemas.openxmlformats.org/officeDocument/2006/relationships/hyperlink" Id="rId50" Target="https://doi.org/10.1111/j.0906-7590.2007.05453.x" TargetMode="External" /><Relationship Type="http://schemas.openxmlformats.org/officeDocument/2006/relationships/hyperlink" Id="rId83" Target="https://doi.org/10.1111/j.1439-0418.1972.tb01745.x" TargetMode="External" /><Relationship Type="http://schemas.openxmlformats.org/officeDocument/2006/relationships/hyperlink" Id="rId158" Target="https://doi.org/10.1111/j.1461-9563.2008.00408.x" TargetMode="External" /><Relationship Type="http://schemas.openxmlformats.org/officeDocument/2006/relationships/hyperlink" Id="rId151" Target="https://doi.org/10.1111/j.1466-8238.2011.00710.x" TargetMode="External" /><Relationship Type="http://schemas.openxmlformats.org/officeDocument/2006/relationships/hyperlink" Id="rId143" Target="https://doi.org/10.1111/j.1600-0587.2011.06847.x" TargetMode="External" /><Relationship Type="http://schemas.openxmlformats.org/officeDocument/2006/relationships/hyperlink" Id="rId113" Target="https://doi.org/10.1111/j.1654-1103.2002.tb02087.x" TargetMode="External" /><Relationship Type="http://schemas.openxmlformats.org/officeDocument/2006/relationships/hyperlink" Id="rId52" Target="https://doi.org/10.1111/j.2006.0906-7590.04445.x" TargetMode="External" /><Relationship Type="http://schemas.openxmlformats.org/officeDocument/2006/relationships/hyperlink" Id="rId73"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62" Target="https://doi.org/10.1139/x11-041" TargetMode="External" /><Relationship Type="http://schemas.openxmlformats.org/officeDocument/2006/relationships/hyperlink" Id="rId46" Target="https://doi.org/10.1139/x88-105" TargetMode="External" /><Relationship Type="http://schemas.openxmlformats.org/officeDocument/2006/relationships/hyperlink" Id="rId147" Target="https://doi.org/10.1139/x92-220" TargetMode="External" /><Relationship Type="http://schemas.openxmlformats.org/officeDocument/2006/relationships/hyperlink" Id="rId149" Target="https://doi.org/10.1139/x99-182" TargetMode="External" /><Relationship Type="http://schemas.openxmlformats.org/officeDocument/2006/relationships/hyperlink" Id="rId79" Target="https://doi.org/10.1175/2010jamc2339.1" TargetMode="External" /><Relationship Type="http://schemas.openxmlformats.org/officeDocument/2006/relationships/hyperlink" Id="rId107" Target="https://doi.org/10.1175/JHM486.1" TargetMode="External" /><Relationship Type="http://schemas.openxmlformats.org/officeDocument/2006/relationships/hyperlink" Id="rId58" Target="https://doi.org/10.1525/bio.2010.60.8.6" TargetMode="External" /><Relationship Type="http://schemas.openxmlformats.org/officeDocument/2006/relationships/hyperlink" Id="rId136" Target="https://doi.org/10.1641/b580607" TargetMode="External" /><Relationship Type="http://schemas.openxmlformats.org/officeDocument/2006/relationships/hyperlink" Id="rId69" Target="https://doi.org/10.1890/11-1055.1" TargetMode="External" /><Relationship Type="http://schemas.openxmlformats.org/officeDocument/2006/relationships/hyperlink" Id="rId132" Target="https://doi.org/10.1890/11-1412.1" TargetMode="External" /><Relationship Type="http://schemas.openxmlformats.org/officeDocument/2006/relationships/hyperlink" Id="rId71" Target="https://doi.org/10.1890/es10-00172.1" TargetMode="External" /><Relationship Type="http://schemas.openxmlformats.org/officeDocument/2006/relationships/hyperlink" Id="rId123" Target="https://doi.org/10.22230/jem.2007v8n1a367" TargetMode="External" /><Relationship Type="http://schemas.openxmlformats.org/officeDocument/2006/relationships/hyperlink" Id="rId162" Target="https://doi.org/10.2307/1940551" TargetMode="External" /><Relationship Type="http://schemas.openxmlformats.org/officeDocument/2006/relationships/hyperlink" Id="rId54" Target="https://doi.org/10.2737/int-rp-400" TargetMode="External" /><Relationship Type="http://schemas.openxmlformats.org/officeDocument/2006/relationships/hyperlink" Id="rId56" Target="https://doi.org/10.2737/int-rp-479" TargetMode="External" /><Relationship Type="http://schemas.openxmlformats.org/officeDocument/2006/relationships/hyperlink" Id="rId121" Target="https://doi.org/10.3390/f10010018" TargetMode="External" /><Relationship Type="http://schemas.openxmlformats.org/officeDocument/2006/relationships/hyperlink" Id="rId153" Target="https://doi.org/10.3390/f5010103" TargetMode="External" /><Relationship Type="http://schemas.openxmlformats.org/officeDocument/2006/relationships/hyperlink" Id="rId67" Target="https://doi.org/10.3390/f9110715" TargetMode="External" /><Relationship Type="http://schemas.openxmlformats.org/officeDocument/2006/relationships/hyperlink" Id="rId91"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1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7" Target="https://doi.org/10.1002/eap.1363" TargetMode="External" /><Relationship Type="http://schemas.openxmlformats.org/officeDocument/2006/relationships/hyperlink" Id="rId109" Target="https://doi.org/10.1002/eap.2274" TargetMode="External" /><Relationship Type="http://schemas.openxmlformats.org/officeDocument/2006/relationships/hyperlink" Id="rId138" Target="https://doi.org/10.1002/ece3.7921" TargetMode="External" /><Relationship Type="http://schemas.openxmlformats.org/officeDocument/2006/relationships/hyperlink" Id="rId97" Target="https://doi.org/10.1002/eco.1286" TargetMode="External" /><Relationship Type="http://schemas.openxmlformats.org/officeDocument/2006/relationships/hyperlink" Id="rId103" Target="https://doi.org/10.1002/fee.2190" TargetMode="External" /><Relationship Type="http://schemas.openxmlformats.org/officeDocument/2006/relationships/hyperlink" Id="rId89" Target="https://doi.org/10.1007/s00442-022-05129-4" TargetMode="External" /><Relationship Type="http://schemas.openxmlformats.org/officeDocument/2006/relationships/hyperlink" Id="rId127" Target="https://doi.org/10.1007/s10340-021-01328-9" TargetMode="External" /><Relationship Type="http://schemas.openxmlformats.org/officeDocument/2006/relationships/hyperlink" Id="rId125" Target="https://doi.org/10.1007/s10340-021-01341-y" TargetMode="External" /><Relationship Type="http://schemas.openxmlformats.org/officeDocument/2006/relationships/hyperlink" Id="rId99" Target="https://doi.org/10.1007/s10340-022-01490-8" TargetMode="External" /><Relationship Type="http://schemas.openxmlformats.org/officeDocument/2006/relationships/hyperlink" Id="rId42" Target="https://doi.org/10.1007/s10453-010-9176-9" TargetMode="External" /><Relationship Type="http://schemas.openxmlformats.org/officeDocument/2006/relationships/hyperlink" Id="rId77" Target="https://doi.org/10.1007/s10980-011-9628-9" TargetMode="External" /><Relationship Type="http://schemas.openxmlformats.org/officeDocument/2006/relationships/hyperlink" Id="rId64" Target="https://doi.org/10.1016/S0304-3800(99)00187-8" TargetMode="External" /><Relationship Type="http://schemas.openxmlformats.org/officeDocument/2006/relationships/hyperlink" Id="rId130" Target="https://doi.org/10.1016/j.ecolmodel.2013.10.034" TargetMode="External" /><Relationship Type="http://schemas.openxmlformats.org/officeDocument/2006/relationships/hyperlink" Id="rId81" Target="https://doi.org/10.1016/j.foreco.2006.10.011" TargetMode="External" /><Relationship Type="http://schemas.openxmlformats.org/officeDocument/2006/relationships/hyperlink" Id="rId85" Target="https://doi.org/10.1016/j.foreco.2007.11.027" TargetMode="External" /><Relationship Type="http://schemas.openxmlformats.org/officeDocument/2006/relationships/hyperlink" Id="rId160" Target="https://doi.org/10.1016/j.foreco.2013.03.038" TargetMode="External" /><Relationship Type="http://schemas.openxmlformats.org/officeDocument/2006/relationships/hyperlink" Id="rId75" Target="https://doi.org/10.1016/j.foreco.2013.09.051" TargetMode="External" /><Relationship Type="http://schemas.openxmlformats.org/officeDocument/2006/relationships/hyperlink" Id="rId101" Target="https://doi.org/10.1016/j.foreco.2020.118257" TargetMode="External" /><Relationship Type="http://schemas.openxmlformats.org/officeDocument/2006/relationships/hyperlink" Id="rId117" Target="https://doi.org/10.1016/j.foreco.2026.123985" TargetMode="External" /><Relationship Type="http://schemas.openxmlformats.org/officeDocument/2006/relationships/hyperlink" Id="rId164" Target="https://doi.org/10.1016/j.rse.2005.12.010" TargetMode="External" /><Relationship Type="http://schemas.openxmlformats.org/officeDocument/2006/relationships/hyperlink" Id="rId105" Target="https://doi.org/10.1038/s41598-020-63388-8" TargetMode="External" /><Relationship Type="http://schemas.openxmlformats.org/officeDocument/2006/relationships/hyperlink" Id="rId145" Target="https://doi.org/10.1079/PAVSNNR202116018" TargetMode="External" /><Relationship Type="http://schemas.openxmlformats.org/officeDocument/2006/relationships/hyperlink" Id="rId111" Target="https://doi.org/10.1093/aesa/64.2.534" TargetMode="External" /><Relationship Type="http://schemas.openxmlformats.org/officeDocument/2006/relationships/hyperlink" Id="rId48" Target="https://doi.org/10.1093/ee/16.3.738" TargetMode="External" /><Relationship Type="http://schemas.openxmlformats.org/officeDocument/2006/relationships/hyperlink" Id="rId44" Target="https://doi.org/10.1093/ee/2.4.541" TargetMode="External" /><Relationship Type="http://schemas.openxmlformats.org/officeDocument/2006/relationships/hyperlink" Id="rId60" Target="https://doi.org/10.1093/ee/nvw121" TargetMode="External" /><Relationship Type="http://schemas.openxmlformats.org/officeDocument/2006/relationships/hyperlink" Id="rId115" Target="https://doi.org/10.1093/forestscience/29.1.204" TargetMode="External" /><Relationship Type="http://schemas.openxmlformats.org/officeDocument/2006/relationships/hyperlink" Id="rId134" Target="https://doi.org/10.1093/forestscience/39.3.528" TargetMode="External" /><Relationship Type="http://schemas.openxmlformats.org/officeDocument/2006/relationships/hyperlink" Id="rId156" Target="https://doi.org/10.1093/forestscience/50.5.610" TargetMode="External" /><Relationship Type="http://schemas.openxmlformats.org/officeDocument/2006/relationships/hyperlink" Id="rId140" Target="https://doi.org/10.1093/forestscience/53.3.395" TargetMode="External" /><Relationship Type="http://schemas.openxmlformats.org/officeDocument/2006/relationships/hyperlink" Id="rId50" Target="https://doi.org/10.1111/j.0906-7590.2007.05453.x" TargetMode="External" /><Relationship Type="http://schemas.openxmlformats.org/officeDocument/2006/relationships/hyperlink" Id="rId83" Target="https://doi.org/10.1111/j.1439-0418.1972.tb01745.x" TargetMode="External" /><Relationship Type="http://schemas.openxmlformats.org/officeDocument/2006/relationships/hyperlink" Id="rId158" Target="https://doi.org/10.1111/j.1461-9563.2008.00408.x" TargetMode="External" /><Relationship Type="http://schemas.openxmlformats.org/officeDocument/2006/relationships/hyperlink" Id="rId151" Target="https://doi.org/10.1111/j.1466-8238.2011.00710.x" TargetMode="External" /><Relationship Type="http://schemas.openxmlformats.org/officeDocument/2006/relationships/hyperlink" Id="rId143" Target="https://doi.org/10.1111/j.1600-0587.2011.06847.x" TargetMode="External" /><Relationship Type="http://schemas.openxmlformats.org/officeDocument/2006/relationships/hyperlink" Id="rId113" Target="https://doi.org/10.1111/j.1654-1103.2002.tb02087.x" TargetMode="External" /><Relationship Type="http://schemas.openxmlformats.org/officeDocument/2006/relationships/hyperlink" Id="rId52" Target="https://doi.org/10.1111/j.2006.0906-7590.04445.x" TargetMode="External" /><Relationship Type="http://schemas.openxmlformats.org/officeDocument/2006/relationships/hyperlink" Id="rId73"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62" Target="https://doi.org/10.1139/x11-041" TargetMode="External" /><Relationship Type="http://schemas.openxmlformats.org/officeDocument/2006/relationships/hyperlink" Id="rId46" Target="https://doi.org/10.1139/x88-105" TargetMode="External" /><Relationship Type="http://schemas.openxmlformats.org/officeDocument/2006/relationships/hyperlink" Id="rId147" Target="https://doi.org/10.1139/x92-220" TargetMode="External" /><Relationship Type="http://schemas.openxmlformats.org/officeDocument/2006/relationships/hyperlink" Id="rId149" Target="https://doi.org/10.1139/x99-182" TargetMode="External" /><Relationship Type="http://schemas.openxmlformats.org/officeDocument/2006/relationships/hyperlink" Id="rId79" Target="https://doi.org/10.1175/2010jamc2339.1" TargetMode="External" /><Relationship Type="http://schemas.openxmlformats.org/officeDocument/2006/relationships/hyperlink" Id="rId107" Target="https://doi.org/10.1175/JHM486.1" TargetMode="External" /><Relationship Type="http://schemas.openxmlformats.org/officeDocument/2006/relationships/hyperlink" Id="rId58" Target="https://doi.org/10.1525/bio.2010.60.8.6" TargetMode="External" /><Relationship Type="http://schemas.openxmlformats.org/officeDocument/2006/relationships/hyperlink" Id="rId136" Target="https://doi.org/10.1641/b580607" TargetMode="External" /><Relationship Type="http://schemas.openxmlformats.org/officeDocument/2006/relationships/hyperlink" Id="rId69" Target="https://doi.org/10.1890/11-1055.1" TargetMode="External" /><Relationship Type="http://schemas.openxmlformats.org/officeDocument/2006/relationships/hyperlink" Id="rId132" Target="https://doi.org/10.1890/11-1412.1" TargetMode="External" /><Relationship Type="http://schemas.openxmlformats.org/officeDocument/2006/relationships/hyperlink" Id="rId71" Target="https://doi.org/10.1890/es10-00172.1" TargetMode="External" /><Relationship Type="http://schemas.openxmlformats.org/officeDocument/2006/relationships/hyperlink" Id="rId123" Target="https://doi.org/10.22230/jem.2007v8n1a367" TargetMode="External" /><Relationship Type="http://schemas.openxmlformats.org/officeDocument/2006/relationships/hyperlink" Id="rId162" Target="https://doi.org/10.2307/1940551" TargetMode="External" /><Relationship Type="http://schemas.openxmlformats.org/officeDocument/2006/relationships/hyperlink" Id="rId54" Target="https://doi.org/10.2737/int-rp-400" TargetMode="External" /><Relationship Type="http://schemas.openxmlformats.org/officeDocument/2006/relationships/hyperlink" Id="rId56" Target="https://doi.org/10.2737/int-rp-479" TargetMode="External" /><Relationship Type="http://schemas.openxmlformats.org/officeDocument/2006/relationships/hyperlink" Id="rId121" Target="https://doi.org/10.3390/f10010018" TargetMode="External" /><Relationship Type="http://schemas.openxmlformats.org/officeDocument/2006/relationships/hyperlink" Id="rId153" Target="https://doi.org/10.3390/f5010103" TargetMode="External" /><Relationship Type="http://schemas.openxmlformats.org/officeDocument/2006/relationships/hyperlink" Id="rId67" Target="https://doi.org/10.3390/f9110715" TargetMode="External" /><Relationship Type="http://schemas.openxmlformats.org/officeDocument/2006/relationships/hyperlink" Id="rId91"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1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2026-09-23T14:25:13Z</dcterms:created>
  <dcterms:modified xsi:type="dcterms:W3CDTF">2026-09-23T14:25:13Z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2026-09-23</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