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6.png" ContentType="image/png"/>
  <Override PartName="/word/media/rId29.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the wind disruption hypothesis for beetle refugia</w:t>
      </w:r>
    </w:p>
    <w:p>
      <w:pPr>
        <w:pStyle w:val="Subtitle"/>
      </w:pPr>
      <w:r>
        <w:t xml:space="preserve">Stand density, terrain and wind as competing controls on mountain pine beetle attack (Dendroctonus ponderosae) in the Selkirk Mountains of British Columbia</w:t>
      </w:r>
    </w:p>
    <w:p>
      <w:pPr>
        <w:pStyle w:val="Author"/>
      </w:pPr>
      <w:r>
        <w:t xml:space="preserve">Seamus Murphy</w:t>
      </w:r>
    </w:p>
    <w:p>
      <w:pPr>
        <w:pStyle w:val="Date"/>
      </w:pPr>
      <w:r>
        <w:t xml:space="preserve">2026-08-31</w:t>
      </w:r>
    </w:p>
    <w:bookmarkStart w:id="20" w:name="abstract"/>
    <w:p>
      <w:pPr>
        <w:pStyle w:val="Heading1"/>
      </w:pPr>
      <w:r>
        <w:t xml:space="preserve">Abstract</w:t>
      </w:r>
    </w:p>
    <w:p>
      <w:pPr>
        <w:pStyle w:val="FirstParagraph"/>
      </w:pPr>
      <w:r>
        <w:t xml:space="preserve">Refugia from mountain pine beetle (</w:t>
      </w:r>
      <w:r>
        <w:rPr>
          <w:i/>
          <w:iCs/>
        </w:rPr>
        <w:t xml:space="preserve">Dendroctonus ponderosae</w:t>
      </w:r>
      <w:r>
        <w:t xml:space="preserve">) are hypothesised to form</w:t>
      </w:r>
      <w:r>
        <w:t xml:space="preserve"> </w:t>
      </w:r>
      <w:r>
        <w:t xml:space="preserve">where tree defences hold: on shaded ground that spares trees water stress, or in thin stands</w:t>
      </w:r>
      <w:r>
        <w:t xml:space="preserve"> </w:t>
      </w:r>
      <w:r>
        <w:t xml:space="preserve">with few large hosts, where wind may disrupt the aggregation pheromone. None has been fitted</w:t>
      </w:r>
      <w:r>
        <w:t xml:space="preserve"> </w:t>
      </w:r>
      <w:r>
        <w:t xml:space="preserve">spatially. We tested all three over 5,573 ha of the Selkirk Mountains, British</w:t>
      </w:r>
      <w:r>
        <w:t xml:space="preserve"> </w:t>
      </w:r>
      <w:r>
        <w:t xml:space="preserve">Columbia, at 30 m across 59 sixteen-day Landsat epochs and 8 outbreak</w:t>
      </w:r>
      <w:r>
        <w:t xml:space="preserve"> </w:t>
      </w:r>
      <w:r>
        <w:t xml:space="preserve">years, with a terrain-resolved wind field from hourly station records. Wind disruption held,</w:t>
      </w:r>
      <w:r>
        <w:t xml:space="preserve"> </w:t>
      </w:r>
      <w:r>
        <w:t xml:space="preserve">conditionally. Stand density interacted negatively with wind, -0.049 for stem</w:t>
      </w:r>
      <w:r>
        <w:t xml:space="preserve"> </w:t>
      </w:r>
      <w:r>
        <w:t xml:space="preserve">density and -0.017 for standing volume, both surviving a within-season spread term;</w:t>
      </w:r>
      <w:r>
        <w:t xml:space="preserve"> </w:t>
      </w:r>
      <w:r>
        <w:t xml:space="preserve">neither protected alone. A refugium here is a conjunction of stand and weather, not a fixed</w:t>
      </w:r>
      <w:r>
        <w:t xml:space="preserve"> </w:t>
      </w:r>
      <w:r>
        <w:t xml:space="preserve">place. Host held as a threshold, attack peaking at 39.7 per cent at</w:t>
      </w:r>
      <w:r>
        <w:t xml:space="preserve"> </w:t>
      </w:r>
      <w:r>
        <w:t xml:space="preserve">25 to 30 cm. Shading failed backwards: shaded ground carried more attack.</w:t>
      </w:r>
    </w:p>
    <w:bookmarkEnd w:id="20"/>
    <w:bookmarkStart w:id="21" w:name="introduction"/>
    <w:p>
      <w:pPr>
        <w:pStyle w:val="Heading1"/>
      </w:pPr>
      <w:r>
        <w:t xml:space="preserve">1. Introduction</w:t>
      </w:r>
    </w:p>
    <w:p>
      <w:pPr>
        <w:pStyle w:val="FirstParagraph"/>
      </w:pPr>
      <w:r>
        <w:t xml:space="preserve">Mountain pine beetle (</w:t>
      </w:r>
      <w:r>
        <w:rPr>
          <w:i/>
          <w:iCs/>
        </w:rPr>
        <w:t xml:space="preserve">Dendroctonus ponderosae</w:t>
      </w:r>
      <w:r>
        <w:t xml:space="preserve"> </w:t>
      </w:r>
      <w:r>
        <w:t xml:space="preserve">Hopkins) has killed more lodgepole pine</w:t>
      </w:r>
      <w:r>
        <w:t xml:space="preserve"> </w:t>
      </w:r>
      <w:r>
        <w:t xml:space="preserve">(</w:t>
      </w:r>
      <w:r>
        <w:rPr>
          <w:i/>
          <w:iCs/>
        </w:rPr>
        <w:t xml:space="preserve">Pinus contorta</w:t>
      </w:r>
      <w:r>
        <w:t xml:space="preserve"> </w:t>
      </w:r>
      <w:r>
        <w:t xml:space="preserve">Douglas ex Loudon) in British Columbia than any other agent on record</w:t>
      </w:r>
      <w:r>
        <w:t xml:space="preserve"> </w:t>
      </w:r>
      <w:r>
        <w:t xml:space="preserve">(Taylor and Carroll 2003; Sambaraju and Goodsman 2021)</w:t>
      </w:r>
      <w:r>
        <w:t xml:space="preserve">. Where a landscape is not killed uniformly, the surviving</w:t>
      </w:r>
      <w:r>
        <w:t xml:space="preserve"> </w:t>
      </w:r>
      <w:r>
        <w:t xml:space="preserve">patches shape what the forest becomes, and the framework for them is disturbance refugia,</w:t>
      </w:r>
      <w:r>
        <w:t xml:space="preserve"> </w:t>
      </w:r>
      <w:r>
        <w:t xml:space="preserve">places buffered from disturbance over time</w:t>
      </w:r>
      <w:r>
        <w:t xml:space="preserve"> </w:t>
      </w:r>
      <w:r>
        <w:t xml:space="preserve">(Krawchuk</w:t>
      </w:r>
      <w:r>
        <w:t xml:space="preserve"> </w:t>
      </w:r>
      <w:r>
        <w:rPr>
          <w:i/>
          <w:iCs/>
        </w:rPr>
        <w:t xml:space="preserve">et al.</w:t>
      </w:r>
      <w:r>
        <w:t xml:space="preserve"> </w:t>
      </w:r>
      <w:r>
        <w:t xml:space="preserve">2020)</w:t>
      </w:r>
      <w:r>
        <w:t xml:space="preserve">. Explaining refugia rather than</w:t>
      </w:r>
      <w:r>
        <w:t xml:space="preserve"> </w:t>
      </w:r>
      <w:r>
        <w:t xml:space="preserve">locating them needs mechanistic links to terrain, soil and stand structure</w:t>
      </w:r>
      <w:r>
        <w:t xml:space="preserve"> </w:t>
      </w:r>
      <w:r>
        <w:t xml:space="preserve">(Cartwright 2018)</w:t>
      </w:r>
      <w:r>
        <w:t xml:space="preserve">.</w:t>
      </w:r>
    </w:p>
    <w:p>
      <w:pPr>
        <w:pStyle w:val="BodyText"/>
      </w:pPr>
      <w:r>
        <w:t xml:space="preserve">Krawchuk</w:t>
      </w:r>
      <w:r>
        <w:t xml:space="preserve"> </w:t>
      </w:r>
      <w:r>
        <w:rPr>
          <w:i/>
          <w:iCs/>
        </w:rPr>
        <w:t xml:space="preserve">et al.</w:t>
      </w:r>
      <w:r>
        <w:t xml:space="preserve"> </w:t>
      </w:r>
      <w:r>
        <w:t xml:space="preserve">(2020)</w:t>
      </w:r>
      <w:r>
        <w:t xml:space="preserve"> </w:t>
      </w:r>
      <w:r>
        <w:t xml:space="preserve">proposed such a mechanism: refugia could occur</w:t>
      </w:r>
      <w:r>
        <w:t xml:space="preserve"> </w:t>
      </w:r>
      <w:r>
        <w:t xml:space="preserve">“in areas with cooler</w:t>
      </w:r>
      <w:r>
        <w:t xml:space="preserve"> </w:t>
      </w:r>
      <w:r>
        <w:t xml:space="preserve">temperatures (eg from topographic shading) that protect trees from water stress; in areas</w:t>
      </w:r>
      <w:r>
        <w:t xml:space="preserve"> </w:t>
      </w:r>
      <w:r>
        <w:t xml:space="preserve">with lower host density, allowing for greater wind disruption of beetle pheromone</w:t>
      </w:r>
      <w:r>
        <w:t xml:space="preserve"> </w:t>
      </w:r>
      <w:r>
        <w:t xml:space="preserve">communication and more vigorous tree growth and chemical defenses; and in areas with fewer</w:t>
      </w:r>
      <w:r>
        <w:t xml:space="preserve"> </w:t>
      </w:r>
      <w:r>
        <w:t xml:space="preserve">large-diameter host trees”</w:t>
      </w:r>
      <w:r>
        <w:t xml:space="preserve">. Three mechanisms, two of them terrain, and none has been fitted</w:t>
      </w:r>
      <w:r>
        <w:t xml:space="preserve"> </w:t>
      </w:r>
      <w:r>
        <w:t xml:space="preserve">spatially. Of the studies our screen retained, only a companion study on this landscape</w:t>
      </w:r>
      <w:r>
        <w:t xml:space="preserve"> </w:t>
      </w:r>
      <w:r>
        <w:t xml:space="preserve">enters a wind term, and its response is conifer regeneration rather than attack</w:t>
      </w:r>
      <w:r>
        <w:t xml:space="preserve"> </w:t>
      </w:r>
      <w:r>
        <w:t xml:space="preserve">(Murphy</w:t>
      </w:r>
      <w:r>
        <w:t xml:space="preserve"> </w:t>
      </w:r>
      <w:r>
        <w:rPr>
          <w:i/>
          <w:iCs/>
        </w:rPr>
        <w:t xml:space="preserve">et al.</w:t>
      </w:r>
      <w:r>
        <w:t xml:space="preserve"> </w:t>
      </w:r>
      <w:r>
        <w:t xml:space="preserve">2026)</w:t>
      </w:r>
      <w:r>
        <w:t xml:space="preserve">.</w:t>
      </w:r>
    </w:p>
    <w:p>
      <w:pPr>
        <w:pStyle w:val="BodyText"/>
      </w:pPr>
      <w:r>
        <w:t xml:space="preserve">Why a plume should matter at all is a population argument. A lodgepole pine resists a</w:t>
      </w:r>
      <w:r>
        <w:t xml:space="preserve"> </w:t>
      </w:r>
      <w:r>
        <w:t xml:space="preserve">single beetle through resin flow and an induced response that saturates the phloem with</w:t>
      </w:r>
      <w:r>
        <w:t xml:space="preserve"> </w:t>
      </w:r>
      <w:r>
        <w:t xml:space="preserve">terpenes, so overwhelming that defence takes the near-simultaneous arrival of many</w:t>
      </w:r>
      <w:r>
        <w:t xml:space="preserve"> </w:t>
      </w:r>
      <w:r>
        <w:t xml:space="preserve">individuals. Arrival is coordinated chemically, pioneer females oxidising a host</w:t>
      </w:r>
      <w:r>
        <w:t xml:space="preserve"> </w:t>
      </w:r>
      <w:r>
        <w:t xml:space="preserve">monoterpene to</w:t>
      </w:r>
      <w:r>
        <w:t xml:space="preserve"> </w:t>
      </w:r>
      <w:r>
        <w:rPr>
          <w:i/>
          <w:iCs/>
        </w:rPr>
        <w:t xml:space="preserve">trans</w:t>
      </w:r>
      <w:r>
        <w:t xml:space="preserve">-verbenol while arriving males release</w:t>
      </w:r>
      <w:r>
        <w:t xml:space="preserve"> </w:t>
      </w:r>
      <w:r>
        <w:rPr>
          <w:i/>
          <w:iCs/>
        </w:rPr>
        <w:t xml:space="preserve">exo</w:t>
      </w:r>
      <w:r>
        <w:t xml:space="preserve">-brevicomin, and</w:t>
      </w:r>
      <w:r>
        <w:t xml:space="preserve"> </w:t>
      </w:r>
      <w:r>
        <w:t xml:space="preserve">colonisation is normally complete within one to two days</w:t>
      </w:r>
      <w:r>
        <w:t xml:space="preserve"> </w:t>
      </w:r>
      <w:r>
        <w:t xml:space="preserve">(Safranyik and Carroll 2006)</w:t>
      </w:r>
      <w:r>
        <w:t xml:space="preserve">. Because</w:t>
      </w:r>
      <w:r>
        <w:t xml:space="preserve"> </w:t>
      </w:r>
      <w:r>
        <w:t xml:space="preserve">that signal is airborne it is in principle susceptible to wind, and that susceptibility is</w:t>
      </w:r>
      <w:r>
        <w:t xml:space="preserve"> </w:t>
      </w:r>
      <w:r>
        <w:t xml:space="preserve">the premise under test. Stem size sets a second constraint: bark thickness, phloem</w:t>
      </w:r>
      <w:r>
        <w:t xml:space="preserve"> </w:t>
      </w:r>
      <w:r>
        <w:t xml:space="preserve">thickness and moisture retention all rise with diameter, and</w:t>
      </w:r>
      <w:r>
        <w:t xml:space="preserve"> </w:t>
      </w:r>
      <w:r>
        <w:t xml:space="preserve">Carroll and Safranyik (2004)</w:t>
      </w:r>
      <w:r>
        <w:t xml:space="preserve"> </w:t>
      </w:r>
      <w:r>
        <w:t xml:space="preserve">put the</w:t>
      </w:r>
      <w:r>
        <w:t xml:space="preserve"> </w:t>
      </w:r>
      <w:r>
        <w:t xml:space="preserve">consequence as a threshold, pine at or below 25 cm being on average beetle sinks and larger</w:t>
      </w:r>
      <w:r>
        <w:t xml:space="preserve"> </w:t>
      </w:r>
      <w:r>
        <w:t xml:space="preserve">trees sources.</w:t>
      </w:r>
    </w:p>
    <w:p>
      <w:pPr>
        <w:pStyle w:val="BodyText"/>
      </w:pPr>
      <w:r>
        <w:t xml:space="preserve">The wind half is a claim about canopy, not open air.</w:t>
      </w:r>
      <w:r>
        <w:t xml:space="preserve"> </w:t>
      </w:r>
      <w:r>
        <w:t xml:space="preserve">Cartwright (2018)</w:t>
      </w:r>
      <w:r>
        <w:t xml:space="preserve"> </w:t>
      </w:r>
      <w:r>
        <w:t xml:space="preserve">found insect refugia in</w:t>
      </w:r>
      <w:r>
        <w:t xml:space="preserve"> </w:t>
      </w:r>
      <w:r>
        <w:t xml:space="preserve">stands of low basal area:</w:t>
      </w:r>
      <w:r>
        <w:t xml:space="preserve"> </w:t>
      </w:r>
      <w:r>
        <w:t xml:space="preserve">“thinner stands also increase wind penetration, helping to disperse</w:t>
      </w:r>
      <w:r>
        <w:t xml:space="preserve"> </w:t>
      </w:r>
      <w:r>
        <w:t xml:space="preserve">beetle pheromones and disrupt chemical communications needed to coordinate attacks.”</w:t>
      </w:r>
      <w:r>
        <w:t xml:space="preserve"> </w:t>
      </w:r>
      <w:r>
        <w:t xml:space="preserve">Powell and Bentz (2014)</w:t>
      </w:r>
      <w:r>
        <w:t xml:space="preserve"> </w:t>
      </w:r>
      <w:r>
        <w:t xml:space="preserve">state the converse as the condition for outbreak,</w:t>
      </w:r>
      <w:r>
        <w:t xml:space="preserve"> </w:t>
      </w:r>
      <w:r>
        <w:t xml:space="preserve">“higher local host density,</w:t>
      </w:r>
      <w:r>
        <w:t xml:space="preserve"> </w:t>
      </w:r>
      <w:r>
        <w:t xml:space="preserve">which minimizes pheromone plume dispersion, reduces wind, and promotes successful switching</w:t>
      </w:r>
      <w:r>
        <w:t xml:space="preserve"> </w:t>
      </w:r>
      <w:r>
        <w:t xml:space="preserve">to nearby hosts”</w:t>
      </w:r>
      <w:r>
        <w:t xml:space="preserve">. A model that controls stand density out and then reads a terrain</w:t>
      </w:r>
      <w:r>
        <w:t xml:space="preserve"> </w:t>
      </w:r>
      <w:r>
        <w:t xml:space="preserve">coefficient as a wind effect has removed the pathway it set out to test.</w:t>
      </w:r>
    </w:p>
    <w:p>
      <w:pPr>
        <w:pStyle w:val="BodyText"/>
      </w:pPr>
      <w:r>
        <w:t xml:space="preserve">Terrain also acts through heat. Flight is thermally gated at 19 to 41 degrees C, and</w:t>
      </w:r>
      <w:r>
        <w:t xml:space="preserve"> </w:t>
      </w:r>
      <w:r>
        <w:t xml:space="preserve">“most</w:t>
      </w:r>
      <w:r>
        <w:t xml:space="preserve"> </w:t>
      </w:r>
      <w:r>
        <w:t xml:space="preserve">flights occur on bright sunny days, and peak flight is in the early to mid afternoon”</w:t>
      </w:r>
      <w:r>
        <w:t xml:space="preserve"> </w:t>
      </w:r>
      <w:r>
        <w:t xml:space="preserve">(McCambridge 1971; Safranyik and Carroll 2006)</w:t>
      </w:r>
      <w:r>
        <w:t xml:space="preserve">. Radiation during the flight window is therefore a</w:t>
      </w:r>
      <w:r>
        <w:t xml:space="preserve"> </w:t>
      </w:r>
      <w:r>
        <w:t xml:space="preserve">different quantity from radiation across the season, and the season quantity is the one the</w:t>
      </w:r>
      <w:r>
        <w:t xml:space="preserve"> </w:t>
      </w:r>
      <w:r>
        <w:t xml:space="preserve">shading pathway concerns. Cool sites also push the beetle toward a two-year cycle</w:t>
      </w:r>
      <w:r>
        <w:t xml:space="preserve"> </w:t>
      </w:r>
      <w:r>
        <w:t xml:space="preserve">(Sambaraju and Goodsman 2021)</w:t>
      </w:r>
      <w:r>
        <w:t xml:space="preserve">, so shading and tree vigour predict the same sign by independent routes</w:t>
      </w:r>
      <w:r>
        <w:t xml:space="preserve"> </w:t>
      </w:r>
      <w:r>
        <w:t xml:space="preserve">(Bartos and Amman 1989)</w:t>
      </w:r>
      <w:r>
        <w:t xml:space="preserve">.</w:t>
      </w:r>
    </w:p>
    <w:p>
      <w:pPr>
        <w:pStyle w:val="BodyText"/>
      </w:pPr>
      <w:r>
        <w:t xml:space="preserve">No product reports the wind the hypothesis concerns, an instantaneous below-canopy speed at</w:t>
      </w:r>
      <w:r>
        <w:t xml:space="preserve"> </w:t>
      </w:r>
      <w:r>
        <w:t xml:space="preserve">flight height during the flight period. Gridded climatologies report a long-run mean at 10 m</w:t>
      </w:r>
      <w:r>
        <w:t xml:space="preserve"> </w:t>
      </w:r>
      <w:r>
        <w:t xml:space="preserve">over open ground, downscaled over a digital elevation model, which makes them partly a</w:t>
      </w:r>
      <w:r>
        <w:t xml:space="preserve"> </w:t>
      </w:r>
      <w:r>
        <w:t xml:space="preserve">transform of the terrain offered alongside them</w:t>
      </w:r>
      <w:r>
        <w:t xml:space="preserve"> </w:t>
      </w:r>
      <w:r>
        <w:t xml:space="preserve">(Badger</w:t>
      </w:r>
      <w:r>
        <w:t xml:space="preserve"> </w:t>
      </w:r>
      <w:r>
        <w:rPr>
          <w:i/>
          <w:iCs/>
        </w:rPr>
        <w:t xml:space="preserve">et al.</w:t>
      </w:r>
      <w:r>
        <w:t xml:space="preserve"> </w:t>
      </w:r>
      <w:r>
        <w:t xml:space="preserve">2014; Davis</w:t>
      </w:r>
      <w:r>
        <w:t xml:space="preserve"> </w:t>
      </w:r>
      <w:r>
        <w:rPr>
          <w:i/>
          <w:iCs/>
        </w:rPr>
        <w:t xml:space="preserve">et al.</w:t>
      </w:r>
      <w:r>
        <w:t xml:space="preserve"> </w:t>
      </w:r>
      <w:r>
        <w:t xml:space="preserve">2023)</w:t>
      </w:r>
      <w:r>
        <w:t xml:space="preserve">. Nor does the</w:t>
      </w:r>
      <w:r>
        <w:t xml:space="preserve"> </w:t>
      </w:r>
      <w:r>
        <w:t xml:space="preserve">literature state the interval over which wind should be summarised. We therefore take wind</w:t>
      </w:r>
      <w:r>
        <w:t xml:space="preserve"> </w:t>
      </w:r>
      <w:r>
        <w:t xml:space="preserve">from station observations of each 16-day period, modify it over the terrain, and test the</w:t>
      </w:r>
      <w:r>
        <w:t xml:space="preserve"> </w:t>
      </w:r>
      <w:r>
        <w:t xml:space="preserve">response at Landsat’s own 16-day repeat rather than annually. Appendix S1 gives the direction</w:t>
      </w:r>
      <w:r>
        <w:t xml:space="preserve"> </w:t>
      </w:r>
      <w:r>
        <w:t xml:space="preserve">expected of every attribute entered and the reasoning behind it.</w:t>
      </w:r>
    </w:p>
    <w:bookmarkEnd w:id="21"/>
    <w:bookmarkStart w:id="23" w:name="methods"/>
    <w:p>
      <w:pPr>
        <w:pStyle w:val="Heading1"/>
      </w:pPr>
      <w:r>
        <w:t xml:space="preserve">2. Methods</w:t>
      </w:r>
    </w:p>
    <w:p>
      <w:pPr>
        <w:pStyle w:val="FirstParagraph"/>
      </w:pPr>
      <w:hyperlink w:anchor="tbl-inventory">
        <w:r>
          <w:rPr>
            <w:rStyle w:val="Hyperlink"/>
          </w:rPr>
          <w:t xml:space="preserve">Table 1</w:t>
        </w:r>
      </w:hyperlink>
      <w:r>
        <w:t xml:space="preserve"> </w:t>
      </w:r>
      <w:r>
        <w:t xml:space="preserve">sets out the datasets this study combines and the resolution of each.</w:t>
      </w:r>
      <w:r>
        <w:t xml:space="preserve"> </w:t>
      </w:r>
      <w:r>
        <w:t xml:space="preserve">The asymmetry it shows is the one the analysis turns on: the response varies every sixteen</w:t>
      </w:r>
      <w:r>
        <w:t xml:space="preserve"> </w:t>
      </w:r>
      <w:r>
        <w:t xml:space="preserve">days, the inventory once a year, the station wind every hour, and the terrain not at all.</w:t>
      </w:r>
    </w:p>
    <w:tbl>
      <w:tblPr>
        <w:tblStyle w:val="Table"/>
        <w:tblW w:type="pct" w:w="5000"/>
        <w:tblLayout w:type="fixed"/>
        <w:tblLook w:firstRow="0" w:lastRow="0" w:firstColumn="0" w:lastColumn="0" w:noHBand="0" w:noVBand="0" w:val="0000"/>
      </w:tblPr>
      <w:tblGrid>
        <w:gridCol w:w="7920"/>
      </w:tblGrid>
      <w:tr>
        <w:tc>
          <w:tcPr/>
          <w:bookmarkStart w:id="22" w:name="tbl-inventory"/>
          <w:p>
            <w:pPr>
              <w:jc w:val="center"/>
            </w:pPr>
            <w:pPr>
              <w:jc w:val="start"/>
              <w:spacing w:before="200"/>
              <w:pStyle w:val="ImageCaption"/>
            </w:pPr>
            <w:r>
              <w:t xml:space="preserve">Table 1: The datasets this study combines, with the structure and resolution of each. Every count is read from the files at render time. Spatial resolution is the grid the variable is analysed on; temporal resolution is the interval at which it varies. Note that the response varies every 16 days, the inventory once a year and the terrain not at all, which is the asymmetry the wind analysis turns on.</w:t>
            </w:r>
          </w:p>
          <w:tbl>
            <w:tblPr>
              <w:tblStyle w:val="Table"/>
              <w:tblW w:type="pct" w:w="5000"/>
              <w:tblLayout w:type="fixed"/>
              <w:tblLook w:firstRow="1" w:lastRow="0" w:firstColumn="0" w:lastColumn="0" w:noHBand="0" w:noVBand="0" w:val="0020"/>
            </w:tblPr>
            <w:tblGrid>
              <w:gridCol w:w="862"/>
              <w:gridCol w:w="1500"/>
              <w:gridCol w:w="2043"/>
              <w:gridCol w:w="894"/>
              <w:gridCol w:w="990"/>
              <w:gridCol w:w="894"/>
              <w:gridCol w:w="734"/>
            </w:tblGrid>
            <w:tr>
              <w:trPr>
                <w:tblHeader w:val="on"/>
              </w:trPr>
              <w:tc>
                <w:tcPr/>
                <w:p>
                  <w:pPr>
                    <w:pStyle w:val="Compact"/>
                    <w:jc w:val="left"/>
                    <w:jc w:val="center"/>
                  </w:pPr>
                  <w:r>
                    <w:t xml:space="preserve">Dataset</w:t>
                  </w:r>
                </w:p>
              </w:tc>
              <w:tc>
                <w:tcPr/>
                <w:p>
                  <w:pPr>
                    <w:pStyle w:val="Compact"/>
                    <w:jc w:val="left"/>
                    <w:jc w:val="center"/>
                  </w:pPr>
                  <w:r>
                    <w:t xml:space="preserve">Source</w:t>
                  </w:r>
                </w:p>
              </w:tc>
              <w:tc>
                <w:tcPr/>
                <w:p>
                  <w:pPr>
                    <w:pStyle w:val="Compact"/>
                    <w:jc w:val="left"/>
                    <w:jc w:val="center"/>
                  </w:pPr>
                  <w:r>
                    <w:t xml:space="preserve">Variables</w:t>
                  </w:r>
                </w:p>
              </w:tc>
              <w:tc>
                <w:tcPr/>
                <w:p>
                  <w:pPr>
                    <w:pStyle w:val="Compact"/>
                    <w:jc w:val="left"/>
                    <w:jc w:val="center"/>
                  </w:pPr>
                  <w:r>
                    <w:t xml:space="preserve">Spatial resolution</w:t>
                  </w:r>
                </w:p>
              </w:tc>
              <w:tc>
                <w:tcPr/>
                <w:p>
                  <w:pPr>
                    <w:pStyle w:val="Compact"/>
                    <w:jc w:val="left"/>
                    <w:jc w:val="center"/>
                  </w:pPr>
                  <w:r>
                    <w:t xml:space="preserve">Temporal resolution</w:t>
                  </w:r>
                </w:p>
              </w:tc>
              <w:tc>
                <w:tcPr/>
                <w:p>
                  <w:pPr>
                    <w:pStyle w:val="Compact"/>
                    <w:jc w:val="left"/>
                    <w:jc w:val="center"/>
                  </w:pPr>
                  <w:r>
                    <w:t xml:space="preserve">Period</w:t>
                  </w:r>
                </w:p>
              </w:tc>
              <w:tc>
                <w:tcPr/>
                <w:p>
                  <w:pPr>
                    <w:pStyle w:val="Compact"/>
                    <w:jc w:val="right"/>
                    <w:jc w:val="center"/>
                  </w:pPr>
                  <w:r>
                    <w:t xml:space="preserve">n</w:t>
                  </w:r>
                </w:p>
              </w:tc>
            </w:tr>
            <w:tr>
              <w:tc>
                <w:tcPr/>
                <w:p>
                  <w:pPr>
                    <w:pStyle w:val="Compact"/>
                    <w:jc w:val="left"/>
                    <w:jc w:val="center"/>
                  </w:pPr>
                  <w:r>
                    <w:t xml:space="preserve">Beetle disturbance, annual</w:t>
                  </w:r>
                </w:p>
              </w:tc>
              <w:tc>
                <w:tcPr/>
                <w:p>
                  <w:pPr>
                    <w:pStyle w:val="Compact"/>
                    <w:jc w:val="left"/>
                    <w:jc w:val="center"/>
                  </w:pPr>
                  <w:r>
                    <w:t xml:space="preserve">Landsat 5 and 8 Collection 2 Level-2</w:t>
                  </w:r>
                </w:p>
              </w:tc>
              <w:tc>
                <w:tcPr/>
                <w:p>
                  <w:pPr>
                    <w:pStyle w:val="Compact"/>
                    <w:jc w:val="left"/>
                    <w:jc w:val="center"/>
                  </w:pPr>
                  <w:r>
                    <w:t xml:space="preserve">Moderate-to-high disturbance, binary, from NDMI</w:t>
                  </w:r>
                </w:p>
              </w:tc>
              <w:tc>
                <w:tcPr/>
                <w:p>
                  <w:pPr>
                    <w:pStyle w:val="Compact"/>
                    <w:jc w:val="left"/>
                    <w:jc w:val="center"/>
                  </w:pPr>
                  <w:r>
                    <w:t xml:space="preserve">30 m</w:t>
                  </w:r>
                </w:p>
              </w:tc>
              <w:tc>
                <w:tcPr/>
                <w:p>
                  <w:pPr>
                    <w:pStyle w:val="Compact"/>
                    <w:jc w:val="left"/>
                    <w:jc w:val="center"/>
                  </w:pPr>
                  <w:r>
                    <w:t xml:space="preserve">1 year</w:t>
                  </w:r>
                </w:p>
              </w:tc>
              <w:tc>
                <w:tcPr/>
                <w:p>
                  <w:pPr>
                    <w:pStyle w:val="Compact"/>
                    <w:jc w:val="left"/>
                    <w:jc w:val="center"/>
                  </w:pPr>
                  <w:r>
                    <w:t xml:space="preserve">2006-2014, excluding 2012</w:t>
                  </w:r>
                </w:p>
              </w:tc>
              <w:tc>
                <w:tcPr/>
                <w:p>
                  <w:pPr>
                    <w:pStyle w:val="Compact"/>
                    <w:jc w:val="right"/>
                    <w:jc w:val="center"/>
                  </w:pPr>
                  <w:r>
                    <w:t xml:space="preserve">8 years</w:t>
                  </w:r>
                </w:p>
              </w:tc>
            </w:tr>
            <w:tr>
              <w:tc>
                <w:tcPr/>
                <w:p>
                  <w:pPr>
                    <w:pStyle w:val="Compact"/>
                    <w:jc w:val="left"/>
                    <w:jc w:val="center"/>
                  </w:pPr>
                  <w:r>
                    <w:t xml:space="preserve">Beetle disturbance, 16-day</w:t>
                  </w:r>
                </w:p>
              </w:tc>
              <w:tc>
                <w:tcPr/>
                <w:p>
                  <w:pPr>
                    <w:pStyle w:val="Compact"/>
                    <w:jc w:val="left"/>
                    <w:jc w:val="center"/>
                  </w:pPr>
                  <w:r>
                    <w:t xml:space="preserve">Landsat 5 and 8 Collection 2 Level-2</w:t>
                  </w:r>
                </w:p>
              </w:tc>
              <w:tc>
                <w:tcPr/>
                <w:p>
                  <w:pPr>
                    <w:pStyle w:val="Compact"/>
                    <w:jc w:val="left"/>
                    <w:jc w:val="center"/>
                  </w:pPr>
                  <w:r>
                    <w:t xml:space="preserve">Moderate-to-high disturbance, binary, from NDMI</w:t>
                  </w:r>
                </w:p>
              </w:tc>
              <w:tc>
                <w:tcPr/>
                <w:p>
                  <w:pPr>
                    <w:pStyle w:val="Compact"/>
                    <w:jc w:val="left"/>
                    <w:jc w:val="center"/>
                  </w:pPr>
                  <w:r>
                    <w:t xml:space="preserve">30 m</w:t>
                  </w:r>
                </w:p>
              </w:tc>
              <w:tc>
                <w:tcPr/>
                <w:p>
                  <w:pPr>
                    <w:pStyle w:val="Compact"/>
                    <w:jc w:val="left"/>
                    <w:jc w:val="center"/>
                  </w:pPr>
                  <w:r>
                    <w:t xml:space="preserve">16 days, the sensor’s repeat</w:t>
                  </w:r>
                </w:p>
              </w:tc>
              <w:tc>
                <w:tcPr/>
                <w:p>
                  <w:pPr>
                    <w:pStyle w:val="Compact"/>
                    <w:jc w:val="left"/>
                    <w:jc w:val="center"/>
                  </w:pPr>
                  <w:r>
                    <w:t xml:space="preserve">2006-2014, excluding 2012</w:t>
                  </w:r>
                </w:p>
              </w:tc>
              <w:tc>
                <w:tcPr/>
                <w:p>
                  <w:pPr>
                    <w:pStyle w:val="Compact"/>
                    <w:jc w:val="right"/>
                    <w:jc w:val="center"/>
                  </w:pPr>
                  <w:r>
                    <w:t xml:space="preserve">59 epochs</w:t>
                  </w:r>
                </w:p>
              </w:tc>
            </w:tr>
            <w:tr>
              <w:tc>
                <w:tcPr/>
                <w:p>
                  <w:pPr>
                    <w:pStyle w:val="Compact"/>
                    <w:jc w:val="left"/>
                    <w:jc w:val="center"/>
                  </w:pPr>
                  <w:r>
                    <w:t xml:space="preserve">Stand structure</w:t>
                  </w:r>
                </w:p>
              </w:tc>
              <w:tc>
                <w:tcPr/>
                <w:p>
                  <w:pPr>
                    <w:pStyle w:val="Compact"/>
                    <w:jc w:val="left"/>
                    <w:jc w:val="center"/>
                  </w:pPr>
                  <w:r>
                    <w:t xml:space="preserve">VRI Historical, BC Data Catalogue</w:t>
                  </w:r>
                </w:p>
              </w:tc>
              <w:tc>
                <w:tcPr/>
                <w:p>
                  <w:pPr>
                    <w:pStyle w:val="Compact"/>
                    <w:jc w:val="left"/>
                    <w:jc w:val="center"/>
                  </w:pPr>
                  <w:r>
                    <w:t xml:space="preserve">Basal area, volume, stems, quadratic mean diameter, age, height</w:t>
                  </w:r>
                </w:p>
              </w:tc>
              <w:tc>
                <w:tcPr/>
                <w:p>
                  <w:pPr>
                    <w:pStyle w:val="Compact"/>
                    <w:jc w:val="left"/>
                    <w:jc w:val="center"/>
                  </w:pPr>
                  <w:r>
                    <w:t xml:space="preserve">Polygon, rasterised to 30 m</w:t>
                  </w:r>
                </w:p>
              </w:tc>
              <w:tc>
                <w:tcPr/>
                <w:p>
                  <w:pPr>
                    <w:pStyle w:val="Compact"/>
                    <w:jc w:val="left"/>
                    <w:jc w:val="center"/>
                  </w:pPr>
                  <w:r>
                    <w:t xml:space="preserve">1 year, projected to each year</w:t>
                  </w:r>
                </w:p>
              </w:tc>
              <w:tc>
                <w:tcPr/>
                <w:p>
                  <w:pPr>
                    <w:pStyle w:val="Compact"/>
                    <w:jc w:val="left"/>
                    <w:jc w:val="center"/>
                  </w:pPr>
                  <w:r>
                    <w:t xml:space="preserve">2005-2014</w:t>
                  </w:r>
                </w:p>
              </w:tc>
              <w:tc>
                <w:tcPr/>
                <w:p>
                  <w:pPr>
                    <w:pStyle w:val="Compact"/>
                    <w:jc w:val="right"/>
                    <w:jc w:val="center"/>
                  </w:pPr>
                  <w:r>
                    <w:t xml:space="preserve">9 snapshots</w:t>
                  </w:r>
                </w:p>
              </w:tc>
            </w:tr>
            <w:tr>
              <w:tc>
                <w:tcPr/>
                <w:p>
                  <w:pPr>
                    <w:pStyle w:val="Compact"/>
                    <w:jc w:val="left"/>
                    <w:jc w:val="center"/>
                  </w:pPr>
                  <w:r>
                    <w:t xml:space="preserve">Terrain</w:t>
                  </w:r>
                </w:p>
              </w:tc>
              <w:tc>
                <w:tcPr/>
                <w:p>
                  <w:pPr>
                    <w:pStyle w:val="Compact"/>
                    <w:jc w:val="left"/>
                    <w:jc w:val="center"/>
                  </w:pPr>
                  <w:r>
                    <w:t xml:space="preserve">NRCan High Resolution DEM, indices by SAGA GIS</w:t>
                  </w:r>
                </w:p>
              </w:tc>
              <w:tc>
                <w:tcPr/>
                <w:p>
                  <w:pPr>
                    <w:pStyle w:val="Compact"/>
                    <w:jc w:val="left"/>
                    <w:jc w:val="center"/>
                  </w:pPr>
                  <w:r>
                    <w:t xml:space="preserve">29 geomorphometric surfaces incl. radiation, exposure, landform</w:t>
                  </w:r>
                </w:p>
              </w:tc>
              <w:tc>
                <w:tcPr/>
                <w:p>
                  <w:pPr>
                    <w:pStyle w:val="Compact"/>
                    <w:jc w:val="left"/>
                    <w:jc w:val="center"/>
                  </w:pPr>
                  <w:r>
                    <w:t xml:space="preserve">30 m</w:t>
                  </w:r>
                </w:p>
              </w:tc>
              <w:tc>
                <w:tcPr/>
                <w:p>
                  <w:pPr>
                    <w:pStyle w:val="Compact"/>
                    <w:jc w:val="left"/>
                    <w:jc w:val="center"/>
                  </w:pPr>
                  <w:r>
                    <w:t xml:space="preserve">Static</w:t>
                  </w:r>
                </w:p>
              </w:tc>
              <w:tc>
                <w:tcPr/>
                <w:p>
                  <w:pPr>
                    <w:pStyle w:val="Compact"/>
                    <w:jc w:val="left"/>
                    <w:jc w:val="center"/>
                  </w:pPr>
                  <w:r>
                    <w:t xml:space="preserve">n/a</w:t>
                  </w:r>
                </w:p>
              </w:tc>
              <w:tc>
                <w:tcPr/>
                <w:p>
                  <w:pPr>
                    <w:pStyle w:val="Compact"/>
                    <w:jc w:val="right"/>
                    <w:jc w:val="center"/>
                  </w:pPr>
                  <w:r>
                    <w:t xml:space="preserve">29 surfaces</w:t>
                  </w:r>
                </w:p>
              </w:tc>
            </w:tr>
            <w:tr>
              <w:tc>
                <w:tcPr/>
                <w:p>
                  <w:pPr>
                    <w:pStyle w:val="Compact"/>
                    <w:jc w:val="left"/>
                    <w:jc w:val="center"/>
                  </w:pPr>
                  <w:r>
                    <w:t xml:space="preserve">Station wind</w:t>
                  </w:r>
                </w:p>
              </w:tc>
              <w:tc>
                <w:tcPr/>
                <w:p>
                  <w:pPr>
                    <w:pStyle w:val="Compact"/>
                    <w:jc w:val="left"/>
                    <w:jc w:val="center"/>
                  </w:pPr>
                  <w:r>
                    <w:t xml:space="preserve">Environment and Climate Change Canada</w:t>
                  </w:r>
                </w:p>
              </w:tc>
              <w:tc>
                <w:tcPr/>
                <w:p>
                  <w:pPr>
                    <w:pStyle w:val="Compact"/>
                    <w:jc w:val="left"/>
                    <w:jc w:val="center"/>
                  </w:pPr>
                  <w:r>
                    <w:t xml:space="preserve">Speed and direction</w:t>
                  </w:r>
                </w:p>
              </w:tc>
              <w:tc>
                <w:tcPr/>
                <w:p>
                  <w:pPr>
                    <w:pStyle w:val="Compact"/>
                    <w:jc w:val="left"/>
                    <w:jc w:val="center"/>
                  </w:pPr>
                  <w:r>
                    <w:t xml:space="preserve">4 to 7 valley stations</w:t>
                  </w:r>
                </w:p>
              </w:tc>
              <w:tc>
                <w:tcPr/>
                <w:p>
                  <w:pPr>
                    <w:pStyle w:val="Compact"/>
                    <w:jc w:val="left"/>
                    <w:jc w:val="center"/>
                  </w:pPr>
                  <w:r>
                    <w:t xml:space="preserve">1 hour</w:t>
                  </w:r>
                </w:p>
              </w:tc>
              <w:tc>
                <w:tcPr/>
                <w:p>
                  <w:pPr>
                    <w:pStyle w:val="Compact"/>
                    <w:jc w:val="left"/>
                    <w:jc w:val="center"/>
                  </w:pPr>
                  <w:r>
                    <w:t xml:space="preserve">2005-2014, May to September</w:t>
                  </w:r>
                </w:p>
              </w:tc>
              <w:tc>
                <w:tcPr/>
                <w:p>
                  <w:pPr>
                    <w:pStyle w:val="Compact"/>
                    <w:jc w:val="right"/>
                    <w:jc w:val="center"/>
                  </w:pPr>
                  <w:r>
                    <w:t xml:space="preserve">236,079 hourly records</w:t>
                  </w:r>
                </w:p>
              </w:tc>
            </w:tr>
            <w:tr>
              <w:tc>
                <w:tcPr/>
                <w:p>
                  <w:pPr>
                    <w:pStyle w:val="Compact"/>
                    <w:jc w:val="left"/>
                    <w:jc w:val="center"/>
                  </w:pPr>
                  <w:r>
                    <w:t xml:space="preserve">Terrain-resolved wind</w:t>
                  </w:r>
                </w:p>
              </w:tc>
              <w:tc>
                <w:tcPr/>
                <w:p>
                  <w:pPr>
                    <w:pStyle w:val="Compact"/>
                    <w:jc w:val="left"/>
                    <w:jc w:val="center"/>
                  </w:pPr>
                  <w:r>
                    <w:t xml:space="preserve">MicroMet over the DEM, driven by station wind</w:t>
                  </w:r>
                </w:p>
              </w:tc>
              <w:tc>
                <w:tcPr/>
                <w:p>
                  <w:pPr>
                    <w:pStyle w:val="Compact"/>
                    <w:jc w:val="left"/>
                    <w:jc w:val="center"/>
                  </w:pPr>
                  <w:r>
                    <w:t xml:space="preserve">Weighting factor, modified speed, diverted direction</w:t>
                  </w:r>
                </w:p>
              </w:tc>
              <w:tc>
                <w:tcPr/>
                <w:p>
                  <w:pPr>
                    <w:pStyle w:val="Compact"/>
                    <w:jc w:val="left"/>
                    <w:jc w:val="center"/>
                  </w:pPr>
                  <w:r>
                    <w:t xml:space="preserve">30 m</w:t>
                  </w:r>
                </w:p>
              </w:tc>
              <w:tc>
                <w:tcPr/>
                <w:p>
                  <w:pPr>
                    <w:pStyle w:val="Compact"/>
                    <w:jc w:val="left"/>
                    <w:jc w:val="center"/>
                  </w:pPr>
                  <w:r>
                    <w:t xml:space="preserve">16 days, and 1 year</w:t>
                  </w:r>
                </w:p>
              </w:tc>
              <w:tc>
                <w:tcPr/>
                <w:p>
                  <w:pPr>
                    <w:pStyle w:val="Compact"/>
                    <w:jc w:val="left"/>
                    <w:jc w:val="center"/>
                  </w:pPr>
                  <w:r>
                    <w:t xml:space="preserve">2005-2014</w:t>
                  </w:r>
                </w:p>
              </w:tc>
              <w:tc>
                <w:tcPr/>
                <w:p>
                  <w:pPr>
                    <w:pStyle w:val="Compact"/>
                    <w:jc w:val="right"/>
                    <w:jc w:val="center"/>
                  </w:pPr>
                  <w:r>
                    <w:t xml:space="preserve">16 direction bins</w:t>
                  </w:r>
                </w:p>
              </w:tc>
            </w:tr>
            <w:tr>
              <w:tc>
                <w:tcPr/>
                <w:p>
                  <w:pPr>
                    <w:pStyle w:val="Compact"/>
                    <w:jc w:val="left"/>
                    <w:jc w:val="center"/>
                  </w:pPr>
                  <w:r>
                    <w:t xml:space="preserve">Modelling table, annual</w:t>
                  </w:r>
                </w:p>
              </w:tc>
              <w:tc>
                <w:tcPr/>
                <w:p>
                  <w:pPr>
                    <w:pStyle w:val="Compact"/>
                    <w:jc w:val="left"/>
                    <w:jc w:val="center"/>
                  </w:pPr>
                  <w:r>
                    <w:t xml:space="preserve">Assembled by 38-assemble-model-data.R</w:t>
                  </w:r>
                </w:p>
              </w:tc>
              <w:tc>
                <w:tcPr/>
                <w:p>
                  <w:pPr>
                    <w:pStyle w:val="Compact"/>
                    <w:jc w:val="left"/>
                    <w:jc w:val="center"/>
                  </w:pPr>
                  <w:r>
                    <w:t xml:space="preserve">Response and every covariate, one row per cell-year</w:t>
                  </w:r>
                </w:p>
              </w:tc>
              <w:tc>
                <w:tcPr/>
                <w:p>
                  <w:pPr>
                    <w:pStyle w:val="Compact"/>
                    <w:jc w:val="left"/>
                    <w:jc w:val="center"/>
                  </w:pPr>
                  <w:r>
                    <w:t xml:space="preserve">30 m</w:t>
                  </w:r>
                </w:p>
              </w:tc>
              <w:tc>
                <w:tcPr/>
                <w:p>
                  <w:pPr>
                    <w:pStyle w:val="Compact"/>
                    <w:jc w:val="left"/>
                    <w:jc w:val="center"/>
                  </w:pPr>
                  <w:r>
                    <w:t xml:space="preserve">1 year</w:t>
                  </w:r>
                </w:p>
              </w:tc>
              <w:tc>
                <w:tcPr/>
                <w:p>
                  <w:pPr>
                    <w:pStyle w:val="Compact"/>
                    <w:jc w:val="left"/>
                    <w:jc w:val="center"/>
                  </w:pPr>
                  <w:r>
                    <w:t xml:space="preserve">2006-2014, excluding 2012</w:t>
                  </w:r>
                </w:p>
              </w:tc>
              <w:tc>
                <w:tcPr/>
                <w:p>
                  <w:pPr>
                    <w:pStyle w:val="Compact"/>
                    <w:jc w:val="right"/>
                    <w:jc w:val="center"/>
                  </w:pPr>
                  <w:r>
                    <w:t xml:space="preserve">111,707 cell-years</w:t>
                  </w:r>
                </w:p>
              </w:tc>
            </w:tr>
            <w:tr>
              <w:tc>
                <w:tcPr/>
                <w:p>
                  <w:pPr>
                    <w:pStyle w:val="Compact"/>
                    <w:jc w:val="left"/>
                    <w:jc w:val="center"/>
                  </w:pPr>
                  <w:r>
                    <w:t xml:space="preserve">Modelling table, 16-day</w:t>
                  </w:r>
                </w:p>
              </w:tc>
              <w:tc>
                <w:tcPr/>
                <w:p>
                  <w:pPr>
                    <w:pStyle w:val="Compact"/>
                    <w:jc w:val="left"/>
                    <w:jc w:val="center"/>
                  </w:pPr>
                  <w:r>
                    <w:t xml:space="preserve">Assembled by 45-epoch-model-data.R</w:t>
                  </w:r>
                </w:p>
              </w:tc>
              <w:tc>
                <w:tcPr/>
                <w:p>
                  <w:pPr>
                    <w:pStyle w:val="Compact"/>
                    <w:jc w:val="left"/>
                    <w:jc w:val="center"/>
                  </w:pPr>
                  <w:r>
                    <w:t xml:space="preserve">Response and every covariate, one row per cell-epoch</w:t>
                  </w:r>
                </w:p>
              </w:tc>
              <w:tc>
                <w:tcPr/>
                <w:p>
                  <w:pPr>
                    <w:pStyle w:val="Compact"/>
                    <w:jc w:val="left"/>
                    <w:jc w:val="center"/>
                  </w:pPr>
                  <w:r>
                    <w:t xml:space="preserve">30 m</w:t>
                  </w:r>
                </w:p>
              </w:tc>
              <w:tc>
                <w:tcPr/>
                <w:p>
                  <w:pPr>
                    <w:pStyle w:val="Compact"/>
                    <w:jc w:val="left"/>
                    <w:jc w:val="center"/>
                  </w:pPr>
                  <w:r>
                    <w:t xml:space="preserve">16 days</w:t>
                  </w:r>
                </w:p>
              </w:tc>
              <w:tc>
                <w:tcPr/>
                <w:p>
                  <w:pPr>
                    <w:pStyle w:val="Compact"/>
                    <w:jc w:val="left"/>
                    <w:jc w:val="center"/>
                  </w:pPr>
                  <w:r>
                    <w:t xml:space="preserve">2006-2014, excluding 2012</w:t>
                  </w:r>
                </w:p>
              </w:tc>
              <w:tc>
                <w:tcPr/>
                <w:p>
                  <w:pPr>
                    <w:pStyle w:val="Compact"/>
                    <w:jc w:val="right"/>
                    <w:jc w:val="center"/>
                  </w:pPr>
                  <w:r>
                    <w:t xml:space="preserve">66,302 cell-epochs</w:t>
                  </w:r>
                </w:p>
              </w:tc>
            </w:tr>
          </w:tbl>
          <w:bookmarkEnd w:id="22"/>
          <w:p/>
        </w:tc>
      </w:tr>
    </w:tbl>
    <w:p>
      <w:pPr>
        <w:pStyle w:val="BodyText"/>
      </w:pPr>
      <w:r>
        <w:t xml:space="preserve">The study area is 5,573 ha of the Selkirk Mountains in southeastern British</w:t>
      </w:r>
      <w:r>
        <w:t xml:space="preserve"> </w:t>
      </w:r>
      <w:r>
        <w:t xml:space="preserve">Columbia, 61,923 cells at 30 m in EPSG:3153, spanning 830 to</w:t>
      </w:r>
      <w:r>
        <w:t xml:space="preserve"> </w:t>
      </w:r>
      <w:r>
        <w:t xml:space="preserve">1,744 m (Figure 1). The grid and the perimeter are the parent study’s</w:t>
      </w:r>
      <w:r>
        <w:t xml:space="preserve"> </w:t>
      </w:r>
      <w:r>
        <w:t xml:space="preserve">(Murphy</w:t>
      </w:r>
      <w:r>
        <w:t xml:space="preserve"> </w:t>
      </w:r>
      <w:r>
        <w:rPr>
          <w:i/>
          <w:iCs/>
        </w:rPr>
        <w:t xml:space="preserve">et al.</w:t>
      </w:r>
      <w:r>
        <w:t xml:space="preserve"> </w:t>
      </w:r>
      <w:r>
        <w:t xml:space="preserve">2026)</w:t>
      </w:r>
      <w:r>
        <w:t xml:space="preserve">, anchored on the 2015 Mt Midgeley fire and expanded to the elevation band that</w:t>
      </w:r>
      <w:r>
        <w:t xml:space="preserve"> </w:t>
      </w:r>
      <w:r>
        <w:t xml:space="preserve">site occupies, because 480 ha cannot carry the stand-density contrast the mechanism runs on.</w:t>
      </w:r>
    </w:p>
    <w:p>
      <w:pPr>
        <w:pStyle w:val="BodyText"/>
      </w:pPr>
      <w:r>
        <w:t xml:space="preserve">The response is moderate-to-high beetle disturbance, classified from Landsat normalised</w:t>
      </w:r>
      <w:r>
        <w:t xml:space="preserve"> </w:t>
      </w:r>
      <w:r>
        <w:t xml:space="preserve">difference moisture index by the parent study’s method. It covers 8 outbreak</w:t>
      </w:r>
      <w:r>
        <w:t xml:space="preserve"> </w:t>
      </w:r>
      <w:r>
        <w:t xml:space="preserve">years, 2006 to 2014, excluding 2012, the one year flown only by</w:t>
      </w:r>
      <w:r>
        <w:t xml:space="preserve"> </w:t>
      </w:r>
      <w:r>
        <w:t xml:space="preserve">Landsat 7 with its scan-line corrector off. Pooled prevalence is</w:t>
      </w:r>
      <w:r>
        <w:t xml:space="preserve"> </w:t>
      </w:r>
      <w:r>
        <w:t xml:space="preserve">12.9 per cent over 111,707 cell-years (Appendix S3). Years</w:t>
      </w:r>
      <w:r>
        <w:t xml:space="preserve"> </w:t>
      </w:r>
      <w:r>
        <w:t xml:space="preserve">are never unioned: unioning destroys the year-to-year spread this study measures.</w:t>
      </w:r>
    </w:p>
    <w:p>
      <w:pPr>
        <w:pStyle w:val="BodyText"/>
      </w:pPr>
      <w:r>
        <w:t xml:space="preserve">Stand structure comes from the provincial Vegetation Resources Inventory (Appendix S4). Six</w:t>
      </w:r>
      <w:r>
        <w:t xml:space="preserve"> </w:t>
      </w:r>
      <w:r>
        <w:t xml:space="preserve">attributes carry the mechanism and the stem-size threshold: basal area, crown closure, live</w:t>
      </w:r>
      <w:r>
        <w:t xml:space="preserve"> </w:t>
      </w:r>
      <w:r>
        <w:t xml:space="preserve">stems per hectare, quadratic mean diameter over stems 12.5 cm and up, stand age, and</w:t>
      </w:r>
      <w:r>
        <w:t xml:space="preserve"> </w:t>
      </w:r>
      <w:r>
        <w:t xml:space="preserve">susceptible pine basal area. We described terrain with 29 geomorphometric surfaces, computed</w:t>
      </w:r>
      <w:r>
        <w:t xml:space="preserve"> </w:t>
      </w:r>
      <w:r>
        <w:t xml:space="preserve">with SAGA GIS over the full elevation model and clipped afterwards, so a search radius near</w:t>
      </w:r>
      <w:r>
        <w:t xml:space="preserve"> </w:t>
      </w:r>
      <w:r>
        <w:t xml:space="preserve">the boundary sees real ground. They cover exposure, shape, landform and aspect, the last</w:t>
      </w:r>
      <w:r>
        <w:t xml:space="preserve"> </w:t>
      </w:r>
      <w:r>
        <w:t xml:space="preserve">entering as northward and eastward components and as the heat load index of</w:t>
      </w:r>
      <w:r>
        <w:t xml:space="preserve"> </w:t>
      </w:r>
      <w:r>
        <w:t xml:space="preserve">McCune and Keon (2002)</w:t>
      </w:r>
      <w:r>
        <w:t xml:space="preserve">. Radiation is computed twice, because two mechanisms need it:</w:t>
      </w:r>
      <w:r>
        <w:t xml:space="preserve"> </w:t>
      </w:r>
      <w:r>
        <w:t xml:space="preserve">flight-window insolation over 1 July to 15 August restricted to 12:00 to 17:00, the hours</w:t>
      </w:r>
      <w:r>
        <w:t xml:space="preserve"> </w:t>
      </w:r>
      <w:r>
        <w:t xml:space="preserve">Safranyik and Carroll (2006)</w:t>
      </w:r>
      <w:r>
        <w:t xml:space="preserve"> </w:t>
      </w:r>
      <w:r>
        <w:t xml:space="preserve">identify as the flight peak, and growing-season insolation as the</w:t>
      </w:r>
      <w:r>
        <w:t xml:space="preserve"> </w:t>
      </w:r>
      <w:r>
        <w:t xml:space="preserve">whole-day total from 1 May to 30 September. A single annual index cannot separate them, the</w:t>
      </w:r>
      <w:r>
        <w:t xml:space="preserve"> </w:t>
      </w:r>
      <w:r>
        <w:t xml:space="preserve">flight-window surface spanning a</w:t>
      </w:r>
      <w:r>
        <w:t xml:space="preserve"> </w:t>
      </w:r>
      <w:r>
        <w:t xml:space="preserve">7-fold range here</w:t>
      </w:r>
      <w:r>
        <w:t xml:space="preserve"> </w:t>
      </w:r>
      <w:r>
        <w:t xml:space="preserve">against 2.6-fold for the</w:t>
      </w:r>
      <w:r>
        <w:t xml:space="preserve"> </w:t>
      </w:r>
      <w:r>
        <w:t xml:space="preserve">season total.</w:t>
      </w:r>
    </w:p>
    <w:p>
      <w:pPr>
        <w:pStyle w:val="BodyText"/>
      </w:pPr>
      <w:r>
        <w:t xml:space="preserve">Station wind interpolated from four to seven valley stations is nearly flat within a year, so</w:t>
      </w:r>
      <w:r>
        <w:t xml:space="preserve"> </w:t>
      </w:r>
      <w:r>
        <w:t xml:space="preserve">wind is also computed as a field varying in space, using the MicroMet model of</w:t>
      </w:r>
      <w:r>
        <w:t xml:space="preserve"> </w:t>
      </w:r>
      <w:r>
        <w:t xml:space="preserve">Liston and Elder (2006)</w:t>
      </w:r>
      <w:r>
        <w:t xml:space="preserve">.</w:t>
      </w:r>
      <w:r>
        <w:t xml:space="preserve"> </w:t>
      </w:r>
      <w:r>
        <w:t xml:space="preserve">Its wind component is seven equations rather than a program, implemented directly. Terrain</w:t>
      </w:r>
      <w:r>
        <w:t xml:space="preserve"> </w:t>
      </w:r>
      <w:r>
        <w:t xml:space="preserve">slope, azimuth and curvature give a weighting factor</w:t>
      </w:r>
      <w:r>
        <w:t xml:space="preserve"> </w:t>
      </w: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oMath>
      <w:r>
        <w:t xml:space="preserve"> </w:t>
      </w:r>
      <w:r>
        <w:t xml:space="preserve">with</w:t>
      </w:r>
      <w:r>
        <w:t xml:space="preserve"> </w:t>
      </w:r>
      <m:oMath>
        <m:sSub>
          <m:e>
            <m:r>
              <m:t>γ</m:t>
            </m:r>
          </m:e>
          <m:sub>
            <m:r>
              <m:t>s</m:t>
            </m:r>
          </m:sub>
        </m:sSub>
        <m:r>
          <m:rPr>
            <m:sty m:val="p"/>
          </m:rPr>
          <m:t>=</m:t>
        </m:r>
        <m:sSub>
          <m:e>
            <m:r>
              <m:t>γ</m:t>
            </m:r>
          </m:e>
          <m:sub>
            <m:r>
              <m:t>c</m:t>
            </m:r>
          </m:sub>
        </m:sSub>
        <m:r>
          <m:rPr>
            <m:sty m:val="p"/>
          </m:rPr>
          <m:t>=</m:t>
        </m:r>
        <m:r>
          <m:t>0.5</m:t>
        </m:r>
      </m:oMath>
      <w:r>
        <w:t xml:space="preserve">, a modified speed</w:t>
      </w:r>
      <w:r>
        <w:t xml:space="preserve"> </w:t>
      </w:r>
      <m:oMath>
        <m:sSub>
          <m:e>
            <m:r>
              <m:t>W</m:t>
            </m:r>
          </m:e>
          <m:sub>
            <m:r>
              <m:t>t</m:t>
            </m:r>
          </m:sub>
        </m:sSub>
        <m:r>
          <m:rPr>
            <m:sty m:val="p"/>
          </m:rPr>
          <m:t>=</m:t>
        </m:r>
        <m:sSub>
          <m:e>
            <m:r>
              <m:t>W</m:t>
            </m:r>
          </m:e>
          <m:sub>
            <m:r>
              <m:t>w</m:t>
            </m:r>
          </m:sub>
        </m:sSub>
        <m:r>
          <m:t>W</m:t>
        </m:r>
      </m:oMath>
      <w:r>
        <w:t xml:space="preserve">, and a</w:t>
      </w:r>
      <w:r>
        <w:t xml:space="preserve"> </w:t>
      </w:r>
      <w:r>
        <w:t xml:space="preserve">direction diversion</w:t>
      </w:r>
      <w:r>
        <w:t xml:space="preserve"> </w:t>
      </w:r>
      <m:oMath>
        <m:sSub>
          <m:e>
            <m:r>
              <m:t>θ</m:t>
            </m:r>
          </m:e>
          <m:sub>
            <m:r>
              <m:t>d</m:t>
            </m:r>
          </m:sub>
        </m:sSub>
        <m:r>
          <m:rPr>
            <m:sty m:val="p"/>
          </m:rPr>
          <m:t>=</m:t>
        </m:r>
        <m:r>
          <m:rPr>
            <m:sty m:val="p"/>
          </m:rPr>
          <m:t>−</m:t>
        </m:r>
        <m:r>
          <m:t>0.5</m:t>
        </m:r>
        <m:r>
          <m:t> </m:t>
        </m:r>
        <m:sSub>
          <m:e>
            <m:r>
              <m:t>Ω</m:t>
            </m:r>
          </m:e>
          <m:sub>
            <m:r>
              <m:t>s</m:t>
            </m:r>
          </m:sub>
        </m:sSub>
        <m:r>
          <m:rPr>
            <m:sty m:val="p"/>
          </m:rPr>
          <m:t>sin</m:t>
        </m:r>
        <m:d>
          <m:dPr>
            <m:begChr m:val="["/>
            <m:sepChr m:val=""/>
            <m:endChr m:val="]"/>
            <m:grow/>
          </m:dPr>
          <m:e>
            <m:r>
              <m:t>2</m:t>
            </m:r>
            <m:d>
              <m:dPr>
                <m:begChr m:val="("/>
                <m:sepChr m:val=""/>
                <m:endChr m:val=")"/>
                <m:grow/>
              </m:dPr>
              <m:e>
                <m:r>
                  <m:t>ξ</m:t>
                </m:r>
                <m:r>
                  <m:rPr>
                    <m:sty m:val="p"/>
                  </m:rPr>
                  <m:t>−</m:t>
                </m:r>
                <m:r>
                  <m:t>θ</m:t>
                </m:r>
              </m:e>
            </m:d>
          </m:e>
        </m:d>
      </m:oMath>
      <w:r>
        <w:t xml:space="preserve">.</w:t>
      </w:r>
      <w:r>
        <w:t xml:space="preserve"> </w:t>
      </w:r>
      <m:oMath>
        <m:sSub>
          <m:e>
            <m:r>
              <m:t>W</m:t>
            </m:r>
          </m:e>
          <m:sub>
            <m:r>
              <m:t>w</m:t>
            </m:r>
          </m:sub>
        </m:sSub>
      </m:oMath>
      <w:r>
        <w:t xml:space="preserve"> </w:t>
      </w:r>
      <w:r>
        <w:t xml:space="preserve">depends on</w:t>
      </w:r>
      <w:r>
        <w:t xml:space="preserve"> </w:t>
      </w:r>
      <w:r>
        <w:t xml:space="preserve">direction and not speed, so it is computed once for each of 16 direction bins and each hourly</w:t>
      </w:r>
      <w:r>
        <w:t xml:space="preserve"> </w:t>
      </w:r>
      <w:r>
        <w:t xml:space="preserve">observation multiplied by the surface for its own bin; nothing is averaged before the terrain</w:t>
      </w:r>
      <w:r>
        <w:t xml:space="preserve"> </w:t>
      </w:r>
      <w:r>
        <w:t xml:space="preserve">acts on it. The field varies 1.9 to</w:t>
      </w:r>
      <w:r>
        <w:t xml:space="preserve"> </w:t>
      </w:r>
      <w:r>
        <w:t xml:space="preserve">2.8 km/h across the grid within a year, and is not</w:t>
      </w:r>
      <w:r>
        <w:t xml:space="preserve"> </w:t>
      </w:r>
      <w:r>
        <w:t xml:space="preserve">a repackaged terrain index, correlating +0.148 with the</w:t>
      </w:r>
      <w:r>
        <w:t xml:space="preserve"> </w:t>
      </w:r>
      <w:r>
        <w:t xml:space="preserve">windward-leeward index.</w:t>
      </w:r>
    </w:p>
    <w:p>
      <w:pPr>
        <w:pStyle w:val="BodyText"/>
      </w:pPr>
      <w:r>
        <w:t xml:space="preserve">45 candidate variables in six groups, one per pathway, passed a four-stage selection</w:t>
      </w:r>
      <w:r>
        <w:t xml:space="preserve"> </w:t>
      </w:r>
      <w:r>
        <w:t xml:space="preserve">required to retain at least one variable from each group, so a collinearity filter could not</w:t>
      </w:r>
      <w:r>
        <w:t xml:space="preserve"> </w:t>
      </w:r>
      <w:r>
        <w:t xml:space="preserve">delete a hypothesis. Fitting used a class-balanced sample of 46,359 cell-years,</w:t>
      </w:r>
      <w:r>
        <w:t xml:space="preserve"> </w:t>
      </w:r>
      <w:r>
        <w:t xml:space="preserve">because an unbalanced fit at 13 per cent prevalence reports the</w:t>
      </w:r>
      <w:r>
        <w:t xml:space="preserve"> </w:t>
      </w:r>
      <w:r>
        <w:t xml:space="preserve">intercept rather than the covariates. Four annual logistic models each add one claim to the</w:t>
      </w:r>
      <w:r>
        <w:t xml:space="preserve"> </w:t>
      </w:r>
      <w:r>
        <w:t xml:space="preserve">last: host size, shading and landform (M0), stand density (M1), terrain shape, exposure and</w:t>
      </w:r>
      <w:r>
        <w:t xml:space="preserve"> </w:t>
      </w:r>
      <w:r>
        <w:t xml:space="preserve">flight radiation (M2), and the interactions (M3). Two further annual models add previous-year</w:t>
      </w:r>
      <w:r>
        <w:t xml:space="preserve"> </w:t>
      </w:r>
      <w:r>
        <w:t xml:space="preserve">attack and 90 m neighbourhood pressure after the autologistic design used for this province</w:t>
      </w:r>
      <w:r>
        <w:t xml:space="preserve"> </w:t>
      </w:r>
      <w:r>
        <w:t xml:space="preserve">(M4), and replace station wind with the terrain-resolved field (M5). The 16-day models (E1,</w:t>
      </w:r>
      <w:r>
        <w:t xml:space="preserve"> </w:t>
      </w:r>
      <w:r>
        <w:t xml:space="preserve">E2) refit the same covariates over 59 epochs, E2 adding the previous epoch of the</w:t>
      </w:r>
      <w:r>
        <w:t xml:space="preserve"> </w:t>
      </w:r>
      <w:r>
        <w:t xml:space="preserve">same season. Model comparison is in Appendix S2.</w:t>
      </w:r>
    </w:p>
    <w:bookmarkEnd w:id="23"/>
    <w:bookmarkStart w:id="24" w:name="results"/>
    <w:p>
      <w:pPr>
        <w:pStyle w:val="Heading1"/>
      </w:pPr>
      <w:r>
        <w:t xml:space="preserve">3. Results</w:t>
      </w:r>
    </w:p>
    <w:p>
      <w:pPr>
        <w:pStyle w:val="FirstParagraph"/>
      </w:pPr>
      <w:r>
        <w:t xml:space="preserve">Every pathway earns its place. AIC falls 457 when stand density</w:t>
      </w:r>
      <w:r>
        <w:t xml:space="preserve"> </w:t>
      </w:r>
      <w:r>
        <w:t xml:space="preserve">enters, 743 more with terrain and flight radiation, and</w:t>
      </w:r>
      <w:r>
        <w:t xml:space="preserve"> </w:t>
      </w:r>
      <w:r>
        <w:t xml:space="preserve">534 more with the interactions.</w:t>
      </w:r>
    </w:p>
    <w:p>
      <w:pPr>
        <w:pStyle w:val="BodyText"/>
      </w:pPr>
      <w:r>
        <w:t xml:space="preserve">Stand basal area carries the density pathway (Table 1), at +0.504 log-odds per</w:t>
      </w:r>
      <w:r>
        <w:t xml:space="preserve"> </w:t>
      </w:r>
      <w:r>
        <w:t xml:space="preserve">standard deviation (p = &lt; 0.001). Live stems per hectare carries</w:t>
      </w:r>
      <w:r>
        <w:t xml:space="preserve"> </w:t>
      </w:r>
      <w:r>
        <w:t xml:space="preserve">+0.051 in the same direction, while crown closure alone runs the</w:t>
      </w:r>
      <w:r>
        <w:t xml:space="preserve"> </w:t>
      </w:r>
      <w:r>
        <w:t xml:space="preserve">other way at -0.125 (p = &lt; 0.001). Standing volume does not</w:t>
      </w:r>
      <w:r>
        <w:t xml:space="preserve"> </w:t>
      </w:r>
      <w:r>
        <w:t xml:space="preserve">survive selection once each year carries its own inventory. As main effects the density</w:t>
      </w:r>
      <w:r>
        <w:t xml:space="preserve"> </w:t>
      </w:r>
      <w:r>
        <w:t xml:space="preserve">measures therefore disagree, which is a weaker reading than it first appears, because the</w:t>
      </w:r>
      <w:r>
        <w:t xml:space="preserve"> </w:t>
      </w:r>
      <w:r>
        <w:t xml:space="preserve">mechanism’s prediction is not about a main effect at all.</w:t>
      </w:r>
    </w:p>
    <w:p>
      <w:pPr>
        <w:pStyle w:val="BodyText"/>
      </w:pPr>
      <w:r>
        <w:t xml:space="preserve">Radiation enters once. Flight-window direct radiation carries</w:t>
      </w:r>
      <w:r>
        <w:t xml:space="preserve"> </w:t>
      </w:r>
      <w:r>
        <w:t xml:space="preserve">+0.497, which is the thermal gate on flight. Growing-season radiation</w:t>
      </w:r>
      <w:r>
        <w:t xml:space="preserve"> </w:t>
      </w:r>
      <w:r>
        <w:t xml:space="preserve">did not survive selection, so the shading pathway is carried by northness, with which it</w:t>
      </w:r>
      <w:r>
        <w:t xml:space="preserve"> </w:t>
      </w:r>
      <w:r>
        <w:t xml:space="preserve">correlates -0.824. Northness is +0.305:</w:t>
      </w:r>
      <w:r>
        <w:t xml:space="preserve"> </w:t>
      </w:r>
      <w:r>
        <w:t xml:space="preserve">shaded, north-facing ground carries more attack, against the prediction. Terrain predicts</w:t>
      </w:r>
      <w:r>
        <w:t xml:space="preserve"> </w:t>
      </w:r>
      <w:r>
        <w:t xml:space="preserve">attack independently of both, the windward-leeward index at +0.394 and</w:t>
      </w:r>
      <w:r>
        <w:t xml:space="preserve"> </w:t>
      </w:r>
      <w:r>
        <w:t xml:space="preserve">elevation at +0.337, while terrain ruggedness is -0.005 and not</w:t>
      </w:r>
      <w:r>
        <w:t xml:space="preserve"> </w:t>
      </w:r>
      <w:r>
        <w:t xml:space="preserve">distinguishable from zero (p = 0.848).</w:t>
      </w:r>
    </w:p>
    <w:p>
      <w:pPr>
        <w:pStyle w:val="BodyText"/>
      </w:pPr>
      <w:r>
        <w:t xml:space="preserve">A terrain index is partly an insolation measurement. Fitted without flight-window radiation,</w:t>
      </w:r>
      <w:r>
        <w:t xml:space="preserve"> </w:t>
      </w:r>
      <w:r>
        <w:t xml:space="preserve">stand density interacts with terrain exposure at -0.068. With radiation in the model</w:t>
      </w:r>
      <w:r>
        <w:t xml:space="preserve"> </w:t>
      </w:r>
      <w:r>
        <w:t xml:space="preserve">that interaction falls to -0.040 (p = 0.098) and density interacts with</w:t>
      </w:r>
      <w:r>
        <w:t xml:space="preserve"> </w:t>
      </w:r>
      <w:r>
        <w:t xml:space="preserve">radiation at +0.103. On a range whose prevailing bearing is</w:t>
      </w:r>
      <w:r>
        <w:t xml:space="preserve"> </w:t>
      </w:r>
      <w:r>
        <w:t xml:space="preserve">258 degrees the windward slopes face west, which are also the slopes</w:t>
      </w:r>
      <w:r>
        <w:t xml:space="preserve"> </w:t>
      </w:r>
      <w:r>
        <w:t xml:space="preserve">taking afternoon sun, so about two fifths of the apparent exposure effect was the sun. What</w:t>
      </w:r>
      <w:r>
        <w:t xml:space="preserve"> </w:t>
      </w:r>
      <w:r>
        <w:t xml:space="preserve">remains is not distinguishable from zero, so the annual model neither supports the mechanism</w:t>
      </w:r>
      <w:r>
        <w:t xml:space="preserve"> </w:t>
      </w:r>
      <w:r>
        <w:t xml:space="preserve">nor rejects it. The next paragraph shows why.</w:t>
      </w:r>
    </w:p>
    <w:p>
      <w:pPr>
        <w:pStyle w:val="BodyText"/>
      </w:pPr>
      <w:r>
        <w:t xml:space="preserve">Temporal resolution decided the outcome (Figure 2). At 16 days, stand density interacts with</w:t>
      </w:r>
      <w:r>
        <w:t xml:space="preserve"> </w:t>
      </w:r>
      <w:r>
        <w:t xml:space="preserve">terrain-resolved wind at -0.049 for stem density (p = &lt; 0.001) and</w:t>
      </w:r>
      <w:r>
        <w:t xml:space="preserve"> </w:t>
      </w:r>
      <w:r>
        <w:t xml:space="preserve">-0.017 for standing volume (p = 0.038), both negative, which is the</w:t>
      </w:r>
      <w:r>
        <w:t xml:space="preserve"> </w:t>
      </w:r>
      <w:r>
        <w:t xml:space="preserve">mechanism’s signature: a dense stand is worth less where and when the wind blows harder. Both</w:t>
      </w:r>
      <w:r>
        <w:t xml:space="preserve"> </w:t>
      </w:r>
      <w:r>
        <w:t xml:space="preserve">survive entering the previous epoch of the same season, which carries</w:t>
      </w:r>
      <w:r>
        <w:t xml:space="preserve"> </w:t>
      </w:r>
      <w:r>
        <w:t xml:space="preserve">+0.704, so the result is not the outbreak’s own spread wearing a wind</w:t>
      </w:r>
      <w:r>
        <w:t xml:space="preserve"> </w:t>
      </w:r>
      <w:r>
        <w:t xml:space="preserve">coefficient, and they discriminate at 0.673 and</w:t>
      </w:r>
      <w:r>
        <w:t xml:space="preserve"> </w:t>
      </w:r>
      <w:r>
        <w:t xml:space="preserve">0.762 respectively. With one map a year, the same wind field,</w:t>
      </w:r>
      <w:r>
        <w:t xml:space="preserve"> </w:t>
      </w:r>
      <w:r>
        <w:t xml:space="preserve">covariates and classification</w:t>
      </w:r>
      <w:r>
        <w:t xml:space="preserve"> </w:t>
      </w:r>
      <w:r>
        <w:t xml:space="preserve">threshold give +0.031 (p = 0.087), the opposite sign. Nothing about the</w:t>
      </w:r>
      <w:r>
        <w:t xml:space="preserve"> </w:t>
      </w:r>
      <w:r>
        <w:t xml:space="preserve">landscape or the wind product changed between the two. What changed is that an annual</w:t>
      </w:r>
      <w:r>
        <w:t xml:space="preserve"> </w:t>
      </w:r>
      <w:r>
        <w:t xml:space="preserve">response can only ask whether windy summers carry less attack than calm ones, and a summer</w:t>
      </w:r>
      <w:r>
        <w:t xml:space="preserve"> </w:t>
      </w:r>
      <w:r>
        <w:t xml:space="preserve">contains both windy and calm weeks.</w:t>
      </w:r>
    </w:p>
    <w:p>
      <w:pPr>
        <w:pStyle w:val="BodyText"/>
      </w:pPr>
      <w:r>
        <w:t xml:space="preserve">Attack also recurs where it was, by a margin that changes how every other coefficient reads.</w:t>
      </w:r>
      <w:r>
        <w:t xml:space="preserve"> </w:t>
      </w:r>
      <w:r>
        <w:t xml:space="preserve">Entering persistence and 90 m spread separately gives +0.901 and</w:t>
      </w:r>
      <w:r>
        <w:t xml:space="preserve"> </w:t>
      </w:r>
      <w:r>
        <w:t xml:space="preserve">+1.001 and raises discrimination from 0.801 to</w:t>
      </w:r>
      <w:r>
        <w:t xml:space="preserve"> </w:t>
      </w:r>
      <w:r>
        <w:t xml:space="preserve">0.900. Which environmental terms survive is the informative part, and</w:t>
      </w:r>
      <w:r>
        <w:t xml:space="preserve"> </w:t>
      </w:r>
      <w:r>
        <w:t xml:space="preserve">the landform terms do not: valley depth keeps 0.18 of its value while</w:t>
      </w:r>
      <w:r>
        <w:t xml:space="preserve"> </w:t>
      </w:r>
      <w:r>
        <w:t xml:space="preserve">mid-slope position moves to 1.35, growing rather than shrinking. Part</w:t>
      </w:r>
      <w:r>
        <w:t xml:space="preserve"> </w:t>
      </w:r>
      <w:r>
        <w:t xml:space="preserve">of what the landform terms measured was where the outbreak had already been.</w:t>
      </w:r>
    </w:p>
    <w:p>
      <w:pPr>
        <w:pStyle w:val="BodyText"/>
      </w:pPr>
      <w:r>
        <w:t xml:space="preserve">Host coded as diameter holds as a threshold rather than a slope. Attack peaks in the 25 to</w:t>
      </w:r>
      <w:r>
        <w:t xml:space="preserve"> </w:t>
      </w:r>
      <w:r>
        <w:t xml:space="preserve">30 cm class at 39.7 per cent,</w:t>
      </w:r>
      <w:r>
        <w:t xml:space="preserve"> </w:t>
      </w:r>
      <w:r>
        <w:t xml:space="preserve">stepping up from 26.4 per cent</w:t>
      </w:r>
      <w:r>
        <w:t xml:space="preserve"> </w:t>
      </w:r>
      <w:r>
        <w:t xml:space="preserve">below the 25 cm source-sink boundary of</w:t>
      </w:r>
      <w:r>
        <w:t xml:space="preserve"> </w:t>
      </w:r>
      <w:r>
        <w:t xml:space="preserve">Carroll and Safranyik (2004)</w:t>
      </w:r>
      <w:r>
        <w:t xml:space="preserve"> </w:t>
      </w:r>
      <w:r>
        <w:t xml:space="preserve">and falling to</w:t>
      </w:r>
      <w:r>
        <w:t xml:space="preserve"> </w:t>
      </w:r>
      <w:r>
        <w:t xml:space="preserve">15.7 per cent above 40 cm</w:t>
      </w:r>
      <w:r>
        <w:t xml:space="preserve"> </w:t>
      </w:r>
      <w:r>
        <w:t xml:space="preserve">(Appendix S5). The linear coefficient is negative, -0.362, because a</w:t>
      </w:r>
      <w:r>
        <w:t xml:space="preserve"> </w:t>
      </w:r>
      <w:r>
        <w:t xml:space="preserve">straight line through a humped response returns the slope of its falling limb.</w:t>
      </w:r>
    </w:p>
    <w:bookmarkEnd w:id="24"/>
    <w:bookmarkStart w:id="25" w:name="conclusions"/>
    <w:p>
      <w:pPr>
        <w:pStyle w:val="Heading1"/>
      </w:pPr>
      <w:r>
        <w:t xml:space="preserve">4. Conclusions</w:t>
      </w:r>
    </w:p>
    <w:p>
      <w:pPr>
        <w:pStyle w:val="FirstParagraph"/>
      </w:pPr>
      <w:r>
        <w:t xml:space="preserve">Of the three mechanisms</w:t>
      </w:r>
      <w:r>
        <w:t xml:space="preserve"> </w:t>
      </w:r>
      <w:r>
        <w:t xml:space="preserve">Krawchuk</w:t>
      </w:r>
      <w:r>
        <w:t xml:space="preserve"> </w:t>
      </w:r>
      <w:r>
        <w:rPr>
          <w:i/>
          <w:iCs/>
        </w:rPr>
        <w:t xml:space="preserve">et al.</w:t>
      </w:r>
      <w:r>
        <w:t xml:space="preserve"> </w:t>
      </w:r>
      <w:r>
        <w:t xml:space="preserve">(2020)</w:t>
      </w:r>
      <w:r>
        <w:t xml:space="preserve"> </w:t>
      </w:r>
      <w:r>
        <w:t xml:space="preserve">name, two hold at the resolution the sensor and the</w:t>
      </w:r>
      <w:r>
        <w:t xml:space="preserve"> </w:t>
      </w:r>
      <w:r>
        <w:t xml:space="preserve">insect share and one does not. Host density holds in the conditional form the mechanism</w:t>
      </w:r>
      <w:r>
        <w:t xml:space="preserve"> </w:t>
      </w:r>
      <w:r>
        <w:t xml:space="preserve">specifies rather than as a bare main effect, which is the important distinction: as main</w:t>
      </w:r>
      <w:r>
        <w:t xml:space="preserve"> </w:t>
      </w:r>
      <w:r>
        <w:t xml:space="preserve">effects the three density measures disagree in sign, but what a dense canopy buys shrinks as</w:t>
      </w:r>
      <w:r>
        <w:t xml:space="preserve"> </w:t>
      </w:r>
      <w:r>
        <w:t xml:space="preserve">the wind rises, and that is the claim. Large-diameter host holds as a threshold at 25 to</w:t>
      </w:r>
      <w:r>
        <w:t xml:space="preserve"> </w:t>
      </w:r>
      <w:r>
        <w:t xml:space="preserve">30 cm. Topographic shading fails, and it fails on a surrogate: growing-season radiation did</w:t>
      </w:r>
      <w:r>
        <w:t xml:space="preserve"> </w:t>
      </w:r>
      <w:r>
        <w:t xml:space="preserve">not survive selection, so the pathway is carried by northness, which correlates</w:t>
      </w:r>
      <w:r>
        <w:t xml:space="preserve"> </w:t>
      </w:r>
      <w:r>
        <w:t xml:space="preserve">-0.824 with it. Northness tests aspect, and aspect</w:t>
      </w:r>
      <w:r>
        <w:t xml:space="preserve"> </w:t>
      </w:r>
      <w:r>
        <w:t xml:space="preserve">carries more than shade, so this is the least secure of the three verdicts.</w:t>
      </w:r>
    </w:p>
    <w:p>
      <w:pPr>
        <w:pStyle w:val="BodyText"/>
      </w:pPr>
      <w:r>
        <w:t xml:space="preserve">The methodological finding is the more transferable one, and it has three parts. A terrain</w:t>
      </w:r>
      <w:r>
        <w:t xml:space="preserve"> </w:t>
      </w:r>
      <w:r>
        <w:t xml:space="preserve">index is not an environmental measurement: entering flight-window radiation cut the density</w:t>
      </w:r>
      <w:r>
        <w:t xml:space="preserve"> </w:t>
      </w:r>
      <w:r>
        <w:t xml:space="preserve">by terrain-exposure interaction from -0.068 to -0.040. A landform variable in</w:t>
      </w:r>
      <w:r>
        <w:t xml:space="preserve"> </w:t>
      </w:r>
      <w:r>
        <w:t xml:space="preserve">a spreading outbreak records the outbreak’s own history: entering previous-year pressure left</w:t>
      </w:r>
      <w:r>
        <w:t xml:space="preserve"> </w:t>
      </w:r>
      <w:r>
        <w:t xml:space="preserve">valley depth at 0.18 of its value while mid-slope position moved to</w:t>
      </w:r>
      <w:r>
        <w:t xml:space="preserve"> </w:t>
      </w:r>
      <w:r>
        <w:t xml:space="preserve">1.35. And an annual response cannot test a mechanism that operates over weeks: the</w:t>
      </w:r>
      <w:r>
        <w:t xml:space="preserve"> </w:t>
      </w:r>
      <w:r>
        <w:t xml:space="preserve">same wind field, covariates and threshold gave +0.031 annually against</w:t>
      </w:r>
      <w:r>
        <w:t xml:space="preserve"> </w:t>
      </w:r>
      <w:r>
        <w:t xml:space="preserve">-0.049 at sixteen days. A test that aggregates past the flight period is not a</w:t>
      </w:r>
      <w:r>
        <w:t xml:space="preserve"> </w:t>
      </w:r>
      <w:r>
        <w:t xml:space="preserve">weaker version of the right test. It is a different question, and this study answers it in</w:t>
      </w:r>
      <w:r>
        <w:t xml:space="preserve"> </w:t>
      </w:r>
      <w:r>
        <w:t xml:space="preserve">the opposite direction.</w:t>
      </w:r>
    </w:p>
    <w:p>
      <w:pPr>
        <w:pStyle w:val="BodyText"/>
      </w:pPr>
      <w:r>
        <w:t xml:space="preserve">Since no previous study has fitted a wind term at all, nothing establishes the resolution at</w:t>
      </w:r>
      <w:r>
        <w:t xml:space="preserve"> </w:t>
      </w:r>
      <w:r>
        <w:t xml:space="preserve">which one should be fitted. Our answer is that it must be no coarser than the flight period.</w:t>
      </w:r>
      <w:r>
        <w:t xml:space="preserve"> </w:t>
      </w:r>
      <w:r>
        <w:t xml:space="preserve">For managers reading refugia maps built from annual disturbance products, that matters</w:t>
      </w:r>
      <w:r>
        <w:t xml:space="preserve"> </w:t>
      </w:r>
      <w:r>
        <w:t xml:space="preserve">directly: a map that shows no wind signal may be showing the calendar rather than the</w:t>
      </w:r>
      <w:r>
        <w:t xml:space="preserve"> </w:t>
      </w:r>
      <w:r>
        <w:t xml:space="preserve">landscape.</w:t>
      </w:r>
    </w:p>
    <w:p>
      <w:pPr>
        <w:pStyle w:val="BodyText"/>
      </w:pPr>
      <w:r>
        <w:t xml:space="preserve">Four limits stay attached. Flight-window radiation and terrain exposure are not separable</w:t>
      </w:r>
      <w:r>
        <w:t xml:space="preserve"> </w:t>
      </w:r>
      <w:r>
        <w:t xml:space="preserve">here, correlating -0.595, so the positive flight</w:t>
      </w:r>
      <w:r>
        <w:t xml:space="preserve"> </w:t>
      </w:r>
      <w:r>
        <w:t xml:space="preserve">radiation coefficient is consistent with the thermal gate and with exposure alike, and the</w:t>
      </w:r>
      <w:r>
        <w:t xml:space="preserve"> </w:t>
      </w:r>
      <w:r>
        <w:t xml:space="preserve">annual density by exposure interaction is not distinguishable from zero once radiation</w:t>
      </w:r>
      <w:r>
        <w:t xml:space="preserve"> </w:t>
      </w:r>
      <w:r>
        <w:t xml:space="preserve">enters. The wind field is modelled from station data rather than measured on the ridge, so</w:t>
      </w:r>
      <w:r>
        <w:t xml:space="preserve"> </w:t>
      </w:r>
      <w:r>
        <w:t xml:space="preserve">what is established is that the modelled field behaves as the mechanism requires, not that</w:t>
      </w:r>
      <w:r>
        <w:t xml:space="preserve"> </w:t>
      </w:r>
      <w:r>
        <w:t xml:space="preserve">the air did. Matching the inventory to its own year is what lets basal area carry the density</w:t>
      </w:r>
      <w:r>
        <w:t xml:space="preserve"> </w:t>
      </w:r>
      <w:r>
        <w:t xml:space="preserve">pathway at all, at a univariate</w:t>
      </w:r>
      <w:r>
        <w:t xml:space="preserve"> </w:t>
      </w:r>
      <w:r>
        <w:t xml:space="preserve">0.603; held at the 2025 composite it is</w:t>
      </w:r>
      <w:r>
        <w:t xml:space="preserve"> </w:t>
      </w:r>
      <w:r>
        <w:t xml:space="preserve">indistinguishable from chance. And every conclusion rests on one</w:t>
      </w:r>
      <w:r>
        <w:t xml:space="preserve"> </w:t>
      </w:r>
      <w:r>
        <w:t xml:space="preserve">mountain range over 8 years and 59 epochs.</w:t>
      </w:r>
    </w:p>
    <w:bookmarkEnd w:id="25"/>
    <w:bookmarkStart w:id="32" w:name="open-research"/>
    <w:p>
      <w:pPr>
        <w:pStyle w:val="Heading1"/>
      </w:pPr>
      <w:r>
        <w:t xml:space="preserve">5. Open research</w:t>
      </w:r>
    </w:p>
    <w:p>
      <w:pPr>
        <w:pStyle w:val="FirstParagraph"/>
      </w:pPr>
      <w:r>
        <w:t xml:space="preserve">This study complies with the Ecological Society of America’s Open Research Policy. Every</w:t>
      </w:r>
      <w:r>
        <w:t xml:space="preserve"> </w:t>
      </w:r>
      <w:r>
        <w:t xml:space="preserve">dataset is public and none was collected by the authors. Beetle disturbance is classified</w:t>
      </w:r>
      <w:r>
        <w:t xml:space="preserve"> </w:t>
      </w:r>
      <w:r>
        <w:t xml:space="preserve">from Landsat Collection 2 Level-2 surface reflectance. Stand structure is the provincial</w:t>
      </w:r>
      <w:r>
        <w:t xml:space="preserve"> </w:t>
      </w:r>
      <w:r>
        <w:t xml:space="preserve">Vegetation Resources Inventory layer</w:t>
      </w:r>
      <w:r>
        <w:t xml:space="preserve"> </w:t>
      </w:r>
      <w:r>
        <w:rPr>
          <w:rStyle w:val="VerbatimChar"/>
        </w:rPr>
        <w:t xml:space="preserve">VEG_COMP_LYR_R1_POLY</w:t>
      </w:r>
      <w:r>
        <w:t xml:space="preserve">, retrieved from the British</w:t>
      </w:r>
      <w:r>
        <w:t xml:space="preserve"> </w:t>
      </w:r>
      <w:r>
        <w:t xml:space="preserve">Columbia Data Catalogue web feature service. Terrain derives from the Natural Resources</w:t>
      </w:r>
      <w:r>
        <w:t xml:space="preserve"> </w:t>
      </w:r>
      <w:r>
        <w:t xml:space="preserve">Canada High Resolution Digital Elevation Model</w:t>
      </w:r>
      <w:r>
        <w:t xml:space="preserve"> </w:t>
      </w:r>
      <w:r>
        <w:t xml:space="preserve">(Natural Resources Canada 2017)</w:t>
      </w:r>
      <w:r>
        <w:t xml:space="preserve">, with geomorphometry computed by</w:t>
      </w:r>
      <w:r>
        <w:t xml:space="preserve"> </w:t>
      </w:r>
      <w:r>
        <w:t xml:space="preserve">SAGA GIS. Wind is Environment and Climate Change Canada hourly station data. All processing</w:t>
      </w:r>
      <w:r>
        <w:t xml:space="preserve"> </w:t>
      </w:r>
      <w:r>
        <w:t xml:space="preserve">scripts and the derived model tables that reproduce every number reported here will be</w:t>
      </w:r>
      <w:r>
        <w:t xml:space="preserve"> </w:t>
      </w:r>
      <w:r>
        <w:t xml:space="preserve">deposited in Dryad on acceptance, and are available to reviewers on request.</w:t>
      </w:r>
    </w:p>
    <w:p>
      <w:pPr>
        <w:pStyle w:val="CaptionedFigure"/>
      </w:pPr>
      <w:r>
        <w:drawing>
          <wp:inline>
            <wp:extent cx="5943600" cy="6656832"/>
            <wp:effectExtent b="0" l="0" r="0" t="0"/>
            <wp:docPr descr="Landscape, terrain and stand surfaces across the study area, all EPSG:3153 at 30 m over Esri World Shaded Relief.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 Every panel carries its own north arrow and the same numerical scale, 1:150,000, which holds at a printed panel width of 66 mm." title="" id="27" name="Picture"/>
            <a:graphic>
              <a:graphicData uri="http://schemas.openxmlformats.org/drawingml/2006/picture">
                <pic:pic>
                  <pic:nvPicPr>
                    <pic:cNvPr descr="Manuscript-Long_files/figure-docx/figure-1-1.png" id="28" name="Picture"/>
                    <pic:cNvPicPr>
                      <a:picLocks noChangeArrowheads="1" noChangeAspect="1"/>
                    </pic:cNvPicPr>
                  </pic:nvPicPr>
                  <pic:blipFill>
                    <a:blip r:embed="rId26"/>
                    <a:stretch>
                      <a:fillRect/>
                    </a:stretch>
                  </pic:blipFill>
                  <pic:spPr bwMode="auto">
                    <a:xfrm>
                      <a:off x="0" y="0"/>
                      <a:ext cx="5943600" cy="6656832"/>
                    </a:xfrm>
                    <a:prstGeom prst="rect">
                      <a:avLst/>
                    </a:prstGeom>
                    <a:noFill/>
                    <a:ln w="9525">
                      <a:noFill/>
                      <a:headEnd/>
                      <a:tailEnd/>
                    </a:ln>
                  </pic:spPr>
                </pic:pic>
              </a:graphicData>
            </a:graphic>
          </wp:inline>
        </w:drawing>
      </w:r>
    </w:p>
    <w:p>
      <w:pPr>
        <w:pStyle w:val="ImageCaption"/>
      </w:pPr>
      <w:r>
        <w:t xml:space="preserve">Landscape, terrain and stand surfaces across the study area, all EPSG:3153 at 30 m over Esri World Shaded Relief. (a) elevation; (b) terrain ruggedness index; (c) windward-leeward index at the prevailing bearing; (d) flight-window direct radiation, the thermal gate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 Every panel carries its own north arrow and the same numerical scale, 1:150,000, which holds at a printed panel width of 66 mm.</w:t>
      </w:r>
    </w:p>
    <w:p>
      <w:pPr>
        <w:pStyle w:val="CaptionedFigure"/>
      </w:pPr>
      <w:r>
        <w:drawing>
          <wp:inline>
            <wp:extent cx="5943600" cy="3962400"/>
            <wp:effectExtent b="0" l="0" r="0" t="0"/>
            <wp:docPr descr="Figure 2. The refugia mechanism as fitted at 16 days. (a) Predicted probability of moderate-to-high disturbance against terrain-resolved epoch wind, at the 10th and 90th percentiles of stem density, all other terms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 title="" id="30" name="Picture"/>
            <a:graphic>
              <a:graphicData uri="http://schemas.openxmlformats.org/drawingml/2006/picture">
                <pic:pic>
                  <pic:nvPicPr>
                    <pic:cNvPr descr="Manuscript-Long_files/figure-docx/figure-2-1.png" id="31" name="Picture"/>
                    <pic:cNvPicPr>
                      <a:picLocks noChangeArrowheads="1" noChangeAspect="1"/>
                    </pic:cNvPicPr>
                  </pic:nvPicPr>
                  <pic:blipFill>
                    <a:blip r:embed="rId29"/>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refugia mechanism as fitted at 16 days. (a) Predicted probability of moderate-to-high disturbance against terrain-resolved epoch wind, at the 10th and 90th percentiles of stem density, all other terms at their means; the lines cross, so wind raises attack in thin stands and lowers it in dense ones, which is the interaction. (b) The same for standing volume. (c) Coefficients of the 16-day model, with and without the within-season spread term. (d) Epoch prevalence against epoch mean wind, one point per epoch.</w:t>
      </w:r>
    </w:p>
    <w:p>
      <w:pPr>
        <w:pStyle w:val="TableCaption"/>
      </w:pPr>
      <w:r>
        <w:rPr>
          <w:b/>
          <w:bCs/>
        </w:rPr>
        <w:t xml:space="preserve">Table 1.</w:t>
      </w:r>
      <w:r>
        <w:t xml:space="preserve"> </w:t>
      </w:r>
      <w:r>
        <w:t xml:space="preserve">The terms the three mechanisms turn on, and the specification contrasts the paper rests on. Coefficients are log-odds per standard deviation on a class-balanced sample. The annual models are M3, M3 without flight-window radiation, and M5; the 16-day models are E1 and E2. The three mechanisms are those of Krawchuk et al. (2020). Growing-season direct radiation did not survive variable selection, so the shading pathway is represented by northness.</w:t>
      </w:r>
    </w:p>
    <w:tbl>
      <w:tblPr>
        <w:tblStyle w:val="Table"/>
        <w:tblW w:type="pct" w:w="5000"/>
        <w:tblLayout w:type="fixed"/>
        <w:tblLook w:firstRow="1" w:lastRow="0" w:firstColumn="0" w:lastColumn="0" w:noHBand="0" w:noVBand="0" w:val="0020"/>
        <w:tblCaption w:val="Table 1. The terms the three mechanisms turn on, and the specification contrasts the paper rests on. Coefficients are log-odds per standard deviation on a class-balanced sample. The annual models are M3, M3 without flight-window radiation, and M5; the 16-day models are E1 and E2. The three mechanisms are those of Krawchuk et al. (2020). Growing-season direct radiation did not survive variable selection, so the shading pathway is represented by northness."/>
      </w:tblPr>
      <w:tblGrid>
        <w:gridCol w:w="2334"/>
        <w:gridCol w:w="3751"/>
        <w:gridCol w:w="583"/>
        <w:gridCol w:w="583"/>
        <w:gridCol w:w="666"/>
      </w:tblGrid>
      <w:tr>
        <w:trPr>
          <w:tblHeader w:val="on"/>
        </w:trPr>
        <w:tc>
          <w:tcPr/>
          <w:p>
            <w:pPr>
              <w:pStyle w:val="Compact"/>
            </w:pPr>
          </w:p>
        </w:tc>
        <w:tc>
          <w:tcPr/>
          <w:p>
            <w:pPr>
              <w:pStyle w:val="Compact"/>
              <w:jc w:val="left"/>
            </w:pPr>
            <w:r>
              <w:t xml:space="preserve">Term</w:t>
            </w:r>
          </w:p>
        </w:tc>
        <w:tc>
          <w:tcPr/>
          <w:p>
            <w:pPr>
              <w:pStyle w:val="Compact"/>
              <w:jc w:val="right"/>
            </w:pPr>
            <w:r>
              <w:t xml:space="preserve">Beta</w:t>
            </w:r>
          </w:p>
        </w:tc>
        <w:tc>
          <w:tcPr/>
          <w:p>
            <w:pPr>
              <w:pStyle w:val="Compact"/>
              <w:jc w:val="right"/>
            </w:pPr>
            <w:r>
              <w:t xml:space="preserve">z</w:t>
            </w:r>
          </w:p>
        </w:tc>
        <w:tc>
          <w:tcPr/>
          <w:p>
            <w:pPr>
              <w:pStyle w:val="Compact"/>
              <w:jc w:val="right"/>
            </w:pPr>
            <w:r>
              <w:t xml:space="preserve">p</w:t>
            </w:r>
          </w:p>
        </w:tc>
      </w:tr>
      <w:tr>
        <w:tc>
          <w:tcPr/>
          <w:p>
            <w:pPr>
              <w:pStyle w:val="Compact"/>
              <w:jc w:val="left"/>
            </w:pPr>
            <w:r>
              <w:t xml:space="preserve">Mechanism 1: shading</w:t>
            </w:r>
          </w:p>
        </w:tc>
        <w:tc>
          <w:tcPr/>
          <w:p>
            <w:pPr>
              <w:pStyle w:val="Compact"/>
              <w:jc w:val="left"/>
            </w:pPr>
            <w:r>
              <w:t xml:space="preserve">Northness (shading surrogate)</w:t>
            </w:r>
          </w:p>
        </w:tc>
        <w:tc>
          <w:tcPr/>
          <w:p>
            <w:pPr>
              <w:pStyle w:val="Compact"/>
              <w:jc w:val="right"/>
            </w:pPr>
            <w:r>
              <w:t xml:space="preserve">+0.305</w:t>
            </w:r>
          </w:p>
        </w:tc>
        <w:tc>
          <w:tcPr/>
          <w:p>
            <w:pPr>
              <w:pStyle w:val="Compact"/>
              <w:jc w:val="right"/>
            </w:pPr>
            <w:r>
              <w:t xml:space="preserve">19.79</w:t>
            </w:r>
          </w:p>
        </w:tc>
        <w:tc>
          <w:tcPr/>
          <w:p>
            <w:pPr>
              <w:pStyle w:val="Compact"/>
              <w:jc w:val="right"/>
            </w:pPr>
            <w:r>
              <w:t xml:space="preserve">&lt; 0.001</w:t>
            </w:r>
          </w:p>
        </w:tc>
      </w:tr>
      <w:tr>
        <w:tc>
          <w:tcPr/>
          <w:p>
            <w:pPr>
              <w:pStyle w:val="Compact"/>
              <w:jc w:val="left"/>
            </w:pPr>
            <w:r>
              <w:t xml:space="preserve">Mechanism 2: host density</w:t>
            </w:r>
          </w:p>
        </w:tc>
        <w:tc>
          <w:tcPr/>
          <w:p>
            <w:pPr>
              <w:pStyle w:val="Compact"/>
              <w:jc w:val="left"/>
            </w:pPr>
            <w:r>
              <w:t xml:space="preserve">Standing volume</w:t>
            </w:r>
          </w:p>
        </w:tc>
        <w:tc>
          <w:tcPr/>
          <w:p>
            <w:pPr>
              <w:pStyle w:val="Compact"/>
            </w:pPr>
          </w:p>
        </w:tc>
        <w:tc>
          <w:tcPr/>
          <w:p>
            <w:pPr>
              <w:pStyle w:val="Compact"/>
            </w:pPr>
          </w:p>
        </w:tc>
        <w:tc>
          <w:tcPr/>
          <w:p>
            <w:pPr>
              <w:pStyle w:val="Compact"/>
              <w:jc w:val="right"/>
            </w:pPr>
            <w:r>
              <w:t xml:space="preserve">NA</w:t>
            </w:r>
          </w:p>
        </w:tc>
      </w:tr>
      <w:tr>
        <w:tc>
          <w:tcPr/>
          <w:p>
            <w:pPr>
              <w:pStyle w:val="Compact"/>
            </w:pPr>
          </w:p>
        </w:tc>
        <w:tc>
          <w:tcPr/>
          <w:p>
            <w:pPr>
              <w:pStyle w:val="Compact"/>
              <w:jc w:val="left"/>
            </w:pPr>
            <w:r>
              <w:t xml:space="preserve">Live stems per hectare</w:t>
            </w:r>
          </w:p>
        </w:tc>
        <w:tc>
          <w:tcPr/>
          <w:p>
            <w:pPr>
              <w:pStyle w:val="Compact"/>
              <w:jc w:val="right"/>
            </w:pPr>
            <w:r>
              <w:t xml:space="preserve">+0.051</w:t>
            </w:r>
          </w:p>
        </w:tc>
        <w:tc>
          <w:tcPr/>
          <w:p>
            <w:pPr>
              <w:pStyle w:val="Compact"/>
              <w:jc w:val="right"/>
            </w:pPr>
            <w:r>
              <w:t xml:space="preserve">3.01</w:t>
            </w:r>
          </w:p>
        </w:tc>
        <w:tc>
          <w:tcPr/>
          <w:p>
            <w:pPr>
              <w:pStyle w:val="Compact"/>
              <w:jc w:val="right"/>
            </w:pPr>
            <w:r>
              <w:t xml:space="preserve">0.003</w:t>
            </w:r>
          </w:p>
        </w:tc>
      </w:tr>
      <w:tr>
        <w:tc>
          <w:tcPr/>
          <w:p>
            <w:pPr>
              <w:pStyle w:val="Compact"/>
            </w:pPr>
          </w:p>
        </w:tc>
        <w:tc>
          <w:tcPr/>
          <w:p>
            <w:pPr>
              <w:pStyle w:val="Compact"/>
              <w:jc w:val="left"/>
            </w:pPr>
            <w:r>
              <w:t xml:space="preserve">Crown closure</w:t>
            </w:r>
          </w:p>
        </w:tc>
        <w:tc>
          <w:tcPr/>
          <w:p>
            <w:pPr>
              <w:pStyle w:val="Compact"/>
              <w:jc w:val="right"/>
            </w:pPr>
            <w:r>
              <w:t xml:space="preserve">-0.125</w:t>
            </w:r>
          </w:p>
        </w:tc>
        <w:tc>
          <w:tcPr/>
          <w:p>
            <w:pPr>
              <w:pStyle w:val="Compact"/>
              <w:jc w:val="right"/>
            </w:pPr>
            <w:r>
              <w:t xml:space="preserve">-5.80</w:t>
            </w:r>
          </w:p>
        </w:tc>
        <w:tc>
          <w:tcPr/>
          <w:p>
            <w:pPr>
              <w:pStyle w:val="Compact"/>
              <w:jc w:val="right"/>
            </w:pPr>
            <w:r>
              <w:t xml:space="preserve">&lt; 0.001</w:t>
            </w:r>
          </w:p>
        </w:tc>
      </w:tr>
      <w:tr>
        <w:tc>
          <w:tcPr/>
          <w:p>
            <w:pPr>
              <w:pStyle w:val="Compact"/>
              <w:jc w:val="left"/>
            </w:pPr>
            <w:r>
              <w:t xml:space="preserve">Mechanism 3: host size</w:t>
            </w:r>
          </w:p>
        </w:tc>
        <w:tc>
          <w:tcPr/>
          <w:p>
            <w:pPr>
              <w:pStyle w:val="Compact"/>
              <w:jc w:val="left"/>
            </w:pPr>
            <w:r>
              <w:t xml:space="preserve">Quadratic mean diameter</w:t>
            </w:r>
          </w:p>
        </w:tc>
        <w:tc>
          <w:tcPr/>
          <w:p>
            <w:pPr>
              <w:pStyle w:val="Compact"/>
              <w:jc w:val="right"/>
            </w:pPr>
            <w:r>
              <w:t xml:space="preserve">-0.362</w:t>
            </w:r>
          </w:p>
        </w:tc>
        <w:tc>
          <w:tcPr/>
          <w:p>
            <w:pPr>
              <w:pStyle w:val="Compact"/>
              <w:jc w:val="right"/>
            </w:pPr>
            <w:r>
              <w:t xml:space="preserve">-14.47</w:t>
            </w:r>
          </w:p>
        </w:tc>
        <w:tc>
          <w:tcPr/>
          <w:p>
            <w:pPr>
              <w:pStyle w:val="Compact"/>
              <w:jc w:val="right"/>
            </w:pPr>
            <w:r>
              <w:t xml:space="preserve">&lt; 0.001</w:t>
            </w:r>
          </w:p>
        </w:tc>
      </w:tr>
      <w:tr>
        <w:tc>
          <w:tcPr/>
          <w:p>
            <w:pPr>
              <w:pStyle w:val="Compact"/>
            </w:pPr>
          </w:p>
        </w:tc>
        <w:tc>
          <w:tcPr/>
          <w:p>
            <w:pPr>
              <w:pStyle w:val="Compact"/>
              <w:jc w:val="left"/>
            </w:pPr>
            <w:r>
              <w:t xml:space="preserve">Susceptible pine basal area</w:t>
            </w:r>
          </w:p>
        </w:tc>
        <w:tc>
          <w:tcPr/>
          <w:p>
            <w:pPr>
              <w:pStyle w:val="Compact"/>
              <w:jc w:val="right"/>
            </w:pPr>
            <w:r>
              <w:t xml:space="preserve">+0.536</w:t>
            </w:r>
          </w:p>
        </w:tc>
        <w:tc>
          <w:tcPr/>
          <w:p>
            <w:pPr>
              <w:pStyle w:val="Compact"/>
              <w:jc w:val="right"/>
            </w:pPr>
            <w:r>
              <w:t xml:space="preserve">35.25</w:t>
            </w:r>
          </w:p>
        </w:tc>
        <w:tc>
          <w:tcPr/>
          <w:p>
            <w:pPr>
              <w:pStyle w:val="Compact"/>
              <w:jc w:val="right"/>
            </w:pPr>
            <w:r>
              <w:t xml:space="preserve">&lt; 0.001</w:t>
            </w:r>
          </w:p>
        </w:tc>
      </w:tr>
      <w:tr>
        <w:tc>
          <w:tcPr/>
          <w:p>
            <w:pPr>
              <w:pStyle w:val="Compact"/>
              <w:jc w:val="left"/>
            </w:pPr>
            <w:r>
              <w:t xml:space="preserve">Terrain</w:t>
            </w:r>
          </w:p>
        </w:tc>
        <w:tc>
          <w:tcPr/>
          <w:p>
            <w:pPr>
              <w:pStyle w:val="Compact"/>
              <w:jc w:val="left"/>
            </w:pPr>
            <w:r>
              <w:t xml:space="preserve">Flight-window direct radiation</w:t>
            </w:r>
          </w:p>
        </w:tc>
        <w:tc>
          <w:tcPr/>
          <w:p>
            <w:pPr>
              <w:pStyle w:val="Compact"/>
              <w:jc w:val="right"/>
            </w:pPr>
            <w:r>
              <w:t xml:space="preserve">+0.497</w:t>
            </w:r>
          </w:p>
        </w:tc>
        <w:tc>
          <w:tcPr/>
          <w:p>
            <w:pPr>
              <w:pStyle w:val="Compact"/>
              <w:jc w:val="right"/>
            </w:pPr>
            <w:r>
              <w:t xml:space="preserve">16.49</w:t>
            </w:r>
          </w:p>
        </w:tc>
        <w:tc>
          <w:tcPr/>
          <w:p>
            <w:pPr>
              <w:pStyle w:val="Compact"/>
              <w:jc w:val="right"/>
            </w:pPr>
            <w:r>
              <w:t xml:space="preserve">&lt; 0.001</w:t>
            </w:r>
          </w:p>
        </w:tc>
      </w:tr>
      <w:tr>
        <w:tc>
          <w:tcPr/>
          <w:p>
            <w:pPr>
              <w:pStyle w:val="Compact"/>
            </w:pPr>
          </w:p>
        </w:tc>
        <w:tc>
          <w:tcPr/>
          <w:p>
            <w:pPr>
              <w:pStyle w:val="Compact"/>
              <w:jc w:val="left"/>
            </w:pPr>
            <w:r>
              <w:t xml:space="preserve">Terrain ruggedness index</w:t>
            </w:r>
          </w:p>
        </w:tc>
        <w:tc>
          <w:tcPr/>
          <w:p>
            <w:pPr>
              <w:pStyle w:val="Compact"/>
              <w:jc w:val="right"/>
            </w:pPr>
            <w:r>
              <w:t xml:space="preserve">-0.005</w:t>
            </w:r>
          </w:p>
        </w:tc>
        <w:tc>
          <w:tcPr/>
          <w:p>
            <w:pPr>
              <w:pStyle w:val="Compact"/>
              <w:jc w:val="right"/>
            </w:pPr>
            <w:r>
              <w:t xml:space="preserve">-0.19</w:t>
            </w:r>
          </w:p>
        </w:tc>
        <w:tc>
          <w:tcPr/>
          <w:p>
            <w:pPr>
              <w:pStyle w:val="Compact"/>
              <w:jc w:val="right"/>
            </w:pPr>
            <w:r>
              <w:t xml:space="preserve">0.848</w:t>
            </w:r>
          </w:p>
        </w:tc>
      </w:tr>
      <w:tr>
        <w:tc>
          <w:tcPr/>
          <w:p>
            <w:pPr>
              <w:pStyle w:val="Compact"/>
            </w:pPr>
          </w:p>
        </w:tc>
        <w:tc>
          <w:tcPr/>
          <w:p>
            <w:pPr>
              <w:pStyle w:val="Compact"/>
              <w:jc w:val="left"/>
            </w:pPr>
            <w:r>
              <w:t xml:space="preserve">Windward-leeward index</w:t>
            </w:r>
          </w:p>
        </w:tc>
        <w:tc>
          <w:tcPr/>
          <w:p>
            <w:pPr>
              <w:pStyle w:val="Compact"/>
              <w:jc w:val="right"/>
            </w:pPr>
            <w:r>
              <w:t xml:space="preserve">+0.394</w:t>
            </w:r>
          </w:p>
        </w:tc>
        <w:tc>
          <w:tcPr/>
          <w:p>
            <w:pPr>
              <w:pStyle w:val="Compact"/>
              <w:jc w:val="right"/>
            </w:pPr>
            <w:r>
              <w:t xml:space="preserve">13.31</w:t>
            </w:r>
          </w:p>
        </w:tc>
        <w:tc>
          <w:tcPr/>
          <w:p>
            <w:pPr>
              <w:pStyle w:val="Compact"/>
              <w:jc w:val="right"/>
            </w:pPr>
            <w:r>
              <w:t xml:space="preserve">&lt; 0.001</w:t>
            </w:r>
          </w:p>
        </w:tc>
      </w:tr>
      <w:tr>
        <w:tc>
          <w:tcPr/>
          <w:p>
            <w:pPr>
              <w:pStyle w:val="Compact"/>
            </w:pPr>
          </w:p>
        </w:tc>
        <w:tc>
          <w:tcPr/>
          <w:p>
            <w:pPr>
              <w:pStyle w:val="Compact"/>
              <w:jc w:val="left"/>
            </w:pPr>
            <w:r>
              <w:t xml:space="preserve">Elevation</w:t>
            </w:r>
          </w:p>
        </w:tc>
        <w:tc>
          <w:tcPr/>
          <w:p>
            <w:pPr>
              <w:pStyle w:val="Compact"/>
              <w:jc w:val="right"/>
            </w:pPr>
            <w:r>
              <w:t xml:space="preserve">+0.337</w:t>
            </w:r>
          </w:p>
        </w:tc>
        <w:tc>
          <w:tcPr/>
          <w:p>
            <w:pPr>
              <w:pStyle w:val="Compact"/>
              <w:jc w:val="right"/>
            </w:pPr>
            <w:r>
              <w:t xml:space="preserve">18.44</w:t>
            </w:r>
          </w:p>
        </w:tc>
        <w:tc>
          <w:tcPr/>
          <w:p>
            <w:pPr>
              <w:pStyle w:val="Compact"/>
              <w:jc w:val="right"/>
            </w:pPr>
            <w:r>
              <w:t xml:space="preserve">&lt; 0.001</w:t>
            </w:r>
          </w:p>
        </w:tc>
      </w:tr>
      <w:tr>
        <w:tc>
          <w:tcPr/>
          <w:p>
            <w:pPr>
              <w:pStyle w:val="Compact"/>
              <w:jc w:val="left"/>
            </w:pPr>
            <w:r>
              <w:t xml:space="preserve">Radiation and exposure</w:t>
            </w:r>
          </w:p>
        </w:tc>
        <w:tc>
          <w:tcPr/>
          <w:p>
            <w:pPr>
              <w:pStyle w:val="Compact"/>
              <w:jc w:val="left"/>
            </w:pPr>
            <w:r>
              <w:t xml:space="preserve">Density x terrain exposure, no radiation</w:t>
            </w:r>
          </w:p>
        </w:tc>
        <w:tc>
          <w:tcPr/>
          <w:p>
            <w:pPr>
              <w:pStyle w:val="Compact"/>
              <w:jc w:val="right"/>
            </w:pPr>
            <w:r>
              <w:t xml:space="preserve">-0.068</w:t>
            </w:r>
          </w:p>
        </w:tc>
        <w:tc>
          <w:tcPr/>
          <w:p>
            <w:pPr>
              <w:pStyle w:val="Compact"/>
              <w:jc w:val="right"/>
            </w:pPr>
            <w:r>
              <w:t xml:space="preserve">-3.71</w:t>
            </w:r>
          </w:p>
        </w:tc>
        <w:tc>
          <w:tcPr/>
          <w:p>
            <w:pPr>
              <w:pStyle w:val="Compact"/>
              <w:jc w:val="right"/>
            </w:pPr>
            <w:r>
              <w:t xml:space="preserve">&lt; 0.001</w:t>
            </w:r>
          </w:p>
        </w:tc>
      </w:tr>
      <w:tr>
        <w:tc>
          <w:tcPr/>
          <w:p>
            <w:pPr>
              <w:pStyle w:val="Compact"/>
            </w:pPr>
          </w:p>
        </w:tc>
        <w:tc>
          <w:tcPr/>
          <w:p>
            <w:pPr>
              <w:pStyle w:val="Compact"/>
              <w:jc w:val="left"/>
            </w:pPr>
            <w:r>
              <w:t xml:space="preserve">Density x terrain exposure, with radiation</w:t>
            </w:r>
          </w:p>
        </w:tc>
        <w:tc>
          <w:tcPr/>
          <w:p>
            <w:pPr>
              <w:pStyle w:val="Compact"/>
              <w:jc w:val="right"/>
            </w:pPr>
            <w:r>
              <w:t xml:space="preserve">-0.040</w:t>
            </w:r>
          </w:p>
        </w:tc>
        <w:tc>
          <w:tcPr/>
          <w:p>
            <w:pPr>
              <w:pStyle w:val="Compact"/>
              <w:jc w:val="right"/>
            </w:pPr>
            <w:r>
              <w:t xml:space="preserve">-1.65</w:t>
            </w:r>
          </w:p>
        </w:tc>
        <w:tc>
          <w:tcPr/>
          <w:p>
            <w:pPr>
              <w:pStyle w:val="Compact"/>
              <w:jc w:val="right"/>
            </w:pPr>
            <w:r>
              <w:t xml:space="preserve">0.098</w:t>
            </w:r>
          </w:p>
        </w:tc>
      </w:tr>
      <w:tr>
        <w:tc>
          <w:tcPr/>
          <w:p>
            <w:pPr>
              <w:pStyle w:val="Compact"/>
              <w:jc w:val="left"/>
            </w:pPr>
            <w:r>
              <w:t xml:space="preserve">Resolution decides the sign</w:t>
            </w:r>
          </w:p>
        </w:tc>
        <w:tc>
          <w:tcPr/>
          <w:p>
            <w:pPr>
              <w:pStyle w:val="Compact"/>
              <w:jc w:val="left"/>
            </w:pPr>
            <w:r>
              <w:t xml:space="preserve">Density x wind, annual (M5)</w:t>
            </w:r>
          </w:p>
        </w:tc>
        <w:tc>
          <w:tcPr/>
          <w:p>
            <w:pPr>
              <w:pStyle w:val="Compact"/>
              <w:jc w:val="right"/>
            </w:pPr>
            <w:r>
              <w:t xml:space="preserve">+0.031</w:t>
            </w:r>
          </w:p>
        </w:tc>
        <w:tc>
          <w:tcPr/>
          <w:p>
            <w:pPr>
              <w:pStyle w:val="Compact"/>
              <w:jc w:val="right"/>
            </w:pPr>
            <w:r>
              <w:t xml:space="preserve">1.71</w:t>
            </w:r>
          </w:p>
        </w:tc>
        <w:tc>
          <w:tcPr/>
          <w:p>
            <w:pPr>
              <w:pStyle w:val="Compact"/>
              <w:jc w:val="right"/>
            </w:pPr>
            <w:r>
              <w:t xml:space="preserve">0.087</w:t>
            </w:r>
          </w:p>
        </w:tc>
      </w:tr>
      <w:tr>
        <w:tc>
          <w:tcPr/>
          <w:p>
            <w:pPr>
              <w:pStyle w:val="Compact"/>
            </w:pPr>
          </w:p>
        </w:tc>
        <w:tc>
          <w:tcPr/>
          <w:p>
            <w:pPr>
              <w:pStyle w:val="Compact"/>
              <w:jc w:val="left"/>
            </w:pPr>
            <w:r>
              <w:t xml:space="preserve">Stem density x wind, 16-day (E1)</w:t>
            </w:r>
          </w:p>
        </w:tc>
        <w:tc>
          <w:tcPr/>
          <w:p>
            <w:pPr>
              <w:pStyle w:val="Compact"/>
              <w:jc w:val="right"/>
            </w:pPr>
            <w:r>
              <w:t xml:space="preserve">-0.049</w:t>
            </w:r>
          </w:p>
        </w:tc>
        <w:tc>
          <w:tcPr/>
          <w:p>
            <w:pPr>
              <w:pStyle w:val="Compact"/>
              <w:jc w:val="right"/>
            </w:pPr>
            <w:r>
              <w:t xml:space="preserve">-5.89</w:t>
            </w:r>
          </w:p>
        </w:tc>
        <w:tc>
          <w:tcPr/>
          <w:p>
            <w:pPr>
              <w:pStyle w:val="Compact"/>
              <w:jc w:val="right"/>
            </w:pPr>
            <w:r>
              <w:t xml:space="preserve">&lt; 0.001</w:t>
            </w:r>
          </w:p>
        </w:tc>
      </w:tr>
      <w:tr>
        <w:tc>
          <w:tcPr/>
          <w:p>
            <w:pPr>
              <w:pStyle w:val="Compact"/>
            </w:pPr>
          </w:p>
        </w:tc>
        <w:tc>
          <w:tcPr/>
          <w:p>
            <w:pPr>
              <w:pStyle w:val="Compact"/>
              <w:jc w:val="left"/>
            </w:pPr>
            <w:r>
              <w:t xml:space="preserve">Standing volume x wind, 16-day (E1)</w:t>
            </w:r>
          </w:p>
        </w:tc>
        <w:tc>
          <w:tcPr/>
          <w:p>
            <w:pPr>
              <w:pStyle w:val="Compact"/>
              <w:jc w:val="right"/>
            </w:pPr>
            <w:r>
              <w:t xml:space="preserve">-0.017</w:t>
            </w:r>
          </w:p>
        </w:tc>
        <w:tc>
          <w:tcPr/>
          <w:p>
            <w:pPr>
              <w:pStyle w:val="Compact"/>
              <w:jc w:val="right"/>
            </w:pPr>
            <w:r>
              <w:t xml:space="preserve">-2.07</w:t>
            </w:r>
          </w:p>
        </w:tc>
        <w:tc>
          <w:tcPr/>
          <w:p>
            <w:pPr>
              <w:pStyle w:val="Compact"/>
              <w:jc w:val="right"/>
            </w:pPr>
            <w:r>
              <w:t xml:space="preserve">0.038</w:t>
            </w:r>
          </w:p>
        </w:tc>
      </w:tr>
      <w:tr>
        <w:tc>
          <w:tcPr/>
          <w:p>
            <w:pPr>
              <w:pStyle w:val="Compact"/>
            </w:pPr>
          </w:p>
        </w:tc>
        <w:tc>
          <w:tcPr/>
          <w:p>
            <w:pPr>
              <w:pStyle w:val="Compact"/>
              <w:jc w:val="left"/>
            </w:pPr>
            <w:r>
              <w:t xml:space="preserve">Standing volume x wind, 16-day with lag (E2)</w:t>
            </w:r>
          </w:p>
        </w:tc>
        <w:tc>
          <w:tcPr/>
          <w:p>
            <w:pPr>
              <w:pStyle w:val="Compact"/>
              <w:jc w:val="right"/>
            </w:pPr>
            <w:r>
              <w:t xml:space="preserve">-0.039</w:t>
            </w:r>
          </w:p>
        </w:tc>
        <w:tc>
          <w:tcPr/>
          <w:p>
            <w:pPr>
              <w:pStyle w:val="Compact"/>
              <w:jc w:val="right"/>
            </w:pPr>
            <w:r>
              <w:t xml:space="preserve">-2.68</w:t>
            </w:r>
          </w:p>
        </w:tc>
        <w:tc>
          <w:tcPr/>
          <w:p>
            <w:pPr>
              <w:pStyle w:val="Compact"/>
              <w:jc w:val="right"/>
            </w:pPr>
            <w:r>
              <w:t xml:space="preserve">0.007</w:t>
            </w:r>
          </w:p>
        </w:tc>
      </w:tr>
    </w:tbl>
    <w:bookmarkEnd w:id="32"/>
    <w:bookmarkStart w:id="38" w:name="supporting-information"/>
    <w:p>
      <w:pPr>
        <w:pStyle w:val="Heading1"/>
      </w:pPr>
      <w:r>
        <w:t xml:space="preserve">Supporting information</w:t>
      </w:r>
    </w:p>
    <w:p>
      <w:pPr>
        <w:pStyle w:val="FirstParagraph"/>
      </w:pPr>
      <w:r>
        <w:t xml:space="preserve">Five components accompany this paper and are supplied as stand-alone documents at</w:t>
      </w:r>
      <w:r>
        <w:t xml:space="preserve"> </w:t>
      </w:r>
      <w:r>
        <w:t xml:space="preserve">submission. They are reproduced below for review.</w:t>
      </w:r>
    </w:p>
    <w:bookmarkStart w:id="33" w:name="appendix-s1"/>
    <w:p>
      <w:pPr>
        <w:pStyle w:val="Heading2"/>
      </w:pPr>
      <w:r>
        <w:t xml:space="preserve">5.1 Appendix S1</w:t>
      </w:r>
    </w:p>
    <w:p>
      <w:pPr>
        <w:pStyle w:val="TableCaption"/>
      </w:pPr>
      <w:r>
        <w:rPr>
          <w:b/>
          <w:bCs/>
        </w:rPr>
        <w:t xml:space="preserve">Appendix S1.</w:t>
      </w:r>
      <w:r>
        <w:t xml:space="preserve"> </w:t>
      </w:r>
      <w:r>
        <w:t xml:space="preserve">Landscape attributes entered in this study, the direction expected of each, and the reasoning behind that expectation.</w:t>
      </w:r>
    </w:p>
    <w:tbl>
      <w:tblPr>
        <w:tblStyle w:val="Table"/>
        <w:tblW w:type="pct" w:w="5000"/>
        <w:tblLayout w:type="fixed"/>
        <w:tblLook w:firstRow="1" w:lastRow="0" w:firstColumn="0" w:lastColumn="0" w:noHBand="0" w:noVBand="0" w:val="0020"/>
        <w:tblCaption w:val="Appendix S1. Landscape attributes entered in this study, the direction expected of each, and the reasoning behind that expectation."/>
      </w:tblPr>
      <w:tblGrid>
        <w:gridCol w:w="1726"/>
        <w:gridCol w:w="1049"/>
        <w:gridCol w:w="5144"/>
      </w:tblGrid>
      <w:tr>
        <w:trPr>
          <w:tblHeader w:val="on"/>
        </w:trPr>
        <w:tc>
          <w:tcPr/>
          <w:p>
            <w:pPr>
              <w:pStyle w:val="Compact"/>
              <w:jc w:val="left"/>
            </w:pPr>
            <w:r>
              <w:t xml:space="preserve">Attribute</w:t>
            </w:r>
          </w:p>
        </w:tc>
        <w:tc>
          <w:tcPr/>
          <w:p>
            <w:pPr>
              <w:pStyle w:val="Compact"/>
              <w:jc w:val="left"/>
            </w:pPr>
            <w:r>
              <w:t xml:space="preserve">Expected</w:t>
            </w:r>
          </w:p>
        </w:tc>
        <w:tc>
          <w:tcPr/>
          <w:p>
            <w:pPr>
              <w:pStyle w:val="Compact"/>
              <w:jc w:val="left"/>
            </w:pPr>
            <w:r>
              <w:t xml:space="preserve">Rationale</w:t>
            </w:r>
          </w:p>
        </w:tc>
      </w:tr>
      <w:tr>
        <w:tc>
          <w:tcPr/>
          <w:p>
            <w:pPr>
              <w:pStyle w:val="Compact"/>
              <w:jc w:val="left"/>
            </w:pPr>
            <w:r>
              <w:t xml:space="preserve">Stand basal area, volume, crown closure, stems</w:t>
            </w:r>
          </w:p>
        </w:tc>
        <w:tc>
          <w:tcPr/>
          <w:p>
            <w:pPr>
              <w:pStyle w:val="Compact"/>
              <w:jc w:val="left"/>
            </w:pPr>
            <w:r>
              <w:t xml:space="preserve">positive</w:t>
            </w:r>
          </w:p>
        </w:tc>
        <w:tc>
          <w:tcPr/>
          <w:p>
            <w:pPr>
              <w:pStyle w:val="Compact"/>
              <w:jc w:val="left"/>
            </w:pPr>
            <w:r>
              <w:t xml:space="preserve">Denser canopy holds the pheromone plume together; thinner stands admit wind that disperses it</w:t>
            </w:r>
            <w:r>
              <w:t xml:space="preserve"> </w:t>
            </w:r>
            <w:r>
              <w:t xml:space="preserve">(Powell and Bentz 2014; Cartwright 2018; Krawchuk</w:t>
            </w:r>
            <w:r>
              <w:t xml:space="preserve"> </w:t>
            </w:r>
            <w:r>
              <w:rPr>
                <w:i/>
                <w:iCs/>
              </w:rPr>
              <w:t xml:space="preserve">et al.</w:t>
            </w:r>
            <w:r>
              <w:t xml:space="preserve"> </w:t>
            </w:r>
            <w:r>
              <w:t xml:space="preserve">2020)</w:t>
            </w:r>
            <w:r>
              <w:t xml:space="preserve">.</w:t>
            </w:r>
          </w:p>
        </w:tc>
      </w:tr>
      <w:tr>
        <w:tc>
          <w:tcPr/>
          <w:p>
            <w:pPr>
              <w:pStyle w:val="Compact"/>
              <w:jc w:val="left"/>
            </w:pPr>
            <w:r>
              <w:t xml:space="preserve">Quadratic mean diameter</w:t>
            </w:r>
          </w:p>
        </w:tc>
        <w:tc>
          <w:tcPr/>
          <w:p>
            <w:pPr>
              <w:pStyle w:val="Compact"/>
              <w:jc w:val="left"/>
            </w:pPr>
            <w:r>
              <w:t xml:space="preserve">positive above 25 cm</w:t>
            </w:r>
          </w:p>
        </w:tc>
        <w:tc>
          <w:tcPr/>
          <w:p>
            <w:pPr>
              <w:pStyle w:val="Compact"/>
              <w:jc w:val="left"/>
            </w:pPr>
            <w:r>
              <w:t xml:space="preserve">Trees under 25 cm are beetle sinks, over 25 cm are sources</w:t>
            </w:r>
            <w:r>
              <w:t xml:space="preserve"> </w:t>
            </w:r>
            <w:r>
              <w:t xml:space="preserve">(Carroll and Safranyik 2004)</w:t>
            </w:r>
            <w:r>
              <w:t xml:space="preserve">.</w:t>
            </w:r>
          </w:p>
        </w:tc>
      </w:tr>
      <w:tr>
        <w:tc>
          <w:tcPr/>
          <w:p>
            <w:pPr>
              <w:pStyle w:val="Compact"/>
              <w:jc w:val="left"/>
            </w:pPr>
            <w:r>
              <w:t xml:space="preserve">Lodgepole pine cover and basal area</w:t>
            </w:r>
          </w:p>
        </w:tc>
        <w:tc>
          <w:tcPr/>
          <w:p>
            <w:pPr>
              <w:pStyle w:val="Compact"/>
              <w:jc w:val="left"/>
            </w:pPr>
            <w:r>
              <w:t xml:space="preserve">positive</w:t>
            </w:r>
          </w:p>
        </w:tc>
        <w:tc>
          <w:tcPr/>
          <w:p>
            <w:pPr>
              <w:pStyle w:val="Compact"/>
              <w:jc w:val="left"/>
            </w:pPr>
            <w:r>
              <w:t xml:space="preserve">Attack cannot occur where the host is absent; a cell without pine is not a refugium</w:t>
            </w:r>
            <w:r>
              <w:t xml:space="preserve"> </w:t>
            </w:r>
            <w:r>
              <w:t xml:space="preserve">(Cartwright 2018)</w:t>
            </w:r>
            <w:r>
              <w:t xml:space="preserve">.</w:t>
            </w:r>
          </w:p>
        </w:tc>
      </w:tr>
      <w:tr>
        <w:tc>
          <w:tcPr/>
          <w:p>
            <w:pPr>
              <w:pStyle w:val="Compact"/>
              <w:jc w:val="left"/>
            </w:pPr>
            <w:r>
              <w:t xml:space="preserve">Flight-period direct radiation</w:t>
            </w:r>
          </w:p>
        </w:tc>
        <w:tc>
          <w:tcPr/>
          <w:p>
            <w:pPr>
              <w:pStyle w:val="Compact"/>
              <w:jc w:val="left"/>
            </w:pPr>
            <w:r>
              <w:t xml:space="preserve">positive</w:t>
            </w:r>
          </w:p>
        </w:tc>
        <w:tc>
          <w:tcPr/>
          <w:p>
            <w:pPr>
              <w:pStyle w:val="Compact"/>
              <w:jc w:val="left"/>
            </w:pPr>
            <w:r>
              <w:t xml:space="preserve">Flight is gated between 19 and 41 degrees C and peaks on bright afternoons, so sunlit slopes are reachable</w:t>
            </w:r>
            <w:r>
              <w:t xml:space="preserve"> </w:t>
            </w:r>
            <w:r>
              <w:t xml:space="preserve">(McCambridge 1971; Safranyik and Carroll 2006)</w:t>
            </w:r>
            <w:r>
              <w:t xml:space="preserve">.</w:t>
            </w:r>
          </w:p>
        </w:tc>
      </w:tr>
      <w:tr>
        <w:tc>
          <w:tcPr/>
          <w:p>
            <w:pPr>
              <w:pStyle w:val="Compact"/>
              <w:jc w:val="left"/>
            </w:pPr>
            <w:r>
              <w:t xml:space="preserve">Growing-season direct radiation</w:t>
            </w:r>
          </w:p>
        </w:tc>
        <w:tc>
          <w:tcPr/>
          <w:p>
            <w:pPr>
              <w:pStyle w:val="Compact"/>
              <w:jc w:val="left"/>
            </w:pPr>
            <w:r>
              <w:t xml:space="preserve">negative</w:t>
            </w:r>
          </w:p>
        </w:tc>
        <w:tc>
          <w:tcPr/>
          <w:p>
            <w:pPr>
              <w:pStyle w:val="Compact"/>
              <w:jc w:val="left"/>
            </w:pPr>
            <w:r>
              <w:t xml:space="preserve">Shading cools, relieving water stress and funding defence, and cool sites also push the beetle toward a two-year cycle</w:t>
            </w:r>
            <w:r>
              <w:t xml:space="preserve"> </w:t>
            </w:r>
            <w:r>
              <w:t xml:space="preserve">(Krawchuk</w:t>
            </w:r>
            <w:r>
              <w:t xml:space="preserve"> </w:t>
            </w:r>
            <w:r>
              <w:rPr>
                <w:i/>
                <w:iCs/>
              </w:rPr>
              <w:t xml:space="preserve">et al.</w:t>
            </w:r>
            <w:r>
              <w:t xml:space="preserve"> </w:t>
            </w:r>
            <w:r>
              <w:t xml:space="preserve">2020; Sambaraju and Goodsman 2021)</w:t>
            </w:r>
            <w:r>
              <w:t xml:space="preserve">.</w:t>
            </w:r>
          </w:p>
        </w:tc>
      </w:tr>
      <w:tr>
        <w:tc>
          <w:tcPr/>
          <w:p>
            <w:pPr>
              <w:pStyle w:val="Compact"/>
              <w:jc w:val="left"/>
            </w:pPr>
            <w:r>
              <w:t xml:space="preserve">Terrain exposure to wind</w:t>
            </w:r>
          </w:p>
        </w:tc>
        <w:tc>
          <w:tcPr/>
          <w:p>
            <w:pPr>
              <w:pStyle w:val="Compact"/>
              <w:jc w:val="left"/>
            </w:pPr>
            <w:r>
              <w:t xml:space="preserve">negative</w:t>
            </w:r>
          </w:p>
        </w:tc>
        <w:tc>
          <w:tcPr/>
          <w:p>
            <w:pPr>
              <w:pStyle w:val="Compact"/>
              <w:jc w:val="left"/>
            </w:pPr>
            <w:r>
              <w:t xml:space="preserve">Wind disrupts the pheromone plume, so exposed ground should carry less attack</w:t>
            </w:r>
            <w:r>
              <w:t xml:space="preserve"> </w:t>
            </w:r>
            <w:r>
              <w:t xml:space="preserve">(Krawchuk</w:t>
            </w:r>
            <w:r>
              <w:t xml:space="preserve"> </w:t>
            </w:r>
            <w:r>
              <w:rPr>
                <w:i/>
                <w:iCs/>
              </w:rPr>
              <w:t xml:space="preserve">et al.</w:t>
            </w:r>
            <w:r>
              <w:t xml:space="preserve"> </w:t>
            </w:r>
            <w:r>
              <w:t xml:space="preserve">2020)</w:t>
            </w:r>
            <w:r>
              <w:t xml:space="preserve">.</w:t>
            </w:r>
          </w:p>
        </w:tc>
      </w:tr>
      <w:tr>
        <w:tc>
          <w:tcPr/>
          <w:p>
            <w:pPr>
              <w:pStyle w:val="Compact"/>
              <w:jc w:val="left"/>
            </w:pPr>
            <w:r>
              <w:t xml:space="preserve">Terrain ruggedness</w:t>
            </w:r>
          </w:p>
        </w:tc>
        <w:tc>
          <w:tcPr/>
          <w:p>
            <w:pPr>
              <w:pStyle w:val="Compact"/>
              <w:jc w:val="left"/>
            </w:pPr>
            <w:r>
              <w:t xml:space="preserve">uncertain</w:t>
            </w:r>
          </w:p>
        </w:tc>
        <w:tc>
          <w:tcPr/>
          <w:p>
            <w:pPr>
              <w:pStyle w:val="Compact"/>
              <w:jc w:val="left"/>
            </w:pPr>
            <w:r>
              <w:t xml:space="preserve">The strongest terrain term in the companion study on this landscape, but fitted there against regeneration rather than attack</w:t>
            </w:r>
            <w:r>
              <w:t xml:space="preserve"> </w:t>
            </w:r>
            <w:r>
              <w:t xml:space="preserve">(Murphy</w:t>
            </w:r>
            <w:r>
              <w:t xml:space="preserve"> </w:t>
            </w:r>
            <w:r>
              <w:rPr>
                <w:i/>
                <w:iCs/>
              </w:rPr>
              <w:t xml:space="preserve">et al.</w:t>
            </w:r>
            <w:r>
              <w:t xml:space="preserve"> </w:t>
            </w:r>
            <w:r>
              <w:t xml:space="preserve">2026)</w:t>
            </w:r>
            <w:r>
              <w:t xml:space="preserve">.</w:t>
            </w:r>
          </w:p>
        </w:tc>
      </w:tr>
      <w:tr>
        <w:tc>
          <w:tcPr/>
          <w:p>
            <w:pPr>
              <w:pStyle w:val="Compact"/>
              <w:jc w:val="left"/>
            </w:pPr>
            <w:r>
              <w:t xml:space="preserve">Convergence, wetness, valley depth, slope position</w:t>
            </w:r>
          </w:p>
        </w:tc>
        <w:tc>
          <w:tcPr/>
          <w:p>
            <w:pPr>
              <w:pStyle w:val="Compact"/>
              <w:jc w:val="left"/>
            </w:pPr>
            <w:r>
              <w:t xml:space="preserve">positive in convergent terrain</w:t>
            </w:r>
          </w:p>
        </w:tc>
        <w:tc>
          <w:tcPr/>
          <w:p>
            <w:pPr>
              <w:pStyle w:val="Compact"/>
              <w:jc w:val="left"/>
            </w:pPr>
            <w:r>
              <w:t xml:space="preserve">Infested groups gather in draws and gullies, and deep snow insulates overwintering brood</w:t>
            </w:r>
            <w:r>
              <w:t xml:space="preserve"> </w:t>
            </w:r>
            <w:r>
              <w:t xml:space="preserve">(Safranyik and Carroll 2006)</w:t>
            </w:r>
            <w:r>
              <w:t xml:space="preserve">.</w:t>
            </w:r>
          </w:p>
        </w:tc>
      </w:tr>
      <w:tr>
        <w:tc>
          <w:tcPr/>
          <w:p>
            <w:pPr>
              <w:pStyle w:val="Compact"/>
              <w:jc w:val="left"/>
            </w:pPr>
            <w:r>
              <w:t xml:space="preserve">Flight-period wind speed</w:t>
            </w:r>
          </w:p>
        </w:tc>
        <w:tc>
          <w:tcPr/>
          <w:p>
            <w:pPr>
              <w:pStyle w:val="Compact"/>
              <w:jc w:val="left"/>
            </w:pPr>
            <w:r>
              <w:t xml:space="preserve">negative</w:t>
            </w:r>
          </w:p>
        </w:tc>
        <w:tc>
          <w:tcPr/>
          <w:p>
            <w:pPr>
              <w:pStyle w:val="Compact"/>
              <w:jc w:val="left"/>
            </w:pPr>
            <w:r>
              <w:t xml:space="preserve">The mechanism acts during dispersal, and no study specifies the interval, so it is taken at the flight period</w:t>
            </w:r>
            <w:r>
              <w:t xml:space="preserve"> </w:t>
            </w:r>
            <w:r>
              <w:t xml:space="preserve">(Jones</w:t>
            </w:r>
            <w:r>
              <w:t xml:space="preserve"> </w:t>
            </w:r>
            <w:r>
              <w:rPr>
                <w:i/>
                <w:iCs/>
              </w:rPr>
              <w:t xml:space="preserve">et al.</w:t>
            </w:r>
            <w:r>
              <w:t xml:space="preserve"> </w:t>
            </w:r>
            <w:r>
              <w:t xml:space="preserve">2019; Krawchuk</w:t>
            </w:r>
            <w:r>
              <w:t xml:space="preserve"> </w:t>
            </w:r>
            <w:r>
              <w:rPr>
                <w:i/>
                <w:iCs/>
              </w:rPr>
              <w:t xml:space="preserve">et al.</w:t>
            </w:r>
            <w:r>
              <w:t xml:space="preserve"> </w:t>
            </w:r>
            <w:r>
              <w:t xml:space="preserve">2020)</w:t>
            </w:r>
            <w:r>
              <w:t xml:space="preserve">.</w:t>
            </w:r>
          </w:p>
        </w:tc>
      </w:tr>
      <w:tr>
        <w:tc>
          <w:tcPr/>
          <w:p>
            <w:pPr>
              <w:pStyle w:val="Compact"/>
              <w:jc w:val="left"/>
            </w:pPr>
            <w:r>
              <w:t xml:space="preserve">Elevation</w:t>
            </w:r>
          </w:p>
        </w:tc>
        <w:tc>
          <w:tcPr/>
          <w:p>
            <w:pPr>
              <w:pStyle w:val="Compact"/>
              <w:jc w:val="left"/>
            </w:pPr>
            <w:r>
              <w:t xml:space="preserve">uncertain</w:t>
            </w:r>
          </w:p>
        </w:tc>
        <w:tc>
          <w:tcPr/>
          <w:p>
            <w:pPr>
              <w:pStyle w:val="Compact"/>
              <w:jc w:val="left"/>
            </w:pPr>
            <w:r>
              <w:t xml:space="preserve">A composite of temperature, snowpack, season length and host distribution that this design cannot separate</w:t>
            </w:r>
            <w:r>
              <w:t xml:space="preserve"> </w:t>
            </w:r>
            <w:r>
              <w:t xml:space="preserve">(Sambaraju and Goodsman 2021)</w:t>
            </w:r>
            <w:r>
              <w:t xml:space="preserve">.</w:t>
            </w:r>
          </w:p>
        </w:tc>
      </w:tr>
    </w:tbl>
    <w:bookmarkEnd w:id="33"/>
    <w:bookmarkStart w:id="34" w:name="appendix-s2"/>
    <w:p>
      <w:pPr>
        <w:pStyle w:val="Heading2"/>
      </w:pPr>
      <w:r>
        <w:t xml:space="preserve">5.2 Appendix S2</w:t>
      </w:r>
    </w:p>
    <w:p>
      <w:pPr>
        <w:pStyle w:val="TableCaption"/>
      </w:pPr>
      <w:r>
        <w:t xml:space="preserve">Model comparison.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both divide by the observed value, which is zero for the majority class of a binary response, so both are undefined without discarding that class.</w:t>
      </w:r>
    </w:p>
    <w:tbl>
      <w:tblPr>
        <w:tblStyle w:val="Table"/>
        <w:tblW w:type="pct" w:w="5000"/>
        <w:tblLayout w:type="fixed"/>
        <w:tblLook w:firstRow="1" w:lastRow="0" w:firstColumn="0" w:lastColumn="0" w:noHBand="0" w:noVBand="0" w:val="0020"/>
        <w:tblCaption w:val="Model comparison. Each model adds one pathway to the previous. AIC ranks on likelihood and a parameter penalty; the remaining columns are predictive error on the fitted probabilities. RMSE is the root mean squared error and is the square root of the Brier score; RMSE (%) expresses it against the prevalence of the response. Brier skill is the improvement over predicting the prevalence for every cell, where 0 is no better than the base rate. MAPE and Theil’s U are not reported: both divide by the observed value, which is zero for the majority class of a binary response, so both are undefined without discarding that class."/>
      </w:tblPr>
      <w:tblGrid>
        <w:gridCol w:w="2666"/>
        <w:gridCol w:w="548"/>
        <w:gridCol w:w="470"/>
        <w:gridCol w:w="470"/>
        <w:gridCol w:w="705"/>
        <w:gridCol w:w="470"/>
        <w:gridCol w:w="470"/>
        <w:gridCol w:w="705"/>
        <w:gridCol w:w="470"/>
        <w:gridCol w:w="940"/>
      </w:tblGrid>
      <w:tr>
        <w:trPr>
          <w:tblHeader w:val="on"/>
        </w:trPr>
        <w:tc>
          <w:tcPr/>
          <w:p>
            <w:pPr>
              <w:pStyle w:val="Compact"/>
              <w:jc w:val="left"/>
            </w:pPr>
            <w:r>
              <w:t xml:space="preserve">Model</w:t>
            </w:r>
          </w:p>
        </w:tc>
        <w:tc>
          <w:tcPr/>
          <w:p>
            <w:pPr>
              <w:pStyle w:val="Compact"/>
              <w:jc w:val="right"/>
            </w:pPr>
            <w:r>
              <w:t xml:space="preserve">AIC</w:t>
            </w:r>
          </w:p>
        </w:tc>
        <w:tc>
          <w:tcPr/>
          <w:p>
            <w:pPr>
              <w:pStyle w:val="Compact"/>
              <w:jc w:val="right"/>
            </w:pPr>
            <w:r>
              <w:t xml:space="preserve">ΔAIC</w:t>
            </w:r>
          </w:p>
        </w:tc>
        <w:tc>
          <w:tcPr/>
          <w:p>
            <w:pPr>
              <w:pStyle w:val="Compact"/>
              <w:jc w:val="right"/>
            </w:pPr>
            <w:r>
              <w:t xml:space="preserve">RMSE</w:t>
            </w:r>
          </w:p>
        </w:tc>
        <w:tc>
          <w:tcPr/>
          <w:p>
            <w:pPr>
              <w:pStyle w:val="Compact"/>
              <w:jc w:val="right"/>
            </w:pPr>
            <w:r>
              <w:t xml:space="preserve">RMSE (%)</w:t>
            </w:r>
          </w:p>
        </w:tc>
        <w:tc>
          <w:tcPr/>
          <w:p>
            <w:pPr>
              <w:pStyle w:val="Compact"/>
              <w:jc w:val="right"/>
            </w:pPr>
            <w:r>
              <w:t xml:space="preserve">MAE</w:t>
            </w:r>
          </w:p>
        </w:tc>
        <w:tc>
          <w:tcPr/>
          <w:p>
            <w:pPr>
              <w:pStyle w:val="Compact"/>
              <w:jc w:val="right"/>
            </w:pPr>
            <w:r>
              <w:t xml:space="preserve">Brier</w:t>
            </w:r>
          </w:p>
        </w:tc>
        <w:tc>
          <w:tcPr/>
          <w:p>
            <w:pPr>
              <w:pStyle w:val="Compact"/>
              <w:jc w:val="right"/>
            </w:pPr>
            <w:r>
              <w:t xml:space="preserve">Log loss</w:t>
            </w:r>
          </w:p>
        </w:tc>
        <w:tc>
          <w:tcPr/>
          <w:p>
            <w:pPr>
              <w:pStyle w:val="Compact"/>
              <w:jc w:val="right"/>
            </w:pPr>
            <w:r>
              <w:t xml:space="preserve">AUC</w:t>
            </w:r>
          </w:p>
        </w:tc>
        <w:tc>
          <w:tcPr/>
          <w:p>
            <w:pPr>
              <w:pStyle w:val="Compact"/>
              <w:jc w:val="left"/>
            </w:pPr>
            <w:r>
              <w:t xml:space="preserve">Brier skill</w:t>
            </w:r>
          </w:p>
        </w:tc>
      </w:tr>
      <w:tr>
        <w:tc>
          <w:tcPr/>
          <w:p>
            <w:pPr>
              <w:pStyle w:val="Compact"/>
              <w:jc w:val="left"/>
            </w:pPr>
            <w:r>
              <w:t xml:space="preserve">M0 host size + shading + landform</w:t>
            </w:r>
          </w:p>
        </w:tc>
        <w:tc>
          <w:tcPr/>
          <w:p>
            <w:pPr>
              <w:pStyle w:val="Compact"/>
              <w:jc w:val="right"/>
            </w:pPr>
            <w:r>
              <w:t xml:space="preserve">46,964</w:t>
            </w:r>
          </w:p>
        </w:tc>
        <w:tc>
          <w:tcPr/>
          <w:p>
            <w:pPr>
              <w:pStyle w:val="Compact"/>
              <w:jc w:val="right"/>
            </w:pPr>
            <w:r>
              <w:t xml:space="preserve">1,734</w:t>
            </w:r>
          </w:p>
        </w:tc>
        <w:tc>
          <w:tcPr/>
          <w:p>
            <w:pPr>
              <w:pStyle w:val="Compact"/>
              <w:jc w:val="right"/>
            </w:pPr>
            <w:r>
              <w:t xml:space="preserve">0.407</w:t>
            </w:r>
          </w:p>
        </w:tc>
        <w:tc>
          <w:tcPr/>
          <w:p>
            <w:pPr>
              <w:pStyle w:val="Compact"/>
              <w:jc w:val="right"/>
            </w:pPr>
            <w:r>
              <w:t xml:space="preserve">131.5</w:t>
            </w:r>
          </w:p>
        </w:tc>
        <w:tc>
          <w:tcPr/>
          <w:p>
            <w:pPr>
              <w:pStyle w:val="Compact"/>
              <w:jc w:val="right"/>
            </w:pPr>
            <w:r>
              <w:t xml:space="preserve">0.333</w:t>
            </w:r>
          </w:p>
        </w:tc>
        <w:tc>
          <w:tcPr/>
          <w:p>
            <w:pPr>
              <w:pStyle w:val="Compact"/>
              <w:jc w:val="right"/>
            </w:pPr>
            <w:r>
              <w:t xml:space="preserve">0.166</w:t>
            </w:r>
          </w:p>
        </w:tc>
        <w:tc>
          <w:tcPr/>
          <w:p>
            <w:pPr>
              <w:pStyle w:val="Compact"/>
              <w:jc w:val="right"/>
            </w:pPr>
            <w:r>
              <w:t xml:space="preserve">0.506</w:t>
            </w:r>
          </w:p>
        </w:tc>
        <w:tc>
          <w:tcPr/>
          <w:p>
            <w:pPr>
              <w:pStyle w:val="Compact"/>
              <w:jc w:val="right"/>
            </w:pPr>
            <w:r>
              <w:t xml:space="preserve">0.776</w:t>
            </w:r>
          </w:p>
        </w:tc>
        <w:tc>
          <w:tcPr/>
          <w:p>
            <w:pPr>
              <w:pStyle w:val="Compact"/>
              <w:jc w:val="left"/>
            </w:pPr>
            <w:r>
              <w:t xml:space="preserve">0.224</w:t>
            </w:r>
          </w:p>
        </w:tc>
      </w:tr>
      <w:tr>
        <w:tc>
          <w:tcPr/>
          <w:p>
            <w:pPr>
              <w:pStyle w:val="Compact"/>
              <w:jc w:val="left"/>
            </w:pPr>
            <w:r>
              <w:t xml:space="preserve">M1 + stand density</w:t>
            </w:r>
          </w:p>
        </w:tc>
        <w:tc>
          <w:tcPr/>
          <w:p>
            <w:pPr>
              <w:pStyle w:val="Compact"/>
              <w:jc w:val="right"/>
            </w:pPr>
            <w:r>
              <w:t xml:space="preserve">46,507</w:t>
            </w:r>
          </w:p>
        </w:tc>
        <w:tc>
          <w:tcPr/>
          <w:p>
            <w:pPr>
              <w:pStyle w:val="Compact"/>
              <w:jc w:val="right"/>
            </w:pPr>
            <w:r>
              <w:t xml:space="preserve">1,277</w:t>
            </w:r>
          </w:p>
        </w:tc>
        <w:tc>
          <w:tcPr/>
          <w:p>
            <w:pPr>
              <w:pStyle w:val="Compact"/>
              <w:jc w:val="right"/>
            </w:pPr>
            <w:r>
              <w:t xml:space="preserve">0.405</w:t>
            </w:r>
          </w:p>
        </w:tc>
        <w:tc>
          <w:tcPr/>
          <w:p>
            <w:pPr>
              <w:pStyle w:val="Compact"/>
              <w:jc w:val="right"/>
            </w:pPr>
            <w:r>
              <w:t xml:space="preserve">130.6</w:t>
            </w:r>
          </w:p>
        </w:tc>
        <w:tc>
          <w:tcPr/>
          <w:p>
            <w:pPr>
              <w:pStyle w:val="Compact"/>
              <w:jc w:val="right"/>
            </w:pPr>
            <w:r>
              <w:t xml:space="preserve">0.329</w:t>
            </w:r>
          </w:p>
        </w:tc>
        <w:tc>
          <w:tcPr/>
          <w:p>
            <w:pPr>
              <w:pStyle w:val="Compact"/>
              <w:jc w:val="right"/>
            </w:pPr>
            <w:r>
              <w:t xml:space="preserve">0.164</w:t>
            </w:r>
          </w:p>
        </w:tc>
        <w:tc>
          <w:tcPr/>
          <w:p>
            <w:pPr>
              <w:pStyle w:val="Compact"/>
              <w:jc w:val="right"/>
            </w:pPr>
            <w:r>
              <w:t xml:space="preserve">0.501</w:t>
            </w:r>
          </w:p>
        </w:tc>
        <w:tc>
          <w:tcPr/>
          <w:p>
            <w:pPr>
              <w:pStyle w:val="Compact"/>
              <w:jc w:val="right"/>
            </w:pPr>
            <w:r>
              <w:t xml:space="preserve">0.783</w:t>
            </w:r>
          </w:p>
        </w:tc>
        <w:tc>
          <w:tcPr/>
          <w:p>
            <w:pPr>
              <w:pStyle w:val="Compact"/>
              <w:jc w:val="left"/>
            </w:pPr>
            <w:r>
              <w:t xml:space="preserve">0.234</w:t>
            </w:r>
          </w:p>
        </w:tc>
      </w:tr>
      <w:tr>
        <w:tc>
          <w:tcPr/>
          <w:p>
            <w:pPr>
              <w:pStyle w:val="Compact"/>
              <w:jc w:val="left"/>
            </w:pPr>
            <w:r>
              <w:t xml:space="preserve">M2 + terrain and flight radiation</w:t>
            </w:r>
          </w:p>
        </w:tc>
        <w:tc>
          <w:tcPr/>
          <w:p>
            <w:pPr>
              <w:pStyle w:val="Compact"/>
              <w:jc w:val="right"/>
            </w:pPr>
            <w:r>
              <w:t xml:space="preserve">45,764</w:t>
            </w:r>
          </w:p>
        </w:tc>
        <w:tc>
          <w:tcPr/>
          <w:p>
            <w:pPr>
              <w:pStyle w:val="Compact"/>
              <w:jc w:val="right"/>
            </w:pPr>
            <w:r>
              <w:t xml:space="preserve">534</w:t>
            </w:r>
          </w:p>
        </w:tc>
        <w:tc>
          <w:tcPr/>
          <w:p>
            <w:pPr>
              <w:pStyle w:val="Compact"/>
              <w:jc w:val="right"/>
            </w:pPr>
            <w:r>
              <w:t xml:space="preserve">0.401</w:t>
            </w:r>
          </w:p>
        </w:tc>
        <w:tc>
          <w:tcPr/>
          <w:p>
            <w:pPr>
              <w:pStyle w:val="Compact"/>
              <w:jc w:val="right"/>
            </w:pPr>
            <w:r>
              <w:t xml:space="preserve">129.5</w:t>
            </w:r>
          </w:p>
        </w:tc>
        <w:tc>
          <w:tcPr/>
          <w:p>
            <w:pPr>
              <w:pStyle w:val="Compact"/>
              <w:jc w:val="right"/>
            </w:pPr>
            <w:r>
              <w:t xml:space="preserve">0.323</w:t>
            </w:r>
          </w:p>
        </w:tc>
        <w:tc>
          <w:tcPr/>
          <w:p>
            <w:pPr>
              <w:pStyle w:val="Compact"/>
              <w:jc w:val="right"/>
            </w:pPr>
            <w:r>
              <w:t xml:space="preserve">0.161</w:t>
            </w:r>
          </w:p>
        </w:tc>
        <w:tc>
          <w:tcPr/>
          <w:p>
            <w:pPr>
              <w:pStyle w:val="Compact"/>
              <w:jc w:val="right"/>
            </w:pPr>
            <w:r>
              <w:t xml:space="preserve">0.493</w:t>
            </w:r>
          </w:p>
        </w:tc>
        <w:tc>
          <w:tcPr/>
          <w:p>
            <w:pPr>
              <w:pStyle w:val="Compact"/>
              <w:jc w:val="right"/>
            </w:pPr>
            <w:r>
              <w:t xml:space="preserve">0.792</w:t>
            </w:r>
          </w:p>
        </w:tc>
        <w:tc>
          <w:tcPr/>
          <w:p>
            <w:pPr>
              <w:pStyle w:val="Compact"/>
              <w:jc w:val="left"/>
            </w:pPr>
            <w:r>
              <w:t xml:space="preserve">0.247</w:t>
            </w:r>
          </w:p>
        </w:tc>
      </w:tr>
      <w:tr>
        <w:tc>
          <w:tcPr/>
          <w:p>
            <w:pPr>
              <w:pStyle w:val="Compact"/>
              <w:jc w:val="left"/>
            </w:pPr>
            <w:r>
              <w:t xml:space="preserve">M3 + interactions</w:t>
            </w:r>
          </w:p>
        </w:tc>
        <w:tc>
          <w:tcPr/>
          <w:p>
            <w:pPr>
              <w:pStyle w:val="Compact"/>
              <w:jc w:val="right"/>
            </w:pPr>
            <w:r>
              <w:t xml:space="preserve">45,230</w:t>
            </w:r>
          </w:p>
        </w:tc>
        <w:tc>
          <w:tcPr/>
          <w:p>
            <w:pPr>
              <w:pStyle w:val="Compact"/>
              <w:jc w:val="right"/>
            </w:pPr>
            <w:r>
              <w:t xml:space="preserve">0</w:t>
            </w:r>
          </w:p>
        </w:tc>
        <w:tc>
          <w:tcPr/>
          <w:p>
            <w:pPr>
              <w:pStyle w:val="Compact"/>
              <w:jc w:val="right"/>
            </w:pPr>
            <w:r>
              <w:t xml:space="preserve">0.399</w:t>
            </w:r>
          </w:p>
        </w:tc>
        <w:tc>
          <w:tcPr/>
          <w:p>
            <w:pPr>
              <w:pStyle w:val="Compact"/>
              <w:jc w:val="right"/>
            </w:pPr>
            <w:r>
              <w:t xml:space="preserve">128.7</w:t>
            </w:r>
          </w:p>
        </w:tc>
        <w:tc>
          <w:tcPr/>
          <w:p>
            <w:pPr>
              <w:pStyle w:val="Compact"/>
              <w:jc w:val="right"/>
            </w:pPr>
            <w:r>
              <w:t xml:space="preserve">0.319</w:t>
            </w:r>
          </w:p>
        </w:tc>
        <w:tc>
          <w:tcPr/>
          <w:p>
            <w:pPr>
              <w:pStyle w:val="Compact"/>
              <w:jc w:val="right"/>
            </w:pPr>
            <w:r>
              <w:t xml:space="preserve">0.159</w:t>
            </w:r>
          </w:p>
        </w:tc>
        <w:tc>
          <w:tcPr/>
          <w:p>
            <w:pPr>
              <w:pStyle w:val="Compact"/>
              <w:jc w:val="right"/>
            </w:pPr>
            <w:r>
              <w:t xml:space="preserve">0.487</w:t>
            </w:r>
          </w:p>
        </w:tc>
        <w:tc>
          <w:tcPr/>
          <w:p>
            <w:pPr>
              <w:pStyle w:val="Compact"/>
              <w:jc w:val="right"/>
            </w:pPr>
            <w:r>
              <w:t xml:space="preserve">0.800</w:t>
            </w:r>
          </w:p>
        </w:tc>
        <w:tc>
          <w:tcPr/>
          <w:p>
            <w:pPr>
              <w:pStyle w:val="Compact"/>
              <w:jc w:val="left"/>
            </w:pPr>
            <w:r>
              <w:t xml:space="preserve">0.257</w:t>
            </w:r>
          </w:p>
        </w:tc>
      </w:tr>
    </w:tbl>
    <w:bookmarkEnd w:id="34"/>
    <w:bookmarkStart w:id="35" w:name="appendix-s3"/>
    <w:p>
      <w:pPr>
        <w:pStyle w:val="Heading2"/>
      </w:pPr>
      <w:r>
        <w:t xml:space="preserve">5.3 Appendix S3</w:t>
      </w:r>
    </w:p>
    <w:p>
      <w:pPr>
        <w:pStyle w:val="TableCaption"/>
      </w:pPr>
      <w:r>
        <w:rPr>
          <w:b/>
          <w:bCs/>
        </w:rPr>
        <w:t xml:space="preserve">Appendix S3.</w:t>
      </w:r>
      <w:r>
        <w:t xml:space="preserve"> </w:t>
      </w:r>
      <w:r>
        <w:t xml:space="preserve">Moderate-to-high beetle disturbance by year inside the study perimeter.</w:t>
      </w:r>
    </w:p>
    <w:tbl>
      <w:tblPr>
        <w:tblStyle w:val="Table"/>
        <w:tblW w:type="auto" w:w="0"/>
        <w:tblLook w:firstRow="1" w:lastRow="0" w:firstColumn="0" w:lastColumn="0" w:noHBand="0" w:noVBand="0" w:val="0020"/>
        <w:tblCaption w:val="Appendix S3. Moderate-to-high beetle disturbance by year inside the study perimeter."/>
      </w:tblPr>
      <w:tblGrid>
        <w:gridCol w:w="2640"/>
        <w:gridCol w:w="2640"/>
        <w:gridCol w:w="2640"/>
      </w:tblGrid>
      <w:tr>
        <w:trPr>
          <w:tblHeader w:val="on"/>
        </w:trPr>
        <w:tc>
          <w:tcPr/>
          <w:p>
            <w:pPr>
              <w:pStyle w:val="Compact"/>
              <w:jc w:val="left"/>
            </w:pPr>
            <w:r>
              <w:t xml:space="preserve">Year</w:t>
            </w:r>
          </w:p>
        </w:tc>
        <w:tc>
          <w:tcPr/>
          <w:p>
            <w:pPr>
              <w:pStyle w:val="Compact"/>
              <w:jc w:val="right"/>
            </w:pPr>
            <w:r>
              <w:t xml:space="preserve">Cells</w:t>
            </w:r>
          </w:p>
        </w:tc>
        <w:tc>
          <w:tcPr/>
          <w:p>
            <w:pPr>
              <w:pStyle w:val="Compact"/>
              <w:jc w:val="right"/>
            </w:pPr>
            <w:r>
              <w:t xml:space="preserve">Moderate-to-high (%)</w:t>
            </w:r>
          </w:p>
        </w:tc>
      </w:tr>
      <w:tr>
        <w:tc>
          <w:tcPr/>
          <w:p>
            <w:pPr>
              <w:pStyle w:val="Compact"/>
              <w:jc w:val="left"/>
            </w:pPr>
            <w:r>
              <w:t xml:space="preserve">2006</w:t>
            </w:r>
          </w:p>
        </w:tc>
        <w:tc>
          <w:tcPr/>
          <w:p>
            <w:pPr>
              <w:pStyle w:val="Compact"/>
              <w:jc w:val="right"/>
            </w:pPr>
            <w:r>
              <w:t xml:space="preserve">13,224</w:t>
            </w:r>
          </w:p>
        </w:tc>
        <w:tc>
          <w:tcPr/>
          <w:p>
            <w:pPr>
              <w:pStyle w:val="Compact"/>
              <w:jc w:val="right"/>
            </w:pPr>
            <w:r>
              <w:t xml:space="preserve">4.9</w:t>
            </w:r>
          </w:p>
        </w:tc>
      </w:tr>
      <w:tr>
        <w:tc>
          <w:tcPr/>
          <w:p>
            <w:pPr>
              <w:pStyle w:val="Compact"/>
              <w:jc w:val="left"/>
            </w:pPr>
            <w:r>
              <w:t xml:space="preserve">2007</w:t>
            </w:r>
          </w:p>
        </w:tc>
        <w:tc>
          <w:tcPr/>
          <w:p>
            <w:pPr>
              <w:pStyle w:val="Compact"/>
              <w:jc w:val="right"/>
            </w:pPr>
            <w:r>
              <w:t xml:space="preserve">13,225</w:t>
            </w:r>
          </w:p>
        </w:tc>
        <w:tc>
          <w:tcPr/>
          <w:p>
            <w:pPr>
              <w:pStyle w:val="Compact"/>
              <w:jc w:val="right"/>
            </w:pPr>
            <w:r>
              <w:t xml:space="preserve">6.0</w:t>
            </w:r>
          </w:p>
        </w:tc>
      </w:tr>
      <w:tr>
        <w:tc>
          <w:tcPr/>
          <w:p>
            <w:pPr>
              <w:pStyle w:val="Compact"/>
              <w:jc w:val="left"/>
            </w:pPr>
            <w:r>
              <w:t xml:space="preserve">2008</w:t>
            </w:r>
          </w:p>
        </w:tc>
        <w:tc>
          <w:tcPr/>
          <w:p>
            <w:pPr>
              <w:pStyle w:val="Compact"/>
              <w:jc w:val="right"/>
            </w:pPr>
            <w:r>
              <w:t xml:space="preserve">13,285</w:t>
            </w:r>
          </w:p>
        </w:tc>
        <w:tc>
          <w:tcPr/>
          <w:p>
            <w:pPr>
              <w:pStyle w:val="Compact"/>
              <w:jc w:val="right"/>
            </w:pPr>
            <w:r>
              <w:t xml:space="preserve">19.2</w:t>
            </w:r>
          </w:p>
        </w:tc>
      </w:tr>
      <w:tr>
        <w:tc>
          <w:tcPr/>
          <w:p>
            <w:pPr>
              <w:pStyle w:val="Compact"/>
              <w:jc w:val="left"/>
            </w:pPr>
            <w:r>
              <w:t xml:space="preserve">2009</w:t>
            </w:r>
          </w:p>
        </w:tc>
        <w:tc>
          <w:tcPr/>
          <w:p>
            <w:pPr>
              <w:pStyle w:val="Compact"/>
              <w:jc w:val="right"/>
            </w:pPr>
            <w:r>
              <w:t xml:space="preserve">13,556</w:t>
            </w:r>
          </w:p>
        </w:tc>
        <w:tc>
          <w:tcPr/>
          <w:p>
            <w:pPr>
              <w:pStyle w:val="Compact"/>
              <w:jc w:val="right"/>
            </w:pPr>
            <w:r>
              <w:t xml:space="preserve">12.4</w:t>
            </w:r>
          </w:p>
        </w:tc>
      </w:tr>
      <w:tr>
        <w:tc>
          <w:tcPr/>
          <w:p>
            <w:pPr>
              <w:pStyle w:val="Compact"/>
              <w:jc w:val="left"/>
            </w:pPr>
            <w:r>
              <w:t xml:space="preserve">2010</w:t>
            </w:r>
          </w:p>
        </w:tc>
        <w:tc>
          <w:tcPr/>
          <w:p>
            <w:pPr>
              <w:pStyle w:val="Compact"/>
              <w:jc w:val="right"/>
            </w:pPr>
            <w:r>
              <w:t xml:space="preserve">13,538</w:t>
            </w:r>
          </w:p>
        </w:tc>
        <w:tc>
          <w:tcPr/>
          <w:p>
            <w:pPr>
              <w:pStyle w:val="Compact"/>
              <w:jc w:val="right"/>
            </w:pPr>
            <w:r>
              <w:t xml:space="preserve">16.5</w:t>
            </w:r>
          </w:p>
        </w:tc>
      </w:tr>
      <w:tr>
        <w:tc>
          <w:tcPr/>
          <w:p>
            <w:pPr>
              <w:pStyle w:val="Compact"/>
              <w:jc w:val="left"/>
            </w:pPr>
            <w:r>
              <w:t xml:space="preserve">2011</w:t>
            </w:r>
          </w:p>
        </w:tc>
        <w:tc>
          <w:tcPr/>
          <w:p>
            <w:pPr>
              <w:pStyle w:val="Compact"/>
              <w:jc w:val="right"/>
            </w:pPr>
            <w:r>
              <w:t xml:space="preserve">14,944</w:t>
            </w:r>
          </w:p>
        </w:tc>
        <w:tc>
          <w:tcPr/>
          <w:p>
            <w:pPr>
              <w:pStyle w:val="Compact"/>
              <w:jc w:val="right"/>
            </w:pPr>
            <w:r>
              <w:t xml:space="preserve">13.5</w:t>
            </w:r>
          </w:p>
        </w:tc>
      </w:tr>
      <w:tr>
        <w:tc>
          <w:tcPr/>
          <w:p>
            <w:pPr>
              <w:pStyle w:val="Compact"/>
              <w:jc w:val="left"/>
            </w:pPr>
            <w:r>
              <w:t xml:space="preserve">2013</w:t>
            </w:r>
          </w:p>
        </w:tc>
        <w:tc>
          <w:tcPr/>
          <w:p>
            <w:pPr>
              <w:pStyle w:val="Compact"/>
              <w:jc w:val="right"/>
            </w:pPr>
            <w:r>
              <w:t xml:space="preserve">14,943</w:t>
            </w:r>
          </w:p>
        </w:tc>
        <w:tc>
          <w:tcPr/>
          <w:p>
            <w:pPr>
              <w:pStyle w:val="Compact"/>
              <w:jc w:val="right"/>
            </w:pPr>
            <w:r>
              <w:t xml:space="preserve">14.4</w:t>
            </w:r>
          </w:p>
        </w:tc>
      </w:tr>
      <w:tr>
        <w:tc>
          <w:tcPr/>
          <w:p>
            <w:pPr>
              <w:pStyle w:val="Compact"/>
              <w:jc w:val="left"/>
            </w:pPr>
            <w:r>
              <w:t xml:space="preserve">2014</w:t>
            </w:r>
          </w:p>
        </w:tc>
        <w:tc>
          <w:tcPr/>
          <w:p>
            <w:pPr>
              <w:pStyle w:val="Compact"/>
              <w:jc w:val="right"/>
            </w:pPr>
            <w:r>
              <w:t xml:space="preserve">14,992</w:t>
            </w:r>
          </w:p>
        </w:tc>
        <w:tc>
          <w:tcPr/>
          <w:p>
            <w:pPr>
              <w:pStyle w:val="Compact"/>
              <w:jc w:val="right"/>
            </w:pPr>
            <w:r>
              <w:t xml:space="preserve">15.2</w:t>
            </w:r>
          </w:p>
        </w:tc>
      </w:tr>
    </w:tbl>
    <w:bookmarkEnd w:id="35"/>
    <w:bookmarkStart w:id="36" w:name="appendix-s4"/>
    <w:p>
      <w:pPr>
        <w:pStyle w:val="Heading2"/>
      </w:pPr>
      <w:r>
        <w:t xml:space="preserve">5.4 Appendix S4</w:t>
      </w:r>
    </w:p>
    <w:p>
      <w:pPr>
        <w:pStyle w:val="TableCaption"/>
      </w:pPr>
      <w:r>
        <w:t xml:space="preserve">Stand structure across the study perimeter, from the Vegetation Resources Inventory. n is cell-years. SD is the standard deviation of the landscape; SE is the standard error of the mean and is small by construction at this n, so it is not precision about any one cell. Skewness and kurtosis are the bias-corrected third and fourth standardised moments; kurtosis is excess, so 0 is Gaussian.</w:t>
      </w:r>
    </w:p>
    <w:tbl>
      <w:tblPr>
        <w:tblStyle w:val="Table"/>
        <w:tblW w:type="pct" w:w="5000"/>
        <w:tblLayout w:type="fixed"/>
        <w:tblLook w:firstRow="1" w:lastRow="0" w:firstColumn="0" w:lastColumn="0" w:noHBand="0" w:noVBand="0" w:val="0020"/>
        <w:tblCaption w:val="Stand structure across the study perimeter, from the Vegetation Resources Inventory. n is cell-years. SD is the standard deviation of the landscape; SE is the standard error of the mean and is small by construction at this n, so it is not precision about any one cell. Skewness and kurtosis are the bias-corrected third and fourth standardised moments; kurtosis is excess, so 0 is Gaussian."/>
      </w:tblPr>
      <w:tblGrid>
        <w:gridCol w:w="2768"/>
        <w:gridCol w:w="615"/>
        <w:gridCol w:w="538"/>
        <w:gridCol w:w="538"/>
        <w:gridCol w:w="461"/>
        <w:gridCol w:w="538"/>
        <w:gridCol w:w="461"/>
        <w:gridCol w:w="615"/>
        <w:gridCol w:w="692"/>
        <w:gridCol w:w="692"/>
      </w:tblGrid>
      <w:tr>
        <w:trPr>
          <w:tblHeader w:val="on"/>
        </w:trPr>
        <w:tc>
          <w:tcPr/>
          <w:p>
            <w:pPr>
              <w:pStyle w:val="Compact"/>
              <w:jc w:val="left"/>
            </w:pPr>
            <w:r>
              <w:t xml:space="preserve">Attribute</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SE</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Skewness</w:t>
            </w:r>
          </w:p>
        </w:tc>
        <w:tc>
          <w:tcPr/>
          <w:p>
            <w:pPr>
              <w:pStyle w:val="Compact"/>
              <w:jc w:val="right"/>
            </w:pPr>
            <w:r>
              <w:t xml:space="preserve">Kurtosis</w:t>
            </w:r>
          </w:p>
        </w:tc>
      </w:tr>
      <w:tr>
        <w:tc>
          <w:tcPr/>
          <w:p>
            <w:pPr>
              <w:pStyle w:val="Compact"/>
              <w:jc w:val="left"/>
            </w:pPr>
            <w:r>
              <w:t xml:space="preserve">Stand basal area (m2/ha)</w:t>
            </w:r>
          </w:p>
        </w:tc>
        <w:tc>
          <w:tcPr/>
          <w:p>
            <w:pPr>
              <w:pStyle w:val="Compact"/>
              <w:jc w:val="right"/>
            </w:pPr>
            <w:r>
              <w:t xml:space="preserve">111,707</w:t>
            </w:r>
          </w:p>
        </w:tc>
        <w:tc>
          <w:tcPr/>
          <w:p>
            <w:pPr>
              <w:pStyle w:val="Compact"/>
              <w:jc w:val="right"/>
            </w:pPr>
            <w:r>
              <w:t xml:space="preserve">35.56</w:t>
            </w:r>
          </w:p>
        </w:tc>
        <w:tc>
          <w:tcPr/>
          <w:p>
            <w:pPr>
              <w:pStyle w:val="Compact"/>
              <w:jc w:val="right"/>
            </w:pPr>
            <w:r>
              <w:t xml:space="preserve">11.60</w:t>
            </w:r>
          </w:p>
        </w:tc>
        <w:tc>
          <w:tcPr/>
          <w:p>
            <w:pPr>
              <w:pStyle w:val="Compact"/>
              <w:jc w:val="right"/>
            </w:pPr>
            <w:r>
              <w:t xml:space="preserve">0.035</w:t>
            </w:r>
          </w:p>
        </w:tc>
        <w:tc>
          <w:tcPr/>
          <w:p>
            <w:pPr>
              <w:pStyle w:val="Compact"/>
              <w:jc w:val="right"/>
            </w:pPr>
            <w:r>
              <w:t xml:space="preserve">37.39</w:t>
            </w:r>
          </w:p>
        </w:tc>
        <w:tc>
          <w:tcPr/>
          <w:p>
            <w:pPr>
              <w:pStyle w:val="Compact"/>
              <w:jc w:val="right"/>
            </w:pPr>
            <w:r>
              <w:t xml:space="preserve">0.98</w:t>
            </w:r>
          </w:p>
        </w:tc>
        <w:tc>
          <w:tcPr/>
          <w:p>
            <w:pPr>
              <w:pStyle w:val="Compact"/>
              <w:jc w:val="right"/>
            </w:pPr>
            <w:r>
              <w:t xml:space="preserve">62.43</w:t>
            </w:r>
          </w:p>
        </w:tc>
        <w:tc>
          <w:tcPr/>
          <w:p>
            <w:pPr>
              <w:pStyle w:val="Compact"/>
              <w:jc w:val="right"/>
            </w:pPr>
            <w:r>
              <w:t xml:space="preserve">-1.01</w:t>
            </w:r>
          </w:p>
        </w:tc>
        <w:tc>
          <w:tcPr/>
          <w:p>
            <w:pPr>
              <w:pStyle w:val="Compact"/>
              <w:jc w:val="right"/>
            </w:pPr>
            <w:r>
              <w:t xml:space="preserve">+1.42</w:t>
            </w:r>
          </w:p>
        </w:tc>
      </w:tr>
      <w:tr>
        <w:tc>
          <w:tcPr/>
          <w:p>
            <w:pPr>
              <w:pStyle w:val="Compact"/>
              <w:jc w:val="left"/>
            </w:pPr>
            <w:r>
              <w:t xml:space="preserve">Crown closure (%)</w:t>
            </w:r>
          </w:p>
        </w:tc>
        <w:tc>
          <w:tcPr/>
          <w:p>
            <w:pPr>
              <w:pStyle w:val="Compact"/>
              <w:jc w:val="right"/>
            </w:pPr>
            <w:r>
              <w:t xml:space="preserve">111,707</w:t>
            </w:r>
          </w:p>
        </w:tc>
        <w:tc>
          <w:tcPr/>
          <w:p>
            <w:pPr>
              <w:pStyle w:val="Compact"/>
              <w:jc w:val="right"/>
            </w:pPr>
            <w:r>
              <w:t xml:space="preserve">50.10</w:t>
            </w:r>
          </w:p>
        </w:tc>
        <w:tc>
          <w:tcPr/>
          <w:p>
            <w:pPr>
              <w:pStyle w:val="Compact"/>
              <w:jc w:val="right"/>
            </w:pPr>
            <w:r>
              <w:t xml:space="preserve">13.54</w:t>
            </w:r>
          </w:p>
        </w:tc>
        <w:tc>
          <w:tcPr/>
          <w:p>
            <w:pPr>
              <w:pStyle w:val="Compact"/>
              <w:jc w:val="right"/>
            </w:pPr>
            <w:r>
              <w:t xml:space="preserve">0.041</w:t>
            </w:r>
          </w:p>
        </w:tc>
        <w:tc>
          <w:tcPr/>
          <w:p>
            <w:pPr>
              <w:pStyle w:val="Compact"/>
              <w:jc w:val="right"/>
            </w:pPr>
            <w:r>
              <w:t xml:space="preserve">50.00</w:t>
            </w:r>
          </w:p>
        </w:tc>
        <w:tc>
          <w:tcPr/>
          <w:p>
            <w:pPr>
              <w:pStyle w:val="Compact"/>
              <w:jc w:val="right"/>
            </w:pPr>
            <w:r>
              <w:t xml:space="preserve">3.00</w:t>
            </w:r>
          </w:p>
        </w:tc>
        <w:tc>
          <w:tcPr/>
          <w:p>
            <w:pPr>
              <w:pStyle w:val="Compact"/>
              <w:jc w:val="right"/>
            </w:pPr>
            <w:r>
              <w:t xml:space="preserve">70.00</w:t>
            </w:r>
          </w:p>
        </w:tc>
        <w:tc>
          <w:tcPr/>
          <w:p>
            <w:pPr>
              <w:pStyle w:val="Compact"/>
              <w:jc w:val="right"/>
            </w:pPr>
            <w:r>
              <w:t xml:space="preserve">-1.74</w:t>
            </w:r>
          </w:p>
        </w:tc>
        <w:tc>
          <w:tcPr/>
          <w:p>
            <w:pPr>
              <w:pStyle w:val="Compact"/>
              <w:jc w:val="right"/>
            </w:pPr>
            <w:r>
              <w:t xml:space="preserve">+3.37</w:t>
            </w:r>
          </w:p>
        </w:tc>
      </w:tr>
      <w:tr>
        <w:tc>
          <w:tcPr/>
          <w:p>
            <w:pPr>
              <w:pStyle w:val="Compact"/>
              <w:jc w:val="left"/>
            </w:pPr>
            <w:r>
              <w:t xml:space="preserve">Live stems (n/ha)</w:t>
            </w:r>
          </w:p>
        </w:tc>
        <w:tc>
          <w:tcPr/>
          <w:p>
            <w:pPr>
              <w:pStyle w:val="Compact"/>
              <w:jc w:val="right"/>
            </w:pPr>
            <w:r>
              <w:t xml:space="preserve">111,707</w:t>
            </w:r>
          </w:p>
        </w:tc>
        <w:tc>
          <w:tcPr/>
          <w:p>
            <w:pPr>
              <w:pStyle w:val="Compact"/>
              <w:jc w:val="right"/>
            </w:pPr>
            <w:r>
              <w:t xml:space="preserve">772.75</w:t>
            </w:r>
          </w:p>
        </w:tc>
        <w:tc>
          <w:tcPr/>
          <w:p>
            <w:pPr>
              <w:pStyle w:val="Compact"/>
              <w:jc w:val="right"/>
            </w:pPr>
            <w:r>
              <w:t xml:space="preserve">312.80</w:t>
            </w:r>
          </w:p>
        </w:tc>
        <w:tc>
          <w:tcPr/>
          <w:p>
            <w:pPr>
              <w:pStyle w:val="Compact"/>
              <w:jc w:val="right"/>
            </w:pPr>
            <w:r>
              <w:t xml:space="preserve">0.936</w:t>
            </w:r>
          </w:p>
        </w:tc>
        <w:tc>
          <w:tcPr/>
          <w:p>
            <w:pPr>
              <w:pStyle w:val="Compact"/>
              <w:jc w:val="right"/>
            </w:pPr>
            <w:r>
              <w:t xml:space="preserve">775.00</w:t>
            </w:r>
          </w:p>
        </w:tc>
        <w:tc>
          <w:tcPr/>
          <w:p>
            <w:pPr>
              <w:pStyle w:val="Compact"/>
              <w:jc w:val="right"/>
            </w:pPr>
            <w:r>
              <w:t xml:space="preserve">23.00</w:t>
            </w:r>
          </w:p>
        </w:tc>
        <w:tc>
          <w:tcPr/>
          <w:p>
            <w:pPr>
              <w:pStyle w:val="Compact"/>
              <w:jc w:val="right"/>
            </w:pPr>
            <w:r>
              <w:t xml:space="preserve">4600.00</w:t>
            </w:r>
          </w:p>
        </w:tc>
        <w:tc>
          <w:tcPr/>
          <w:p>
            <w:pPr>
              <w:pStyle w:val="Compact"/>
              <w:jc w:val="right"/>
            </w:pPr>
            <w:r>
              <w:t xml:space="preserve">+1.70</w:t>
            </w:r>
          </w:p>
        </w:tc>
        <w:tc>
          <w:tcPr/>
          <w:p>
            <w:pPr>
              <w:pStyle w:val="Compact"/>
              <w:jc w:val="right"/>
            </w:pPr>
            <w:r>
              <w:t xml:space="preserve">+19.51</w:t>
            </w:r>
          </w:p>
        </w:tc>
      </w:tr>
      <w:tr>
        <w:tc>
          <w:tcPr/>
          <w:p>
            <w:pPr>
              <w:pStyle w:val="Compact"/>
              <w:jc w:val="left"/>
            </w:pPr>
            <w:r>
              <w:t xml:space="preserve">Quadratic mean diameter (cm)</w:t>
            </w:r>
          </w:p>
        </w:tc>
        <w:tc>
          <w:tcPr/>
          <w:p>
            <w:pPr>
              <w:pStyle w:val="Compact"/>
              <w:jc w:val="right"/>
            </w:pPr>
            <w:r>
              <w:t xml:space="preserve">111,707</w:t>
            </w:r>
          </w:p>
        </w:tc>
        <w:tc>
          <w:tcPr/>
          <w:p>
            <w:pPr>
              <w:pStyle w:val="Compact"/>
              <w:jc w:val="right"/>
            </w:pPr>
            <w:r>
              <w:t xml:space="preserve">27.38</w:t>
            </w:r>
          </w:p>
        </w:tc>
        <w:tc>
          <w:tcPr/>
          <w:p>
            <w:pPr>
              <w:pStyle w:val="Compact"/>
              <w:jc w:val="right"/>
            </w:pPr>
            <w:r>
              <w:t xml:space="preserve">6.40</w:t>
            </w:r>
          </w:p>
        </w:tc>
        <w:tc>
          <w:tcPr/>
          <w:p>
            <w:pPr>
              <w:pStyle w:val="Compact"/>
              <w:jc w:val="right"/>
            </w:pPr>
            <w:r>
              <w:t xml:space="preserve">0.019</w:t>
            </w:r>
          </w:p>
        </w:tc>
        <w:tc>
          <w:tcPr/>
          <w:p>
            <w:pPr>
              <w:pStyle w:val="Compact"/>
              <w:jc w:val="right"/>
            </w:pPr>
            <w:r>
              <w:t xml:space="preserve">26.95</w:t>
            </w:r>
          </w:p>
        </w:tc>
        <w:tc>
          <w:tcPr/>
          <w:p>
            <w:pPr>
              <w:pStyle w:val="Compact"/>
              <w:jc w:val="right"/>
            </w:pPr>
            <w:r>
              <w:t xml:space="preserve">13.55</w:t>
            </w:r>
          </w:p>
        </w:tc>
        <w:tc>
          <w:tcPr/>
          <w:p>
            <w:pPr>
              <w:pStyle w:val="Compact"/>
              <w:jc w:val="right"/>
            </w:pPr>
            <w:r>
              <w:t xml:space="preserve">58.90</w:t>
            </w:r>
          </w:p>
        </w:tc>
        <w:tc>
          <w:tcPr/>
          <w:p>
            <w:pPr>
              <w:pStyle w:val="Compact"/>
              <w:jc w:val="right"/>
            </w:pPr>
            <w:r>
              <w:t xml:space="preserve">+0.73</w:t>
            </w:r>
          </w:p>
        </w:tc>
        <w:tc>
          <w:tcPr/>
          <w:p>
            <w:pPr>
              <w:pStyle w:val="Compact"/>
              <w:jc w:val="right"/>
            </w:pPr>
            <w:r>
              <w:t xml:space="preserve">+1.24</w:t>
            </w:r>
          </w:p>
        </w:tc>
      </w:tr>
      <w:tr>
        <w:tc>
          <w:tcPr/>
          <w:p>
            <w:pPr>
              <w:pStyle w:val="Compact"/>
              <w:jc w:val="left"/>
            </w:pPr>
            <w:r>
              <w:t xml:space="preserve">Stand age (years)</w:t>
            </w:r>
          </w:p>
        </w:tc>
        <w:tc>
          <w:tcPr/>
          <w:p>
            <w:pPr>
              <w:pStyle w:val="Compact"/>
              <w:jc w:val="right"/>
            </w:pPr>
            <w:r>
              <w:t xml:space="preserve">111,707</w:t>
            </w:r>
          </w:p>
        </w:tc>
        <w:tc>
          <w:tcPr/>
          <w:p>
            <w:pPr>
              <w:pStyle w:val="Compact"/>
              <w:jc w:val="right"/>
            </w:pPr>
            <w:r>
              <w:t xml:space="preserve">115.46</w:t>
            </w:r>
          </w:p>
        </w:tc>
        <w:tc>
          <w:tcPr/>
          <w:p>
            <w:pPr>
              <w:pStyle w:val="Compact"/>
              <w:jc w:val="right"/>
            </w:pPr>
            <w:r>
              <w:t xml:space="preserve">20.88</w:t>
            </w:r>
          </w:p>
        </w:tc>
        <w:tc>
          <w:tcPr/>
          <w:p>
            <w:pPr>
              <w:pStyle w:val="Compact"/>
              <w:jc w:val="right"/>
            </w:pPr>
            <w:r>
              <w:t xml:space="preserve">0.062</w:t>
            </w:r>
          </w:p>
        </w:tc>
        <w:tc>
          <w:tcPr/>
          <w:p>
            <w:pPr>
              <w:pStyle w:val="Compact"/>
              <w:jc w:val="right"/>
            </w:pPr>
            <w:r>
              <w:t xml:space="preserve">116.00</w:t>
            </w:r>
          </w:p>
        </w:tc>
        <w:tc>
          <w:tcPr/>
          <w:p>
            <w:pPr>
              <w:pStyle w:val="Compact"/>
              <w:jc w:val="right"/>
            </w:pPr>
            <w:r>
              <w:t xml:space="preserve">22.00</w:t>
            </w:r>
          </w:p>
        </w:tc>
        <w:tc>
          <w:tcPr/>
          <w:p>
            <w:pPr>
              <w:pStyle w:val="Compact"/>
              <w:jc w:val="right"/>
            </w:pPr>
            <w:r>
              <w:t xml:space="preserve">237.00</w:t>
            </w:r>
          </w:p>
        </w:tc>
        <w:tc>
          <w:tcPr/>
          <w:p>
            <w:pPr>
              <w:pStyle w:val="Compact"/>
              <w:jc w:val="right"/>
            </w:pPr>
            <w:r>
              <w:t xml:space="preserve">-0.78</w:t>
            </w:r>
          </w:p>
        </w:tc>
        <w:tc>
          <w:tcPr/>
          <w:p>
            <w:pPr>
              <w:pStyle w:val="Compact"/>
              <w:jc w:val="right"/>
            </w:pPr>
            <w:r>
              <w:t xml:space="preserve">+1.97</w:t>
            </w:r>
          </w:p>
        </w:tc>
      </w:tr>
      <w:tr>
        <w:tc>
          <w:tcPr/>
          <w:p>
            <w:pPr>
              <w:pStyle w:val="Compact"/>
              <w:jc w:val="left"/>
            </w:pPr>
            <w:r>
              <w:t xml:space="preserve">Stand height (m)</w:t>
            </w:r>
          </w:p>
        </w:tc>
        <w:tc>
          <w:tcPr/>
          <w:p>
            <w:pPr>
              <w:pStyle w:val="Compact"/>
              <w:jc w:val="right"/>
            </w:pPr>
            <w:r>
              <w:t xml:space="preserve">111,707</w:t>
            </w:r>
          </w:p>
        </w:tc>
        <w:tc>
          <w:tcPr/>
          <w:p>
            <w:pPr>
              <w:pStyle w:val="Compact"/>
              <w:jc w:val="right"/>
            </w:pPr>
            <w:r>
              <w:t xml:space="preserve">26.97</w:t>
            </w:r>
          </w:p>
        </w:tc>
        <w:tc>
          <w:tcPr/>
          <w:p>
            <w:pPr>
              <w:pStyle w:val="Compact"/>
              <w:jc w:val="right"/>
            </w:pPr>
            <w:r>
              <w:t xml:space="preserve">6.27</w:t>
            </w:r>
          </w:p>
        </w:tc>
        <w:tc>
          <w:tcPr/>
          <w:p>
            <w:pPr>
              <w:pStyle w:val="Compact"/>
              <w:jc w:val="right"/>
            </w:pPr>
            <w:r>
              <w:t xml:space="preserve">0.019</w:t>
            </w:r>
          </w:p>
        </w:tc>
        <w:tc>
          <w:tcPr/>
          <w:p>
            <w:pPr>
              <w:pStyle w:val="Compact"/>
              <w:jc w:val="right"/>
            </w:pPr>
            <w:r>
              <w:t xml:space="preserve">27.90</w:t>
            </w:r>
          </w:p>
        </w:tc>
        <w:tc>
          <w:tcPr/>
          <w:p>
            <w:pPr>
              <w:pStyle w:val="Compact"/>
              <w:jc w:val="right"/>
            </w:pPr>
            <w:r>
              <w:t xml:space="preserve">7.00</w:t>
            </w:r>
          </w:p>
        </w:tc>
        <w:tc>
          <w:tcPr/>
          <w:p>
            <w:pPr>
              <w:pStyle w:val="Compact"/>
              <w:jc w:val="right"/>
            </w:pPr>
            <w:r>
              <w:t xml:space="preserve">40.30</w:t>
            </w:r>
          </w:p>
        </w:tc>
        <w:tc>
          <w:tcPr/>
          <w:p>
            <w:pPr>
              <w:pStyle w:val="Compact"/>
              <w:jc w:val="right"/>
            </w:pPr>
            <w:r>
              <w:t xml:space="preserve">-0.26</w:t>
            </w:r>
          </w:p>
        </w:tc>
        <w:tc>
          <w:tcPr/>
          <w:p>
            <w:pPr>
              <w:pStyle w:val="Compact"/>
              <w:jc w:val="right"/>
            </w:pPr>
            <w:r>
              <w:t xml:space="preserve">+0.23</w:t>
            </w:r>
          </w:p>
        </w:tc>
      </w:tr>
      <w:tr>
        <w:tc>
          <w:tcPr/>
          <w:p>
            <w:pPr>
              <w:pStyle w:val="Compact"/>
              <w:jc w:val="left"/>
            </w:pPr>
            <w:r>
              <w:t xml:space="preserve">Standing volume (m3/ha)</w:t>
            </w:r>
          </w:p>
        </w:tc>
        <w:tc>
          <w:tcPr/>
          <w:p>
            <w:pPr>
              <w:pStyle w:val="Compact"/>
              <w:jc w:val="right"/>
            </w:pPr>
            <w:r>
              <w:t xml:space="preserve">111,707</w:t>
            </w:r>
          </w:p>
        </w:tc>
        <w:tc>
          <w:tcPr/>
          <w:p>
            <w:pPr>
              <w:pStyle w:val="Compact"/>
              <w:jc w:val="right"/>
            </w:pPr>
            <w:r>
              <w:t xml:space="preserve">272.33</w:t>
            </w:r>
          </w:p>
        </w:tc>
        <w:tc>
          <w:tcPr/>
          <w:p>
            <w:pPr>
              <w:pStyle w:val="Compact"/>
              <w:jc w:val="right"/>
            </w:pPr>
            <w:r>
              <w:t xml:space="preserve">131.38</w:t>
            </w:r>
          </w:p>
        </w:tc>
        <w:tc>
          <w:tcPr/>
          <w:p>
            <w:pPr>
              <w:pStyle w:val="Compact"/>
              <w:jc w:val="right"/>
            </w:pPr>
            <w:r>
              <w:t xml:space="preserve">0.393</w:t>
            </w:r>
          </w:p>
        </w:tc>
        <w:tc>
          <w:tcPr/>
          <w:p>
            <w:pPr>
              <w:pStyle w:val="Compact"/>
              <w:jc w:val="right"/>
            </w:pPr>
            <w:r>
              <w:t xml:space="preserve">281.47</w:t>
            </w:r>
          </w:p>
        </w:tc>
        <w:tc>
          <w:tcPr/>
          <w:p>
            <w:pPr>
              <w:pStyle w:val="Compact"/>
              <w:jc w:val="right"/>
            </w:pPr>
            <w:r>
              <w:t xml:space="preserve">0.82</w:t>
            </w:r>
          </w:p>
        </w:tc>
        <w:tc>
          <w:tcPr/>
          <w:p>
            <w:pPr>
              <w:pStyle w:val="Compact"/>
              <w:jc w:val="right"/>
            </w:pPr>
            <w:r>
              <w:t xml:space="preserve">586.61</w:t>
            </w:r>
          </w:p>
        </w:tc>
        <w:tc>
          <w:tcPr/>
          <w:p>
            <w:pPr>
              <w:pStyle w:val="Compact"/>
              <w:jc w:val="right"/>
            </w:pPr>
            <w:r>
              <w:t xml:space="preserve">+0.01</w:t>
            </w:r>
          </w:p>
        </w:tc>
        <w:tc>
          <w:tcPr/>
          <w:p>
            <w:pPr>
              <w:pStyle w:val="Compact"/>
              <w:jc w:val="right"/>
            </w:pPr>
            <w:r>
              <w:t xml:space="preserve">-0.35</w:t>
            </w:r>
          </w:p>
        </w:tc>
      </w:tr>
      <w:tr>
        <w:tc>
          <w:tcPr/>
          <w:p>
            <w:pPr>
              <w:pStyle w:val="Compact"/>
              <w:jc w:val="left"/>
            </w:pPr>
            <w:r>
              <w:t xml:space="preserve">Lodgepole pine cover (%)</w:t>
            </w:r>
          </w:p>
        </w:tc>
        <w:tc>
          <w:tcPr/>
          <w:p>
            <w:pPr>
              <w:pStyle w:val="Compact"/>
              <w:jc w:val="right"/>
            </w:pPr>
            <w:r>
              <w:t xml:space="preserve">111,707</w:t>
            </w:r>
          </w:p>
        </w:tc>
        <w:tc>
          <w:tcPr/>
          <w:p>
            <w:pPr>
              <w:pStyle w:val="Compact"/>
              <w:jc w:val="right"/>
            </w:pPr>
            <w:r>
              <w:t xml:space="preserve">20.11</w:t>
            </w:r>
          </w:p>
        </w:tc>
        <w:tc>
          <w:tcPr/>
          <w:p>
            <w:pPr>
              <w:pStyle w:val="Compact"/>
              <w:jc w:val="right"/>
            </w:pPr>
            <w:r>
              <w:t xml:space="preserve">23.93</w:t>
            </w:r>
          </w:p>
        </w:tc>
        <w:tc>
          <w:tcPr/>
          <w:p>
            <w:pPr>
              <w:pStyle w:val="Compact"/>
              <w:jc w:val="right"/>
            </w:pPr>
            <w:r>
              <w:t xml:space="preserve">0.072</w:t>
            </w:r>
          </w:p>
        </w:tc>
        <w:tc>
          <w:tcPr/>
          <w:p>
            <w:pPr>
              <w:pStyle w:val="Compact"/>
              <w:jc w:val="right"/>
            </w:pPr>
            <w:r>
              <w:t xml:space="preserve">10.00</w:t>
            </w:r>
          </w:p>
        </w:tc>
        <w:tc>
          <w:tcPr/>
          <w:p>
            <w:pPr>
              <w:pStyle w:val="Compact"/>
              <w:jc w:val="right"/>
            </w:pPr>
            <w:r>
              <w:t xml:space="preserve">0.00</w:t>
            </w:r>
          </w:p>
        </w:tc>
        <w:tc>
          <w:tcPr/>
          <w:p>
            <w:pPr>
              <w:pStyle w:val="Compact"/>
              <w:jc w:val="right"/>
            </w:pPr>
            <w:r>
              <w:t xml:space="preserve">100.00</w:t>
            </w:r>
          </w:p>
        </w:tc>
        <w:tc>
          <w:tcPr/>
          <w:p>
            <w:pPr>
              <w:pStyle w:val="Compact"/>
              <w:jc w:val="right"/>
            </w:pPr>
            <w:r>
              <w:t xml:space="preserve">+1.45</w:t>
            </w:r>
          </w:p>
        </w:tc>
        <w:tc>
          <w:tcPr/>
          <w:p>
            <w:pPr>
              <w:pStyle w:val="Compact"/>
              <w:jc w:val="right"/>
            </w:pPr>
            <w:r>
              <w:t xml:space="preserve">+1.56</w:t>
            </w:r>
          </w:p>
        </w:tc>
      </w:tr>
      <w:tr>
        <w:tc>
          <w:tcPr/>
          <w:p>
            <w:pPr>
              <w:pStyle w:val="Compact"/>
              <w:jc w:val="left"/>
            </w:pPr>
            <w:r>
              <w:t xml:space="preserve">Susceptible pine basal area (m2/ha)</w:t>
            </w:r>
          </w:p>
        </w:tc>
        <w:tc>
          <w:tcPr/>
          <w:p>
            <w:pPr>
              <w:pStyle w:val="Compact"/>
              <w:jc w:val="right"/>
            </w:pPr>
            <w:r>
              <w:t xml:space="preserve">111,707</w:t>
            </w:r>
          </w:p>
        </w:tc>
        <w:tc>
          <w:tcPr/>
          <w:p>
            <w:pPr>
              <w:pStyle w:val="Compact"/>
              <w:jc w:val="right"/>
            </w:pPr>
            <w:r>
              <w:t xml:space="preserve">7.07</w:t>
            </w:r>
          </w:p>
        </w:tc>
        <w:tc>
          <w:tcPr/>
          <w:p>
            <w:pPr>
              <w:pStyle w:val="Compact"/>
              <w:jc w:val="right"/>
            </w:pPr>
            <w:r>
              <w:t xml:space="preserve">8.85</w:t>
            </w:r>
          </w:p>
        </w:tc>
        <w:tc>
          <w:tcPr/>
          <w:p>
            <w:pPr>
              <w:pStyle w:val="Compact"/>
              <w:jc w:val="right"/>
            </w:pPr>
            <w:r>
              <w:t xml:space="preserve">0.026</w:t>
            </w:r>
          </w:p>
        </w:tc>
        <w:tc>
          <w:tcPr/>
          <w:p>
            <w:pPr>
              <w:pStyle w:val="Compact"/>
              <w:jc w:val="right"/>
            </w:pPr>
            <w:r>
              <w:t xml:space="preserve">4.00</w:t>
            </w:r>
          </w:p>
        </w:tc>
        <w:tc>
          <w:tcPr/>
          <w:p>
            <w:pPr>
              <w:pStyle w:val="Compact"/>
              <w:jc w:val="right"/>
            </w:pPr>
            <w:r>
              <w:t xml:space="preserve">0.00</w:t>
            </w:r>
          </w:p>
        </w:tc>
        <w:tc>
          <w:tcPr/>
          <w:p>
            <w:pPr>
              <w:pStyle w:val="Compact"/>
              <w:jc w:val="right"/>
            </w:pPr>
            <w:r>
              <w:t xml:space="preserve">48.30</w:t>
            </w:r>
          </w:p>
        </w:tc>
        <w:tc>
          <w:tcPr/>
          <w:p>
            <w:pPr>
              <w:pStyle w:val="Compact"/>
              <w:jc w:val="right"/>
            </w:pPr>
            <w:r>
              <w:t xml:space="preserve">+1.63</w:t>
            </w:r>
          </w:p>
        </w:tc>
        <w:tc>
          <w:tcPr/>
          <w:p>
            <w:pPr>
              <w:pStyle w:val="Compact"/>
              <w:jc w:val="right"/>
            </w:pPr>
            <w:r>
              <w:t xml:space="preserve">+2.63</w:t>
            </w:r>
          </w:p>
        </w:tc>
      </w:tr>
    </w:tbl>
    <w:bookmarkEnd w:id="36"/>
    <w:bookmarkStart w:id="37" w:name="appendix-s5"/>
    <w:p>
      <w:pPr>
        <w:pStyle w:val="Heading2"/>
      </w:pPr>
      <w:r>
        <w:t xml:space="preserve">5.5 Appendix S5</w:t>
      </w:r>
    </w:p>
    <w:p>
      <w:pPr>
        <w:pStyle w:val="TableCaption"/>
      </w:pPr>
      <w:r>
        <w:t xml:space="preserve">Moderate-to-high beetle disturbance by quadratic mean diameter class, on the balanced sample. The 25 cm boundary is the source-sink threshold of the species’ bionomics. Intervals are Wilson score intervals on the class proportion. Note that 30 m cells in a spreading outbreak are not independent, so the accompanying tests are anti-conservative.</w:t>
      </w:r>
    </w:p>
    <w:tbl>
      <w:tblPr>
        <w:tblStyle w:val="Table"/>
        <w:tblW w:type="auto" w:w="0"/>
        <w:tblLook w:firstRow="1" w:lastRow="0" w:firstColumn="0" w:lastColumn="0" w:noHBand="0" w:noVBand="0" w:val="0020"/>
        <w:tblCaption w:val="Moderate-to-high beetle disturbance by quadratic mean diameter class, on the balanced sample. The 25 cm boundary is the source-sink threshold of the species’ bionomics. Intervals are Wilson score intervals on the class proportion. Note that 30 m cells in a spreading outbreak are not independent, so the accompanying tests are anti-conservative."/>
      </w:tblPr>
      <w:tblGrid>
        <w:gridCol w:w="1584"/>
        <w:gridCol w:w="1584"/>
        <w:gridCol w:w="1584"/>
        <w:gridCol w:w="1584"/>
        <w:gridCol w:w="1584"/>
      </w:tblGrid>
      <w:tr>
        <w:trPr>
          <w:tblHeader w:val="on"/>
        </w:trPr>
        <w:tc>
          <w:tcPr/>
          <w:p>
            <w:pPr>
              <w:pStyle w:val="Compact"/>
              <w:jc w:val="left"/>
            </w:pPr>
            <w:r>
              <w:t xml:space="preserve">QMD class (cm)</w:t>
            </w:r>
          </w:p>
        </w:tc>
        <w:tc>
          <w:tcPr/>
          <w:p>
            <w:pPr>
              <w:pStyle w:val="Compact"/>
              <w:jc w:val="right"/>
            </w:pPr>
            <w:r>
              <w:t xml:space="preserve">n</w:t>
            </w:r>
          </w:p>
        </w:tc>
        <w:tc>
          <w:tcPr/>
          <w:p>
            <w:pPr>
              <w:pStyle w:val="Compact"/>
              <w:jc w:val="right"/>
            </w:pPr>
            <w:r>
              <w:t xml:space="preserve">Attacked</w:t>
            </w:r>
          </w:p>
        </w:tc>
        <w:tc>
          <w:tcPr/>
          <w:p>
            <w:pPr>
              <w:pStyle w:val="Compact"/>
              <w:jc w:val="right"/>
            </w:pPr>
            <w:r>
              <w:t xml:space="preserve">Attacked (%)</w:t>
            </w:r>
          </w:p>
        </w:tc>
        <w:tc>
          <w:tcPr/>
          <w:p>
            <w:pPr>
              <w:pStyle w:val="Compact"/>
              <w:jc w:val="right"/>
            </w:pPr>
            <w:r>
              <w:t xml:space="preserve">95% CI (%)</w:t>
            </w:r>
          </w:p>
        </w:tc>
      </w:tr>
      <w:tr>
        <w:tc>
          <w:tcPr/>
          <w:p>
            <w:pPr>
              <w:pStyle w:val="Compact"/>
              <w:jc w:val="left"/>
            </w:pPr>
            <w:r>
              <w:t xml:space="preserve">&lt;15</w:t>
            </w:r>
          </w:p>
        </w:tc>
        <w:tc>
          <w:tcPr/>
          <w:p>
            <w:pPr>
              <w:pStyle w:val="Compact"/>
              <w:jc w:val="right"/>
            </w:pPr>
            <w:r>
              <w:t xml:space="preserve">436</w:t>
            </w:r>
          </w:p>
        </w:tc>
        <w:tc>
          <w:tcPr/>
          <w:p>
            <w:pPr>
              <w:pStyle w:val="Compact"/>
              <w:jc w:val="right"/>
            </w:pPr>
            <w:r>
              <w:t xml:space="preserve">113</w:t>
            </w:r>
          </w:p>
        </w:tc>
        <w:tc>
          <w:tcPr/>
          <w:p>
            <w:pPr>
              <w:pStyle w:val="Compact"/>
              <w:jc w:val="right"/>
            </w:pPr>
            <w:r>
              <w:t xml:space="preserve">25.9</w:t>
            </w:r>
          </w:p>
        </w:tc>
        <w:tc>
          <w:tcPr/>
          <w:p>
            <w:pPr>
              <w:pStyle w:val="Compact"/>
              <w:jc w:val="right"/>
            </w:pPr>
            <w:r>
              <w:t xml:space="preserve">22.0-30.2</w:t>
            </w:r>
          </w:p>
        </w:tc>
      </w:tr>
      <w:tr>
        <w:tc>
          <w:tcPr/>
          <w:p>
            <w:pPr>
              <w:pStyle w:val="Compact"/>
              <w:jc w:val="left"/>
            </w:pPr>
            <w:r>
              <w:t xml:space="preserve">15-20</w:t>
            </w:r>
          </w:p>
        </w:tc>
        <w:tc>
          <w:tcPr/>
          <w:p>
            <w:pPr>
              <w:pStyle w:val="Compact"/>
              <w:jc w:val="right"/>
            </w:pPr>
            <w:r>
              <w:t xml:space="preserve">4,325</w:t>
            </w:r>
          </w:p>
        </w:tc>
        <w:tc>
          <w:tcPr/>
          <w:p>
            <w:pPr>
              <w:pStyle w:val="Compact"/>
              <w:jc w:val="right"/>
            </w:pPr>
            <w:r>
              <w:t xml:space="preserve">1,057</w:t>
            </w:r>
          </w:p>
        </w:tc>
        <w:tc>
          <w:tcPr/>
          <w:p>
            <w:pPr>
              <w:pStyle w:val="Compact"/>
              <w:jc w:val="right"/>
            </w:pPr>
            <w:r>
              <w:t xml:space="preserve">24.4</w:t>
            </w:r>
          </w:p>
        </w:tc>
        <w:tc>
          <w:tcPr/>
          <w:p>
            <w:pPr>
              <w:pStyle w:val="Compact"/>
              <w:jc w:val="right"/>
            </w:pPr>
            <w:r>
              <w:t xml:space="preserve">23.2-25.7</w:t>
            </w:r>
          </w:p>
        </w:tc>
      </w:tr>
      <w:tr>
        <w:tc>
          <w:tcPr/>
          <w:p>
            <w:pPr>
              <w:pStyle w:val="Compact"/>
              <w:jc w:val="left"/>
            </w:pPr>
            <w:r>
              <w:t xml:space="preserve">20-25</w:t>
            </w:r>
          </w:p>
        </w:tc>
        <w:tc>
          <w:tcPr/>
          <w:p>
            <w:pPr>
              <w:pStyle w:val="Compact"/>
              <w:jc w:val="right"/>
            </w:pPr>
            <w:r>
              <w:t xml:space="preserve">9,934</w:t>
            </w:r>
          </w:p>
        </w:tc>
        <w:tc>
          <w:tcPr/>
          <w:p>
            <w:pPr>
              <w:pStyle w:val="Compact"/>
              <w:jc w:val="right"/>
            </w:pPr>
            <w:r>
              <w:t xml:space="preserve">2,627</w:t>
            </w:r>
          </w:p>
        </w:tc>
        <w:tc>
          <w:tcPr/>
          <w:p>
            <w:pPr>
              <w:pStyle w:val="Compact"/>
              <w:jc w:val="right"/>
            </w:pPr>
            <w:r>
              <w:t xml:space="preserve">26.4</w:t>
            </w:r>
          </w:p>
        </w:tc>
        <w:tc>
          <w:tcPr/>
          <w:p>
            <w:pPr>
              <w:pStyle w:val="Compact"/>
              <w:jc w:val="right"/>
            </w:pPr>
            <w:r>
              <w:t xml:space="preserve">25.6-27.3</w:t>
            </w:r>
          </w:p>
        </w:tc>
      </w:tr>
      <w:tr>
        <w:tc>
          <w:tcPr/>
          <w:p>
            <w:pPr>
              <w:pStyle w:val="Compact"/>
              <w:jc w:val="left"/>
            </w:pPr>
            <w:r>
              <w:t xml:space="preserve">25-30</w:t>
            </w:r>
          </w:p>
        </w:tc>
        <w:tc>
          <w:tcPr/>
          <w:p>
            <w:pPr>
              <w:pStyle w:val="Compact"/>
              <w:jc w:val="right"/>
            </w:pPr>
            <w:r>
              <w:t xml:space="preserve">19,090</w:t>
            </w:r>
          </w:p>
        </w:tc>
        <w:tc>
          <w:tcPr/>
          <w:p>
            <w:pPr>
              <w:pStyle w:val="Compact"/>
              <w:jc w:val="right"/>
            </w:pPr>
            <w:r>
              <w:t xml:space="preserve">7,576</w:t>
            </w:r>
          </w:p>
        </w:tc>
        <w:tc>
          <w:tcPr/>
          <w:p>
            <w:pPr>
              <w:pStyle w:val="Compact"/>
              <w:jc w:val="right"/>
            </w:pPr>
            <w:r>
              <w:t xml:space="preserve">39.7</w:t>
            </w:r>
          </w:p>
        </w:tc>
        <w:tc>
          <w:tcPr/>
          <w:p>
            <w:pPr>
              <w:pStyle w:val="Compact"/>
              <w:jc w:val="right"/>
            </w:pPr>
            <w:r>
              <w:t xml:space="preserve">39.0-40.4</w:t>
            </w:r>
          </w:p>
        </w:tc>
      </w:tr>
      <w:tr>
        <w:tc>
          <w:tcPr/>
          <w:p>
            <w:pPr>
              <w:pStyle w:val="Compact"/>
              <w:jc w:val="left"/>
            </w:pPr>
            <w:r>
              <w:t xml:space="preserve">30-40</w:t>
            </w:r>
          </w:p>
        </w:tc>
        <w:tc>
          <w:tcPr/>
          <w:p>
            <w:pPr>
              <w:pStyle w:val="Compact"/>
              <w:jc w:val="right"/>
            </w:pPr>
            <w:r>
              <w:t xml:space="preserve">10,903</w:t>
            </w:r>
          </w:p>
        </w:tc>
        <w:tc>
          <w:tcPr/>
          <w:p>
            <w:pPr>
              <w:pStyle w:val="Compact"/>
              <w:jc w:val="right"/>
            </w:pPr>
            <w:r>
              <w:t xml:space="preserve">2,724</w:t>
            </w:r>
          </w:p>
        </w:tc>
        <w:tc>
          <w:tcPr/>
          <w:p>
            <w:pPr>
              <w:pStyle w:val="Compact"/>
              <w:jc w:val="right"/>
            </w:pPr>
            <w:r>
              <w:t xml:space="preserve">25.0</w:t>
            </w:r>
          </w:p>
        </w:tc>
        <w:tc>
          <w:tcPr/>
          <w:p>
            <w:pPr>
              <w:pStyle w:val="Compact"/>
              <w:jc w:val="right"/>
            </w:pPr>
            <w:r>
              <w:t xml:space="preserve">24.2-25.8</w:t>
            </w:r>
          </w:p>
        </w:tc>
      </w:tr>
      <w:tr>
        <w:tc>
          <w:tcPr/>
          <w:p>
            <w:pPr>
              <w:pStyle w:val="Compact"/>
              <w:jc w:val="left"/>
            </w:pPr>
            <w:r>
              <w:t xml:space="preserve">&gt;40</w:t>
            </w:r>
          </w:p>
        </w:tc>
        <w:tc>
          <w:tcPr/>
          <w:p>
            <w:pPr>
              <w:pStyle w:val="Compact"/>
              <w:jc w:val="right"/>
            </w:pPr>
            <w:r>
              <w:t xml:space="preserve">1,671</w:t>
            </w:r>
          </w:p>
        </w:tc>
        <w:tc>
          <w:tcPr/>
          <w:p>
            <w:pPr>
              <w:pStyle w:val="Compact"/>
              <w:jc w:val="right"/>
            </w:pPr>
            <w:r>
              <w:t xml:space="preserve">262</w:t>
            </w:r>
          </w:p>
        </w:tc>
        <w:tc>
          <w:tcPr/>
          <w:p>
            <w:pPr>
              <w:pStyle w:val="Compact"/>
              <w:jc w:val="right"/>
            </w:pPr>
            <w:r>
              <w:t xml:space="preserve">15.7</w:t>
            </w:r>
          </w:p>
        </w:tc>
        <w:tc>
          <w:tcPr/>
          <w:p>
            <w:pPr>
              <w:pStyle w:val="Compact"/>
              <w:jc w:val="right"/>
            </w:pPr>
            <w:r>
              <w:t xml:space="preserve">14.0-17.5</w:t>
            </w:r>
          </w:p>
        </w:tc>
      </w:tr>
    </w:tbl>
    <w:bookmarkEnd w:id="37"/>
    <w:bookmarkEnd w:id="38"/>
    <w:bookmarkStart w:id="69" w:name="references"/>
    <w:p>
      <w:pPr>
        <w:pStyle w:val="Heading1"/>
      </w:pPr>
      <w:r>
        <w:t xml:space="preserve">6. References</w:t>
      </w:r>
    </w:p>
    <w:bookmarkStart w:id="68" w:name="refs"/>
    <w:bookmarkStart w:id="40" w:name="ref-badger2014"/>
    <w:p>
      <w:pPr>
        <w:pStyle w:val="Bibliography"/>
      </w:pPr>
      <w:r>
        <w:t xml:space="preserve">Badger J, Frank H, Hahmann AN, and Giebel G. 2014.</w:t>
      </w:r>
      <w:r>
        <w:t xml:space="preserve"> </w:t>
      </w:r>
      <w:hyperlink r:id="rId39">
        <w:r>
          <w:rPr>
            <w:rStyle w:val="Hyperlink"/>
          </w:rPr>
          <w:t xml:space="preserve">Wind-climate estimation based on mesoscale and microscale modeling: Statistical–dynamical downscaling for wind energy applications</w:t>
        </w:r>
      </w:hyperlink>
      <w:r>
        <w:t xml:space="preserve">.</w:t>
      </w:r>
      <w:r>
        <w:t xml:space="preserve"> </w:t>
      </w:r>
      <w:r>
        <w:rPr>
          <w:i/>
          <w:iCs/>
        </w:rPr>
        <w:t xml:space="preserve">Journal of Applied Meteorology and Climatology</w:t>
      </w:r>
      <w:r>
        <w:t xml:space="preserve"> </w:t>
      </w:r>
      <w:r>
        <w:rPr>
          <w:b/>
          <w:bCs/>
        </w:rPr>
        <w:t xml:space="preserve">53</w:t>
      </w:r>
      <w:r>
        <w:t xml:space="preserve">: 1901–19.</w:t>
      </w:r>
    </w:p>
    <w:bookmarkEnd w:id="40"/>
    <w:bookmarkStart w:id="42" w:name="ref-bartos1989"/>
    <w:p>
      <w:pPr>
        <w:pStyle w:val="Bibliography"/>
      </w:pPr>
      <w:r>
        <w:t xml:space="preserve">Bartos DL and Amman GD. 1989.</w:t>
      </w:r>
      <w:r>
        <w:t xml:space="preserve"> </w:t>
      </w:r>
      <w:hyperlink r:id="rId41">
        <w:r>
          <w:rPr>
            <w:rStyle w:val="Hyperlink"/>
          </w:rPr>
          <w:t xml:space="preserve">Microclimate: An alternative to tree vigor as a basis for mountain pine beetle infestations</w:t>
        </w:r>
      </w:hyperlink>
      <w:r>
        <w:t xml:space="preserve">. Ogden, UT: U.S. Department of Agriculture, Forest Service, Intermountain Research Station.</w:t>
      </w:r>
    </w:p>
    <w:bookmarkEnd w:id="42"/>
    <w:bookmarkStart w:id="43" w:name="ref-carroll2004bionomics"/>
    <w:p>
      <w:pPr>
        <w:pStyle w:val="Bibliography"/>
      </w:pPr>
      <w:r>
        <w:t xml:space="preserve">Carroll AL and Safranyik L. 2004. The bionomics of the mountain pine beetle in lodgepole pine forests: Establishing a context. In: Shore TL, Brooks JE, Stone JE (Eds). Mountain pine beetle symposium: Challenges and solutions,</w:t>
      </w:r>
      <w:r>
        <w:t xml:space="preserve"> </w:t>
      </w:r>
      <w:r>
        <w:t xml:space="preserve">October</w:t>
      </w:r>
      <w:r>
        <w:t xml:space="preserve"> </w:t>
      </w:r>
      <w:r>
        <w:t xml:space="preserve">30–31, 2003,</w:t>
      </w:r>
      <w:r>
        <w:t xml:space="preserve"> </w:t>
      </w:r>
      <w:r>
        <w:t xml:space="preserve">Kelowna</w:t>
      </w:r>
      <w:r>
        <w:t xml:space="preserve">,</w:t>
      </w:r>
      <w:r>
        <w:t xml:space="preserve"> </w:t>
      </w:r>
      <w:r>
        <w:t xml:space="preserve">British Columbia</w:t>
      </w:r>
      <w:r>
        <w:t xml:space="preserve">. Victoria, British Columbia:</w:t>
      </w:r>
      <w:r>
        <w:t xml:space="preserve"> </w:t>
      </w:r>
      <w:r>
        <w:t xml:space="preserve">Natural Resources Canada, Canadian Forest Service, Pacific Forestry Centre</w:t>
      </w:r>
      <w:r>
        <w:t xml:space="preserve">.</w:t>
      </w:r>
    </w:p>
    <w:bookmarkEnd w:id="43"/>
    <w:bookmarkStart w:id="45" w:name="ref-cartwright2018"/>
    <w:p>
      <w:pPr>
        <w:pStyle w:val="Bibliography"/>
      </w:pPr>
      <w:r>
        <w:t xml:space="preserve">Cartwright JM. 2018.</w:t>
      </w:r>
      <w:r>
        <w:t xml:space="preserve"> </w:t>
      </w:r>
      <w:hyperlink r:id="rId44">
        <w:r>
          <w:rPr>
            <w:rStyle w:val="Hyperlink"/>
          </w:rPr>
          <w:t xml:space="preserve">Landscape topoedaphic features create refugia from drought and insect disturbance in a lodgepole and whitebark pine forest</w:t>
        </w:r>
      </w:hyperlink>
      <w:r>
        <w:t xml:space="preserve">.</w:t>
      </w:r>
      <w:r>
        <w:t xml:space="preserve"> </w:t>
      </w:r>
      <w:r>
        <w:rPr>
          <w:i/>
          <w:iCs/>
        </w:rPr>
        <w:t xml:space="preserve">Forests</w:t>
      </w:r>
      <w:r>
        <w:t xml:space="preserve"> </w:t>
      </w:r>
      <w:r>
        <w:rPr>
          <w:b/>
          <w:bCs/>
        </w:rPr>
        <w:t xml:space="preserve">9</w:t>
      </w:r>
      <w:r>
        <w:t xml:space="preserve">: 715.</w:t>
      </w:r>
    </w:p>
    <w:bookmarkEnd w:id="45"/>
    <w:bookmarkStart w:id="47" w:name="ref-davis2023"/>
    <w:p>
      <w:pPr>
        <w:pStyle w:val="Bibliography"/>
      </w:pPr>
      <w:r>
        <w:t xml:space="preserve">Davis NN, Badger J, Hahmann AN,</w:t>
      </w:r>
      <w:r>
        <w:t xml:space="preserve"> </w:t>
      </w:r>
      <w:r>
        <w:rPr>
          <w:i/>
          <w:iCs/>
        </w:rPr>
        <w:t xml:space="preserve">et al.</w:t>
      </w:r>
      <w:r>
        <w:t xml:space="preserve"> 2023.</w:t>
      </w:r>
      <w:r>
        <w:t xml:space="preserve"> </w:t>
      </w:r>
      <w:hyperlink r:id="rId46">
        <w:r>
          <w:rPr>
            <w:rStyle w:val="Hyperlink"/>
          </w:rPr>
          <w:t xml:space="preserve">The</w:t>
        </w:r>
        <w:r>
          <w:rPr>
            <w:rStyle w:val="Hyperlink"/>
          </w:rPr>
          <w:t xml:space="preserve"> </w:t>
        </w:r>
        <w:r>
          <w:rPr>
            <w:rStyle w:val="Hyperlink"/>
          </w:rPr>
          <w:t xml:space="preserve">Global Wind Atlas</w:t>
        </w:r>
        <w:r>
          <w:rPr>
            <w:rStyle w:val="Hyperlink"/>
          </w:rPr>
          <w:t xml:space="preserve">: A high-resolution dataset of climatologies and associated web-based application</w:t>
        </w:r>
      </w:hyperlink>
      <w:r>
        <w:t xml:space="preserve">.</w:t>
      </w:r>
      <w:r>
        <w:t xml:space="preserve"> </w:t>
      </w:r>
      <w:r>
        <w:rPr>
          <w:i/>
          <w:iCs/>
        </w:rPr>
        <w:t xml:space="preserve">Bulletin of the American Meteorological Society</w:t>
      </w:r>
      <w:r>
        <w:t xml:space="preserve"> </w:t>
      </w:r>
      <w:r>
        <w:rPr>
          <w:b/>
          <w:bCs/>
        </w:rPr>
        <w:t xml:space="preserve">104</w:t>
      </w:r>
      <w:r>
        <w:t xml:space="preserve">: E1507–25.</w:t>
      </w:r>
    </w:p>
    <w:bookmarkEnd w:id="47"/>
    <w:bookmarkStart w:id="49" w:name="ref-jones2019"/>
    <w:p>
      <w:pPr>
        <w:pStyle w:val="Bibliography"/>
      </w:pPr>
      <w:r>
        <w:t xml:space="preserve">Jones KL, Shegelski VA, Marculis NG,</w:t>
      </w:r>
      <w:r>
        <w:t xml:space="preserve"> </w:t>
      </w:r>
      <w:r>
        <w:rPr>
          <w:i/>
          <w:iCs/>
        </w:rPr>
        <w:t xml:space="preserve">et al.</w:t>
      </w:r>
      <w:r>
        <w:t xml:space="preserve"> 2019.</w:t>
      </w:r>
      <w:r>
        <w:t xml:space="preserve"> </w:t>
      </w:r>
      <w:hyperlink r:id="rId48">
        <w:r>
          <w:rPr>
            <w:rStyle w:val="Hyperlink"/>
          </w:rPr>
          <w:t xml:space="preserve">Factors influencing dispersal by flight in bark beetles (</w:t>
        </w:r>
        <w:r>
          <w:rPr>
            <w:rStyle w:val="Hyperlink"/>
          </w:rPr>
          <w:t xml:space="preserve">Coleoptera</w:t>
        </w:r>
        <w:r>
          <w:rPr>
            <w:rStyle w:val="Hyperlink"/>
          </w:rPr>
          <w:t xml:space="preserve">:</w:t>
        </w:r>
        <w:r>
          <w:rPr>
            <w:rStyle w:val="Hyperlink"/>
          </w:rPr>
          <w:t xml:space="preserve"> </w:t>
        </w:r>
        <w:r>
          <w:rPr>
            <w:rStyle w:val="Hyperlink"/>
          </w:rPr>
          <w:t xml:space="preserve">Curculionidae</w:t>
        </w:r>
        <w:r>
          <w:rPr>
            <w:rStyle w:val="Hyperlink"/>
          </w:rPr>
          <w:t xml:space="preserve">:</w:t>
        </w:r>
        <w:r>
          <w:rPr>
            <w:rStyle w:val="Hyperlink"/>
          </w:rPr>
          <w:t xml:space="preserve"> </w:t>
        </w:r>
        <w:r>
          <w:rPr>
            <w:rStyle w:val="Hyperlink"/>
          </w:rPr>
          <w:t xml:space="preserve">Scolytinae</w:t>
        </w:r>
        <w:r>
          <w:rPr>
            <w:rStyle w:val="Hyperlink"/>
          </w:rPr>
          <w:t xml:space="preserve">): From genes to landscapes</w:t>
        </w:r>
      </w:hyperlink>
      <w:r>
        <w:t xml:space="preserve">.</w:t>
      </w:r>
      <w:r>
        <w:t xml:space="preserve"> </w:t>
      </w:r>
      <w:r>
        <w:rPr>
          <w:i/>
          <w:iCs/>
        </w:rPr>
        <w:t xml:space="preserve">Canadian Journal of Forest Research</w:t>
      </w:r>
      <w:r>
        <w:t xml:space="preserve"> </w:t>
      </w:r>
      <w:r>
        <w:rPr>
          <w:b/>
          <w:bCs/>
        </w:rPr>
        <w:t xml:space="preserve">49</w:t>
      </w:r>
      <w:r>
        <w:t xml:space="preserve">: 1024–41.</w:t>
      </w:r>
    </w:p>
    <w:bookmarkEnd w:id="49"/>
    <w:bookmarkStart w:id="51" w:name="ref-krawchuk2020"/>
    <w:p>
      <w:pPr>
        <w:pStyle w:val="Bibliography"/>
      </w:pPr>
      <w:r>
        <w:t xml:space="preserve">Krawchuk MA, Meigs GW, Cartwright JM,</w:t>
      </w:r>
      <w:r>
        <w:t xml:space="preserve"> </w:t>
      </w:r>
      <w:r>
        <w:rPr>
          <w:i/>
          <w:iCs/>
        </w:rPr>
        <w:t xml:space="preserve">et al.</w:t>
      </w:r>
      <w:r>
        <w:t xml:space="preserve"> 2020.</w:t>
      </w:r>
      <w:r>
        <w:t xml:space="preserve"> </w:t>
      </w:r>
      <w:hyperlink r:id="rId50">
        <w:r>
          <w:rPr>
            <w:rStyle w:val="Hyperlink"/>
          </w:rPr>
          <w:t xml:space="preserve">Disturbance refugia within mosaics of forest fire, drought, and insect outbreaks</w:t>
        </w:r>
      </w:hyperlink>
      <w:r>
        <w:t xml:space="preserve">.</w:t>
      </w:r>
      <w:r>
        <w:t xml:space="preserve"> </w:t>
      </w:r>
      <w:r>
        <w:rPr>
          <w:i/>
          <w:iCs/>
        </w:rPr>
        <w:t xml:space="preserve">Frontiers in Ecology and the Environment</w:t>
      </w:r>
      <w:r>
        <w:t xml:space="preserve"> </w:t>
      </w:r>
      <w:r>
        <w:rPr>
          <w:b/>
          <w:bCs/>
        </w:rPr>
        <w:t xml:space="preserve">18</w:t>
      </w:r>
      <w:r>
        <w:t xml:space="preserve">: 235–44.</w:t>
      </w:r>
    </w:p>
    <w:bookmarkEnd w:id="51"/>
    <w:bookmarkStart w:id="53" w:name="ref-liston2006"/>
    <w:p>
      <w:pPr>
        <w:pStyle w:val="Bibliography"/>
      </w:pPr>
      <w:r>
        <w:t xml:space="preserve">Liston GE and Elder K. 2006.</w:t>
      </w:r>
      <w:r>
        <w:t xml:space="preserve"> </w:t>
      </w:r>
      <w:hyperlink r:id="rId52">
        <w:r>
          <w:rPr>
            <w:rStyle w:val="Hyperlink"/>
          </w:rPr>
          <w:t xml:space="preserve">A meteorological distribution system for high-resolution terrestrial modeling (MicroMet)</w:t>
        </w:r>
      </w:hyperlink>
      <w:r>
        <w:t xml:space="preserve">.</w:t>
      </w:r>
      <w:r>
        <w:t xml:space="preserve"> </w:t>
      </w:r>
      <w:r>
        <w:rPr>
          <w:i/>
          <w:iCs/>
        </w:rPr>
        <w:t xml:space="preserve">Journal of Hydrometeorology</w:t>
      </w:r>
      <w:r>
        <w:t xml:space="preserve"> </w:t>
      </w:r>
      <w:r>
        <w:rPr>
          <w:b/>
          <w:bCs/>
        </w:rPr>
        <w:t xml:space="preserve">7</w:t>
      </w:r>
      <w:r>
        <w:t xml:space="preserve">: 217–34.</w:t>
      </w:r>
    </w:p>
    <w:bookmarkEnd w:id="53"/>
    <w:bookmarkStart w:id="55" w:name="ref-mccambridge1971"/>
    <w:p>
      <w:pPr>
        <w:pStyle w:val="Bibliography"/>
      </w:pPr>
      <w:r>
        <w:t xml:space="preserve">McCambridge WF. 1971.</w:t>
      </w:r>
      <w:r>
        <w:t xml:space="preserve"> </w:t>
      </w:r>
      <w:hyperlink r:id="rId54">
        <w:r>
          <w:rPr>
            <w:rStyle w:val="Hyperlink"/>
          </w:rPr>
          <w:t xml:space="preserve">Temperature limits of flight of the mountain pine beetle,</w:t>
        </w:r>
        <w:r>
          <w:rPr>
            <w:rStyle w:val="Hyperlink"/>
          </w:rPr>
          <w:t xml:space="preserve"> </w:t>
        </w:r>
        <w:r>
          <w:rPr>
            <w:rStyle w:val="Hyperlink"/>
          </w:rPr>
          <w:t xml:space="preserve">Dendroctonus ponderosae</w:t>
        </w:r>
      </w:hyperlink>
      <w:r>
        <w:t xml:space="preserve">.</w:t>
      </w:r>
      <w:r>
        <w:t xml:space="preserve"> </w:t>
      </w:r>
      <w:r>
        <w:rPr>
          <w:i/>
          <w:iCs/>
        </w:rPr>
        <w:t xml:space="preserve">Annals of the Entomological Society of America</w:t>
      </w:r>
      <w:r>
        <w:t xml:space="preserve"> </w:t>
      </w:r>
      <w:r>
        <w:rPr>
          <w:b/>
          <w:bCs/>
        </w:rPr>
        <w:t xml:space="preserve">64</w:t>
      </w:r>
      <w:r>
        <w:t xml:space="preserve">: 534–5.</w:t>
      </w:r>
    </w:p>
    <w:bookmarkEnd w:id="55"/>
    <w:bookmarkStart w:id="57" w:name="ref-mccune2002"/>
    <w:p>
      <w:pPr>
        <w:pStyle w:val="Bibliography"/>
      </w:pPr>
      <w:r>
        <w:t xml:space="preserve">McCune B and Keon D. 2002.</w:t>
      </w:r>
      <w:r>
        <w:t xml:space="preserve"> </w:t>
      </w:r>
      <w:hyperlink r:id="rId56">
        <w:r>
          <w:rPr>
            <w:rStyle w:val="Hyperlink"/>
          </w:rPr>
          <w:t xml:space="preserve">Equations for potential annual direct incident radiation and heat load</w:t>
        </w:r>
      </w:hyperlink>
      <w:r>
        <w:t xml:space="preserve">.</w:t>
      </w:r>
      <w:r>
        <w:t xml:space="preserve"> </w:t>
      </w:r>
      <w:r>
        <w:rPr>
          <w:i/>
          <w:iCs/>
        </w:rPr>
        <w:t xml:space="preserve">Journal of Vegetation Science</w:t>
      </w:r>
      <w:r>
        <w:t xml:space="preserve"> </w:t>
      </w:r>
      <w:r>
        <w:rPr>
          <w:b/>
          <w:bCs/>
        </w:rPr>
        <w:t xml:space="preserve">13</w:t>
      </w:r>
      <w:r>
        <w:t xml:space="preserve">: 603–6.</w:t>
      </w:r>
    </w:p>
    <w:bookmarkEnd w:id="57"/>
    <w:bookmarkStart w:id="59" w:name="ref-murphy2026"/>
    <w:p>
      <w:pPr>
        <w:pStyle w:val="Bibliography"/>
      </w:pPr>
      <w:r>
        <w:t xml:space="preserve">Murphy S, Leslie A, Wilson J, and Banks LK. 2026.</w:t>
      </w:r>
      <w:r>
        <w:t xml:space="preserve"> </w:t>
      </w:r>
      <w:hyperlink r:id="rId58">
        <w:r>
          <w:rPr>
            <w:rStyle w:val="Hyperlink"/>
          </w:rPr>
          <w:t xml:space="preserve">Spatial patterns of conifer regeneration following mountain pine beetle outbreak (</w:t>
        </w:r>
        <w:r>
          <w:rPr>
            <w:rStyle w:val="Hyperlink"/>
            <w:i/>
            <w:iCs/>
          </w:rPr>
          <w:t xml:space="preserve">Dendroctonus ponderosae</w:t>
        </w:r>
        <w:r>
          <w:rPr>
            <w:rStyle w:val="Hyperlink"/>
          </w:rPr>
          <w:t xml:space="preserve">) and mixed-severity wildfire: A point process model of disturbance interactions in the southern</w:t>
        </w:r>
        <w:r>
          <w:rPr>
            <w:rStyle w:val="Hyperlink"/>
          </w:rPr>
          <w:t xml:space="preserve"> </w:t>
        </w:r>
        <w:r>
          <w:rPr>
            <w:rStyle w:val="Hyperlink"/>
          </w:rPr>
          <w:t xml:space="preserve">Selkirk Mountains</w:t>
        </w:r>
        <w:r>
          <w:rPr>
            <w:rStyle w:val="Hyperlink"/>
          </w:rPr>
          <w:t xml:space="preserve">,</w:t>
        </w:r>
        <w:r>
          <w:rPr>
            <w:rStyle w:val="Hyperlink"/>
          </w:rPr>
          <w:t xml:space="preserve"> </w:t>
        </w:r>
        <w:r>
          <w:rPr>
            <w:rStyle w:val="Hyperlink"/>
          </w:rPr>
          <w:t xml:space="preserve">British Columbia</w:t>
        </w:r>
      </w:hyperlink>
      <w:r>
        <w:t xml:space="preserve">.</w:t>
      </w:r>
      <w:r>
        <w:t xml:space="preserve"> </w:t>
      </w:r>
      <w:r>
        <w:rPr>
          <w:i/>
          <w:iCs/>
        </w:rPr>
        <w:t xml:space="preserve">Forest Ecology and Management</w:t>
      </w:r>
      <w:r>
        <w:t xml:space="preserve"> </w:t>
      </w:r>
      <w:r>
        <w:rPr>
          <w:b/>
          <w:bCs/>
        </w:rPr>
        <w:t xml:space="preserve">618</w:t>
      </w:r>
      <w:r>
        <w:t xml:space="preserve">: 123985.</w:t>
      </w:r>
    </w:p>
    <w:bookmarkEnd w:id="59"/>
    <w:bookmarkStart w:id="61" w:name="ref-nrcan2017"/>
    <w:p>
      <w:pPr>
        <w:pStyle w:val="Bibliography"/>
      </w:pPr>
      <w:r>
        <w:t xml:space="preserve">Natural Resources Canada. 2017. High resolution digital elevation model (</w:t>
      </w:r>
      <w:r>
        <w:t xml:space="preserve">HRDEM</w:t>
      </w:r>
      <w:r>
        <w:t xml:space="preserve">) –</w:t>
      </w:r>
      <w:r>
        <w:t xml:space="preserve"> </w:t>
      </w:r>
      <w:r>
        <w:t xml:space="preserve">CanElevation</w:t>
      </w:r>
      <w:r>
        <w:t xml:space="preserve"> </w:t>
      </w:r>
      <w:r>
        <w:t xml:space="preserve">series.</w:t>
      </w:r>
      <w:r>
        <w:t xml:space="preserve"> </w:t>
      </w:r>
      <w:hyperlink r:id="rId60">
        <w:r>
          <w:rPr>
            <w:rStyle w:val="Hyperlink"/>
          </w:rPr>
          <w:t xml:space="preserve">https://open.canada.ca/data/en/dataset/957782bf-847c-4644-a757-e383c0057995</w:t>
        </w:r>
      </w:hyperlink>
      <w:r>
        <w:t xml:space="preserve">.</w:t>
      </w:r>
    </w:p>
    <w:bookmarkEnd w:id="61"/>
    <w:bookmarkStart w:id="63" w:name="ref-powell2014"/>
    <w:p>
      <w:pPr>
        <w:pStyle w:val="Bibliography"/>
      </w:pPr>
      <w:r>
        <w:t xml:space="preserve">Powell JA and Bentz BJ. 2014.</w:t>
      </w:r>
      <w:r>
        <w:t xml:space="preserve"> </w:t>
      </w:r>
      <w:hyperlink r:id="rId62">
        <w:r>
          <w:rPr>
            <w:rStyle w:val="Hyperlink"/>
          </w:rPr>
          <w:t xml:space="preserve">Phenology and density-dependent dispersal predict patterns of mountain pine beetle (</w:t>
        </w:r>
        <w:r>
          <w:rPr>
            <w:rStyle w:val="Hyperlink"/>
          </w:rPr>
          <w:t xml:space="preserve">Dendroctonus ponderosae</w:t>
        </w:r>
        <w:r>
          <w:rPr>
            <w:rStyle w:val="Hyperlink"/>
          </w:rPr>
          <w:t xml:space="preserve">) impact</w:t>
        </w:r>
      </w:hyperlink>
      <w:r>
        <w:t xml:space="preserve">.</w:t>
      </w:r>
      <w:r>
        <w:t xml:space="preserve"> </w:t>
      </w:r>
      <w:r>
        <w:rPr>
          <w:i/>
          <w:iCs/>
        </w:rPr>
        <w:t xml:space="preserve">Ecological Modelling</w:t>
      </w:r>
      <w:r>
        <w:t xml:space="preserve"> </w:t>
      </w:r>
      <w:r>
        <w:rPr>
          <w:b/>
          <w:bCs/>
        </w:rPr>
        <w:t xml:space="preserve">273</w:t>
      </w:r>
      <w:r>
        <w:t xml:space="preserve">: 173–85.</w:t>
      </w:r>
    </w:p>
    <w:bookmarkEnd w:id="63"/>
    <w:bookmarkStart w:id="64" w:name="ref-safranyik2006chap1"/>
    <w:p>
      <w:pPr>
        <w:pStyle w:val="Bibliography"/>
      </w:pPr>
      <w:r>
        <w:t xml:space="preserve">Safranyik L and Carroll AL. 2006. The biology and epidemiology of the mountain pine beetle in lodgepole pine forests. In: Safranyik L, Wilson B (Eds). The mountain pine beetle: A synthesis of biology, management, and impacts on lodgepole pine. Victoria, British Columbia:</w:t>
      </w:r>
      <w:r>
        <w:t xml:space="preserve"> </w:t>
      </w:r>
      <w:r>
        <w:t xml:space="preserve">Natural Resources Canada, Canadian Forest Service, Pacific Forestry Centre</w:t>
      </w:r>
      <w:r>
        <w:t xml:space="preserve">.</w:t>
      </w:r>
    </w:p>
    <w:bookmarkEnd w:id="64"/>
    <w:bookmarkStart w:id="66" w:name="ref-sambaraju2021"/>
    <w:p>
      <w:pPr>
        <w:pStyle w:val="Bibliography"/>
      </w:pPr>
      <w:r>
        <w:t xml:space="preserve">Sambaraju KR and Goodsman DW. 2021.</w:t>
      </w:r>
      <w:r>
        <w:t xml:space="preserve"> </w:t>
      </w:r>
      <w:hyperlink r:id="rId65">
        <w:r>
          <w:rPr>
            <w:rStyle w:val="Hyperlink"/>
          </w:rPr>
          <w:t xml:space="preserve">Mountain pine beetle: An example of a climate-driven eruptive insect impacting conifer forest ecosystems</w:t>
        </w:r>
      </w:hyperlink>
      <w:r>
        <w:t xml:space="preserve">.</w:t>
      </w:r>
      <w:r>
        <w:t xml:space="preserve"> </w:t>
      </w:r>
      <w:r>
        <w:rPr>
          <w:i/>
          <w:iCs/>
        </w:rPr>
        <w:t xml:space="preserve">CAB Reviews</w:t>
      </w:r>
      <w:r>
        <w:t xml:space="preserve"> </w:t>
      </w:r>
      <w:r>
        <w:rPr>
          <w:b/>
          <w:bCs/>
        </w:rPr>
        <w:t xml:space="preserve">16</w:t>
      </w:r>
      <w:r>
        <w:t xml:space="preserve">.</w:t>
      </w:r>
    </w:p>
    <w:bookmarkEnd w:id="66"/>
    <w:bookmarkStart w:id="67" w:name="ref-taylor2003"/>
    <w:p>
      <w:pPr>
        <w:pStyle w:val="Bibliography"/>
      </w:pPr>
      <w:r>
        <w:t xml:space="preserve">Taylor SW and Carroll AL. 2003. Disturbance, forest age, and mountain pine beetle outbreak dynamics in</w:t>
      </w:r>
      <w:r>
        <w:t xml:space="preserve"> </w:t>
      </w:r>
      <w:r>
        <w:t xml:space="preserve">BC</w:t>
      </w:r>
      <w:r>
        <w:t xml:space="preserve">: A historical perspective. Mountain pine beetle symposium: Challenges and solutions,</w:t>
      </w:r>
      <w:r>
        <w:t xml:space="preserve"> </w:t>
      </w:r>
      <w:r>
        <w:t xml:space="preserve">October</w:t>
      </w:r>
      <w:r>
        <w:t xml:space="preserve"> </w:t>
      </w:r>
      <w:r>
        <w:t xml:space="preserve">30–31, 2003,</w:t>
      </w:r>
      <w:r>
        <w:t xml:space="preserve"> </w:t>
      </w:r>
      <w:r>
        <w:t xml:space="preserve">Kelowna</w:t>
      </w:r>
      <w:r>
        <w:t xml:space="preserve">,</w:t>
      </w:r>
      <w:r>
        <w:t xml:space="preserve"> </w:t>
      </w:r>
      <w:r>
        <w:t xml:space="preserve">British Columbia</w:t>
      </w:r>
      <w:r>
        <w:t xml:space="preserve">. Victoria, British Columbia: Natural Resources Canada, Canadian Forest Service, Pacific Forestry Centre.</w:t>
      </w:r>
    </w:p>
    <w:bookmarkEnd w:id="67"/>
    <w:bookmarkEnd w:id="68"/>
    <w:bookmarkEnd w:id="69"/>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Pr>
      <w:sz w:val="16"/>
      <w:szCs w:val="16"/>
      <w:lang w:val="en-CA"/>
    </w:rPr>
    <w:tblPr>
      <w:tblInd w:type="dxa" w:w="0"/>
      <w:tblCellMar>
        <w:top w:type="dxa" w:w="0"/>
        <w:left w:type="dxa" w:w="108"/>
        <w:bottom w:type="dxa" w:w="0"/>
        <w:right w:type="dxa" w:w="108"/>
      </w:tblCellMar>
    </w:tblPr>
    <w:trPr>
      <w:trHeight w:hRule="atLeast" w:val="3402"/>
    </w:trPr>
    <w:tblStylePr w:type="firstRow">
      <w:tblPr>
        <w:jc w:val="left"/>
      </w:tblPr>
      <w:trPr>
        <w:trHeight w:hRule="atLeast" w:val="680"/>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50" Target="https://doi.org/10.1002/fee.2190" TargetMode="External" /><Relationship Type="http://schemas.openxmlformats.org/officeDocument/2006/relationships/hyperlink" Id="rId62" Target="https://doi.org/10.1016/j.ecolmodel.2013.10.034" TargetMode="External" /><Relationship Type="http://schemas.openxmlformats.org/officeDocument/2006/relationships/hyperlink" Id="rId58" Target="https://doi.org/10.1016/j.foreco.2026.123985" TargetMode="External" /><Relationship Type="http://schemas.openxmlformats.org/officeDocument/2006/relationships/hyperlink" Id="rId65" Target="https://doi.org/10.1079/PAVSNNR202116018" TargetMode="External" /><Relationship Type="http://schemas.openxmlformats.org/officeDocument/2006/relationships/hyperlink" Id="rId54" Target="https://doi.org/10.1093/aesa/64.2.534" TargetMode="External" /><Relationship Type="http://schemas.openxmlformats.org/officeDocument/2006/relationships/hyperlink" Id="rId56" Target="https://doi.org/10.1111/j.1654-1103.2002.tb02087.x" TargetMode="External" /><Relationship Type="http://schemas.openxmlformats.org/officeDocument/2006/relationships/hyperlink" Id="rId48" Target="https://doi.org/10.1139/cjfr-2018-0304" TargetMode="External" /><Relationship Type="http://schemas.openxmlformats.org/officeDocument/2006/relationships/hyperlink" Id="rId46" Target="https://doi.org/10.1175/BAMS-D-21-0075.1" TargetMode="External" /><Relationship Type="http://schemas.openxmlformats.org/officeDocument/2006/relationships/hyperlink" Id="rId39" Target="https://doi.org/10.1175/JAMC-D-13-0147.1" TargetMode="External" /><Relationship Type="http://schemas.openxmlformats.org/officeDocument/2006/relationships/hyperlink" Id="rId52" Target="https://doi.org/10.1175/JHM486.1" TargetMode="External" /><Relationship Type="http://schemas.openxmlformats.org/officeDocument/2006/relationships/hyperlink" Id="rId41" Target="https://doi.org/10.2737/int-rp-400" TargetMode="External" /><Relationship Type="http://schemas.openxmlformats.org/officeDocument/2006/relationships/hyperlink" Id="rId44" Target="https://doi.org/10.3390/f9110715" TargetMode="External" /><Relationship Type="http://schemas.openxmlformats.org/officeDocument/2006/relationships/hyperlink" Id="rId60" Target="https://open.canada.ca/data/en/dataset/957782bf-847c-4644-a757-e383c0057995"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50" Target="https://doi.org/10.1002/fee.2190" TargetMode="External" /><Relationship Type="http://schemas.openxmlformats.org/officeDocument/2006/relationships/hyperlink" Id="rId62" Target="https://doi.org/10.1016/j.ecolmodel.2013.10.034" TargetMode="External" /><Relationship Type="http://schemas.openxmlformats.org/officeDocument/2006/relationships/hyperlink" Id="rId58" Target="https://doi.org/10.1016/j.foreco.2026.123985" TargetMode="External" /><Relationship Type="http://schemas.openxmlformats.org/officeDocument/2006/relationships/hyperlink" Id="rId65" Target="https://doi.org/10.1079/PAVSNNR202116018" TargetMode="External" /><Relationship Type="http://schemas.openxmlformats.org/officeDocument/2006/relationships/hyperlink" Id="rId54" Target="https://doi.org/10.1093/aesa/64.2.534" TargetMode="External" /><Relationship Type="http://schemas.openxmlformats.org/officeDocument/2006/relationships/hyperlink" Id="rId56" Target="https://doi.org/10.1111/j.1654-1103.2002.tb02087.x" TargetMode="External" /><Relationship Type="http://schemas.openxmlformats.org/officeDocument/2006/relationships/hyperlink" Id="rId48" Target="https://doi.org/10.1139/cjfr-2018-0304" TargetMode="External" /><Relationship Type="http://schemas.openxmlformats.org/officeDocument/2006/relationships/hyperlink" Id="rId46" Target="https://doi.org/10.1175/BAMS-D-21-0075.1" TargetMode="External" /><Relationship Type="http://schemas.openxmlformats.org/officeDocument/2006/relationships/hyperlink" Id="rId39" Target="https://doi.org/10.1175/JAMC-D-13-0147.1" TargetMode="External" /><Relationship Type="http://schemas.openxmlformats.org/officeDocument/2006/relationships/hyperlink" Id="rId52" Target="https://doi.org/10.1175/JHM486.1" TargetMode="External" /><Relationship Type="http://schemas.openxmlformats.org/officeDocument/2006/relationships/hyperlink" Id="rId41" Target="https://doi.org/10.2737/int-rp-400" TargetMode="External" /><Relationship Type="http://schemas.openxmlformats.org/officeDocument/2006/relationships/hyperlink" Id="rId44" Target="https://doi.org/10.3390/f9110715" TargetMode="External" /><Relationship Type="http://schemas.openxmlformats.org/officeDocument/2006/relationships/hyperlink" Id="rId60" Target="https://open.canada.ca/data/en/dataset/957782bf-847c-4644-a757-e383c0057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Dendroctonus ponderosae, forest disturbance, insect outbreaks, Landsat time series, refugia, British Columbia</cp:keywords>
  <dcterms:created xsi:type="dcterms:W3CDTF">2026-08-31T19:31:39Z</dcterms:created>
  <dcterms:modified xsi:type="dcterms:W3CDTF">2026-08-31T19:31:39Z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uthor">
    <vt:lpwstr/>
  </property>
  <property fmtid="{D5CDD505-2E9C-101B-9397-08002B2CF9AE}" pid="7" name="csl">
    <vt:lpwstr>../04.references/frontiers-in-ecology-and-the-environment.csl</vt:lpwstr>
  </property>
  <property fmtid="{D5CDD505-2E9C-101B-9397-08002B2CF9AE}" pid="8" name="date">
    <vt:lpwstr>2026-08-31</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Stand density, terrain and wind as competing controls on mountain pine beetle attack (Dendroctonus ponderosae) in the Selkirk Mountains of British Columbia</vt:lpwstr>
  </property>
  <property fmtid="{D5CDD505-2E9C-101B-9397-08002B2CF9AE}" pid="16" name="toc-title">
    <vt:lpwstr>Table of contents</vt:lpwstr>
  </property>
</Properties>
</file>