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40.png" ContentType="image/png"/>
  <Override PartName="/word/media/rId52.png" ContentType="image/png"/>
  <Override PartName="/word/media/rId25.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and wind as competing controls on mountain pine beetle attack (Dendroctonus ponderosae) in the Selkirk Mountains of British Columbia</w:t>
      </w:r>
    </w:p>
    <w:p>
      <w:pPr>
        <w:pStyle w:val="Author"/>
      </w:pPr>
      <w:r>
        <w:t xml:space="preserve">Seamus Murphy</w:t>
      </w:r>
    </w:p>
    <w:p>
      <w:pPr>
        <w:pStyle w:val="Date"/>
      </w:pPr>
      <w:r>
        <w:t xml:space="preserve">2026-08-31</w:t>
      </w:r>
    </w:p>
    <w:bookmarkStart w:id="20"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tree defences hold, on shaded ground that spares trees water stress, or in thin</w:t>
      </w:r>
      <w:r>
        <w:t xml:space="preserve"> </w:t>
      </w:r>
      <w:r>
        <w:t xml:space="preserve">stands with few large hosts, where wind may disrupt the aggregation pheromone or vigour</w:t>
      </w:r>
      <w:r>
        <w:t xml:space="preserve"> </w:t>
      </w:r>
      <w:r>
        <w:t xml:space="preserve">sustain chemical defence. None has been fitted spatially. All three were tested across</w:t>
      </w:r>
      <w:r>
        <w:t xml:space="preserve"> </w:t>
      </w:r>
      <w:r>
        <w:t xml:space="preserve">5,573 ha of the Selkirk Mountains, British Columbia, using 59</w:t>
      </w:r>
      <w:r>
        <w:t xml:space="preserve"> </w:t>
      </w:r>
      <w:r>
        <w:t xml:space="preserve">sixteen-day Landsat epochs over eight outbreak years, year-matched forest</w:t>
      </w:r>
      <w:r>
        <w:t xml:space="preserve"> </w:t>
      </w:r>
      <w:r>
        <w:t xml:space="preserve">inventory, 29 geomorphometric variables, and a terrain-resolved MicroMet wind</w:t>
      </w:r>
      <w:r>
        <w:t xml:space="preserve"> </w:t>
      </w:r>
      <w:r>
        <w:t xml:space="preserve">field from hourly station records. The wind disruption hypothesis held, conditionally.</w:t>
      </w:r>
      <w:r>
        <w:t xml:space="preserve"> </w:t>
      </w:r>
      <w:r>
        <w:t xml:space="preserve">Attack fell where a thin stand and strong flight-period wind coincided, the density-by-wind</w:t>
      </w:r>
      <w:r>
        <w:t xml:space="preserve"> </w:t>
      </w:r>
      <w:r>
        <w:t xml:space="preserve">interaction -0.049 for stem density (p &lt; 0.001) and -0.017 for</w:t>
      </w:r>
      <w:r>
        <w:t xml:space="preserve"> </w:t>
      </w:r>
      <w:r>
        <w:t xml:space="preserve">standing volume (p &lt; 0.05), both surviving a within-season contagion term. Neither</w:t>
      </w:r>
      <w:r>
        <w:t xml:space="preserve"> </w:t>
      </w:r>
      <w:r>
        <w:t xml:space="preserve">protected alone. Wind alone carried marginally more attack (+0.022), and</w:t>
      </w:r>
      <w:r>
        <w:t xml:space="preserve"> </w:t>
      </w:r>
      <w:r>
        <w:t xml:space="preserve">thin stands in still air did not. A refugium here is a conjunction of stand and weather, not</w:t>
      </w:r>
      <w:r>
        <w:t xml:space="preserve"> </w:t>
      </w:r>
      <w:r>
        <w:t xml:space="preserve">a fixed place. The model cannot separate plume disruption from the vigour that also</w:t>
      </w:r>
      <w:r>
        <w:t xml:space="preserve"> </w:t>
      </w:r>
      <w:r>
        <w:t xml:space="preserve">accompanies low density. Host size held as a threshold, not a gradient. Attack peaked at</w:t>
      </w:r>
      <w:r>
        <w:t xml:space="preserve"> </w:t>
      </w:r>
      <w:r>
        <w:t xml:space="preserve">39.7 per cent in the 25 to 30 cm quadratic mean diameter class, the</w:t>
      </w:r>
      <w:r>
        <w:t xml:space="preserve"> </w:t>
      </w:r>
      <w:r>
        <w:t xml:space="preserve">source-sink boundary of</w:t>
      </w:r>
      <w:r>
        <w:t xml:space="preserve"> </w:t>
      </w:r>
      <w:r>
        <w:t xml:space="preserve">Carroll &amp; Safranyik (2004)</w:t>
      </w:r>
      <w:r>
        <w:t xml:space="preserve">, and fell away on both sides. Above that class</w:t>
      </w:r>
      <w:r>
        <w:t xml:space="preserve"> </w:t>
      </w:r>
      <w:r>
        <w:t xml:space="preserve">pine basal area falls from 10.2 to 1.4 square</w:t>
      </w:r>
      <w:r>
        <w:t xml:space="preserve"> </w:t>
      </w:r>
      <w:r>
        <w:t xml:space="preserve">metres per hectare while total basal area rises, as expected of a pioneer, because the</w:t>
      </w:r>
      <w:r>
        <w:t xml:space="preserve"> </w:t>
      </w:r>
      <w:r>
        <w:t xml:space="preserve">larger stands are not pine. The rise across 25 cm is the size threshold, the</w:t>
      </w:r>
      <w:r>
        <w:t xml:space="preserve"> </w:t>
      </w:r>
      <w:r>
        <w:t xml:space="preserve">fall above it host scarcity. Temperature and hydrology failed in reverse. North-facing</w:t>
      </w:r>
      <w:r>
        <w:t xml:space="preserve"> </w:t>
      </w:r>
      <w:r>
        <w:t xml:space="preserve">slopes, which the water-stress mechanism predicts should escape, carried more attack,</w:t>
      </w:r>
      <w:r>
        <w:t xml:space="preserve"> </w:t>
      </w:r>
      <w:r>
        <w:t xml:space="preserve">+0.305. Refugia here were warm, not cool, so terrain wind indices at these</w:t>
      </w:r>
      <w:r>
        <w:t xml:space="preserve"> </w:t>
      </w:r>
      <w:r>
        <w:t xml:space="preserve">elevations partly carry insolation.</w:t>
      </w:r>
    </w:p>
    <w:bookmarkEnd w:id="20"/>
    <w:bookmarkStart w:id="21" w:name="keywords"/>
    <w:p>
      <w:pPr>
        <w:pStyle w:val="Heading1"/>
      </w:pPr>
      <w:r>
        <w:t xml:space="preserve">Keywords</w:t>
      </w:r>
    </w:p>
    <w:p>
      <w:pPr>
        <w:pStyle w:val="FirstParagraph"/>
      </w:pPr>
      <w:r>
        <w:t xml:space="preserve">Dendroctonus ponderosae, forest disturbance, insect outbreaks, Landsat time series,</w:t>
      </w:r>
      <w:r>
        <w:t xml:space="preserve"> </w:t>
      </w:r>
      <w:r>
        <w:t xml:space="preserve">refugia, British Columbia</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(Sambaraju &amp; Goodsman, 2021; Taylor &amp; Carroll, 2003)</w:t>
      </w:r>
      <w:r>
        <w:t xml:space="preserve">. An outbreak never kills a landscape evenly. The patches that</w:t>
      </w:r>
      <w:r>
        <w:t xml:space="preserve"> </w:t>
      </w:r>
      <w:r>
        <w:t xml:space="preserve">survive are the source of structure and seed for the next forest, and they are called</w:t>
      </w:r>
      <w:r>
        <w:t xml:space="preserve"> </w:t>
      </w:r>
      <w:r>
        <w:t xml:space="preserve">disturbance refugia, places buffered from disturbance over time</w:t>
      </w:r>
      <w:r>
        <w:t xml:space="preserve"> </w:t>
      </w:r>
      <w:r>
        <w:t xml:space="preserve">(Krawchuk et al., 2020)</w:t>
      </w:r>
      <w:r>
        <w:t xml:space="preserve">. Finding a</w:t>
      </w:r>
      <w:r>
        <w:t xml:space="preserve"> </w:t>
      </w:r>
      <w:r>
        <w:t xml:space="preserve">refugium is not the same as explaining one. Explanation needs a mechanism that ties survival</w:t>
      </w:r>
      <w:r>
        <w:t xml:space="preserve"> </w:t>
      </w:r>
      <w:r>
        <w:t xml:space="preserve">to something measurable on the ground, such as terrain, soil or the structure of the stand</w:t>
      </w:r>
      <w:r>
        <w:t xml:space="preserve"> </w:t>
      </w:r>
      <w:r>
        <w:t xml:space="preserve">itself</w:t>
      </w:r>
      <w:r>
        <w:t xml:space="preserve"> </w:t>
      </w:r>
      <w:r>
        <w:t xml:space="preserve">(Cartwright, 2018)</w:t>
      </w:r>
      <w:r>
        <w:t xml:space="preserve">.</w:t>
      </w:r>
    </w:p>
    <w:p>
      <w:pPr>
        <w:pStyle w:val="BodyText"/>
      </w:pPr>
      <w:r>
        <w:t xml:space="preserve">Krawchuk et al. (2020)</w:t>
      </w:r>
      <w:r>
        <w:t xml:space="preserve"> </w:t>
      </w:r>
      <w:r>
        <w:t xml:space="preserve">proposed such a mechanism, that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w:t>
      </w:r>
      <w:r>
        <w:t xml:space="preserve">(p. 239). These are treated here as three testable hypotheses.</w:t>
      </w:r>
      <w:r>
        <w:t xml:space="preserve"> </w:t>
      </w:r>
      <w:r>
        <w:t xml:space="preserve">Under H1, topographic shading reduces attack by relieving water stress on cool ground. Under</w:t>
      </w:r>
      <w:r>
        <w:t xml:space="preserve"> </w:t>
      </w:r>
      <w:r>
        <w:t xml:space="preserve">H2, low host density reduces attack by admitting the wind that disperses the aggregation</w:t>
      </w:r>
      <w:r>
        <w:t xml:space="preserve"> </w:t>
      </w:r>
      <w:r>
        <w:t xml:space="preserve">pheromone. Under H3, a scarcity of large-diameter hosts reduces attack by limiting brood</w:t>
      </w:r>
      <w:r>
        <w:t xml:space="preserve"> </w:t>
      </w:r>
      <w:r>
        <w:t xml:space="preserve">production. Two of the three act through terrain, and none has been fitted to a map. Only</w:t>
      </w:r>
      <w:r>
        <w:t xml:space="preserve"> </w:t>
      </w:r>
      <w:r>
        <w:t xml:space="preserve">one of the studies the screen retained enters a wind term, a companion study on this same</w:t>
      </w:r>
      <w:r>
        <w:t xml:space="preserve"> </w:t>
      </w:r>
      <w:r>
        <w:t xml:space="preserve">landscape whose response is conifer regeneration rather than beetle attack</w:t>
      </w:r>
      <w:r>
        <w:t xml:space="preserve"> </w:t>
      </w:r>
      <w:r>
        <w:t xml:space="preserve">(Murphy, Leslie, Wilson, &amp; Banks, 2026)</w:t>
      </w:r>
      <w:r>
        <w:t xml:space="preserve">.</w:t>
      </w:r>
    </w:p>
    <w:p>
      <w:pPr>
        <w:pStyle w:val="BodyText"/>
      </w:pPr>
      <w:r>
        <w:t xml:space="preserve">The wind half is a claim about canopy, not open air.</w:t>
      </w:r>
      <w:r>
        <w:t xml:space="preserve"> </w:t>
      </w:r>
      <w:r>
        <w:t xml:space="preserve">Cartwright (2018)</w:t>
      </w:r>
      <w:r>
        <w:t xml:space="preserve"> </w:t>
      </w:r>
      <w:r>
        <w:t xml:space="preserve">is the one retained study designed</w:t>
      </w:r>
      <w:r>
        <w:t xml:space="preserve"> </w:t>
      </w:r>
      <w:r>
        <w:t xml:space="preserve">to model what controls an insect refugium, and it located refugia in stands of low basal</w:t>
      </w:r>
      <w:r>
        <w:t xml:space="preserve"> </w:t>
      </w:r>
      <w:r>
        <w:t xml:space="preserve">area, reasoning that</w:t>
      </w:r>
      <w:r>
        <w:t xml:space="preserve"> </w:t>
      </w:r>
      <w:r>
        <w:t xml:space="preserve">“thinner stands also increase wind penetration, helping to disperse</w:t>
      </w:r>
      <w:r>
        <w:t xml:space="preserve"> </w:t>
      </w:r>
      <w:r>
        <w:t xml:space="preserve">beetle pheromones and disrupt chemical communications needed to coordinate attacks.”</w:t>
      </w:r>
      <w:r>
        <w:t xml:space="preserve"> </w:t>
      </w:r>
      <w:r>
        <w:t xml:space="preserve">Powell &amp; Bentz (2014)</w:t>
      </w:r>
      <w:r>
        <w:t xml:space="preserve"> </w:t>
      </w:r>
      <w:r>
        <w:t xml:space="preserve">state the converse as the</w:t>
      </w:r>
      <w:r>
        <w:t xml:space="preserve"> </w:t>
      </w:r>
      <w:r>
        <w:t xml:space="preserve">condition for outbreak, that</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has a temperature window. The beetle flies</w:t>
      </w:r>
      <w:r>
        <w:t xml:space="preserve"> </w:t>
      </w:r>
      <w:r>
        <w:t xml:space="preserve">between 19 and 41 degrees C, mostly between 22 and 32, and</w:t>
      </w:r>
      <w:r>
        <w:t xml:space="preserve"> </w:t>
      </w:r>
      <w:r>
        <w:t xml:space="preserve">Safranyik &amp; Carroll (2006)</w:t>
      </w:r>
      <w:r>
        <w:t xml:space="preserve"> </w:t>
      </w:r>
      <w:r>
        <w:t xml:space="preserve">and</w:t>
      </w:r>
      <w:r>
        <w:t xml:space="preserve"> </w:t>
      </w:r>
      <w:r>
        <w:t xml:space="preserve">McCambridge (1971)</w:t>
      </w:r>
      <w:r>
        <w:t xml:space="preserve"> </w:t>
      </w:r>
      <w:r>
        <w:t xml:space="preserve">report that</w:t>
      </w:r>
      <w:r>
        <w:t xml:space="preserve"> </w:t>
      </w:r>
      <w:r>
        <w:t xml:space="preserve">“most flights occur on bright sunny days, and peak flight is in</w:t>
      </w:r>
      <w:r>
        <w:t xml:space="preserve"> </w:t>
      </w:r>
      <w:r>
        <w:t xml:space="preserve">the early to mid afternoon”</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not</w:t>
      </w:r>
      <w:r>
        <w:t xml:space="preserve"> </w:t>
      </w:r>
      <w:r>
        <w:t xml:space="preserve">competing explanations but one bundle. Stand density governs</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&amp; Carroll, 2006)</w:t>
      </w:r>
      <w:r>
        <w:t xml:space="preserve">;</w:t>
      </w:r>
      <w:r>
        <w:t xml:space="preserve"> </w:t>
      </w:r>
      <w:r>
        <w:t xml:space="preserve">Bartos &amp; Amman (1989)</w:t>
      </w:r>
      <w:r>
        <w:t xml:space="preserve"> </w:t>
      </w:r>
      <w:r>
        <w:t xml:space="preserve">set the two halves of that bundle</w:t>
      </w:r>
      <w:r>
        <w:t xml:space="preserve"> </w:t>
      </w:r>
      <w:r>
        <w:t xml:space="preserve">against each other in their own title, microclimate against tree vigour. A third route leads</w:t>
      </w:r>
      <w:r>
        <w:t xml:space="preserve"> </w:t>
      </w:r>
      <w:r>
        <w:t xml:space="preserve">to the same place. Cool sites slow development enough to push the beetle onto a two-year</w:t>
      </w:r>
      <w:r>
        <w:t xml:space="preserve"> </w:t>
      </w:r>
      <w:r>
        <w:t xml:space="preserve">cycle</w:t>
      </w:r>
      <w:r>
        <w:t xml:space="preserve"> </w:t>
      </w:r>
      <w:r>
        <w:t xml:space="preserve">(Sambaraju &amp; Goodsman, 2021)</w:t>
      </w:r>
      <w:r>
        <w:t xml:space="preserve">. So shade and vigour both predict less attack on cool ground, by</w:t>
      </w:r>
      <w:r>
        <w:t xml:space="preserve"> </w:t>
      </w:r>
      <w:r>
        <w:t xml:space="preserve">routes this design cannot separate.</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Billings, Gara, &amp; Johnsey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Raffa, Aukema, Gratton, &amp; Carroll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MacQuarrie, &amp; Carroll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&amp;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Frank, Hahmann, &amp; Giebel, 2014; Davis et al., 2023)</w:t>
      </w:r>
      <w:r>
        <w:t xml:space="preserve">. Nor does the</w:t>
      </w:r>
      <w:r>
        <w:t xml:space="preserve"> </w:t>
      </w:r>
      <w:r>
        <w:t xml:space="preserve">literature state the interval over which wind should be summarised. Wind is therefore taken</w:t>
      </w:r>
      <w:r>
        <w:t xml:space="preserve"> </w:t>
      </w:r>
      <w:r>
        <w:t xml:space="preserve">from station observations of each 16-day period, modified over the terrain with the MicroMet</w:t>
      </w:r>
      <w:r>
        <w:t xml:space="preserve"> </w:t>
      </w:r>
      <w:r>
        <w:t xml:space="preserve">model of</w:t>
      </w:r>
      <w:r>
        <w:t xml:space="preserve"> </w:t>
      </w:r>
      <w:r>
        <w:t xml:space="preserve">Liston &amp; Elder (2006)</w:t>
      </w:r>
      <w:r>
        <w:t xml:space="preserve">, and the response is measured at Landsat’s own 16-day repeat, which is</w:t>
      </w:r>
      <w:r>
        <w:t xml:space="preserve"> </w:t>
      </w:r>
      <w:r>
        <w:t xml:space="preserve">the finest interval the sensor and the flight period share.</w:t>
      </w:r>
    </w:p>
    <w:p>
      <w:pPr>
        <w:pStyle w:val="BodyText"/>
      </w:pPr>
      <w:hyperlink w:anchor="tbl-hypotheses">
        <w:r>
          <w:rPr>
            <w:rStyle w:val="Hyperlink"/>
          </w:rPr>
          <w:t xml:space="preserve">Table 1</w:t>
        </w:r>
      </w:hyperlink>
      <w:r>
        <w:t xml:space="preserve"> </w:t>
      </w:r>
      <w:r>
        <w:t xml:space="preserve">gives the direction expected of each attribute and the reasoning behind it.</w:t>
      </w:r>
      <w:r>
        <w:t xml:space="preserve"> </w:t>
      </w:r>
      <w:r>
        <w:t xml:space="preserve">This study asks five questions. Does stand density predict moderate-to-high disturbance, as</w:t>
      </w:r>
      <w:r>
        <w:t xml:space="preserve"> </w:t>
      </w:r>
      <w:r>
        <w:t xml:space="preserve">the pheromone mechanism requires? Does topographic shading predict it, against the competing</w:t>
      </w:r>
      <w:r>
        <w:t xml:space="preserve"> </w:t>
      </w:r>
      <w:r>
        <w:t xml:space="preserve">microclimate and adaptive-seasonality arguments? Does terrain shape predict it once density</w:t>
      </w:r>
      <w:r>
        <w:t xml:space="preserve"> </w:t>
      </w:r>
      <w:r>
        <w:t xml:space="preserve">and radiation are already in the model? Is the density effect conditional on wind, which is</w:t>
      </w:r>
      <w:r>
        <w:t xml:space="preserve"> </w:t>
      </w:r>
      <w:r>
        <w:t xml:space="preserve">the form the mechanism actually takes?</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1: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(Cartwright, 2018; Krawchuk et al., 2020; Powell &amp; Bentz, 2014)</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&amp;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&amp;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&amp;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Shegelski, Marculis, Wijerathna, &amp; Evenden,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&amp; Goodsman, 2021)</w:t>
                  </w:r>
                  <w:r>
                    <w:rPr>
                      <w:sz w:val="16"/>
                      <w:szCs w:val="16"/>
                    </w:rPr>
                    <w:t xml:space="preserve">.</w:t>
                  </w:r>
                </w:p>
              </w:tc>
            </w:tr>
          </w:tbl>
          <w:bookmarkEnd w:id="22"/>
          <w:p/>
        </w:tc>
      </w:tr>
    </w:tbl>
    <w:bookmarkEnd w:id="23"/>
    <w:bookmarkStart w:id="45" w:name="materials"/>
    <w:p>
      <w:pPr>
        <w:pStyle w:val="Heading1"/>
      </w:pPr>
      <w:r>
        <w:t xml:space="preserve">2. Materials</w:t>
      </w:r>
    </w:p>
    <w:bookmarkStart w:id="29" w:name="study-area"/>
    <w:p>
      <w:pPr>
        <w:pStyle w:val="Heading2"/>
      </w:pPr>
      <w:r>
        <w:t xml:space="preserve">2.1 Study area</w:t>
      </w:r>
    </w:p>
    <w:p>
      <w:pPr>
        <w:pStyle w:val="FirstParagraph"/>
      </w:pPr>
      <w:hyperlink w:anchor="tbl-inventory">
        <w:r>
          <w:rPr>
            <w:rStyle w:val="Hyperlink"/>
          </w:rPr>
          <w:t xml:space="preserve">Table 2</w:t>
        </w:r>
      </w:hyperlink>
      <w:r>
        <w:t xml:space="preserve"> </w:t>
      </w:r>
      <w:r>
        <w:t xml:space="preserve">sets out the datasets this study combines and the resolution of each. The</w:t>
      </w:r>
      <w:r>
        <w:t xml:space="preserve"> </w:t>
      </w:r>
      <w:r>
        <w:t xml:space="preserve">asymmetry it shows is the one the analysis depends on. The response varies every sixteen</w:t>
      </w:r>
      <w:r>
        <w:t xml:space="preserve"> </w:t>
      </w:r>
      <w:r>
        <w:t xml:space="preserve">days, the inventory once a year, the station wind every hour, and the terrain not at all.</w:t>
      </w:r>
    </w:p>
    <w:tbl>
      <w:tblPr>
        <w:tblStyle w:val="Table"/>
        <w:tblW w:type="pct" w:w="5000"/>
        <w:tblLayout w:type="fixed"/>
        <w:tblLook w:firstRow="0" w:lastRow="0" w:firstColumn="0" w:lastColumn="0" w:noHBand="0" w:noVBand="0" w:val="0000"/>
      </w:tblPr>
      <w:tblGrid>
        <w:gridCol w:w="7920"/>
      </w:tblGrid>
      <w:tr>
        <w:tc>
          <w:tcPr/>
          <w:bookmarkStart w:id="24" w:name="tbl-inventory"/>
          <w:p>
            <w:pPr>
              <w:jc w:val="center"/>
            </w:pPr>
            <w:pPr>
              <w:jc w:val="start"/>
              <w:spacing w:before="200"/>
              <w:pStyle w:val="ImageCaption"/>
            </w:pPr>
            <w:r>
              <w:t xml:space="preserve">Table 2: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depends on.</w:t>
            </w:r>
          </w:p>
          <w:tbl>
            <w:tblPr>
              <w:tblStyle w:val="Table"/>
              <w:tblLook w:firstRow="1" w:lastRow="0" w:firstColumn="0" w:lastColumn="0" w:noHBand="0" w:noVBand="0" w:val="0020"/>
              <w:tblW w:w="9354" w:type="dxa"/>
              <w:tblLayout w:type="fixed"/>
            </w:tblPr>
            <w:tblGrid>
              <w:gridCol w:w="1018"/>
              <w:gridCol w:w="1772"/>
              <w:gridCol w:w="2414"/>
              <w:gridCol w:w="1056"/>
              <w:gridCol w:w="1170"/>
              <w:gridCol w:w="1056"/>
              <w:gridCol w:w="868"/>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8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59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9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not built</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111,707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2006-2014, excluding 2012</w:t>
                  </w:r>
                </w:p>
              </w:tc>
              <w:tc>
                <w:tcPr/>
                <w:p>
                  <w:pPr>
                    <w:pStyle w:val="Compact"/>
                    <w:jc w:val="left"/>
                    <w:rPr>
                      <w:sz w:val="16"/>
                      <w:szCs w:val="16"/>
                    </w:rPr>
                  </w:pPr>
                  <w:r>
                    <w:rPr>
                      <w:sz w:val="16"/>
                      <w:szCs w:val="16"/>
                    </w:rPr>
                    <w:t xml:space="preserve">66,302 cell-epochs</w:t>
                  </w:r>
                </w:p>
              </w:tc>
            </w:tr>
          </w:tbl>
          <w:bookmarkEnd w:id="24"/>
          <w:p/>
        </w:tc>
      </w:tr>
    </w:tbl>
    <w:p>
      <w:pPr>
        <w:pStyle w:val="BodyText"/>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Murphy et al. (2026)</w:t>
      </w:r>
      <w:r>
        <w:t xml:space="preserve"> </w:t>
      </w:r>
      <w:r>
        <w:t xml:space="preserve">report that</w:t>
      </w:r>
      <w:r>
        <w:t xml:space="preserve"> </w:t>
      </w:r>
      <w:r>
        <w:t xml:space="preserve">“All</w:t>
      </w:r>
      <w:r>
        <w:t xml:space="preserve"> </w:t>
      </w:r>
      <w:r>
        <w:t xml:space="preserve">disturbance and covariate rasters were aligned to a common 30 m grid in EPSG:3153, the</w:t>
      </w:r>
      <w:r>
        <w:t xml:space="preserve"> </w:t>
      </w:r>
      <w:r>
        <w:t xml:space="preserve">native resolution of the Landsat-derived dNBR and dNDMI products”</w:t>
      </w:r>
      <w:r>
        <w:t xml:space="preserve">, and that</w:t>
      </w:r>
      <w:r>
        <w:t xml:space="preserve"> </w:t>
      </w:r>
      <w:r>
        <w:t xml:space="preserve">“The plot anchor</w:t>
      </w:r>
      <w:r>
        <w:t xml:space="preserve"> </w:t>
      </w:r>
      <w:r>
        <w:t xml:space="preserve">was georeferenced with a handheld GPS receiver in EPSG:3153”</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extends beyond that hard boundary, because 480 ha does not contain the stand-density</w:t>
      </w:r>
      <w:r>
        <w:t xml:space="preserve"> </w:t>
      </w:r>
      <w:r>
        <w:t xml:space="preserve">contrast the pheromone mechanism requires. The extension is not arbitrary. The perimeter is</w:t>
      </w:r>
      <w:r>
        <w:t xml:space="preserve"> </w:t>
      </w:r>
      <w:r>
        <w:t xml:space="preserve">the 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8" w:name="fig-study-area"/>
          <w:p>
            <w:pPr>
              <w:pStyle w:val="Compact"/>
              <w:jc w:val="center"/>
            </w:pPr>
            <w:r>
              <w:drawing>
                <wp:inline>
                  <wp:extent cx="5943600" cy="6656832"/>
                  <wp:effectExtent b="0" l="0" r="0" t="0"/>
                  <wp:docPr descr="" title="" id="26" name="Picture"/>
                  <a:graphic>
                    <a:graphicData uri="http://schemas.openxmlformats.org/drawingml/2006/picture">
                      <pic:pic>
                        <pic:nvPicPr>
                          <pic:cNvPr descr="beetle-topography-wind-study-vri-timeseries_files/figure-docx/fig-study-area-1.png" id="27" name="Picture"/>
                          <pic:cNvPicPr>
                            <a:picLocks noChangeArrowheads="1" noChangeAspect="1"/>
                          </pic:cNvPicPr>
                        </pic:nvPicPr>
                        <pic:blipFill>
                          <a:blip r:embed="rId25"/>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has its own north arrow and the same numerical scale, 1:150,000, which is correct at a printed panel width of 66 mm.</w:t>
            </w:r>
          </w:p>
          <w:bookmarkEnd w:id="28"/>
        </w:tc>
      </w:tr>
    </w:tbl>
    <w:bookmarkEnd w:id="29"/>
    <w:bookmarkStart w:id="31"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eight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4.9 to 19.2 per</w:t>
      </w:r>
      <w:r>
        <w:t xml:space="preserve"> </w:t>
      </w:r>
      <w:r>
        <w:t xml:space="preserve">cent, pooled 12.9 per cent over 111,707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30"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13,224</w:t>
                  </w:r>
                </w:p>
              </w:tc>
              <w:tc>
                <w:tcPr/>
                <w:p>
                  <w:pPr>
                    <w:pStyle w:val="Compact"/>
                    <w:jc w:val="left"/>
                    <w:rPr>
                      <w:sz w:val="16"/>
                      <w:szCs w:val="16"/>
                    </w:rPr>
                  </w:pPr>
                  <w:r>
                    <w:rPr>
                      <w:sz w:val="16"/>
                      <w:szCs w:val="16"/>
                    </w:rPr>
                    <w:t xml:space="preserve">4.9</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13,225</w:t>
                  </w:r>
                </w:p>
              </w:tc>
              <w:tc>
                <w:tcPr/>
                <w:p>
                  <w:pPr>
                    <w:pStyle w:val="Compact"/>
                    <w:jc w:val="left"/>
                    <w:rPr>
                      <w:sz w:val="16"/>
                      <w:szCs w:val="16"/>
                    </w:rPr>
                  </w:pPr>
                  <w:r>
                    <w:rPr>
                      <w:sz w:val="16"/>
                      <w:szCs w:val="16"/>
                    </w:rPr>
                    <w:t xml:space="preserve">6.0</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13,285</w:t>
                  </w:r>
                </w:p>
              </w:tc>
              <w:tc>
                <w:tcPr/>
                <w:p>
                  <w:pPr>
                    <w:pStyle w:val="Compact"/>
                    <w:jc w:val="left"/>
                    <w:rPr>
                      <w:sz w:val="16"/>
                      <w:szCs w:val="16"/>
                    </w:rPr>
                  </w:pPr>
                  <w:r>
                    <w:rPr>
                      <w:sz w:val="16"/>
                      <w:szCs w:val="16"/>
                    </w:rPr>
                    <w:t xml:space="preserve">19.2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13,556</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13,538</w:t>
                  </w:r>
                </w:p>
              </w:tc>
              <w:tc>
                <w:tcPr/>
                <w:p>
                  <w:pPr>
                    <w:pStyle w:val="Compact"/>
                    <w:jc w:val="left"/>
                    <w:rPr>
                      <w:sz w:val="16"/>
                      <w:szCs w:val="16"/>
                    </w:rPr>
                  </w:pPr>
                  <w:r>
                    <w:rPr>
                      <w:sz w:val="16"/>
                      <w:szCs w:val="16"/>
                    </w:rPr>
                    <w:t xml:space="preserve">16.5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14,944</w:t>
                  </w:r>
                </w:p>
              </w:tc>
              <w:tc>
                <w:tcPr/>
                <w:p>
                  <w:pPr>
                    <w:pStyle w:val="Compact"/>
                    <w:jc w:val="left"/>
                    <w:rPr>
                      <w:sz w:val="16"/>
                      <w:szCs w:val="16"/>
                    </w:rPr>
                  </w:pPr>
                  <w:r>
                    <w:rPr>
                      <w:sz w:val="16"/>
                      <w:szCs w:val="16"/>
                    </w:rPr>
                    <w:t xml:space="preserve">13.5</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14,943</w:t>
                  </w:r>
                </w:p>
              </w:tc>
              <w:tc>
                <w:tcPr/>
                <w:p>
                  <w:pPr>
                    <w:pStyle w:val="Compact"/>
                    <w:jc w:val="left"/>
                    <w:rPr>
                      <w:sz w:val="16"/>
                      <w:szCs w:val="16"/>
                    </w:rPr>
                  </w:pPr>
                  <w:r>
                    <w:rPr>
                      <w:sz w:val="16"/>
                      <w:szCs w:val="16"/>
                    </w:rPr>
                    <w:t xml:space="preserve">14.4</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14,992</w:t>
                  </w:r>
                </w:p>
              </w:tc>
              <w:tc>
                <w:tcPr/>
                <w:p>
                  <w:pPr>
                    <w:pStyle w:val="Compact"/>
                    <w:jc w:val="left"/>
                    <w:rPr>
                      <w:sz w:val="16"/>
                      <w:szCs w:val="16"/>
                    </w:rPr>
                  </w:pPr>
                  <w:r>
                    <w:rPr>
                      <w:sz w:val="16"/>
                      <w:szCs w:val="16"/>
                    </w:rPr>
                    <w:t xml:space="preserve">15.2</w:t>
                  </w:r>
                </w:p>
              </w:tc>
            </w:tr>
          </w:tbl>
          <w:bookmarkEnd w:id="30"/>
          <w:p/>
        </w:tc>
      </w:tr>
    </w:tbl>
    <w:bookmarkEnd w:id="31"/>
    <w:bookmarkStart w:id="33"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cover the mechanism and the stem-size threshold. These are total basal area, crown closure,</w:t>
      </w:r>
      <w:r>
        <w:t xml:space="preserve"> </w:t>
      </w:r>
      <w:r>
        <w:t xml:space="preserve">live stems per hectare, quadratic mean diameter over stems 12.5 cm and up, stand age, and</w:t>
      </w:r>
      <w:r>
        <w:t xml:space="preserve"> </w:t>
      </w:r>
      <w:r>
        <w:t xml:space="preserve">susceptible pine basal area formed as total basal area times the pine share of cover.</w:t>
      </w:r>
    </w:p>
    <w:p>
      <w:pPr>
        <w:pStyle w:val="BodyText"/>
      </w:pPr>
      <w:r>
        <w:t xml:space="preserve">Every model is fitted on year-matched stand structure. Each cell-year takes the inventory</w:t>
      </w:r>
      <w:r>
        <w:t xml:space="preserve"> </w:t>
      </w:r>
      <w:r>
        <w:t xml:space="preserve">snapshot the province published for that year, depleted for harvest and projected for growth</w:t>
      </w:r>
      <w:r>
        <w:t xml:space="preserve"> </w:t>
      </w:r>
      <w:r>
        <w:t xml:space="preserve">to it, so the host terms vary in time as well as in space.</w:t>
      </w:r>
    </w:p>
    <w:p>
      <w:pPr>
        <w:pStyle w:val="BodyText"/>
      </w:pPr>
      <w:r>
        <w:t xml:space="preserve">One year is substituted. The 2007 delivery lists basal area and live stems as columns and fills neither, 0 and 3 per cent of polygons against 70 to 97 per cent in every other year, so the preceding year is carried forward rather than averaged. The inventory is itself a projection, so carrying forward reproduces a stand structure the province published, where averaging would invent one it did not.</w:t>
      </w:r>
    </w:p>
    <w:p>
      <w:pPr>
        <w:pStyle w:val="BodyText"/>
      </w:pPr>
      <w:r>
        <w:t xml:space="preserve">67.1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2"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35.56</w:t>
                  </w:r>
                </w:p>
              </w:tc>
              <w:tc>
                <w:tcPr/>
                <w:p>
                  <w:pPr>
                    <w:pStyle w:val="Compact"/>
                    <w:jc w:val="left"/>
                    <w:rPr>
                      <w:sz w:val="16"/>
                      <w:szCs w:val="16"/>
                    </w:rPr>
                  </w:pPr>
                  <w:r>
                    <w:rPr>
                      <w:sz w:val="16"/>
                      <w:szCs w:val="16"/>
                    </w:rPr>
                    <w:t xml:space="preserve">11.60</w:t>
                  </w:r>
                </w:p>
              </w:tc>
              <w:tc>
                <w:tcPr/>
                <w:p>
                  <w:pPr>
                    <w:pStyle w:val="Compact"/>
                    <w:jc w:val="left"/>
                    <w:rPr>
                      <w:sz w:val="16"/>
                      <w:szCs w:val="16"/>
                    </w:rPr>
                  </w:pPr>
                  <w:r>
                    <w:rPr>
                      <w:sz w:val="16"/>
                      <w:szCs w:val="16"/>
                    </w:rPr>
                    <w:t xml:space="preserve">0.035</w:t>
                  </w:r>
                </w:p>
              </w:tc>
              <w:tc>
                <w:tcPr/>
                <w:p>
                  <w:pPr>
                    <w:pStyle w:val="Compact"/>
                    <w:jc w:val="left"/>
                    <w:rPr>
                      <w:sz w:val="16"/>
                      <w:szCs w:val="16"/>
                    </w:rPr>
                  </w:pPr>
                  <w:r>
                    <w:rPr>
                      <w:sz w:val="16"/>
                      <w:szCs w:val="16"/>
                    </w:rPr>
                    <w:t xml:space="preserve">37.39</w:t>
                  </w:r>
                </w:p>
              </w:tc>
              <w:tc>
                <w:tcPr/>
                <w:p>
                  <w:pPr>
                    <w:pStyle w:val="Compact"/>
                    <w:jc w:val="left"/>
                    <w:rPr>
                      <w:sz w:val="16"/>
                      <w:szCs w:val="16"/>
                    </w:rPr>
                  </w:pPr>
                  <w:r>
                    <w:rPr>
                      <w:sz w:val="16"/>
                      <w:szCs w:val="16"/>
                    </w:rPr>
                    <w:t xml:space="preserve">0.98</w:t>
                  </w:r>
                </w:p>
              </w:tc>
              <w:tc>
                <w:tcPr/>
                <w:p>
                  <w:pPr>
                    <w:pStyle w:val="Compact"/>
                    <w:jc w:val="left"/>
                    <w:rPr>
                      <w:sz w:val="16"/>
                      <w:szCs w:val="16"/>
                    </w:rPr>
                  </w:pPr>
                  <w:r>
                    <w:rPr>
                      <w:sz w:val="16"/>
                      <w:szCs w:val="16"/>
                    </w:rPr>
                    <w:t xml:space="preserve">62.43</w:t>
                  </w:r>
                </w:p>
              </w:tc>
              <w:tc>
                <w:tcPr/>
                <w:p>
                  <w:pPr>
                    <w:pStyle w:val="Compact"/>
                    <w:jc w:val="left"/>
                    <w:rPr>
                      <w:sz w:val="16"/>
                      <w:szCs w:val="16"/>
                    </w:rPr>
                  </w:pPr>
                  <w:r>
                    <w:rPr>
                      <w:sz w:val="16"/>
                      <w:szCs w:val="16"/>
                    </w:rPr>
                    <w:t xml:space="preserve">-1.01</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50.10</w:t>
                  </w:r>
                </w:p>
              </w:tc>
              <w:tc>
                <w:tcPr/>
                <w:p>
                  <w:pPr>
                    <w:pStyle w:val="Compact"/>
                    <w:jc w:val="left"/>
                    <w:rPr>
                      <w:sz w:val="16"/>
                      <w:szCs w:val="16"/>
                    </w:rPr>
                  </w:pPr>
                  <w:r>
                    <w:rPr>
                      <w:sz w:val="16"/>
                      <w:szCs w:val="16"/>
                    </w:rPr>
                    <w:t xml:space="preserve">13.54</w:t>
                  </w:r>
                </w:p>
              </w:tc>
              <w:tc>
                <w:tcPr/>
                <w:p>
                  <w:pPr>
                    <w:pStyle w:val="Compact"/>
                    <w:jc w:val="left"/>
                    <w:rPr>
                      <w:sz w:val="16"/>
                      <w:szCs w:val="16"/>
                    </w:rPr>
                  </w:pPr>
                  <w:r>
                    <w:rPr>
                      <w:sz w:val="16"/>
                      <w:szCs w:val="16"/>
                    </w:rPr>
                    <w:t xml:space="preserve">0.041</w:t>
                  </w:r>
                </w:p>
              </w:tc>
              <w:tc>
                <w:tcPr/>
                <w:p>
                  <w:pPr>
                    <w:pStyle w:val="Compact"/>
                    <w:jc w:val="left"/>
                    <w:rPr>
                      <w:sz w:val="16"/>
                      <w:szCs w:val="16"/>
                    </w:rPr>
                  </w:pPr>
                  <w:r>
                    <w:rPr>
                      <w:sz w:val="16"/>
                      <w:szCs w:val="16"/>
                    </w:rPr>
                    <w:t xml:space="preserve">50.00</w:t>
                  </w:r>
                </w:p>
              </w:tc>
              <w:tc>
                <w:tcPr/>
                <w:p>
                  <w:pPr>
                    <w:pStyle w:val="Compact"/>
                    <w:jc w:val="left"/>
                    <w:rPr>
                      <w:sz w:val="16"/>
                      <w:szCs w:val="16"/>
                    </w:rPr>
                  </w:pPr>
                  <w:r>
                    <w:rPr>
                      <w:sz w:val="16"/>
                      <w:szCs w:val="16"/>
                    </w:rPr>
                    <w:t xml:space="preserve">3.00</w:t>
                  </w:r>
                </w:p>
              </w:tc>
              <w:tc>
                <w:tcPr/>
                <w:p>
                  <w:pPr>
                    <w:pStyle w:val="Compact"/>
                    <w:jc w:val="left"/>
                    <w:rPr>
                      <w:sz w:val="16"/>
                      <w:szCs w:val="16"/>
                    </w:rPr>
                  </w:pPr>
                  <w:r>
                    <w:rPr>
                      <w:sz w:val="16"/>
                      <w:szCs w:val="16"/>
                    </w:rPr>
                    <w:t xml:space="preserve">70.00</w:t>
                  </w:r>
                </w:p>
              </w:tc>
              <w:tc>
                <w:tcPr/>
                <w:p>
                  <w:pPr>
                    <w:pStyle w:val="Compact"/>
                    <w:jc w:val="left"/>
                    <w:rPr>
                      <w:sz w:val="16"/>
                      <w:szCs w:val="16"/>
                    </w:rPr>
                  </w:pPr>
                  <w:r>
                    <w:rPr>
                      <w:sz w:val="16"/>
                      <w:szCs w:val="16"/>
                    </w:rPr>
                    <w:t xml:space="preserve">-1.74</w:t>
                  </w:r>
                </w:p>
              </w:tc>
              <w:tc>
                <w:tcPr/>
                <w:p>
                  <w:pPr>
                    <w:pStyle w:val="Compact"/>
                    <w:jc w:val="left"/>
                    <w:rPr>
                      <w:sz w:val="16"/>
                      <w:szCs w:val="16"/>
                    </w:rPr>
                  </w:pPr>
                  <w:r>
                    <w:rPr>
                      <w:sz w:val="16"/>
                      <w:szCs w:val="16"/>
                    </w:rPr>
                    <w:t xml:space="preserve">+3.37</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772.75</w:t>
                  </w:r>
                </w:p>
              </w:tc>
              <w:tc>
                <w:tcPr/>
                <w:p>
                  <w:pPr>
                    <w:pStyle w:val="Compact"/>
                    <w:jc w:val="left"/>
                    <w:rPr>
                      <w:sz w:val="16"/>
                      <w:szCs w:val="16"/>
                    </w:rPr>
                  </w:pPr>
                  <w:r>
                    <w:rPr>
                      <w:sz w:val="16"/>
                      <w:szCs w:val="16"/>
                    </w:rPr>
                    <w:t xml:space="preserve">312.80</w:t>
                  </w:r>
                </w:p>
              </w:tc>
              <w:tc>
                <w:tcPr/>
                <w:p>
                  <w:pPr>
                    <w:pStyle w:val="Compact"/>
                    <w:jc w:val="left"/>
                    <w:rPr>
                      <w:sz w:val="16"/>
                      <w:szCs w:val="16"/>
                    </w:rPr>
                  </w:pPr>
                  <w:r>
                    <w:rPr>
                      <w:sz w:val="16"/>
                      <w:szCs w:val="16"/>
                    </w:rPr>
                    <w:t xml:space="preserve">0.936</w:t>
                  </w:r>
                </w:p>
              </w:tc>
              <w:tc>
                <w:tcPr/>
                <w:p>
                  <w:pPr>
                    <w:pStyle w:val="Compact"/>
                    <w:jc w:val="left"/>
                    <w:rPr>
                      <w:sz w:val="16"/>
                      <w:szCs w:val="16"/>
                    </w:rPr>
                  </w:pPr>
                  <w:r>
                    <w:rPr>
                      <w:sz w:val="16"/>
                      <w:szCs w:val="16"/>
                    </w:rPr>
                    <w:t xml:space="preserve">775.00</w:t>
                  </w:r>
                </w:p>
              </w:tc>
              <w:tc>
                <w:tcPr/>
                <w:p>
                  <w:pPr>
                    <w:pStyle w:val="Compact"/>
                    <w:jc w:val="left"/>
                    <w:rPr>
                      <w:sz w:val="16"/>
                      <w:szCs w:val="16"/>
                    </w:rPr>
                  </w:pPr>
                  <w:r>
                    <w:rPr>
                      <w:sz w:val="16"/>
                      <w:szCs w:val="16"/>
                    </w:rPr>
                    <w:t xml:space="preserve">23.00</w:t>
                  </w:r>
                </w:p>
              </w:tc>
              <w:tc>
                <w:tcPr/>
                <w:p>
                  <w:pPr>
                    <w:pStyle w:val="Compact"/>
                    <w:jc w:val="left"/>
                    <w:rPr>
                      <w:sz w:val="16"/>
                      <w:szCs w:val="16"/>
                    </w:rPr>
                  </w:pPr>
                  <w:r>
                    <w:rPr>
                      <w:sz w:val="16"/>
                      <w:szCs w:val="16"/>
                    </w:rPr>
                    <w:t xml:space="preserve">4600.00</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+19.51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27.38</w:t>
                  </w:r>
                </w:p>
              </w:tc>
              <w:tc>
                <w:tcPr/>
                <w:p>
                  <w:pPr>
                    <w:pStyle w:val="Compact"/>
                    <w:jc w:val="left"/>
                    <w:rPr>
                      <w:sz w:val="16"/>
                      <w:szCs w:val="16"/>
                    </w:rPr>
                  </w:pPr>
                  <w:r>
                    <w:rPr>
                      <w:sz w:val="16"/>
                      <w:szCs w:val="16"/>
                    </w:rPr>
                    <w:t xml:space="preserve">6.40</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26.95</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58.90</w:t>
                  </w:r>
                </w:p>
              </w:tc>
              <w:tc>
                <w:tcPr/>
                <w:p>
                  <w:pPr>
                    <w:pStyle w:val="Compact"/>
                    <w:jc w:val="left"/>
                    <w:rPr>
                      <w:sz w:val="16"/>
                      <w:szCs w:val="16"/>
                    </w:rPr>
                  </w:pPr>
                  <w:r>
                    <w:rPr>
                      <w:sz w:val="16"/>
                      <w:szCs w:val="16"/>
                    </w:rPr>
                    <w:t xml:space="preserve">+0.73</w:t>
                  </w:r>
                </w:p>
              </w:tc>
              <w:tc>
                <w:tcPr/>
                <w:p>
                  <w:pPr>
                    <w:pStyle w:val="Compact"/>
                    <w:jc w:val="left"/>
                    <w:rPr>
                      <w:sz w:val="16"/>
                      <w:szCs w:val="16"/>
                    </w:rPr>
                  </w:pPr>
                  <w:r>
                    <w:rPr>
                      <w:sz w:val="16"/>
                      <w:szCs w:val="16"/>
                    </w:rPr>
                    <w:t xml:space="preserve">+1.24</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115.46</w:t>
                  </w:r>
                </w:p>
              </w:tc>
              <w:tc>
                <w:tcPr/>
                <w:p>
                  <w:pPr>
                    <w:pStyle w:val="Compact"/>
                    <w:jc w:val="left"/>
                    <w:rPr>
                      <w:sz w:val="16"/>
                      <w:szCs w:val="16"/>
                    </w:rPr>
                  </w:pPr>
                  <w:r>
                    <w:rPr>
                      <w:sz w:val="16"/>
                      <w:szCs w:val="16"/>
                    </w:rPr>
                    <w:t xml:space="preserve">20.88</w:t>
                  </w:r>
                </w:p>
              </w:tc>
              <w:tc>
                <w:tcPr/>
                <w:p>
                  <w:pPr>
                    <w:pStyle w:val="Compact"/>
                    <w:jc w:val="left"/>
                    <w:rPr>
                      <w:sz w:val="16"/>
                      <w:szCs w:val="16"/>
                    </w:rPr>
                  </w:pPr>
                  <w:r>
                    <w:rPr>
                      <w:sz w:val="16"/>
                      <w:szCs w:val="16"/>
                    </w:rPr>
                    <w:t xml:space="preserve">0.062</w:t>
                  </w:r>
                </w:p>
              </w:tc>
              <w:tc>
                <w:tcPr/>
                <w:p>
                  <w:pPr>
                    <w:pStyle w:val="Compact"/>
                    <w:jc w:val="left"/>
                    <w:rPr>
                      <w:sz w:val="16"/>
                      <w:szCs w:val="16"/>
                    </w:rPr>
                  </w:pPr>
                  <w:r>
                    <w:rPr>
                      <w:sz w:val="16"/>
                      <w:szCs w:val="16"/>
                    </w:rPr>
                    <w:t xml:space="preserve">116.00</w:t>
                  </w:r>
                </w:p>
              </w:tc>
              <w:tc>
                <w:tcPr/>
                <w:p>
                  <w:pPr>
                    <w:pStyle w:val="Compact"/>
                    <w:jc w:val="left"/>
                    <w:rPr>
                      <w:sz w:val="16"/>
                      <w:szCs w:val="16"/>
                    </w:rPr>
                  </w:pPr>
                  <w:r>
                    <w:rPr>
                      <w:sz w:val="16"/>
                      <w:szCs w:val="16"/>
                    </w:rPr>
                    <w:t xml:space="preserve">22.00</w:t>
                  </w:r>
                </w:p>
              </w:tc>
              <w:tc>
                <w:tcPr/>
                <w:p>
                  <w:pPr>
                    <w:pStyle w:val="Compact"/>
                    <w:jc w:val="left"/>
                    <w:rPr>
                      <w:sz w:val="16"/>
                      <w:szCs w:val="16"/>
                    </w:rPr>
                  </w:pPr>
                  <w:r>
                    <w:rPr>
                      <w:sz w:val="16"/>
                      <w:szCs w:val="16"/>
                    </w:rPr>
                    <w:t xml:space="preserve">237.00</w:t>
                  </w:r>
                </w:p>
              </w:tc>
              <w:tc>
                <w:tcPr/>
                <w:p>
                  <w:pPr>
                    <w:pStyle w:val="Compact"/>
                    <w:jc w:val="left"/>
                    <w:rPr>
                      <w:sz w:val="16"/>
                      <w:szCs w:val="16"/>
                    </w:rPr>
                  </w:pPr>
                  <w:r>
                    <w:rPr>
                      <w:sz w:val="16"/>
                      <w:szCs w:val="16"/>
                    </w:rPr>
                    <w:t xml:space="preserve">-0.78</w:t>
                  </w:r>
                </w:p>
              </w:tc>
              <w:tc>
                <w:tcPr/>
                <w:p>
                  <w:pPr>
                    <w:pStyle w:val="Compact"/>
                    <w:jc w:val="left"/>
                    <w:rPr>
                      <w:sz w:val="16"/>
                      <w:szCs w:val="16"/>
                    </w:rPr>
                  </w:pPr>
                  <w:r>
                    <w:rPr>
                      <w:sz w:val="16"/>
                      <w:szCs w:val="16"/>
                    </w:rPr>
                    <w:t xml:space="preserve">+1.97</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26.97</w:t>
                  </w:r>
                </w:p>
              </w:tc>
              <w:tc>
                <w:tcPr/>
                <w:p>
                  <w:pPr>
                    <w:pStyle w:val="Compact"/>
                    <w:jc w:val="left"/>
                    <w:rPr>
                      <w:sz w:val="16"/>
                      <w:szCs w:val="16"/>
                    </w:rPr>
                  </w:pPr>
                  <w:r>
                    <w:rPr>
                      <w:sz w:val="16"/>
                      <w:szCs w:val="16"/>
                    </w:rPr>
                    <w:t xml:space="preserve">6.27</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27.90</w:t>
                  </w:r>
                </w:p>
              </w:tc>
              <w:tc>
                <w:tcPr/>
                <w:p>
                  <w:pPr>
                    <w:pStyle w:val="Compact"/>
                    <w:jc w:val="left"/>
                    <w:rPr>
                      <w:sz w:val="16"/>
                      <w:szCs w:val="16"/>
                    </w:rPr>
                  </w:pPr>
                  <w:r>
                    <w:rPr>
                      <w:sz w:val="16"/>
                      <w:szCs w:val="16"/>
                    </w:rPr>
                    <w:t xml:space="preserve">7.00</w:t>
                  </w:r>
                </w:p>
              </w:tc>
              <w:tc>
                <w:tcPr/>
                <w:p>
                  <w:pPr>
                    <w:pStyle w:val="Compact"/>
                    <w:jc w:val="left"/>
                    <w:rPr>
                      <w:sz w:val="16"/>
                      <w:szCs w:val="16"/>
                    </w:rPr>
                  </w:pPr>
                  <w:r>
                    <w:rPr>
                      <w:sz w:val="16"/>
                      <w:szCs w:val="16"/>
                    </w:rPr>
                    <w:t xml:space="preserve">40.30</w:t>
                  </w:r>
                </w:p>
              </w:tc>
              <w:tc>
                <w:tcPr/>
                <w:p>
                  <w:pPr>
                    <w:pStyle w:val="Compact"/>
                    <w:jc w:val="left"/>
                    <w:rPr>
                      <w:sz w:val="16"/>
                      <w:szCs w:val="16"/>
                    </w:rPr>
                  </w:pPr>
                  <w:r>
                    <w:rPr>
                      <w:sz w:val="16"/>
                      <w:szCs w:val="16"/>
                    </w:rPr>
                    <w:t xml:space="preserve">-0.26</w:t>
                  </w:r>
                </w:p>
              </w:tc>
              <w:tc>
                <w:tcPr/>
                <w:p>
                  <w:pPr>
                    <w:pStyle w:val="Compact"/>
                    <w:jc w:val="left"/>
                    <w:rPr>
                      <w:sz w:val="16"/>
                      <w:szCs w:val="16"/>
                    </w:rPr>
                  </w:pPr>
                  <w:r>
                    <w:rPr>
                      <w:sz w:val="16"/>
                      <w:szCs w:val="16"/>
                    </w:rPr>
                    <w:t xml:space="preserve">+0.23</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272.33</w:t>
                  </w:r>
                </w:p>
              </w:tc>
              <w:tc>
                <w:tcPr/>
                <w:p>
                  <w:pPr>
                    <w:pStyle w:val="Compact"/>
                    <w:jc w:val="left"/>
                    <w:rPr>
                      <w:sz w:val="16"/>
                      <w:szCs w:val="16"/>
                    </w:rPr>
                  </w:pPr>
                  <w:r>
                    <w:rPr>
                      <w:sz w:val="16"/>
                      <w:szCs w:val="16"/>
                    </w:rPr>
                    <w:t xml:space="preserve">131.38</w:t>
                  </w:r>
                </w:p>
              </w:tc>
              <w:tc>
                <w:tcPr/>
                <w:p>
                  <w:pPr>
                    <w:pStyle w:val="Compact"/>
                    <w:jc w:val="left"/>
                    <w:rPr>
                      <w:sz w:val="16"/>
                      <w:szCs w:val="16"/>
                    </w:rPr>
                  </w:pPr>
                  <w:r>
                    <w:rPr>
                      <w:sz w:val="16"/>
                      <w:szCs w:val="16"/>
                    </w:rPr>
                    <w:t xml:space="preserve">0.393</w:t>
                  </w:r>
                </w:p>
              </w:tc>
              <w:tc>
                <w:tcPr/>
                <w:p>
                  <w:pPr>
                    <w:pStyle w:val="Compact"/>
                    <w:jc w:val="left"/>
                    <w:rPr>
                      <w:sz w:val="16"/>
                      <w:szCs w:val="16"/>
                    </w:rPr>
                  </w:pPr>
                  <w:r>
                    <w:rPr>
                      <w:sz w:val="16"/>
                      <w:szCs w:val="16"/>
                    </w:rPr>
                    <w:t xml:space="preserve">281.47</w:t>
                  </w:r>
                </w:p>
              </w:tc>
              <w:tc>
                <w:tcPr/>
                <w:p>
                  <w:pPr>
                    <w:pStyle w:val="Compact"/>
                    <w:jc w:val="left"/>
                    <w:rPr>
                      <w:sz w:val="16"/>
                      <w:szCs w:val="16"/>
                    </w:rPr>
                  </w:pPr>
                  <w:r>
                    <w:rPr>
                      <w:sz w:val="16"/>
                      <w:szCs w:val="16"/>
                    </w:rPr>
                    <w:t xml:space="preserve">0.82</w:t>
                  </w:r>
                </w:p>
              </w:tc>
              <w:tc>
                <w:tcPr/>
                <w:p>
                  <w:pPr>
                    <w:pStyle w:val="Compact"/>
                    <w:jc w:val="left"/>
                    <w:rPr>
                      <w:sz w:val="16"/>
                      <w:szCs w:val="16"/>
                    </w:rPr>
                  </w:pPr>
                  <w:r>
                    <w:rPr>
                      <w:sz w:val="16"/>
                      <w:szCs w:val="16"/>
                    </w:rPr>
                    <w:t xml:space="preserve">586.61</w:t>
                  </w:r>
                </w:p>
              </w:tc>
              <w:tc>
                <w:tcPr/>
                <w:p>
                  <w:pPr>
                    <w:pStyle w:val="Compact"/>
                    <w:jc w:val="left"/>
                    <w:rPr>
                      <w:sz w:val="16"/>
                      <w:szCs w:val="16"/>
                    </w:rPr>
                  </w:pPr>
                  <w:r>
                    <w:rPr>
                      <w:sz w:val="16"/>
                      <w:szCs w:val="16"/>
                    </w:rPr>
                    <w:t xml:space="preserve">+0.01</w:t>
                  </w:r>
                </w:p>
              </w:tc>
              <w:tc>
                <w:tcPr/>
                <w:p>
                  <w:pPr>
                    <w:pStyle w:val="Compact"/>
                    <w:jc w:val="left"/>
                    <w:rPr>
                      <w:sz w:val="16"/>
                      <w:szCs w:val="16"/>
                    </w:rPr>
                  </w:pPr>
                  <w:r>
                    <w:rPr>
                      <w:sz w:val="16"/>
                      <w:szCs w:val="16"/>
                    </w:rPr>
                    <w:t xml:space="preserve">-0.35</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23.93</w:t>
                  </w:r>
                </w:p>
              </w:tc>
              <w:tc>
                <w:tcPr/>
                <w:p>
                  <w:pPr>
                    <w:pStyle w:val="Compact"/>
                    <w:jc w:val="left"/>
                    <w:rPr>
                      <w:sz w:val="16"/>
                      <w:szCs w:val="16"/>
                    </w:rPr>
                  </w:pPr>
                  <w:r>
                    <w:rPr>
                      <w:sz w:val="16"/>
                      <w:szCs w:val="16"/>
                    </w:rPr>
                    <w:t xml:space="preserve">0.072</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+1.45</w:t>
                  </w:r>
                </w:p>
              </w:tc>
              <w:tc>
                <w:tcPr/>
                <w:p>
                  <w:pPr>
                    <w:pStyle w:val="Compact"/>
                    <w:jc w:val="left"/>
                    <w:rPr>
                      <w:sz w:val="16"/>
                      <w:szCs w:val="16"/>
                    </w:rPr>
                  </w:pPr>
                  <w:r>
                    <w:rPr>
                      <w:sz w:val="16"/>
                      <w:szCs w:val="16"/>
                    </w:rPr>
                    <w:t xml:space="preserve">+1.56</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111,707</w:t>
                  </w:r>
                </w:p>
              </w:tc>
              <w:tc>
                <w:tcPr/>
                <w:p>
                  <w:pPr>
                    <w:pStyle w:val="Compact"/>
                    <w:jc w:val="left"/>
                    <w:rPr>
                      <w:sz w:val="16"/>
                      <w:szCs w:val="16"/>
                    </w:rPr>
                  </w:pPr>
                  <w:r>
                    <w:rPr>
                      <w:sz w:val="16"/>
                      <w:szCs w:val="16"/>
                    </w:rPr>
                    <w:t xml:space="preserve">7.07</w:t>
                  </w:r>
                </w:p>
              </w:tc>
              <w:tc>
                <w:tcPr/>
                <w:p>
                  <w:pPr>
                    <w:pStyle w:val="Compact"/>
                    <w:jc w:val="left"/>
                    <w:rPr>
                      <w:sz w:val="16"/>
                      <w:szCs w:val="16"/>
                    </w:rPr>
                  </w:pPr>
                  <w:r>
                    <w:rPr>
                      <w:sz w:val="16"/>
                      <w:szCs w:val="16"/>
                    </w:rPr>
                    <w:t xml:space="preserve">8.85</w:t>
                  </w:r>
                </w:p>
              </w:tc>
              <w:tc>
                <w:tcPr/>
                <w:p>
                  <w:pPr>
                    <w:pStyle w:val="Compact"/>
                    <w:jc w:val="left"/>
                    <w:rPr>
                      <w:sz w:val="16"/>
                      <w:szCs w:val="16"/>
                    </w:rPr>
                  </w:pPr>
                  <w:r>
                    <w:rPr>
                      <w:sz w:val="16"/>
                      <w:szCs w:val="16"/>
                    </w:rPr>
                    <w:t xml:space="preserve">0.026</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48.30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+2.63</w:t>
                  </w:r>
                </w:p>
              </w:tc>
            </w:tr>
          </w:tbl>
          <w:bookmarkEnd w:id="32"/>
          <w:p/>
        </w:tc>
      </w:tr>
    </w:tbl>
    <w:p>
      <w:pPr>
        <w:pStyle w:val="BodyText"/>
      </w:pPr>
      <w:r>
        <w:t xml:space="preserve">The inventory is a projected operational product, not a census, and its polygons here have</w:t>
      </w:r>
      <w:r>
        <w:t xml:space="preserve"> </w:t>
      </w:r>
      <w:r>
        <w:t xml:space="preserve">reference years spanning several decades. A polygon interpreted from late-outbreak</w:t>
      </w:r>
      <w:r>
        <w:t xml:space="preserve"> </w:t>
      </w:r>
      <w:r>
        <w:t xml:space="preserve">photography describes a stand the beetle had already attacked, so basal area and pine cover</w:t>
      </w:r>
      <w:r>
        <w:t xml:space="preserve"> </w:t>
      </w:r>
      <w:r>
        <w:t xml:space="preserve">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3"/>
    <w:bookmarkStart w:id="34"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still falls on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&amp;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&amp; Carroll, 2006)</w:t>
      </w:r>
      <w:r>
        <w:t xml:space="preserve">. Aspect enters as its northward and</w:t>
      </w:r>
      <w:r>
        <w:t xml:space="preserve"> </w:t>
      </w:r>
      <w:r>
        <w:t xml:space="preserve">eastward components with the heat load index of</w:t>
      </w:r>
      <w:r>
        <w:t xml:space="preserve"> </w:t>
      </w:r>
      <w:r>
        <w:t xml:space="preserve">McCune &amp; Keon (2002)</w:t>
      </w:r>
      <w:r>
        <w:t xml:space="preserve">.</w:t>
      </w:r>
    </w:p>
    <w:p>
      <w:pPr>
        <w:pStyle w:val="BodyText"/>
      </w:pPr>
      <w:r>
        <w:t xml:space="preserve">One distinction matters. The strongest aspect statements in</w:t>
      </w:r>
      <w:r>
        <w:t xml:space="preserve"> </w:t>
      </w:r>
      <w:r>
        <w:t xml:space="preserve">Safranyik &amp;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4"/>
    <w:bookmarkStart w:id="39"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&amp;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&amp;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5"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5"/>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6"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6"/>
    </w:p>
    <w:p>
      <w:pPr>
        <w:pStyle w:val="FirstParagraph"/>
      </w:pPr>
      <w:r>
        <w:t xml:space="preserve">giving the terrain-modified speed</w:t>
      </w:r>
    </w:p>
    <w:p>
      <w:pPr>
        <w:pStyle w:val="BodyText"/>
      </w:pPr>
      <w:bookmarkStart w:id="37"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7"/>
    </w:p>
    <w:p>
      <w:pPr>
        <w:pStyle w:val="FirstParagraph"/>
      </w:pPr>
      <w:r>
        <w:t xml:space="preserve">and a diversion of the wind direction of</w:t>
      </w:r>
    </w:p>
    <w:p>
      <w:pPr>
        <w:pStyle w:val="BodyText"/>
      </w:pPr>
      <w:bookmarkStart w:id="38"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8"/>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+0.148 with the</w:t>
      </w:r>
      <w:r>
        <w:t xml:space="preserve"> </w:t>
      </w:r>
      <w:r>
        <w:t xml:space="preserve">windward-leeward index and +0.123 with flight</w:t>
      </w:r>
      <w:r>
        <w:t xml:space="preserve"> </w:t>
      </w:r>
      <w:r>
        <w:t xml:space="preserve">radiation. Its strongest association is with elevation,</w:t>
      </w:r>
      <w:r>
        <w:t xml:space="preserve"> </w:t>
      </w:r>
      <w:r>
        <w:t xml:space="preserve">+0.320.</w:t>
      </w:r>
    </w:p>
    <w:bookmarkEnd w:id="39"/>
    <w:bookmarkStart w:id="44"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&amp;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The same figure shows the same daily pattern</w:t>
      </w:r>
      <w:r>
        <w:t xml:space="preserve"> </w:t>
      </w:r>
      <w:r>
        <w:t xml:space="preserve">in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w:t>
      </w:r>
    </w:p>
    <w:p>
      <w:pPr>
        <w:pStyle w:val="BodyText"/>
      </w:pPr>
      <w:r>
        <w:t xml:space="preserve">Station wind is Environment and Climate Change Canada hourly records, and it enters in</w:t>
      </w:r>
      <w:r>
        <w:t xml:space="preserve"> </w:t>
      </w:r>
      <w:r>
        <w:t xml:space="preserve">three places. It is the observation MicroMet modifies over the terrain, it supplies the</w:t>
      </w:r>
      <w:r>
        <w:t xml:space="preserve"> </w:t>
      </w:r>
      <w:r>
        <w:t xml:space="preserve">prevailing bearing the directional terrain indices are computed at, and it is the climate</w:t>
      </w:r>
      <w:r>
        <w:t xml:space="preserve"> </w:t>
      </w:r>
      <w:r>
        <w:t xml:space="preserve">against which the flight window is checked in</w:t>
      </w:r>
      <w:r>
        <w:t xml:space="preserve"> </w:t>
      </w:r>
      <w:hyperlink w:anchor="fig-flight-window">
        <w:r>
          <w:rPr>
            <w:rStyle w:val="Hyperlink"/>
          </w:rPr>
          <w:t xml:space="preserve">Figure 2</w:t>
        </w:r>
      </w:hyperlink>
      <w:r>
        <w:t xml:space="preserve">. The records are never</w:t>
      </w:r>
      <w:r>
        <w:t xml:space="preserve"> </w:t>
      </w:r>
      <w:r>
        <w:t xml:space="preserve">reduced before the terrain acts on them.</w:t>
      </w:r>
    </w:p>
    <w:p>
      <w:pPr>
        <w:pStyle w:val="BodyText"/>
      </w:pPr>
      <w:r>
        <w:t xml:space="preserve">Hourly readings give detail, not independent observations. Summarised over a whole season,</w:t>
      </w:r>
      <w:r>
        <w:t xml:space="preserve"> </w:t>
      </w:r>
      <w:r>
        <w:t xml:space="preserve">every hour of wind collapses into one number per metric, a coefficient rests on as many</w:t>
      </w:r>
      <w:r>
        <w:t xml:space="preserve"> </w:t>
      </w:r>
      <w:r>
        <w:t xml:space="preserve">values as there are seasons, and its standard error looks small without being believable.</w:t>
      </w:r>
      <w:r>
        <w:t xml:space="preserve"> </w:t>
      </w:r>
      <w:r>
        <w:t xml:space="preserve">Stand density varies cell to cell; a season’s wind does not. The response is therefore</w:t>
      </w:r>
      <w:r>
        <w:t xml:space="preserve"> </w:t>
      </w:r>
      <w:r>
        <w:t xml:space="preserve">measured over each sixteen-day epoch, so that wind varies within a season as well as</w:t>
      </w:r>
      <w:r>
        <w:t xml:space="preserve"> </w:t>
      </w:r>
      <w:r>
        <w:t xml:space="preserve">between seasons and the interaction the mechanism predicts is identified.</w:t>
      </w:r>
    </w:p>
    <w:tbl>
      <w:tblPr>
        <w:tblStyle w:val="Table"/>
        <w:tblW w:type="pct" w:w="5000"/>
        <w:tblLayout w:type="fixed"/>
        <w:tblLook w:firstRow="0" w:lastRow="0" w:firstColumn="0" w:lastColumn="0" w:noHBand="0" w:noVBand="0" w:val="0000"/>
      </w:tblPr>
      <w:tblGrid>
        <w:gridCol w:w="7920"/>
      </w:tblGrid>
      <w:tr>
        <w:tc>
          <w:tcPr/>
          <w:bookmarkStart w:id="43" w:name="fig-flight-window"/>
          <w:p>
            <w:pPr>
              <w:pStyle w:val="Compact"/>
              <w:jc w:val="center"/>
            </w:pPr>
            <w:r>
              <w:drawing>
                <wp:inline>
                  <wp:extent cx="5943600" cy="4913376"/>
                  <wp:effectExtent b="0" l="0" r="0" t="0"/>
                  <wp:docPr descr="" title="" id="41" name="Picture"/>
                  <a:graphic>
                    <a:graphicData uri="http://schemas.openxmlformats.org/drawingml/2006/picture">
                      <pic:pic>
                        <pic:nvPicPr>
                          <pic:cNvPr descr="beetle-topography-wind-study-vri-timeseries_files/figure-docx/fig-flight-window-1.png" id="42" name="Picture"/>
                          <pic:cNvPicPr>
                            <a:picLocks noChangeArrowheads="1" noChangeAspect="1"/>
                          </pic:cNvPicPr>
                        </pic:nvPicPr>
                        <pic:blipFill>
                          <a:blip r:embed="rId40"/>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3"/>
        </w:tc>
      </w:tr>
    </w:tbl>
    <w:bookmarkEnd w:id="44"/>
    <w:bookmarkEnd w:id="45"/>
    <w:bookmarkStart w:id="49" w:name="methods"/>
    <w:p>
      <w:pPr>
        <w:pStyle w:val="Heading1"/>
      </w:pPr>
      <w:r>
        <w:t xml:space="preserve">3. Methods</w:t>
      </w:r>
    </w:p>
    <w:bookmarkStart w:id="46" w:name="sec-selection"/>
    <w:p>
      <w:pPr>
        <w:pStyle w:val="Heading2"/>
      </w:pPr>
      <w:r>
        <w:t xml:space="preserve">3.1 Variable selection</w:t>
      </w:r>
    </w:p>
    <w:p>
      <w:pPr>
        <w:pStyle w:val="FirstParagraph"/>
      </w:pPr>
      <w:r>
        <w:t xml:space="preserve">The candidate set is 45 variables in six groups, one group for each pathway the</w:t>
      </w:r>
      <w:r>
        <w:t xml:space="preserve"> </w:t>
      </w:r>
      <w:r>
        <w:t xml:space="preserve">review names. The groups are stand density, host quality, terrain exposure to wind, terrain</w:t>
      </w:r>
      <w:r>
        <w:t xml:space="preserve"> </w:t>
      </w:r>
      <w:r>
        <w:t xml:space="preserve">shape, landscape 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46,359 cell-years, 4,000 of each</w:t>
      </w:r>
      <w:r>
        <w:t xml:space="preserve"> </w:t>
      </w:r>
      <w:r>
        <w:t xml:space="preserve">class per year. Landscape prevalence is about 13 per cent, and an</w:t>
      </w:r>
      <w:r>
        <w:t xml:space="preserve"> </w:t>
      </w:r>
      <w:r>
        <w:t xml:space="preserve">unbalanced fit at that prevalence reports the intercept rather than the covariates.</w:t>
      </w:r>
    </w:p>
    <w:bookmarkEnd w:id="46"/>
    <w:bookmarkStart w:id="48"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7"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7"/>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fits Krawchuk’s first and third mechanisms together with landform context, that is host</w:t>
      </w:r>
      <w:r>
        <w:t xml:space="preserve"> </w:t>
      </w:r>
      <w:r>
        <w:t xml:space="preserve">size, 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three interactions objective 4 requires, stand density by terrain exposure, by</w:t>
      </w:r>
      <w:r>
        <w:t xml:space="preserve"> </w:t>
      </w:r>
      <w:r>
        <w:t xml:space="preserve">flight-window radiation, and by flight-window wind.</w:t>
      </w:r>
    </w:p>
    <w:bookmarkEnd w:id="48"/>
    <w:bookmarkEnd w:id="49"/>
    <w:bookmarkStart w:id="62"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50"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because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46,964</w:t>
                  </w:r>
                </w:p>
              </w:tc>
              <w:tc>
                <w:tcPr/>
                <w:p>
                  <w:pPr>
                    <w:pStyle w:val="Compact"/>
                    <w:jc w:val="left"/>
                    <w:rPr>
                      <w:sz w:val="16"/>
                      <w:szCs w:val="16"/>
                    </w:rPr>
                  </w:pPr>
                  <w:r>
                    <w:rPr>
                      <w:sz w:val="16"/>
                      <w:szCs w:val="16"/>
                    </w:rPr>
                    <w:t xml:space="preserve">1,734</w:t>
                  </w:r>
                </w:p>
              </w:tc>
              <w:tc>
                <w:tcPr/>
                <w:p>
                  <w:pPr>
                    <w:pStyle w:val="Compact"/>
                    <w:jc w:val="left"/>
                    <w:rPr>
                      <w:sz w:val="16"/>
                      <w:szCs w:val="16"/>
                    </w:rPr>
                  </w:pPr>
                  <w:r>
                    <w:rPr>
                      <w:sz w:val="16"/>
                      <w:szCs w:val="16"/>
                    </w:rPr>
                    <w:t xml:space="preserve">0.407</w:t>
                  </w:r>
                </w:p>
              </w:tc>
              <w:tc>
                <w:tcPr/>
                <w:p>
                  <w:pPr>
                    <w:pStyle w:val="Compact"/>
                    <w:jc w:val="left"/>
                    <w:rPr>
                      <w:sz w:val="16"/>
                      <w:szCs w:val="16"/>
                    </w:rPr>
                  </w:pPr>
                  <w:r>
                    <w:rPr>
                      <w:sz w:val="16"/>
                      <w:szCs w:val="16"/>
                    </w:rPr>
                    <w:t xml:space="preserve">131.5</w:t>
                  </w:r>
                </w:p>
              </w:tc>
              <w:tc>
                <w:tcPr/>
                <w:p>
                  <w:pPr>
                    <w:pStyle w:val="Compact"/>
                    <w:jc w:val="left"/>
                    <w:rPr>
                      <w:sz w:val="16"/>
                      <w:szCs w:val="16"/>
                    </w:rPr>
                  </w:pPr>
                  <w:r>
                    <w:rPr>
                      <w:sz w:val="16"/>
                      <w:szCs w:val="16"/>
                    </w:rPr>
                    <w:t xml:space="preserve">0.333</w:t>
                  </w:r>
                </w:p>
              </w:tc>
              <w:tc>
                <w:tcPr/>
                <w:p>
                  <w:pPr>
                    <w:pStyle w:val="Compact"/>
                    <w:jc w:val="left"/>
                    <w:rPr>
                      <w:sz w:val="16"/>
                      <w:szCs w:val="16"/>
                    </w:rPr>
                  </w:pPr>
                  <w:r>
                    <w:rPr>
                      <w:sz w:val="16"/>
                      <w:szCs w:val="16"/>
                    </w:rPr>
                    <w:t xml:space="preserve">0.166</w:t>
                  </w:r>
                </w:p>
              </w:tc>
              <w:tc>
                <w:tcPr/>
                <w:p>
                  <w:pPr>
                    <w:pStyle w:val="Compact"/>
                    <w:jc w:val="left"/>
                    <w:rPr>
                      <w:sz w:val="16"/>
                      <w:szCs w:val="16"/>
                    </w:rPr>
                  </w:pPr>
                  <w:r>
                    <w:rPr>
                      <w:sz w:val="16"/>
                      <w:szCs w:val="16"/>
                    </w:rPr>
                    <w:t xml:space="preserve">0.506</w:t>
                  </w:r>
                </w:p>
              </w:tc>
              <w:tc>
                <w:tcPr/>
                <w:p>
                  <w:pPr>
                    <w:pStyle w:val="Compact"/>
                    <w:jc w:val="left"/>
                    <w:rPr>
                      <w:sz w:val="16"/>
                      <w:szCs w:val="16"/>
                    </w:rPr>
                  </w:pPr>
                  <w:r>
                    <w:rPr>
                      <w:sz w:val="16"/>
                      <w:szCs w:val="16"/>
                    </w:rPr>
                    <w:t xml:space="preserve">0.776</w:t>
                  </w:r>
                </w:p>
              </w:tc>
              <w:tc>
                <w:tcPr/>
                <w:p>
                  <w:pPr>
                    <w:pStyle w:val="Compact"/>
                    <w:jc w:val="left"/>
                    <w:rPr>
                      <w:sz w:val="16"/>
                      <w:szCs w:val="16"/>
                    </w:rPr>
                  </w:pPr>
                  <w:r>
                    <w:rPr>
                      <w:sz w:val="16"/>
                      <w:szCs w:val="16"/>
                    </w:rPr>
                    <w:t xml:space="preserve">0.224</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46,507</w:t>
                  </w:r>
                </w:p>
              </w:tc>
              <w:tc>
                <w:tcPr/>
                <w:p>
                  <w:pPr>
                    <w:pStyle w:val="Compact"/>
                    <w:jc w:val="left"/>
                    <w:rPr>
                      <w:sz w:val="16"/>
                      <w:szCs w:val="16"/>
                    </w:rPr>
                  </w:pPr>
                  <w:r>
                    <w:rPr>
                      <w:sz w:val="16"/>
                      <w:szCs w:val="16"/>
                    </w:rPr>
                    <w:t xml:space="preserve">1,277</w:t>
                  </w:r>
                </w:p>
              </w:tc>
              <w:tc>
                <w:tcPr/>
                <w:p>
                  <w:pPr>
                    <w:pStyle w:val="Compact"/>
                    <w:jc w:val="left"/>
                    <w:rPr>
                      <w:sz w:val="16"/>
                      <w:szCs w:val="16"/>
                    </w:rPr>
                  </w:pPr>
                  <w:r>
                    <w:rPr>
                      <w:sz w:val="16"/>
                      <w:szCs w:val="16"/>
                    </w:rPr>
                    <w:t xml:space="preserve">0.405</w:t>
                  </w:r>
                </w:p>
              </w:tc>
              <w:tc>
                <w:tcPr/>
                <w:p>
                  <w:pPr>
                    <w:pStyle w:val="Compact"/>
                    <w:jc w:val="left"/>
                    <w:rPr>
                      <w:sz w:val="16"/>
                      <w:szCs w:val="16"/>
                    </w:rPr>
                  </w:pPr>
                  <w:r>
                    <w:rPr>
                      <w:sz w:val="16"/>
                      <w:szCs w:val="16"/>
                    </w:rPr>
                    <w:t xml:space="preserve">130.6</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0.164</w:t>
                  </w:r>
                </w:p>
              </w:tc>
              <w:tc>
                <w:tcPr/>
                <w:p>
                  <w:pPr>
                    <w:pStyle w:val="Compact"/>
                    <w:jc w:val="left"/>
                    <w:rPr>
                      <w:sz w:val="16"/>
                      <w:szCs w:val="16"/>
                    </w:rPr>
                  </w:pPr>
                  <w:r>
                    <w:rPr>
                      <w:sz w:val="16"/>
                      <w:szCs w:val="16"/>
                    </w:rPr>
                    <w:t xml:space="preserve">0.501</w:t>
                  </w:r>
                </w:p>
              </w:tc>
              <w:tc>
                <w:tcPr/>
                <w:p>
                  <w:pPr>
                    <w:pStyle w:val="Compact"/>
                    <w:jc w:val="left"/>
                    <w:rPr>
                      <w:sz w:val="16"/>
                      <w:szCs w:val="16"/>
                    </w:rPr>
                  </w:pPr>
                  <w:r>
                    <w:rPr>
                      <w:sz w:val="16"/>
                      <w:szCs w:val="16"/>
                    </w:rPr>
                    <w:t xml:space="preserve">0.783</w:t>
                  </w:r>
                </w:p>
              </w:tc>
              <w:tc>
                <w:tcPr/>
                <w:p>
                  <w:pPr>
                    <w:pStyle w:val="Compact"/>
                    <w:jc w:val="left"/>
                    <w:rPr>
                      <w:sz w:val="16"/>
                      <w:szCs w:val="16"/>
                    </w:rPr>
                  </w:pPr>
                  <w:r>
                    <w:rPr>
                      <w:sz w:val="16"/>
                      <w:szCs w:val="16"/>
                    </w:rPr>
                    <w:t xml:space="preserve">0.234</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45,764</w:t>
                  </w:r>
                </w:p>
              </w:tc>
              <w:tc>
                <w:tcPr/>
                <w:p>
                  <w:pPr>
                    <w:pStyle w:val="Compact"/>
                    <w:jc w:val="left"/>
                    <w:rPr>
                      <w:sz w:val="16"/>
                      <w:szCs w:val="16"/>
                    </w:rPr>
                  </w:pPr>
                  <w:r>
                    <w:rPr>
                      <w:sz w:val="16"/>
                      <w:szCs w:val="16"/>
                    </w:rPr>
                    <w:t xml:space="preserve">534</w:t>
                  </w:r>
                </w:p>
              </w:tc>
              <w:tc>
                <w:tcPr/>
                <w:p>
                  <w:pPr>
                    <w:pStyle w:val="Compact"/>
                    <w:jc w:val="left"/>
                    <w:rPr>
                      <w:sz w:val="16"/>
                      <w:szCs w:val="16"/>
                    </w:rPr>
                  </w:pPr>
                  <w:r>
                    <w:rPr>
                      <w:sz w:val="16"/>
                      <w:szCs w:val="16"/>
                    </w:rPr>
                    <w:t xml:space="preserve">0.401</w:t>
                  </w:r>
                </w:p>
              </w:tc>
              <w:tc>
                <w:tcPr/>
                <w:p>
                  <w:pPr>
                    <w:pStyle w:val="Compact"/>
                    <w:jc w:val="left"/>
                    <w:rPr>
                      <w:sz w:val="16"/>
                      <w:szCs w:val="16"/>
                    </w:rPr>
                  </w:pPr>
                  <w:r>
                    <w:rPr>
                      <w:sz w:val="16"/>
                      <w:szCs w:val="16"/>
                    </w:rPr>
                    <w:t xml:space="preserve">129.5</w:t>
                  </w:r>
                </w:p>
              </w:tc>
              <w:tc>
                <w:tcPr/>
                <w:p>
                  <w:pPr>
                    <w:pStyle w:val="Compact"/>
                    <w:jc w:val="left"/>
                    <w:rPr>
                      <w:sz w:val="16"/>
                      <w:szCs w:val="16"/>
                    </w:rPr>
                  </w:pPr>
                  <w:r>
                    <w:rPr>
                      <w:sz w:val="16"/>
                      <w:szCs w:val="16"/>
                    </w:rPr>
                    <w:t xml:space="preserve">0.323</w:t>
                  </w:r>
                </w:p>
              </w:tc>
              <w:tc>
                <w:tcPr/>
                <w:p>
                  <w:pPr>
                    <w:pStyle w:val="Compact"/>
                    <w:jc w:val="left"/>
                    <w:rPr>
                      <w:sz w:val="16"/>
                      <w:szCs w:val="16"/>
                    </w:rPr>
                  </w:pPr>
                  <w:r>
                    <w:rPr>
                      <w:sz w:val="16"/>
                      <w:szCs w:val="16"/>
                    </w:rPr>
                    <w:t xml:space="preserve">0.161</w:t>
                  </w:r>
                </w:p>
              </w:tc>
              <w:tc>
                <w:tcPr/>
                <w:p>
                  <w:pPr>
                    <w:pStyle w:val="Compact"/>
                    <w:jc w:val="left"/>
                    <w:rPr>
                      <w:sz w:val="16"/>
                      <w:szCs w:val="16"/>
                    </w:rPr>
                  </w:pPr>
                  <w:r>
                    <w:rPr>
                      <w:sz w:val="16"/>
                      <w:szCs w:val="16"/>
                    </w:rPr>
                    <w:t xml:space="preserve">0.493</w:t>
                  </w:r>
                </w:p>
              </w:tc>
              <w:tc>
                <w:tcPr/>
                <w:p>
                  <w:pPr>
                    <w:pStyle w:val="Compact"/>
                    <w:jc w:val="left"/>
                    <w:rPr>
                      <w:sz w:val="16"/>
                      <w:szCs w:val="16"/>
                    </w:rPr>
                  </w:pPr>
                  <w:r>
                    <w:rPr>
                      <w:sz w:val="16"/>
                      <w:szCs w:val="16"/>
                    </w:rPr>
                    <w:t xml:space="preserve">0.792</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45,230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0.399</w:t>
                  </w:r>
                </w:p>
              </w:tc>
              <w:tc>
                <w:tcPr/>
                <w:p>
                  <w:pPr>
                    <w:pStyle w:val="Compact"/>
                    <w:jc w:val="left"/>
                    <w:rPr>
                      <w:sz w:val="16"/>
                      <w:szCs w:val="16"/>
                    </w:rPr>
                  </w:pPr>
                  <w:r>
                    <w:rPr>
                      <w:sz w:val="16"/>
                      <w:szCs w:val="16"/>
                    </w:rPr>
                    <w:t xml:space="preserve">128.7</w:t>
                  </w:r>
                </w:p>
              </w:tc>
              <w:tc>
                <w:tcPr/>
                <w:p>
                  <w:pPr>
                    <w:pStyle w:val="Compact"/>
                    <w:jc w:val="left"/>
                    <w:rPr>
                      <w:sz w:val="16"/>
                      <w:szCs w:val="16"/>
                    </w:rPr>
                  </w:pPr>
                  <w:r>
                    <w:rPr>
                      <w:sz w:val="16"/>
                      <w:szCs w:val="16"/>
                    </w:rPr>
                    <w:t xml:space="preserve">0.319</w:t>
                  </w:r>
                </w:p>
              </w:tc>
              <w:tc>
                <w:tcPr/>
                <w:p>
                  <w:pPr>
                    <w:pStyle w:val="Compact"/>
                    <w:jc w:val="left"/>
                    <w:rPr>
                      <w:sz w:val="16"/>
                      <w:szCs w:val="16"/>
                    </w:rPr>
                  </w:pPr>
                  <w:r>
                    <w:rPr>
                      <w:sz w:val="16"/>
                      <w:szCs w:val="16"/>
                    </w:rPr>
                    <w:t xml:space="preserve">0.159</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0.800</w:t>
                  </w:r>
                </w:p>
              </w:tc>
              <w:tc>
                <w:tcPr/>
                <w:p>
                  <w:pPr>
                    <w:pStyle w:val="Compact"/>
                    <w:jc w:val="left"/>
                    <w:rPr>
                      <w:sz w:val="16"/>
                      <w:szCs w:val="16"/>
                    </w:rPr>
                  </w:pPr>
                  <w:r>
                    <w:rPr>
                      <w:sz w:val="16"/>
                      <w:szCs w:val="16"/>
                    </w:rPr>
                    <w:t xml:space="preserve">0.257</w:t>
                  </w:r>
                </w:p>
              </w:tc>
            </w:tr>
          </w:tbl>
          <w:bookmarkEnd w:id="5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997"/>
              <w:gridCol w:w="839"/>
              <w:gridCol w:w="720"/>
              <w:gridCol w:w="839"/>
              <w:gridCol w:w="959"/>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+0.536</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35.25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+0.504</w:t>
                  </w:r>
                </w:p>
              </w:tc>
              <w:tc>
                <w:tcPr/>
                <w:p>
                  <w:pPr>
                    <w:pStyle w:val="Compact"/>
                    <w:jc w:val="left"/>
                    <w:rPr>
                      <w:sz w:val="16"/>
                      <w:szCs w:val="16"/>
                    </w:rPr>
                  </w:pPr>
                  <w:r>
                    <w:rPr>
                      <w:sz w:val="16"/>
                      <w:szCs w:val="16"/>
                    </w:rPr>
                    <w:t xml:space="preserve">0.027</w:t>
                  </w:r>
                </w:p>
              </w:tc>
              <w:tc>
                <w:tcPr/>
                <w:p>
                  <w:pPr>
                    <w:pStyle w:val="Compact"/>
                    <w:jc w:val="left"/>
                    <w:rPr>
                      <w:sz w:val="16"/>
                      <w:szCs w:val="16"/>
                    </w:rPr>
                  </w:pPr>
                  <w:r>
                    <w:rPr>
                      <w:sz w:val="16"/>
                      <w:szCs w:val="16"/>
                    </w:rPr>
                    <w:t xml:space="preserve">18.59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+0.497</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16.49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+0.394</w:t>
                  </w:r>
                </w:p>
              </w:tc>
              <w:tc>
                <w:tcPr/>
                <w:p>
                  <w:pPr>
                    <w:pStyle w:val="Compact"/>
                    <w:jc w:val="left"/>
                    <w:rPr>
                      <w:sz w:val="16"/>
                      <w:szCs w:val="16"/>
                    </w:rPr>
                  </w:pPr>
                  <w:r>
                    <w:rPr>
                      <w:sz w:val="16"/>
                      <w:szCs w:val="16"/>
                    </w:rPr>
                    <w:t xml:space="preserve">0.030</w:t>
                  </w:r>
                </w:p>
              </w:tc>
              <w:tc>
                <w:tcPr/>
                <w:p>
                  <w:pPr>
                    <w:pStyle w:val="Compact"/>
                    <w:jc w:val="left"/>
                    <w:rPr>
                      <w:sz w:val="16"/>
                      <w:szCs w:val="16"/>
                    </w:rPr>
                  </w:pPr>
                  <w:r>
                    <w:rPr>
                      <w:sz w:val="16"/>
                      <w:szCs w:val="16"/>
                    </w:rPr>
                    <w:t xml:space="preserve">13.31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-0.362</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-14.47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+0.337</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+0.305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19.79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+0.260</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14.98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Flight-window calm hours (share below 5 km/h)</w:t>
                  </w:r>
                </w:p>
              </w:tc>
              <w:tc>
                <w:tcPr/>
                <w:p>
                  <w:pPr>
                    <w:pStyle w:val="Compact"/>
                    <w:jc w:val="left"/>
                    <w:rPr>
                      <w:sz w:val="16"/>
                      <w:szCs w:val="16"/>
                    </w:rPr>
                  </w:pPr>
                  <w:r>
                    <w:rPr>
                      <w:sz w:val="16"/>
                      <w:szCs w:val="16"/>
                    </w:rPr>
                    <w:t xml:space="preserve">-0.131</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-6.81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+0.130</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6.53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-0.125</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-5.80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+0.119</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7.43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-0.104</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-4.66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direct radiation</w:t>
                  </w:r>
                </w:p>
              </w:tc>
              <w:tc>
                <w:tcPr/>
                <w:p>
                  <w:pPr>
                    <w:pStyle w:val="Compact"/>
                    <w:jc w:val="left"/>
                    <w:rPr>
                      <w:sz w:val="16"/>
                      <w:szCs w:val="16"/>
                    </w:rPr>
                  </w:pPr>
                  <w:r>
                    <w:rPr>
                      <w:sz w:val="16"/>
                      <w:szCs w:val="16"/>
                    </w:rPr>
                    <w:t xml:space="preserve">+0.103</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4.90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+0.094</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3.92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basal area x Flight-window calm hours</w:t>
                  </w:r>
                </w:p>
              </w:tc>
              <w:tc>
                <w:tcPr/>
                <w:p>
                  <w:pPr>
                    <w:pStyle w:val="Compact"/>
                    <w:jc w:val="left"/>
                    <w:rPr>
                      <w:sz w:val="16"/>
                      <w:szCs w:val="16"/>
                    </w:rPr>
                  </w:pPr>
                  <w:r>
                    <w:rPr>
                      <w:sz w:val="16"/>
                      <w:szCs w:val="16"/>
                    </w:rPr>
                    <w:t xml:space="preserve">+0.085</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+0.068</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4.99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+0.055</w:t>
                  </w:r>
                </w:p>
              </w:tc>
              <w:tc>
                <w:tcPr/>
                <w:p>
                  <w:pPr>
                    <w:pStyle w:val="Compact"/>
                    <w:jc w:val="left"/>
                    <w:rPr>
                      <w:sz w:val="16"/>
                      <w:szCs w:val="16"/>
                    </w:rPr>
                  </w:pPr>
                  <w:r>
                    <w:rPr>
                      <w:sz w:val="16"/>
                      <w:szCs w:val="16"/>
                    </w:rPr>
                    <w:t xml:space="preserve">0.015</w:t>
                  </w:r>
                </w:p>
              </w:tc>
              <w:tc>
                <w:tcPr/>
                <w:p>
                  <w:pPr>
                    <w:pStyle w:val="Compact"/>
                    <w:jc w:val="left"/>
                    <w:rPr>
                      <w:sz w:val="16"/>
                      <w:szCs w:val="16"/>
                    </w:rPr>
                  </w:pPr>
                  <w:r>
                    <w:rPr>
                      <w:sz w:val="16"/>
                      <w:szCs w:val="16"/>
                    </w:rPr>
                    <w:t xml:space="preserve">3.76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-0.052</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-2.49</w:t>
                  </w:r>
                </w:p>
              </w:tc>
              <w:tc>
                <w:tcPr/>
                <w:p>
                  <w:pPr>
                    <w:pStyle w:val="Compact"/>
                    <w:jc w:val="left"/>
                    <w:rPr>
                      <w:sz w:val="16"/>
                      <w:szCs w:val="16"/>
                    </w:rPr>
                  </w:pPr>
                  <w:r>
                    <w:rPr>
                      <w:sz w:val="16"/>
                      <w:szCs w:val="16"/>
                    </w:rPr>
                    <w:t xml:space="preserve">0.013</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+0.051</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3.01</w:t>
                  </w:r>
                </w:p>
              </w:tc>
              <w:tc>
                <w:tcPr/>
                <w:p>
                  <w:pPr>
                    <w:pStyle w:val="Compact"/>
                    <w:jc w:val="left"/>
                    <w:rPr>
                      <w:sz w:val="16"/>
                      <w:szCs w:val="16"/>
                    </w:rPr>
                  </w:pPr>
                  <w:r>
                    <w:rPr>
                      <w:sz w:val="16"/>
                      <w:szCs w:val="16"/>
                    </w:rPr>
                    <w:t xml:space="preserve">0.003</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-0.042</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-3.26</w:t>
                  </w:r>
                </w:p>
              </w:tc>
              <w:tc>
                <w:tcPr/>
                <w:p>
                  <w:pPr>
                    <w:pStyle w:val="Compact"/>
                    <w:jc w:val="left"/>
                    <w:rPr>
                      <w:sz w:val="16"/>
                      <w:szCs w:val="16"/>
                    </w:rPr>
                  </w:pPr>
                  <w:r>
                    <w:rPr>
                      <w:sz w:val="16"/>
                      <w:szCs w:val="16"/>
                    </w:rPr>
                    <w:t xml:space="preserve">0.001</w:t>
                  </w:r>
                </w:p>
              </w:tc>
            </w:tr>
            <w:tr>
              <w:trPr>
                <w:trHeight w:val="340" w:hRule="exact"/>
              </w:trPr>
              <w:tc>
                <w:tcPr/>
                <w:p>
                  <w:pPr>
                    <w:pStyle w:val="Compact"/>
                    <w:jc w:val="left"/>
                    <w:rPr>
                      <w:sz w:val="16"/>
                      <w:szCs w:val="16"/>
                    </w:rPr>
                  </w:pPr>
                  <w:r>
                    <w:rPr>
                      <w:sz w:val="16"/>
                      <w:szCs w:val="16"/>
                    </w:rPr>
                    <w:t xml:space="preserve">Stand basal area x Windward-leeward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-1.65</w:t>
                  </w:r>
                </w:p>
              </w:tc>
              <w:tc>
                <w:tcPr/>
                <w:p>
                  <w:pPr>
                    <w:pStyle w:val="Compact"/>
                    <w:jc w:val="left"/>
                    <w:rPr>
                      <w:sz w:val="16"/>
                      <w:szCs w:val="16"/>
                    </w:rPr>
                  </w:pPr>
                  <w:r>
                    <w:rPr>
                      <w:sz w:val="16"/>
                      <w:szCs w:val="16"/>
                    </w:rPr>
                    <w:t xml:space="preserve">0.098</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-1.73</w:t>
                  </w:r>
                </w:p>
              </w:tc>
              <w:tc>
                <w:tcPr/>
                <w:p>
                  <w:pPr>
                    <w:pStyle w:val="Compact"/>
                    <w:jc w:val="left"/>
                    <w:rPr>
                      <w:sz w:val="16"/>
                      <w:szCs w:val="16"/>
                    </w:rPr>
                  </w:pPr>
                  <w:r>
                    <w:rPr>
                      <w:sz w:val="16"/>
                      <w:szCs w:val="16"/>
                    </w:rPr>
                    <w:t xml:space="preserve">0.083</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-0.005</w:t>
                  </w:r>
                </w:p>
              </w:tc>
              <w:tc>
                <w:tcPr/>
                <w:p>
                  <w:pPr>
                    <w:pStyle w:val="Compact"/>
                    <w:jc w:val="left"/>
                    <w:rPr>
                      <w:sz w:val="16"/>
                      <w:szCs w:val="16"/>
                    </w:rPr>
                  </w:pPr>
                  <w:r>
                    <w:rPr>
                      <w:sz w:val="16"/>
                      <w:szCs w:val="16"/>
                    </w:rPr>
                    <w:t xml:space="preserve">0.025</w:t>
                  </w:r>
                </w:p>
              </w:tc>
              <w:tc>
                <w:tcPr/>
                <w:p>
                  <w:pPr>
                    <w:pStyle w:val="Compact"/>
                    <w:jc w:val="left"/>
                    <w:rPr>
                      <w:sz w:val="16"/>
                      <w:szCs w:val="16"/>
                    </w:rPr>
                  </w:pPr>
                  <w:r>
                    <w:rPr>
                      <w:sz w:val="16"/>
                      <w:szCs w:val="16"/>
                    </w:rPr>
                    <w:t xml:space="preserve">-0.19</w:t>
                  </w:r>
                </w:p>
              </w:tc>
              <w:tc>
                <w:tcPr/>
                <w:p>
                  <w:pPr>
                    <w:pStyle w:val="Compact"/>
                    <w:jc w:val="left"/>
                    <w:rPr>
                      <w:sz w:val="16"/>
                      <w:szCs w:val="16"/>
                    </w:rPr>
                  </w:pPr>
                  <w:r>
                    <w:rPr>
                      <w:sz w:val="16"/>
                      <w:szCs w:val="16"/>
                    </w:rPr>
                    <w:t xml:space="preserve">0.848</w:t>
                  </w:r>
                </w:p>
              </w:tc>
            </w:tr>
          </w:tbl>
          <w:bookmarkEnd w:id="51"/>
          <w:p/>
        </w:tc>
      </w:tr>
    </w:tbl>
    <w:p>
      <w:pPr>
        <w:pStyle w:val="BodyText"/>
      </w:pPr>
      <w:r>
        <w:t xml:space="preserve">Every pathway earned its place. AIC fell 457 when stand density</w:t>
      </w:r>
      <w:r>
        <w:t xml:space="preserve"> </w:t>
      </w:r>
      <w:r>
        <w:t xml:space="preserve">entered, 743 more with terrain and flight radiation, and</w:t>
      </w:r>
      <w:r>
        <w:t xml:space="preserve"> </w:t>
      </w:r>
      <w:r>
        <w:t xml:space="preserve">534 more with the interactions (</w:t>
      </w:r>
      <w:hyperlink w:anchor="tbl-aic">
        <w:r>
          <w:rPr>
            <w:rStyle w:val="Hyperlink"/>
          </w:rPr>
          <w:t xml:space="preserve">Table 5</w:t>
        </w:r>
      </w:hyperlink>
      <w:r>
        <w:t xml:space="preserve">).</w:t>
      </w:r>
    </w:p>
    <w:p>
      <w:pPr>
        <w:pStyle w:val="BodyText"/>
      </w:pPr>
      <w:r>
        <w:t xml:space="preserve">Stand basal area is the strongest density term. It entered at +0.504 log-odds</w:t>
      </w:r>
      <w:r>
        <w:t xml:space="preserve"> </w:t>
      </w:r>
      <w:r>
        <w:t xml:space="preserve">per standard deviation, an odds ratio of 1.656, so a stand one standard</w:t>
      </w:r>
      <w:r>
        <w:t xml:space="preserve"> </w:t>
      </w:r>
      <w:r>
        <w:t xml:space="preserve">deviation above the mean in basal area had 65.6 per cent higher odds of</w:t>
      </w:r>
      <w:r>
        <w:t xml:space="preserve"> </w:t>
      </w:r>
      <w:r>
        <w:t xml:space="preserve">moderate-to-high disturbance (p &lt; 0.001). Live stems per hectare has the same</w:t>
      </w:r>
      <w:r>
        <w:t xml:space="preserve"> </w:t>
      </w:r>
      <w:r>
        <w:t xml:space="preserve">sign at +0.051 (p &lt; 0.01), crown closure</w:t>
      </w:r>
      <w:r>
        <w:t xml:space="preserve"> </w:t>
      </w:r>
      <w:r>
        <w:t xml:space="preserve">the opposite at -0.125 (p &lt; 0.001).</w:t>
      </w:r>
    </w:p>
    <w:p>
      <w:pPr>
        <w:pStyle w:val="BodyText"/>
      </w:pPr>
      <w:r>
        <w:t xml:space="preserve">Basal area and live stems both rise with attack, which is the direction a plume-holding</w:t>
      </w:r>
      <w:r>
        <w:t xml:space="preserve"> </w:t>
      </w:r>
      <w:r>
        <w:t xml:space="preserve">canopy implies, while crown closure falls. Crown closure is also the one measure the</w:t>
      </w:r>
      <w:r>
        <w:t xml:space="preserve"> </w:t>
      </w:r>
      <w:r>
        <w:t xml:space="preserve">inventory caps. It is recorded to a ceiling of 60 per cent, so its coefficient describes a</w:t>
      </w:r>
      <w:r>
        <w:t xml:space="preserve"> </w:t>
      </w:r>
      <w:r>
        <w:t xml:space="preserve">truncated variable and should not be read as the others are.</w:t>
      </w:r>
    </w:p>
    <w:p>
      <w:pPr>
        <w:pStyle w:val="BodyText"/>
      </w:pPr>
      <w:r>
        <w:t xml:space="preserve">Radiation enters the model once. Direct radiation during the flight window is</w:t>
      </w:r>
      <w:r>
        <w:t xml:space="preserve"> </w:t>
      </w:r>
      <w:r>
        <w:t xml:space="preserve">+0.497, the temperature limit on flying. Growing-season radiation did</w:t>
      </w:r>
      <w:r>
        <w:t xml:space="preserve"> </w:t>
      </w:r>
      <w:r>
        <w:t xml:space="preserve">not survive selection, so northness stands in for the shading pathway, and the two correlate</w:t>
      </w:r>
      <w:r>
        <w:t xml:space="preserve"> </w:t>
      </w:r>
      <w:r>
        <w:t xml:space="preserve">-0.824. Northness is +0.305. Shaded,</w:t>
      </w:r>
      <w:r>
        <w:t xml:space="preserve"> </w:t>
      </w:r>
      <w:r>
        <w:t xml:space="preserve">north-facing ground therefore has more attack, against the prediction.</w:t>
      </w:r>
    </w:p>
    <w:p>
      <w:pPr>
        <w:pStyle w:val="BodyText"/>
      </w:pPr>
      <w:r>
        <w:t xml:space="preserve">Terrain predicted attack independently of both. The windward-leeward index was</w:t>
      </w:r>
      <w:r>
        <w:t xml:space="preserve"> </w:t>
      </w:r>
      <w:r>
        <w:t xml:space="preserve">+0.394 and elevation +0.337, while ruggedness is -0.005</w:t>
      </w:r>
      <w:r>
        <w:t xml:space="preserve"> </w:t>
      </w:r>
      <w:r>
        <w:t xml:space="preserve">and not distinguishable from zero (p = 0.848), the vector ruggedness measure agreeing</w:t>
      </w:r>
      <w:r>
        <w:t xml:space="preserve"> </w:t>
      </w:r>
      <w:r>
        <w:t xml:space="preserve">in sign at -0.052. Ruggedness takes the opposite sign to that of</w:t>
      </w:r>
      <w:r>
        <w:t xml:space="preserve"> </w:t>
      </w:r>
      <w:r>
        <w:t xml:space="preserve">Murphy et al. (2026)</w:t>
      </w:r>
      <w:r>
        <w:t xml:space="preserve">, whose</w:t>
      </w:r>
      <w:r>
        <w:t xml:space="preserve"> </w:t>
      </w:r>
      <w:r>
        <w:t xml:space="preserve">response is seedling establishment rather than attack.</w:t>
      </w:r>
    </w:p>
    <w:p>
      <w:pPr>
        <w:pStyle w:val="BodyText"/>
      </w:pPr>
      <w:r>
        <w:t xml:space="preserve">Fitted without flight-window radiation, stand density interacts with terrain exposure at</w:t>
      </w:r>
      <w:r>
        <w:t xml:space="preserve"> </w:t>
      </w:r>
      <w:r>
        <w:t xml:space="preserve">-0.068, which reads as a wind result pointing the wrong way. With radiation in the</w:t>
      </w:r>
      <w:r>
        <w:t xml:space="preserve"> </w:t>
      </w:r>
      <w:r>
        <w:t xml:space="preserve">model that interaction is -0.040 (p = 0.098) and density interacts with</w:t>
      </w:r>
      <w:r>
        <w:t xml:space="preserve"> </w:t>
      </w:r>
      <w:r>
        <w:t xml:space="preserve">radiation at +0.103.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5" w:name="fig-interaction"/>
          <w:p>
            <w:pPr>
              <w:pStyle w:val="Compact"/>
              <w:jc w:val="center"/>
            </w:pPr>
            <w:r>
              <w:drawing>
                <wp:inline>
                  <wp:extent cx="5943600" cy="3962400"/>
                  <wp:effectExtent b="0" l="0" r="0" t="0"/>
                  <wp:docPr descr="" title="" id="53" name="Picture"/>
                  <a:graphic>
                    <a:graphicData uri="http://schemas.openxmlformats.org/drawingml/2006/picture">
                      <pic:pic>
                        <pic:nvPicPr>
                          <pic:cNvPr descr="beetle-topography-wind-study-vri-timeseries_files/figure-docx/fig-interaction-1.png" id="54" name="Picture"/>
                          <pic:cNvPicPr>
                            <a:picLocks noChangeArrowheads="1" noChangeAspect="1"/>
                          </pic:cNvPicPr>
                        </pic:nvPicPr>
                        <pic:blipFill>
                          <a:blip r:embed="rId52"/>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where the interaction is a fifth the size and attenuates the dense-stand slope without reversing it, so the lines converge rather than cross over the observed range. (c) Coefficients of the 16-day model, with and without the within-season spread term; the shading of a term between the two fits is what the within-season spread term absorbs. (d) Epoch prevalence against epoch mean wind, one point per epoch, years distinguished by both shape and shade so the panel survives black-and-white printing.</w:t>
            </w:r>
          </w:p>
          <w:bookmarkEnd w:id="55"/>
        </w:tc>
      </w:tr>
    </w:tbl>
    <w:bookmarkStart w:id="56" w:name="density-and-wind"/>
    <w:p>
      <w:pPr>
        <w:pStyle w:val="Heading2"/>
      </w:pPr>
      <w:r>
        <w:t xml:space="preserve">4.1 Density and wind</w:t>
      </w:r>
    </w:p>
    <w:p>
      <w:pPr>
        <w:pStyle w:val="FirstParagraph"/>
      </w:pPr>
      <w:r>
        <w:t xml:space="preserve">Stand density interacts negatively with terrain-resolved wind, which is the form the</w:t>
      </w:r>
      <w:r>
        <w:t xml:space="preserve"> </w:t>
      </w:r>
      <w:r>
        <w:t xml:space="preserve">pheromone mechanism predicts. Attack falls where a thin stand and strong wind coincide, the</w:t>
      </w:r>
      <w:r>
        <w:t xml:space="preserve"> </w:t>
      </w:r>
      <w:r>
        <w:t xml:space="preserve">interaction -0.049 for stem density (p &lt; 0.001) and -0.017 for</w:t>
      </w:r>
      <w:r>
        <w:t xml:space="preserve"> </w:t>
      </w:r>
      <w:r>
        <w:t xml:space="preserve">standing volume (p &lt; 0.05). Expressed as odds, each standard deviation of the epoch</w:t>
      </w:r>
      <w:r>
        <w:t xml:space="preserve"> </w:t>
      </w:r>
      <w:r>
        <w:t xml:space="preserve">wind regime multiplied the contribution of stem density by 0.952, a reduction of</w:t>
      </w:r>
      <w:r>
        <w:t xml:space="preserve"> </w:t>
      </w:r>
      <w:r>
        <w:t xml:space="preserve">4.8 per cent. Both interactions survive entering the previous epoch of the</w:t>
      </w:r>
      <w:r>
        <w:t xml:space="preserve"> </w:t>
      </w:r>
      <w:r>
        <w:t xml:space="preserve">same season, so neither is the outbreak’s own spread appearing as a wind coefficient.</w:t>
      </w:r>
    </w:p>
    <w:p>
      <w:pPr>
        <w:pStyle w:val="BodyText"/>
      </w:pPr>
      <w:r>
        <w:t xml:space="preserve">Wind on its own does not protect. Its main effect is +0.022, marginally more</w:t>
      </w:r>
      <w:r>
        <w:t xml:space="preserve"> </w:t>
      </w:r>
      <w:r>
        <w:t xml:space="preserve">attack rather than less, and the density terms are positive, so a thin stand in still air</w:t>
      </w:r>
      <w:r>
        <w:t xml:space="preserve"> </w:t>
      </w:r>
      <w:r>
        <w:t xml:space="preserve">shows no reduction either. The mechanism is present only as the conjunction of the two.</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+0.901 and</w:t>
      </w:r>
      <w:r>
        <w:t xml:space="preserve"> </w:t>
      </w:r>
      <w:r>
        <w:t xml:space="preserve">+1.001, raising discrimination from 0.801 to</w:t>
      </w:r>
      <w:r>
        <w:t xml:space="preserve"> </w:t>
      </w:r>
      <w:r>
        <w:t xml:space="preserve">0.900.</w:t>
      </w:r>
    </w:p>
    <w:p>
      <w:pPr>
        <w:pStyle w:val="BodyText"/>
      </w:pPr>
      <w:r>
        <w:t xml:space="preserve">Which environmental terms survive is the informative part. Ruggedness keeps 1.23</w:t>
      </w:r>
      <w:r>
        <w:t xml:space="preserve"> </w:t>
      </w:r>
      <w:r>
        <w:t xml:space="preserve">of its value, and it describes a condition a cell has whether or not the beetle was there.</w:t>
      </w:r>
      <w:r>
        <w:t xml:space="preserve"> </w:t>
      </w:r>
      <w:r>
        <w:t xml:space="preserve">The landform terms are not stable. Valley depth keeps 0.18 while mid-slope</w:t>
      </w:r>
      <w:r>
        <w:t xml:space="preserve"> </w:t>
      </w:r>
      <w:r>
        <w:t xml:space="preserve">position moves to 1.35,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7: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436</w:t>
                  </w:r>
                </w:p>
              </w:tc>
              <w:tc>
                <w:tcPr/>
                <w:p>
                  <w:pPr>
                    <w:pStyle w:val="Compact"/>
                    <w:jc w:val="left"/>
                    <w:rPr>
                      <w:sz w:val="16"/>
                      <w:szCs w:val="16"/>
                    </w:rPr>
                  </w:pPr>
                  <w:r>
                    <w:rPr>
                      <w:sz w:val="16"/>
                      <w:szCs w:val="16"/>
                    </w:rPr>
                    <w:t xml:space="preserve">113</w:t>
                  </w:r>
                </w:p>
              </w:tc>
              <w:tc>
                <w:tcPr/>
                <w:p>
                  <w:pPr>
                    <w:pStyle w:val="Compact"/>
                    <w:jc w:val="left"/>
                    <w:rPr>
                      <w:sz w:val="16"/>
                      <w:szCs w:val="16"/>
                    </w:rPr>
                  </w:pPr>
                  <w:r>
                    <w:rPr>
                      <w:sz w:val="16"/>
                      <w:szCs w:val="16"/>
                    </w:rPr>
                    <w:t xml:space="preserve">25.9</w:t>
                  </w:r>
                </w:p>
              </w:tc>
              <w:tc>
                <w:tcPr/>
                <w:p>
                  <w:pPr>
                    <w:pStyle w:val="Compact"/>
                    <w:jc w:val="left"/>
                    <w:rPr>
                      <w:sz w:val="16"/>
                      <w:szCs w:val="16"/>
                    </w:rPr>
                  </w:pPr>
                  <w:r>
                    <w:rPr>
                      <w:sz w:val="16"/>
                      <w:szCs w:val="16"/>
                    </w:rPr>
                    <w:t xml:space="preserve">22.0-30.2</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4,325</w:t>
                  </w:r>
                </w:p>
              </w:tc>
              <w:tc>
                <w:tcPr/>
                <w:p>
                  <w:pPr>
                    <w:pStyle w:val="Compact"/>
                    <w:jc w:val="left"/>
                    <w:rPr>
                      <w:sz w:val="16"/>
                      <w:szCs w:val="16"/>
                    </w:rPr>
                  </w:pPr>
                  <w:r>
                    <w:rPr>
                      <w:sz w:val="16"/>
                      <w:szCs w:val="16"/>
                    </w:rPr>
                    <w:t xml:space="preserve">1,057</w:t>
                  </w:r>
                </w:p>
              </w:tc>
              <w:tc>
                <w:tcPr/>
                <w:p>
                  <w:pPr>
                    <w:pStyle w:val="Compact"/>
                    <w:jc w:val="left"/>
                    <w:rPr>
                      <w:sz w:val="16"/>
                      <w:szCs w:val="16"/>
                    </w:rPr>
                  </w:pPr>
                  <w:r>
                    <w:rPr>
                      <w:sz w:val="16"/>
                      <w:szCs w:val="16"/>
                    </w:rPr>
                    <w:t xml:space="preserve">24.4</w:t>
                  </w:r>
                </w:p>
              </w:tc>
              <w:tc>
                <w:tcPr/>
                <w:p>
                  <w:pPr>
                    <w:pStyle w:val="Compact"/>
                    <w:jc w:val="left"/>
                    <w:rPr>
                      <w:sz w:val="16"/>
                      <w:szCs w:val="16"/>
                    </w:rPr>
                  </w:pPr>
                  <w:r>
                    <w:rPr>
                      <w:sz w:val="16"/>
                      <w:szCs w:val="16"/>
                    </w:rPr>
                    <w:t xml:space="preserve">23.2-25.7</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9,934</w:t>
                  </w:r>
                </w:p>
              </w:tc>
              <w:tc>
                <w:tcPr/>
                <w:p>
                  <w:pPr>
                    <w:pStyle w:val="Compact"/>
                    <w:jc w:val="left"/>
                    <w:rPr>
                      <w:sz w:val="16"/>
                      <w:szCs w:val="16"/>
                    </w:rPr>
                  </w:pPr>
                  <w:r>
                    <w:rPr>
                      <w:sz w:val="16"/>
                      <w:szCs w:val="16"/>
                    </w:rPr>
                    <w:t xml:space="preserve">2,627</w:t>
                  </w:r>
                </w:p>
              </w:tc>
              <w:tc>
                <w:tcPr/>
                <w:p>
                  <w:pPr>
                    <w:pStyle w:val="Compact"/>
                    <w:jc w:val="left"/>
                    <w:rPr>
                      <w:sz w:val="16"/>
                      <w:szCs w:val="16"/>
                    </w:rPr>
                  </w:pPr>
                  <w:r>
                    <w:rPr>
                      <w:sz w:val="16"/>
                      <w:szCs w:val="16"/>
                    </w:rPr>
                    <w:t xml:space="preserve">26.4</w:t>
                  </w:r>
                </w:p>
              </w:tc>
              <w:tc>
                <w:tcPr/>
                <w:p>
                  <w:pPr>
                    <w:pStyle w:val="Compact"/>
                    <w:jc w:val="left"/>
                    <w:rPr>
                      <w:sz w:val="16"/>
                      <w:szCs w:val="16"/>
                    </w:rPr>
                  </w:pPr>
                  <w:r>
                    <w:rPr>
                      <w:sz w:val="16"/>
                      <w:szCs w:val="16"/>
                    </w:rPr>
                    <w:t xml:space="preserve">25.6-27.3</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19,090</w:t>
                  </w:r>
                </w:p>
              </w:tc>
              <w:tc>
                <w:tcPr/>
                <w:p>
                  <w:pPr>
                    <w:pStyle w:val="Compact"/>
                    <w:jc w:val="left"/>
                    <w:rPr>
                      <w:sz w:val="16"/>
                      <w:szCs w:val="16"/>
                    </w:rPr>
                  </w:pPr>
                  <w:r>
                    <w:rPr>
                      <w:sz w:val="16"/>
                      <w:szCs w:val="16"/>
                    </w:rPr>
                    <w:t xml:space="preserve">7,576</w:t>
                  </w:r>
                </w:p>
              </w:tc>
              <w:tc>
                <w:tcPr/>
                <w:p>
                  <w:pPr>
                    <w:pStyle w:val="Compact"/>
                    <w:jc w:val="left"/>
                    <w:rPr>
                      <w:sz w:val="16"/>
                      <w:szCs w:val="16"/>
                    </w:rPr>
                  </w:pPr>
                  <w:r>
                    <w:rPr>
                      <w:sz w:val="16"/>
                      <w:szCs w:val="16"/>
                    </w:rPr>
                    <w:t xml:space="preserve">39.7</w:t>
                  </w:r>
                </w:p>
              </w:tc>
              <w:tc>
                <w:tcPr/>
                <w:p>
                  <w:pPr>
                    <w:pStyle w:val="Compact"/>
                    <w:jc w:val="left"/>
                    <w:rPr>
                      <w:sz w:val="16"/>
                      <w:szCs w:val="16"/>
                    </w:rPr>
                  </w:pPr>
                  <w:r>
                    <w:rPr>
                      <w:sz w:val="16"/>
                      <w:szCs w:val="16"/>
                    </w:rPr>
                    <w:t xml:space="preserve">39.0-40.4</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10,903</w:t>
                  </w:r>
                </w:p>
              </w:tc>
              <w:tc>
                <w:tcPr/>
                <w:p>
                  <w:pPr>
                    <w:pStyle w:val="Compact"/>
                    <w:jc w:val="left"/>
                    <w:rPr>
                      <w:sz w:val="16"/>
                      <w:szCs w:val="16"/>
                    </w:rPr>
                  </w:pPr>
                  <w:r>
                    <w:rPr>
                      <w:sz w:val="16"/>
                      <w:szCs w:val="16"/>
                    </w:rPr>
                    <w:t xml:space="preserve">2,724</w:t>
                  </w:r>
                </w:p>
              </w:tc>
              <w:tc>
                <w:tcPr/>
                <w:p>
                  <w:pPr>
                    <w:pStyle w:val="Compact"/>
                    <w:jc w:val="left"/>
                    <w:rPr>
                      <w:sz w:val="16"/>
                      <w:szCs w:val="16"/>
                    </w:rPr>
                  </w:pPr>
                  <w:r>
                    <w:rPr>
                      <w:sz w:val="16"/>
                      <w:szCs w:val="16"/>
                    </w:rPr>
                    <w:t xml:space="preserve">25.0</w:t>
                  </w:r>
                </w:p>
              </w:tc>
              <w:tc>
                <w:tcPr/>
                <w:p>
                  <w:pPr>
                    <w:pStyle w:val="Compact"/>
                    <w:jc w:val="left"/>
                    <w:rPr>
                      <w:sz w:val="16"/>
                      <w:szCs w:val="16"/>
                    </w:rPr>
                  </w:pPr>
                  <w:r>
                    <w:rPr>
                      <w:sz w:val="16"/>
                      <w:szCs w:val="16"/>
                    </w:rPr>
                    <w:t xml:space="preserve">24.2-25.8</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1,671</w:t>
                  </w:r>
                </w:p>
              </w:tc>
              <w:tc>
                <w:tcPr/>
                <w:p>
                  <w:pPr>
                    <w:pStyle w:val="Compact"/>
                    <w:jc w:val="left"/>
                    <w:rPr>
                      <w:sz w:val="16"/>
                      <w:szCs w:val="16"/>
                    </w:rPr>
                  </w:pPr>
                  <w:r>
                    <w:rPr>
                      <w:sz w:val="16"/>
                      <w:szCs w:val="16"/>
                    </w:rPr>
                    <w:t xml:space="preserve">262</w:t>
                  </w:r>
                </w:p>
              </w:tc>
              <w:tc>
                <w:tcPr/>
                <w:p>
                  <w:pPr>
                    <w:pStyle w:val="Compact"/>
                    <w:jc w:val="left"/>
                    <w:rPr>
                      <w:sz w:val="16"/>
                      <w:szCs w:val="16"/>
                    </w:rPr>
                  </w:pPr>
                  <w:r>
                    <w:rPr>
                      <w:sz w:val="16"/>
                      <w:szCs w:val="16"/>
                    </w:rPr>
                    <w:t xml:space="preserve">15.7</w:t>
                  </w:r>
                </w:p>
              </w:tc>
              <w:tc>
                <w:tcPr/>
                <w:p>
                  <w:pPr>
                    <w:pStyle w:val="Compact"/>
                    <w:jc w:val="left"/>
                    <w:rPr>
                      <w:sz w:val="16"/>
                      <w:szCs w:val="16"/>
                    </w:rPr>
                  </w:pPr>
                  <w:r>
                    <w:rPr>
                      <w:sz w:val="16"/>
                      <w:szCs w:val="16"/>
                    </w:rPr>
                    <w:t xml:space="preserve">14.0-17.5</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39.7 per cent and falls away</w:t>
      </w:r>
      <w:r>
        <w:t xml:space="preserve"> </w:t>
      </w:r>
      <w:r>
        <w:t xml:space="preserve">above it, to 25.0 per cent at 30</w:t>
      </w:r>
      <w:r>
        <w:t xml:space="preserve"> </w:t>
      </w:r>
      <w:r>
        <w:t xml:space="preserve">to 40 cm and 15.7 per cent above 40</w:t>
      </w:r>
      <w:r>
        <w:t xml:space="preserve"> </w:t>
      </w:r>
      <w:r>
        <w:t xml:space="preserve">(</w:t>
      </w:r>
      <w:hyperlink w:anchor="tbl-qmd">
        <w:r>
          <w:rPr>
            <w:rStyle w:val="Hyperlink"/>
          </w:rPr>
          <w:t xml:space="preserve">Table 7</w:t>
        </w:r>
      </w:hyperlink>
      <w:r>
        <w:t xml:space="preserve">). The step across the 25 cm source-sink boundary is from</w:t>
      </w:r>
      <w:r>
        <w:t xml:space="preserve"> </w:t>
      </w:r>
      <w:r>
        <w:t xml:space="preserve">26.4 to</w:t>
      </w:r>
      <w:r>
        <w:t xml:space="preserve"> </w:t>
      </w:r>
      <w:r>
        <w:t xml:space="preserve">39.7 per cent.</w:t>
      </w:r>
    </w:p>
    <w:p>
      <w:pPr>
        <w:pStyle w:val="BodyText"/>
      </w:pPr>
      <w:r>
        <w:t xml:space="preserve">In the full model diameter is -0.362 per standard deviation</w:t>
      </w:r>
      <w:r>
        <w:t xml:space="preserve"> </w:t>
      </w:r>
      <w:r>
        <w:t xml:space="preserve">(z = -14.47).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1230.4 on 5 degrees of</w:t>
      </w:r>
      <w:r>
        <w:t xml:space="preserve"> </w:t>
      </w:r>
      <w:r>
        <w:t xml:space="preserve">freedom, p &lt; 0.001, with Cramer’s V = 0.163. The step</w:t>
      </w:r>
      <w:r>
        <w:t xml:space="preserve"> </w:t>
      </w:r>
      <w:r>
        <w:t xml:space="preserve">across the 25 cm source-sink boundary specifically, from the 20 to 25 class to the 25 to 30</w:t>
      </w:r>
      <w:r>
        <w:t xml:space="preserve"> </w:t>
      </w:r>
      <w:r>
        <w:t xml:space="preserve">class, is +13.2 percentage points, 95 per cent confidence</w:t>
      </w:r>
      <w:r>
        <w:t xml:space="preserve"> </w:t>
      </w:r>
      <w:r>
        <w:t xml:space="preserve">interval 12.1 to 14.4, p</w:t>
      </w:r>
      <w:r>
        <w:t xml:space="preserve"> </w:t>
      </w:r>
      <w:r>
        <w:t xml:space="preserve">&lt; 0.001. With 46,359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has 436 cells</w:t>
      </w:r>
      <w:r>
        <w:t xml:space="preserve"> </w:t>
      </w:r>
      <w:r>
        <w:t xml:space="preserve">against 19,090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Start w:id="61" w:name="sec-window"/>
    <w:p>
      <w:pPr>
        <w:pStyle w:val="Heading2"/>
      </w:pPr>
      <w:r>
        <w:t xml:space="preserve">4.4 The wind window</w:t>
      </w:r>
    </w:p>
    <w:p>
      <w:pPr>
        <w:pStyle w:val="FirstParagraph"/>
      </w:pPr>
      <w:r>
        <w:t xml:space="preserve">The wind variable is the epoch wind regime, the mean over every hourly station observation</w:t>
      </w:r>
      <w:r>
        <w:t xml:space="preserve"> </w:t>
      </w:r>
      <w:r>
        <w:t xml:space="preserve">in the sixteen days an epoch covers, each hour modified over the terrain by its own bearing.</w:t>
      </w:r>
      <w:r>
        <w:t xml:space="preserve"> </w:t>
      </w:r>
      <w:r>
        <w:t xml:space="preserve">It is not restricted to the flight window, and that follows from how the insect disperses.</w:t>
      </w:r>
      <w:r>
        <w:t xml:space="preserve"> </w:t>
      </w:r>
      <w:r>
        <w:t xml:space="preserve">Jackson, Straussfogel, Lindgren, Mitchell, &amp; Murphy (2008)</w:t>
      </w:r>
      <w:r>
        <w:t xml:space="preserve"> </w:t>
      </w:r>
      <w:r>
        <w:t xml:space="preserve">tracked mountain pine beetle on weather radar and confirmed</w:t>
      </w:r>
      <w:r>
        <w:t xml:space="preserve"> </w:t>
      </w:r>
      <w:r>
        <w:t xml:space="preserve">the returns by aerial capture, finding beetles</w:t>
      </w:r>
      <w:r>
        <w:t xml:space="preserve"> </w:t>
      </w:r>
      <w:r>
        <w:t xml:space="preserve">“at altitudes up to more than 800 m above the</w:t>
      </w:r>
      <w:r>
        <w:t xml:space="preserve"> </w:t>
      </w:r>
      <w:r>
        <w:t xml:space="preserve">forest canopy”</w:t>
      </w:r>
      <w:r>
        <w:t xml:space="preserve"> </w:t>
      </w:r>
      <w:r>
        <w:t xml:space="preserve">and estimating that those in flight above the canopy</w:t>
      </w:r>
      <w:r>
        <w:t xml:space="preserve"> </w:t>
      </w:r>
      <w:r>
        <w:t xml:space="preserve">“may move</w:t>
      </w:r>
      <w:r>
        <w:t xml:space="preserve"> </w:t>
      </w:r>
      <w:r>
        <w:t xml:space="preserve">30–110 km</w:t>
      </w:r>
      <m:oMath>
        <m:r>
          <m:rPr>
            <m:sty m:val="p"/>
          </m:rPr>
          <m:t>⋅</m:t>
        </m:r>
      </m:oMath>
      <w:r>
        <w:t xml:space="preserve">day</w:t>
      </w:r>
      <m:oMath>
        <m:sSup>
          <m:e>
            <m:r>
              <m:t>​</m:t>
            </m:r>
          </m:e>
          <m:sup>
            <m:r>
              <m:rPr>
                <m:sty m:val="p"/>
              </m:rPr>
              <m:t>−</m:t>
            </m:r>
            <m:r>
              <m:t>1</m:t>
            </m:r>
          </m:sup>
        </m:sSup>
      </m:oMath>
      <w:r>
        <w:t xml:space="preserve">”</w:t>
      </w:r>
      <w:r>
        <w:t xml:space="preserve">, at a mean density of 4950 and a maximum of 18,600 beetles per</w:t>
      </w:r>
      <w:r>
        <w:t xml:space="preserve"> </w:t>
      </w:r>
      <w:r>
        <w:t xml:space="preserve">hectare.</w:t>
      </w:r>
      <w:r>
        <w:t xml:space="preserve"> </w:t>
      </w:r>
      <w:r>
        <w:t xml:space="preserve">Ainslie &amp; Jackson (2010)</w:t>
      </w:r>
      <w:r>
        <w:t xml:space="preserve"> </w:t>
      </w:r>
      <w:r>
        <w:t xml:space="preserve">then reproduced that above-canopy dispersion with an atmospheric</w:t>
      </w:r>
      <w:r>
        <w:t xml:space="preserve"> </w:t>
      </w:r>
      <w:r>
        <w:t xml:space="preserve">model. An insect carried in the boundary layer at those heights and distances is exposed to</w:t>
      </w:r>
      <w:r>
        <w:t xml:space="preserve"> </w:t>
      </w:r>
      <w:r>
        <w:t xml:space="preserve">the atmospheric regime of the period, not to the wind measured in a stand between noon and</w:t>
      </w:r>
      <w:r>
        <w:t xml:space="preserve"> </w:t>
      </w:r>
      <w:r>
        <w:t xml:space="preserve">five, and the variable is named for what it measures.</w:t>
      </w:r>
    </w:p>
    <w:p>
      <w:pPr>
        <w:pStyle w:val="BodyText"/>
      </w:pPr>
      <w:hyperlink w:anchor="tbl-window">
        <w:r>
          <w:rPr>
            <w:rStyle w:val="Hyperlink"/>
          </w:rPr>
          <w:t xml:space="preserve">Table 8</w:t>
        </w:r>
      </w:hyperlink>
      <w:r>
        <w:t xml:space="preserve"> </w:t>
      </w:r>
      <w:r>
        <w:t xml:space="preserve">refits the 16-day model under four definitions of the window. These are every</w:t>
      </w:r>
      <w:r>
        <w:t xml:space="preserve"> </w:t>
      </w:r>
      <w:r>
        <w:t xml:space="preserve">hour, the 12:00 to 17:00 hours the flight peak occupies, the 11:00 to 18:00 hours that clear</w:t>
      </w:r>
      <w:r>
        <w:t xml:space="preserve"> </w:t>
      </w:r>
      <w:r>
        <w:t xml:space="preserve">the thermal gate on this landscape more than half the time, and only those hours whose</w:t>
      </w:r>
      <w:r>
        <w:t xml:space="preserve"> </w:t>
      </w:r>
      <w:r>
        <w:t xml:space="preserve">observed temperature fell inside the 19 to 41 degrees C gate itself. The stem-density interaction is negative and distinguishable from zero under</w:t>
      </w:r>
      <w:r>
        <w:t xml:space="preserve"> </w:t>
      </w:r>
      <w:r>
        <w:t xml:space="preserve">all four, so the mechanism does not depend on the choice. It is largest over the full</w:t>
      </w:r>
      <w:r>
        <w:t xml:space="preserve"> </w:t>
      </w:r>
      <w:r>
        <w:t xml:space="preserve">regime, and the standing-volume interaction is the term that depends on it.</w:t>
      </w:r>
    </w:p>
    <w:tbl>
      <w:tblPr>
        <w:tblStyle w:val="Table"/>
        <w:tblW w:type="pct" w:w="5000"/>
        <w:tblLayout w:type="fixed"/>
        <w:tblLook w:firstRow="0" w:lastRow="0" w:firstColumn="0" w:lastColumn="0" w:noHBand="0" w:noVBand="0" w:val="0000"/>
      </w:tblPr>
      <w:tblGrid>
        <w:gridCol w:w="7920"/>
      </w:tblGrid>
      <w:tr>
        <w:tc>
          <w:tcPr/>
          <w:bookmarkStart w:id="60" w:name="tbl-window"/>
          <w:p>
            <w:pPr>
              <w:jc w:val="center"/>
            </w:pPr>
            <w:pPr>
              <w:jc w:val="start"/>
              <w:spacing w:before="200"/>
              <w:pStyle w:val="ImageCaption"/>
            </w:pPr>
            <w:r>
              <w:t xml:space="preserve">Table 8: The 16-day model refitted under four definitions of the wind window. The epoch wind regime, every hour, is the definition used throughout this paper. Coefficients are log-odds per standard deviation. The thermal-gate row is fitted on fewer cell-epochs because two epochs had too few qualifying hours, so its AIC is not comparable with the other three.</w:t>
            </w:r>
          </w:p>
          <w:tbl>
            <w:tblPr>
              <w:tblStyle w:val="Table"/>
              <w:tblLook w:firstRow="1" w:lastRow="0" w:firstColumn="0" w:lastColumn="0" w:noHBand="0" w:noVBand="0" w:val="0020"/>
              <w:tblW w:w="9354" w:type="dxa"/>
              <w:tblLayout w:type="fixed"/>
            </w:tblPr>
            <w:tblGrid>
              <w:gridCol w:w="2725"/>
              <w:gridCol w:w="1089"/>
              <w:gridCol w:w="1089"/>
              <w:gridCol w:w="1180"/>
              <w:gridCol w:w="727"/>
              <w:gridCol w:w="1271"/>
              <w:gridCol w:w="727"/>
              <w:gridCol w:w="546"/>
            </w:tblGrid>
            <w:tr>
              <w:trPr>
                <w:tblHeader w:val="on"/>
                <w:trHeight w:val="624" w:hRule="exact"/>
              </w:trPr>
              <w:tc>
                <w:tcPr/>
                <w:p>
                  <w:pPr>
                    <w:pStyle w:val="Compact"/>
                    <w:jc w:val="left"/>
                    <w:rPr>
                      <w:sz w:val="16"/>
                      <w:szCs w:val="16"/>
                    </w:rPr>
                  </w:pPr>
                  <w:r>
                    <w:rPr>
                      <w:sz w:val="16"/>
                      <w:szCs w:val="16"/>
                    </w:rPr>
                    <w:t xml:space="preserve">Definition</w:t>
                  </w:r>
                </w:p>
              </w:tc>
              <w:tc>
                <w:tcPr/>
                <w:p>
                  <w:pPr>
                    <w:pStyle w:val="Compact"/>
                    <w:jc w:val="left"/>
                    <w:rPr>
                      <w:sz w:val="16"/>
                      <w:szCs w:val="16"/>
                    </w:rPr>
                  </w:pPr>
                  <w:r>
                    <w:rPr>
                      <w:sz w:val="16"/>
                      <w:szCs w:val="16"/>
                    </w:rPr>
                    <w:t xml:space="preserve">Cell-epochs</w:t>
                  </w:r>
                </w:p>
              </w:tc>
              <w:tc>
                <w:tcPr/>
                <w:p>
                  <w:pPr>
                    <w:pStyle w:val="Compact"/>
                    <w:jc w:val="left"/>
                    <w:rPr>
                      <w:sz w:val="16"/>
                      <w:szCs w:val="16"/>
                    </w:rPr>
                  </w:pPr>
                  <w:r>
                    <w:rPr>
                      <w:sz w:val="16"/>
                      <w:szCs w:val="16"/>
                    </w:rPr>
                    <w:t xml:space="preserve">Wind (km/h)</w:t>
                  </w:r>
                </w:p>
              </w:tc>
              <w:tc>
                <w:tcPr/>
                <w:p>
                  <w:pPr>
                    <w:pStyle w:val="Compact"/>
                    <w:jc w:val="left"/>
                    <w:rPr>
                      <w:sz w:val="16"/>
                      <w:szCs w:val="16"/>
                    </w:rPr>
                  </w:pPr>
                  <w:r>
                    <w:rPr>
                      <w:sz w:val="16"/>
                      <w:szCs w:val="16"/>
                    </w:rPr>
                    <w:t xml:space="preserve">Stems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Volume x wind</w:t>
                  </w:r>
                </w:p>
              </w:tc>
              <w:tc>
                <w:tcPr/>
                <w:p>
                  <w:pPr>
                    <w:pStyle w:val="Compact"/>
                    <w:jc w:val="left"/>
                    <w:rPr>
                      <w:sz w:val="16"/>
                      <w:szCs w:val="16"/>
                    </w:rPr>
                  </w:pPr>
                  <w:r>
                    <w:rPr>
                      <w:sz w:val="16"/>
                      <w:szCs w:val="16"/>
                    </w:rPr>
                    <w:t xml:space="preserve">p</w:t>
                  </w:r>
                </w:p>
              </w:tc>
              <w:tc>
                <w:tcPr/>
                <w:p>
                  <w:pPr>
                    <w:pStyle w:val="Compact"/>
                    <w:jc w:val="left"/>
                    <w:rPr>
                      <w:sz w:val="16"/>
                      <w:szCs w:val="16"/>
                    </w:rPr>
                  </w:pPr>
                  <w:r>
                    <w:rPr>
                      <w:sz w:val="16"/>
                      <w:szCs w:val="16"/>
                    </w:rPr>
                    <w:t xml:space="preserve">AUC</w:t>
                  </w:r>
                </w:p>
              </w:tc>
            </w:tr>
            <w:tr>
              <w:trPr>
                <w:trHeight w:val="340" w:hRule="exact"/>
              </w:trPr>
              <w:tc>
                <w:tcPr/>
                <w:p>
                  <w:pPr>
                    <w:pStyle w:val="Compact"/>
                    <w:jc w:val="left"/>
                    <w:rPr>
                      <w:sz w:val="16"/>
                      <w:szCs w:val="16"/>
                    </w:rPr>
                  </w:pPr>
                  <w:r>
                    <w:rPr>
                      <w:sz w:val="16"/>
                      <w:szCs w:val="16"/>
                    </w:rPr>
                    <w:t xml:space="preserve">Epoch wind regime (all hours)</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5.04</w:t>
                  </w:r>
                </w:p>
              </w:tc>
              <w:tc>
                <w:tcPr/>
                <w:p>
                  <w:pPr>
                    <w:pStyle w:val="Compact"/>
                    <w:jc w:val="left"/>
                    <w:rPr>
                      <w:sz w:val="16"/>
                      <w:szCs w:val="16"/>
                    </w:rPr>
                  </w:pPr>
                  <w:r>
                    <w:rPr>
                      <w:sz w:val="16"/>
                      <w:szCs w:val="16"/>
                    </w:rPr>
                    <w:t xml:space="preserve">-0.0941</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-0.0410</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0.668</w:t>
                  </w:r>
                </w:p>
              </w:tc>
            </w:tr>
            <w:tr>
              <w:trPr>
                <w:trHeight w:val="340" w:hRule="exact"/>
              </w:trPr>
              <w:tc>
                <w:tcPr/>
                <w:p>
                  <w:pPr>
                    <w:pStyle w:val="Compact"/>
                    <w:jc w:val="left"/>
                    <w:rPr>
                      <w:sz w:val="16"/>
                      <w:szCs w:val="16"/>
                    </w:rPr>
                  </w:pPr>
                  <w:r>
                    <w:rPr>
                      <w:sz w:val="16"/>
                      <w:szCs w:val="16"/>
                    </w:rPr>
                    <w:t xml:space="preserve">12:00-17:00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6.45</w:t>
                  </w:r>
                </w:p>
              </w:tc>
              <w:tc>
                <w:tcPr/>
                <w:p>
                  <w:pPr>
                    <w:pStyle w:val="Compact"/>
                    <w:jc w:val="left"/>
                    <w:rPr>
                      <w:sz w:val="16"/>
                      <w:szCs w:val="16"/>
                    </w:rPr>
                  </w:pPr>
                  <w:r>
                    <w:rPr>
                      <w:sz w:val="16"/>
                      <w:szCs w:val="16"/>
                    </w:rPr>
                    <w:t xml:space="preserve">-0.0565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-0.0082</w:t>
                  </w:r>
                </w:p>
              </w:tc>
              <w:tc>
                <w:tcPr/>
                <w:p>
                  <w:pPr>
                    <w:pStyle w:val="Compact"/>
                    <w:jc w:val="left"/>
                    <w:rPr>
                      <w:sz w:val="16"/>
                      <w:szCs w:val="16"/>
                    </w:rPr>
                  </w:pPr>
                  <w:r>
                    <w:rPr>
                      <w:sz w:val="16"/>
                      <w:szCs w:val="16"/>
                    </w:rPr>
                    <w:t xml:space="preserve">0.325</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11:00-18:00</w:t>
                  </w:r>
                </w:p>
              </w:tc>
              <w:tc>
                <w:tcPr/>
                <w:p>
                  <w:pPr>
                    <w:pStyle w:val="Compact"/>
                    <w:jc w:val="left"/>
                    <w:rPr>
                      <w:sz w:val="16"/>
                      <w:szCs w:val="16"/>
                    </w:rPr>
                  </w:pPr>
                  <w:r>
                    <w:rPr>
                      <w:sz w:val="16"/>
                      <w:szCs w:val="16"/>
                    </w:rPr>
                    <w:t xml:space="preserve">71,127</w:t>
                  </w:r>
                </w:p>
              </w:tc>
              <w:tc>
                <w:tcPr/>
                <w:p>
                  <w:pPr>
                    <w:pStyle w:val="Compact"/>
                    <w:jc w:val="left"/>
                    <w:rPr>
                      <w:sz w:val="16"/>
                      <w:szCs w:val="16"/>
                    </w:rPr>
                  </w:pPr>
                  <w:r>
                    <w:rPr>
                      <w:sz w:val="16"/>
                      <w:szCs w:val="16"/>
                    </w:rPr>
                    <w:t xml:space="preserve">6.32</w:t>
                  </w:r>
                </w:p>
              </w:tc>
              <w:tc>
                <w:tcPr/>
                <w:p>
                  <w:pPr>
                    <w:pStyle w:val="Compact"/>
                    <w:jc w:val="left"/>
                    <w:rPr>
                      <w:sz w:val="16"/>
                      <w:szCs w:val="16"/>
                    </w:rPr>
                  </w:pPr>
                  <w:r>
                    <w:rPr>
                      <w:sz w:val="16"/>
                      <w:szCs w:val="16"/>
                    </w:rPr>
                    <w:t xml:space="preserve">-0.0623</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-0.0161</w:t>
                  </w:r>
                </w:p>
              </w:tc>
              <w:tc>
                <w:tcPr/>
                <w:p>
                  <w:pPr>
                    <w:pStyle w:val="Compact"/>
                    <w:jc w:val="left"/>
                    <w:rPr>
                      <w:sz w:val="16"/>
                      <w:szCs w:val="16"/>
                    </w:rPr>
                  </w:pPr>
                  <w:r>
                    <w:rPr>
                      <w:sz w:val="16"/>
                      <w:szCs w:val="16"/>
                    </w:rPr>
                    <w:t xml:space="preserve">0.054</w:t>
                  </w:r>
                </w:p>
              </w:tc>
              <w:tc>
                <w:tcPr/>
                <w:p>
                  <w:pPr>
                    <w:pStyle w:val="Compact"/>
                    <w:jc w:val="left"/>
                    <w:rPr>
                      <w:sz w:val="16"/>
                      <w:szCs w:val="16"/>
                    </w:rPr>
                  </w:pPr>
                  <w:r>
                    <w:rPr>
                      <w:sz w:val="16"/>
                      <w:szCs w:val="16"/>
                    </w:rPr>
                    <w:t xml:space="preserve">0.667</w:t>
                  </w:r>
                </w:p>
              </w:tc>
            </w:tr>
            <w:tr>
              <w:trPr>
                <w:trHeight w:val="340" w:hRule="exact"/>
              </w:trPr>
              <w:tc>
                <w:tcPr/>
                <w:p>
                  <w:pPr>
                    <w:pStyle w:val="Compact"/>
                    <w:jc w:val="left"/>
                    <w:rPr>
                      <w:sz w:val="16"/>
                      <w:szCs w:val="16"/>
                    </w:rPr>
                  </w:pPr>
                  <w:r>
                    <w:rPr>
                      <w:sz w:val="16"/>
                      <w:szCs w:val="16"/>
                    </w:rPr>
                    <w:t xml:space="preserve">Inside the 19-41 C gate</w:t>
                  </w:r>
                </w:p>
              </w:tc>
              <w:tc>
                <w:tcPr/>
                <w:p>
                  <w:pPr>
                    <w:pStyle w:val="Compact"/>
                    <w:jc w:val="left"/>
                    <w:rPr>
                      <w:sz w:val="16"/>
                      <w:szCs w:val="16"/>
                    </w:rPr>
                  </w:pPr>
                  <w:r>
                    <w:rPr>
                      <w:sz w:val="16"/>
                      <w:szCs w:val="16"/>
                    </w:rPr>
                    <w:t xml:space="preserve">69,711</w:t>
                  </w:r>
                </w:p>
              </w:tc>
              <w:tc>
                <w:tcPr/>
                <w:p>
                  <w:pPr>
                    <w:pStyle w:val="Compact"/>
                    <w:jc w:val="left"/>
                    <w:rPr>
                      <w:sz w:val="16"/>
                      <w:szCs w:val="16"/>
                    </w:rPr>
                  </w:pPr>
                  <w:r>
                    <w:rPr>
                      <w:sz w:val="16"/>
                      <w:szCs w:val="16"/>
                    </w:rPr>
                    <w:t xml:space="preserve">5.67</w:t>
                  </w:r>
                </w:p>
              </w:tc>
              <w:tc>
                <w:tcPr/>
                <w:p>
                  <w:pPr>
                    <w:pStyle w:val="Compact"/>
                    <w:jc w:val="left"/>
                    <w:rPr>
                      <w:sz w:val="16"/>
                      <w:szCs w:val="16"/>
                    </w:rPr>
                  </w:pPr>
                  <w:r>
                    <w:rPr>
                      <w:sz w:val="16"/>
                      <w:szCs w:val="16"/>
                    </w:rPr>
                    <w:t xml:space="preserve">-0.0596</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-0.0325</w:t>
                  </w:r>
                </w:p>
              </w:tc>
              <w:tc>
                <w:tcPr/>
                <w:p>
                  <w:pPr>
                    <w:pStyle w:val="Compact"/>
                    <w:jc w:val="left"/>
                    <w:rPr>
                      <w:sz w:val="16"/>
                      <w:szCs w:val="16"/>
                    </w:rPr>
                  </w:pPr>
                  <w:r>
                    <w:rPr>
                      <w:sz w:val="16"/>
                      <w:szCs w:val="16"/>
                    </w:rPr>
                    <w:t xml:space="preserve">&lt; 0.001</w:t>
                  </w:r>
                </w:p>
              </w:tc>
              <w:tc>
                <w:tcPr/>
                <w:p>
                  <w:pPr>
                    <w:pStyle w:val="Compact"/>
                    <w:jc w:val="left"/>
                    <w:rPr>
                      <w:sz w:val="16"/>
                      <w:szCs w:val="16"/>
                    </w:rPr>
                  </w:pPr>
                  <w:r>
                    <w:rPr>
                      <w:sz w:val="16"/>
                      <w:szCs w:val="16"/>
                    </w:rPr>
                    <w:t xml:space="preserve">0.666</w:t>
                  </w:r>
                </w:p>
              </w:tc>
            </w:tr>
          </w:tbl>
          <w:bookmarkEnd w:id="60"/>
          <w:p/>
        </w:tc>
      </w:tr>
    </w:tbl>
    <w:bookmarkEnd w:id="61"/>
    <w:bookmarkEnd w:id="62"/>
    <w:bookmarkStart w:id="68" w:name="discussion"/>
    <w:p>
      <w:pPr>
        <w:pStyle w:val="Heading1"/>
      </w:pPr>
      <w:r>
        <w:t xml:space="preserve">5. Discussion</w:t>
      </w:r>
    </w:p>
    <w:bookmarkStart w:id="63" w:name="radiation-not-wind"/>
    <w:p>
      <w:pPr>
        <w:pStyle w:val="Heading2"/>
      </w:pPr>
      <w:r>
        <w:t xml:space="preserve">5.1 Radiation, not wind</w:t>
      </w:r>
    </w:p>
    <w:p>
      <w:pPr>
        <w:pStyle w:val="FirstParagraph"/>
      </w:pPr>
      <w:r>
        <w:t xml:space="preserve">The clearest result of this study is methodological. It changes what a terrain variable in</w:t>
      </w:r>
      <w:r>
        <w:t xml:space="preserve"> </w:t>
      </w:r>
      <w:r>
        <w:t xml:space="preserve">this literature can be read as.</w:t>
      </w:r>
    </w:p>
    <w:p>
      <w:pPr>
        <w:pStyle w:val="BodyText"/>
      </w:pPr>
      <w:r>
        <w:t xml:space="preserve">Fitted with a terrain-wind index and no radiation, stand density interacts with terrain</w:t>
      </w:r>
      <w:r>
        <w:t xml:space="preserve"> </w:t>
      </w:r>
      <w:r>
        <w:t xml:space="preserve">exposure at -0.068, and the natural reading is a wind effect. Add flight-window</w:t>
      </w:r>
      <w:r>
        <w:t xml:space="preserve"> </w:t>
      </w:r>
      <w:r>
        <w:t xml:space="preserve">radiation and that interaction becomes -0.040, p = 0.098, while density by</w:t>
      </w:r>
      <w:r>
        <w:t xml:space="preserve"> </w:t>
      </w:r>
      <w:r>
        <w:t xml:space="preserve">radiation appears at +0.103. About two fifths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3"/>
    <w:bookmarkStart w:id="64" w:name="what-survives"/>
    <w:p>
      <w:pPr>
        <w:pStyle w:val="Heading2"/>
      </w:pPr>
      <w:r>
        <w:t xml:space="preserve">5.2 What survives</w:t>
      </w:r>
    </w:p>
    <w:p>
      <w:pPr>
        <w:pStyle w:val="FirstParagraph"/>
      </w:pPr>
      <w:r>
        <w:t xml:space="preserve">This study tested the three mechanisms</w:t>
      </w:r>
      <w:r>
        <w:t xml:space="preserve"> </w:t>
      </w:r>
      <w:r>
        <w:t xml:space="preserve">Krawchuk et al. (2020)</w:t>
      </w:r>
      <w:r>
        <w:t xml:space="preserve"> </w:t>
      </w:r>
      <w:r>
        <w:t xml:space="preserve">propose for refugia from mountain pine</w:t>
      </w:r>
      <w:r>
        <w:t xml:space="preserve"> </w:t>
      </w:r>
      <w:r>
        <w:t xml:space="preserve">beetle, using a response measured at the sixteen-day cadence the sensor and the insect share.</w:t>
      </w:r>
      <w:r>
        <w:t xml:space="preserve"> </w:t>
      </w:r>
      <w:r>
        <w:t xml:space="preserve">Support was partial. H2, low host density admitting the wind that</w:t>
      </w:r>
      <w:r>
        <w:t xml:space="preserve"> </w:t>
      </w:r>
      <w:r>
        <w:t xml:space="preserve">disperses the aggregation pheromone, was supported, and in the conditional form the mechanism</w:t>
      </w:r>
      <w:r>
        <w:t xml:space="preserve"> </w:t>
      </w:r>
      <w:r>
        <w:t xml:space="preserve">specifies rather than as a main effect. H3, a scarcity of large-diameter hosts, was supported</w:t>
      </w:r>
      <w:r>
        <w:t xml:space="preserve"> </w:t>
      </w:r>
      <w:r>
        <w:t xml:space="preserve">as a threshold rather than as a gradient. H1, topographic shading, was not supported, and the</w:t>
      </w:r>
      <w:r>
        <w:t xml:space="preserve"> </w:t>
      </w:r>
      <w:r>
        <w:t xml:space="preserve">term that rejects it is the least secure in the study.</w:t>
      </w:r>
    </w:p>
    <w:p>
      <w:pPr>
        <w:pStyle w:val="BodyText"/>
      </w:pPr>
      <w:r>
        <w:t xml:space="preserve">H2, host density, holds, and it holds in the conditional form the mechanism specifies</w:t>
      </w:r>
      <w:r>
        <w:t xml:space="preserve"> </w:t>
      </w:r>
      <w:r>
        <w:t xml:space="preserve">rather than as a bare main effect. Stand basal area predicts disturbance at +0.504, and</w:t>
      </w:r>
      <w:r>
        <w:t xml:space="preserve"> </w:t>
      </w:r>
      <w:r>
        <w:t xml:space="preserve">its interaction with wind is -0.017 while stem density’s is -0.049. The</w:t>
      </w:r>
      <w:r>
        <w:t xml:space="preserve"> </w:t>
      </w:r>
      <w:r>
        <w:t xml:space="preserve">claim was never that dense stands are attacked more. It was that a dense canopy holds a</w:t>
      </w:r>
      <w:r>
        <w:t xml:space="preserve"> </w:t>
      </w:r>
      <w:r>
        <w:t xml:space="preserve">plume together, and that the advantage this gives the beetle should shrink as the wind rises.</w:t>
      </w:r>
      <w:r>
        <w:t xml:space="preserve"> </w:t>
      </w:r>
      <w:r>
        <w:t xml:space="preserve">Both halves are present.</w:t>
      </w:r>
    </w:p>
    <w:p>
      <w:pPr>
        <w:pStyle w:val="BodyText"/>
      </w:pPr>
      <w:r>
        <w:t xml:space="preserve">H3, large-diameter host, holds as a threshold rather than a gradient. Attack peaks at</w:t>
      </w:r>
      <w:r>
        <w:t xml:space="preserve"> </w:t>
      </w:r>
      <w:r>
        <w:t xml:space="preserve">39.7 per cent in the 25 to 30 cm</w:t>
      </w:r>
      <w:r>
        <w:t xml:space="preserve"> </w:t>
      </w:r>
      <w:r>
        <w:t xml:space="preserve">class, at the source-sink boundary of</w:t>
      </w:r>
      <w:r>
        <w:t xml:space="preserve"> </w:t>
      </w:r>
      <w:r>
        <w:t xml:space="preserve">Carroll &amp; Safranyik (2004)</w:t>
      </w:r>
      <w:r>
        <w:t xml:space="preserve">, and falls away on both sides.</w:t>
      </w:r>
    </w:p>
    <w:p>
      <w:pPr>
        <w:pStyle w:val="BodyText"/>
      </w:pPr>
      <w:r>
        <w:t xml:space="preserve">H1, topographic shading, does not hold, and it fails on a stand-in rather than on the</w:t>
      </w:r>
      <w:r>
        <w:t xml:space="preserve"> </w:t>
      </w:r>
      <w:r>
        <w:t xml:space="preserve">quantity the mechanism names. Growing-season radiation did not survive variable selection, so</w:t>
      </w:r>
      <w:r>
        <w:t xml:space="preserve"> </w:t>
      </w:r>
      <w:r>
        <w:t xml:space="preserve">northness stands in for the pathway, and it correlates -0.824</w:t>
      </w:r>
      <w:r>
        <w:t xml:space="preserve"> </w:t>
      </w:r>
      <w:r>
        <w:t xml:space="preserve">with it. Northness is +0.305, so shaded ground has more attack where the</w:t>
      </w:r>
      <w:r>
        <w:t xml:space="preserve"> </w:t>
      </w:r>
      <w:r>
        <w:t xml:space="preserve">mechanism requires less. Northness tests aspect, and aspect measures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4"/>
    <w:bookmarkStart w:id="65" w:name="the-wind-claim"/>
    <w:p>
      <w:pPr>
        <w:pStyle w:val="Heading2"/>
      </w:pPr>
      <w:r>
        <w:t xml:space="preserve">5.3 The wind claim</w:t>
      </w:r>
    </w:p>
    <w:p>
      <w:pPr>
        <w:pStyle w:val="FirstParagraph"/>
      </w:pPr>
      <w:r>
        <w:t xml:space="preserve">Stand density interacts with terrain-resolved wind at -0.049 for stem density and</w:t>
      </w:r>
      <w:r>
        <w:t xml:space="preserve"> </w:t>
      </w:r>
      <w:r>
        <w:t xml:space="preserve">-0.017 for standing volume, both negative, at p &lt; 0.001 and</w:t>
      </w:r>
      <w:r>
        <w:t xml:space="preserve"> </w:t>
      </w:r>
      <w:r>
        <w:t xml:space="preserve">p = 0.038 respectively. A dense stand is worth less to the beetle where and when</w:t>
      </w:r>
      <w:r>
        <w:t xml:space="preserve"> </w:t>
      </w:r>
      <w:r>
        <w:t xml:space="preserve">the wind blows harder, which is what</w:t>
      </w:r>
      <w:r>
        <w:t xml:space="preserve"> </w:t>
      </w:r>
      <w:r>
        <w:t xml:space="preserve">Krawchuk et al. (2020)</w:t>
      </w:r>
      <w:r>
        <w:t xml:space="preserve"> </w:t>
      </w:r>
      <w:r>
        <w:t xml:space="preserve">predict. The result survives entering the</w:t>
      </w:r>
      <w:r>
        <w:t xml:space="preserve"> </w:t>
      </w:r>
      <w:r>
        <w:t xml:space="preserve">previous epoch of the same season, so it is not the outbreak’s own spread appearing as a</w:t>
      </w:r>
      <w:r>
        <w:t xml:space="preserve"> </w:t>
      </w:r>
      <w:r>
        <w:t xml:space="preserve">wind coefficient.</w:t>
      </w:r>
    </w:p>
    <w:p>
      <w:pPr>
        <w:pStyle w:val="BodyText"/>
      </w:pPr>
      <w:r>
        <w:t xml:space="preserve">The mechanism concerns a plume that persists for minutes over a flight period of weeks, and</w:t>
      </w:r>
      <w:r>
        <w:t xml:space="preserve"> </w:t>
      </w:r>
      <w:r>
        <w:t xml:space="preserve">the wind term is measured over the sixteen days an epoch covers for that reason.</w:t>
      </w:r>
      <w:r>
        <w:t xml:space="preserve"> </w:t>
      </w:r>
      <w:r>
        <w:t xml:space="preserve">Krawchuk et al. (2020)</w:t>
      </w:r>
      <w:r>
        <w:t xml:space="preserve"> </w:t>
      </w:r>
      <w:r>
        <w:t xml:space="preserve">name wind without naming the interval it should be summarised over, and nothing in the</w:t>
      </w:r>
      <w:r>
        <w:t xml:space="preserve"> </w:t>
      </w:r>
      <w:r>
        <w:t xml:space="preserve">literature since has supplied one.</w:t>
      </w:r>
    </w:p>
    <w:p>
      <w:pPr>
        <w:pStyle w:val="BodyText"/>
      </w:pPr>
      <w:r>
        <w:t xml:space="preserve">Two limits stay attached to the claim. The interaction is small, roughly a tenth of the</w:t>
      </w:r>
      <w:r>
        <w:t xml:space="preserve"> </w:t>
      </w:r>
      <w:r>
        <w:t xml:space="preserve">stand basal area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5"/>
    <w:bookmarkStart w:id="66"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It is -0.005 for beetle attack here, against a positive</w:t>
      </w:r>
      <w:r>
        <w:t xml:space="preserve"> </w:t>
      </w:r>
      <w:r>
        <w:t xml:space="preserve">coefficient for conifer regeneration in</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6"/>
    <w:bookmarkStart w:id="67" w:name="what-stays-confounded"/>
    <w:p>
      <w:pPr>
        <w:pStyle w:val="Heading2"/>
      </w:pPr>
      <w:r>
        <w:t xml:space="preserve">5.5 What stays confounded</w:t>
      </w:r>
    </w:p>
    <w:p>
      <w:pPr>
        <w:pStyle w:val="FirstParagraph"/>
      </w:pPr>
      <w:r>
        <w:t xml:space="preserve">Elevation is among the largest terms in the model, +0.337, and elevation is not</w:t>
      </w:r>
      <w:r>
        <w:t xml:space="preserve"> </w:t>
      </w:r>
      <w:r>
        <w:t xml:space="preserve">one thing. It combines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7"/>
    <w:bookmarkEnd w:id="68"/>
    <w:bookmarkStart w:id="69"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-0.049 for stem density</w:t>
      </w:r>
      <w:r>
        <w:t xml:space="preserve"> </w:t>
      </w:r>
      <w:r>
        <w:t xml:space="preserve">and -0.017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w:t>
      </w:r>
      <w:r>
        <w:t xml:space="preserve"> </w:t>
      </w:r>
      <w:r>
        <w:t xml:space="preserve">basal area, +0.504, with live stems agreeing in sign and crown closure alone running</w:t>
      </w:r>
      <w:r>
        <w:t xml:space="preserve"> </w:t>
      </w:r>
      <w:r>
        <w:t xml:space="preserve">the other way, and large-diameter host holds as a threshold at 25 to 30 cm rather than as a</w:t>
      </w:r>
      <w:r>
        <w:t xml:space="preserve"> </w:t>
      </w:r>
      <w:r>
        <w:t xml:space="preserve">slope, at the source-sink boundary of</w:t>
      </w:r>
      <w:r>
        <w:t xml:space="preserve"> </w:t>
      </w:r>
      <w:r>
        <w:t xml:space="preserve">Carroll &amp; Safranyik (2004)</w:t>
      </w:r>
      <w:r>
        <w:t xml:space="preserve">. Topographic shading does not</w:t>
      </w:r>
      <w:r>
        <w:t xml:space="preserve"> </w:t>
      </w:r>
      <w:r>
        <w:t xml:space="preserve">hold, and it fails on a surrogate. Growing-season radiation did not survive selection, so</w:t>
      </w:r>
      <w:r>
        <w:t xml:space="preserve"> </w:t>
      </w:r>
      <w:r>
        <w:t xml:space="preserve">northness stands in for the pathway at +0.305, and the two correlate</w:t>
      </w:r>
      <w:r>
        <w:t xml:space="preserve"> </w:t>
      </w:r>
      <w:r>
        <w:t xml:space="preserve">-0.824.</w:t>
      </w:r>
    </w:p>
    <w:p>
      <w:pPr>
        <w:pStyle w:val="BodyText"/>
      </w:pPr>
      <w:r>
        <w:t xml:space="preserve">Two measurement results travel beyond this landscape, and both concern variables that look</w:t>
      </w:r>
      <w:r>
        <w:t xml:space="preserve"> </w:t>
      </w:r>
      <w:r>
        <w:t xml:space="preserve">like one thing and behave as another.</w:t>
      </w:r>
    </w:p>
    <w:p>
      <w:pPr>
        <w:pStyle w:val="BodyText"/>
      </w:pPr>
      <w:r>
        <w:t xml:space="preserve">A terrain wind index is partly a measurement of sunlight. Entering flight-window radiation</w:t>
      </w:r>
      <w:r>
        <w:t xml:space="preserve"> </w:t>
      </w:r>
      <w:r>
        <w:t xml:space="preserve">weakened the density by terrain-exposure interaction from -0.068 to -0.040.</w:t>
      </w:r>
      <w:r>
        <w:t xml:space="preserve"> </w:t>
      </w:r>
      <w:r>
        <w:t xml:space="preserve">On any range whose prevailing bearing puts the windward slopes into the afternoon sun, and</w:t>
      </w:r>
      <w:r>
        <w:t xml:space="preserve"> </w:t>
      </w:r>
      <w:r>
        <w:t xml:space="preserve">that is most of them, a study entering a windward-leeward index without a radiation term on</w:t>
      </w:r>
      <w:r>
        <w:t xml:space="preserve"> </w:t>
      </w:r>
      <w:r>
        <w:t xml:space="preserve">the same clock will attribute radiation to wind.</w:t>
      </w:r>
    </w:p>
    <w:p>
      <w:pPr>
        <w:pStyle w:val="BodyText"/>
      </w:pPr>
      <w:r>
        <w:t xml:space="preserve">A landform variable in a spreading outbreak partly records where the outbreak has already</w:t>
      </w:r>
      <w:r>
        <w:t xml:space="preserve"> </w:t>
      </w:r>
      <w:r>
        <w:t xml:space="preserve">been. Entering previous-year attack left valley depth retaining 0.18 of</w:t>
      </w:r>
      <w:r>
        <w:t xml:space="preserve"> </w:t>
      </w:r>
      <w:r>
        <w:t xml:space="preserve">its coefficient and moved mid-slope position to 1.35, against</w:t>
      </w:r>
      <w:r>
        <w:t xml:space="preserve"> </w:t>
      </w:r>
      <w:r>
        <w:t xml:space="preserve">1.23 for ruggedness, which describes a condition a cell has whether or not the</w:t>
      </w:r>
      <w:r>
        <w:t xml:space="preserve"> </w:t>
      </w:r>
      <w:r>
        <w:t xml:space="preserve">beetle ever arrived. Landform terms fitted without a contagion term are not measuring</w:t>
      </w:r>
      <w:r>
        <w:t xml:space="preserve"> </w:t>
      </w:r>
      <w:r>
        <w:t xml:space="preserve">landform alone.</w:t>
      </w:r>
    </w:p>
    <w:bookmarkEnd w:id="69"/>
    <w:bookmarkStart w:id="70"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-0.595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northness stands in for the pathway, and it correlates</w:t>
      </w:r>
      <w:r>
        <w:t xml:space="preserve"> </w:t>
      </w:r>
      <w:r>
        <w:t xml:space="preserve">-0.824 with it. Northness tests aspect, aspect measures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+0.001,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and total basal area discriminates only weakly on its own,</w:t>
      </w:r>
      <w:r>
        <w:t xml:space="preserve"> </w:t>
      </w:r>
      <w:r>
        <w:t xml:space="preserve">0.603.</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70"/>
    <w:bookmarkStart w:id="71"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71"/>
    <w:bookmarkStart w:id="72" w:name="conflict-of-interest"/>
    <w:p>
      <w:pPr>
        <w:pStyle w:val="Heading1"/>
      </w:pPr>
      <w:r>
        <w:t xml:space="preserve">9. Conflict of interest</w:t>
      </w:r>
    </w:p>
    <w:p>
      <w:pPr>
        <w:pStyle w:val="FirstParagraph"/>
      </w:pPr>
      <w:r>
        <w:t xml:space="preserve">The author declares no conflict of interest.</w:t>
      </w:r>
    </w:p>
    <w:bookmarkEnd w:id="72"/>
    <w:bookmarkStart w:id="73"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3"/>
    <w:bookmarkStart w:id="74"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4"/>
    <w:bookmarkStart w:id="76"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5">
        <w:r>
          <w:rPr>
            <w:rStyle w:val="Hyperlink"/>
          </w:rPr>
          <w:t xml:space="preserve">https://github.com/seamusrobertmurphy/beetle-topography-and-wind-study</w:t>
        </w:r>
      </w:hyperlink>
      <w:r>
        <w:t xml:space="preserve">.</w:t>
      </w:r>
    </w:p>
    <w:bookmarkEnd w:id="76"/>
    <w:bookmarkStart w:id="77" w:name="figure-legends"/>
    <w:p>
      <w:pPr>
        <w:pStyle w:val="Heading1"/>
      </w:pPr>
      <w:r>
        <w:t xml:space="preserve">13. Figure legends</w:t>
      </w:r>
    </w:p>
    <w:p>
      <w:pPr>
        <w:pStyle w:val="FirstParagraph"/>
      </w:pPr>
      <w:r>
        <w:rPr>
          <w:b/>
          <w:bCs/>
        </w:rPr>
        <w:t xml:space="preserve">Figure 1.</w:t>
      </w:r>
      <w:r>
        <w:t xml:space="preserve"> </w:t>
      </w:r>
      <w:r>
        <w:t xml:space="preserve">Landscape, terrain and stand surfaces across the study area, all EPSG:3153 at</w:t>
      </w:r>
      <w:r>
        <w:t xml:space="preserve"> </w:t>
      </w:r>
      <w:r>
        <w:t xml:space="preserve">30 m over Esri World Shaded Relief, which is reproduced under Esri’s attribution</w:t>
      </w:r>
      <w:r>
        <w:t xml:space="preserve"> </w:t>
      </w:r>
      <w:r>
        <w:t xml:space="preserve">requirement. (a) elevation; (b) terrain ruggedness index; (c) windward-leeward index at the</w:t>
      </w:r>
      <w:r>
        <w:t xml:space="preserve"> </w:t>
      </w:r>
      <w:r>
        <w:t xml:space="preserve">prevailing bearing; (d) flight-window direct radiation, the thermal gate on flight;</w:t>
      </w:r>
      <w:r>
        <w:t xml:space="preserve"> </w:t>
      </w:r>
      <w:r>
        <w:t xml:space="preserve">(e) growing-season direct radiation, the shading pathway; (f) the MicroMet wind weighting</w:t>
      </w:r>
      <w:r>
        <w:t xml:space="preserve"> </w:t>
      </w:r>
      <w:r>
        <w:t xml:space="preserve">factor at the prevailing bearing; (g) stand basal area; (h) quadratic mean diameter, whose</w:t>
      </w:r>
      <w:r>
        <w:t xml:space="preserve"> </w:t>
      </w:r>
      <w:r>
        <w:t xml:space="preserve">25 cm source-sink threshold falls near the midpoint of the scale; (i) live stems per</w:t>
      </w:r>
      <w:r>
        <w:t xml:space="preserve"> </w:t>
      </w:r>
      <w:r>
        <w:t xml:space="preserve">hectare. The white outline is the study perimeter and the red outline the 2015 Mt Midgeley</w:t>
      </w:r>
      <w:r>
        <w:t xml:space="preserve"> </w:t>
      </w:r>
      <w:r>
        <w:t xml:space="preserve">burn. Kootenay Lake and the Kootenay River are from the British Columbia Freshwater Atlas.</w:t>
      </w:r>
      <w:r>
        <w:t xml:space="preserve"> </w:t>
      </w:r>
      <w:r>
        <w:t xml:space="preserve">Contours are at 200 m. Every panel has its own north arrow and the same numerical scale,</w:t>
      </w:r>
      <w:r>
        <w:t xml:space="preserve"> </w:t>
      </w:r>
      <w:r>
        <w:t xml:space="preserve">1:150,000, which is correct at a printed panel width of 66 mm. The surfaces are drawn unclipped,</w:t>
      </w:r>
      <w:r>
        <w:t xml:space="preserve"> </w:t>
      </w:r>
      <w:r>
        <w:t xml:space="preserve">so they extend beyond the perimeter within which the models are fitted.</w:t>
      </w:r>
    </w:p>
    <w:p>
      <w:pPr>
        <w:pStyle w:val="BodyText"/>
      </w:pPr>
      <w:r>
        <w:rPr>
          <w:b/>
          <w:bCs/>
        </w:rPr>
        <w:t xml:space="preserve">Figure 2.</w:t>
      </w:r>
      <w:r>
        <w:t xml:space="preserve"> </w:t>
      </w:r>
      <w:r>
        <w:t xml:space="preserve">The flight window against the landscape’s own climate, from hourly Environment</w:t>
      </w:r>
      <w:r>
        <w:t xml:space="preserve"> </w:t>
      </w:r>
      <w:r>
        <w:t xml:space="preserve">and Climate Change Canada station records for May to September of the nine study years. The</w:t>
      </w:r>
      <w:r>
        <w:t xml:space="preserve"> </w:t>
      </w:r>
      <w:r>
        <w:t xml:space="preserve">window, 1 July to 15 August, is the shaded band; it is taken from the bionomics and is not</w:t>
      </w:r>
      <w:r>
        <w:t xml:space="preserve"> </w:t>
      </w:r>
      <w:r>
        <w:t xml:space="preserve">fitted to these data. (a) Mean afternoon temperature by day of year, with the 19 to 41</w:t>
      </w:r>
      <w:r>
        <w:t xml:space="preserve"> </w:t>
      </w:r>
      <w:r>
        <w:t xml:space="preserve">degrees C flight gate and the 22 to 32 degrees C peak band marked. (b) The share of afternoon</w:t>
      </w:r>
      <w:r>
        <w:t xml:space="preserve"> </w:t>
      </w:r>
      <w:r>
        <w:t xml:space="preserve">hours falling inside the flight gate, day by day. (c) The diurnal curve, mean temperature and</w:t>
      </w:r>
      <w:r>
        <w:t xml:space="preserve"> </w:t>
      </w:r>
      <w:r>
        <w:t xml:space="preserve">the share of all hours inside the gate, by hour, with the 12:00 to 17:00 restriction shaded.</w:t>
      </w:r>
      <w:r>
        <w:t xml:space="preserve"> </w:t>
      </w:r>
      <w:r>
        <w:t xml:space="preserve">(d) Mean wind speed by hour, on the same axis, showing that the hours the beetle can fly are</w:t>
      </w:r>
      <w:r>
        <w:t xml:space="preserve"> </w:t>
      </w:r>
      <w:r>
        <w:t xml:space="preserve">also the windiest of the day.</w:t>
      </w:r>
    </w:p>
    <w:p>
      <w:pPr>
        <w:pStyle w:val="BodyText"/>
      </w:pPr>
      <w:r>
        <w:rPr>
          <w:b/>
          <w:bCs/>
        </w:rPr>
        <w:t xml:space="preserve">Figure 3.</w:t>
      </w:r>
      <w:r>
        <w:t xml:space="preserve"> </w:t>
      </w:r>
      <w:r>
        <w:t xml:space="preserve">The refugia mechanism as fitted. (a) Predicted probability of moderate-to-high</w:t>
      </w:r>
      <w:r>
        <w:t xml:space="preserve"> </w:t>
      </w:r>
      <w:r>
        <w:t xml:space="preserve">disturbance against terrain-resolved epoch wind, at the 10th and 90th percentiles of stem</w:t>
      </w:r>
      <w:r>
        <w:t xml:space="preserve"> </w:t>
      </w:r>
      <w:r>
        <w:t xml:space="preserve">density, all other terms held at their means; the lines cross, so wind raises attack in thin</w:t>
      </w:r>
      <w:r>
        <w:t xml:space="preserve"> </w:t>
      </w:r>
      <w:r>
        <w:t xml:space="preserve">stands and lowers it in dense ones, which is the interaction. (b) The same for standing</w:t>
      </w:r>
      <w:r>
        <w:t xml:space="preserve"> </w:t>
      </w:r>
      <w:r>
        <w:t xml:space="preserve">volume, where the interaction is a fifth the size and attenuates the dense-stand slope</w:t>
      </w:r>
      <w:r>
        <w:t xml:space="preserve"> </w:t>
      </w:r>
      <w:r>
        <w:t xml:space="preserve">without reversing it, so the lines converge rather than cross over the observed range.</w:t>
      </w:r>
      <w:r>
        <w:t xml:space="preserve"> </w:t>
      </w:r>
      <w:r>
        <w:t xml:space="preserve">(c) Coefficients of the 16-day model, with and without the within-season spread term.</w:t>
      </w:r>
      <w:r>
        <w:t xml:space="preserve"> </w:t>
      </w:r>
      <w:r>
        <w:t xml:space="preserve">(d) Epoch prevalence against epoch mean wind, one point per epoch, years distinguished by</w:t>
      </w:r>
      <w:r>
        <w:t xml:space="preserve"> </w:t>
      </w:r>
      <w:r>
        <w:t xml:space="preserve">both shape and shade so the panel survives black-and-white printing.</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7"/>
    <w:bookmarkStart w:id="118" w:name="references"/>
    <w:p>
      <w:pPr>
        <w:pStyle w:val="Heading1"/>
      </w:pPr>
      <w:r>
        <w:t xml:space="preserve">14. References</w:t>
      </w:r>
    </w:p>
    <w:bookmarkStart w:id="117" w:name="refs"/>
    <w:bookmarkStart w:id="79" w:name="ref-ainslie2010"/>
    <w:p>
      <w:pPr>
        <w:pStyle w:val="Bibliography"/>
      </w:pPr>
      <w:r>
        <w:t xml:space="preserve">Ainslie, B., &amp; Jackson, P. L. (2010). Investigation into mountain pine beetle above-canopy dispersion using weather radar and an atmospheric dispersion model.</w:t>
      </w:r>
      <w:r>
        <w:t xml:space="preserve"> </w:t>
      </w:r>
      <w:r>
        <w:rPr>
          <w:i/>
          <w:iCs/>
        </w:rPr>
        <w:t xml:space="preserve">Aerobiologia</w:t>
      </w:r>
      <w:r>
        <w:t xml:space="preserve">,</w:t>
      </w:r>
      <w:r>
        <w:t xml:space="preserve"> </w:t>
      </w:r>
      <w:r>
        <w:rPr>
          <w:i/>
          <w:iCs/>
        </w:rPr>
        <w:t xml:space="preserve">27</w:t>
      </w:r>
      <w:r>
        <w:t xml:space="preserve">, 51–65.</w:t>
      </w:r>
      <w:r>
        <w:t xml:space="preserve"> </w:t>
      </w:r>
      <w:hyperlink r:id="rId78">
        <w:r>
          <w:rPr>
            <w:rStyle w:val="Hyperlink"/>
          </w:rPr>
          <w:t xml:space="preserve">https://doi.org/10.1007/s10453-010-9176-9</w:t>
        </w:r>
      </w:hyperlink>
    </w:p>
    <w:bookmarkEnd w:id="79"/>
    <w:bookmarkStart w:id="81" w:name="ref-badger2014"/>
    <w:p>
      <w:pPr>
        <w:pStyle w:val="Bibliography"/>
      </w:pPr>
      <w:r>
        <w:t xml:space="preserve">Badger, J., Frank, H., Hahmann, A. N., &amp; Giebel, G. (2014). Wind-climate estimation based on mesoscale and microscale modeling: Statistical–dynamical downscaling for wind energy applications.</w:t>
      </w:r>
      <w:r>
        <w:t xml:space="preserve"> </w:t>
      </w:r>
      <w:r>
        <w:rPr>
          <w:i/>
          <w:iCs/>
        </w:rPr>
        <w:t xml:space="preserve">Journal of Applied Meteorology and Climatology</w:t>
      </w:r>
      <w:r>
        <w:t xml:space="preserve">,</w:t>
      </w:r>
      <w:r>
        <w:t xml:space="preserve"> </w:t>
      </w:r>
      <w:r>
        <w:rPr>
          <w:i/>
          <w:iCs/>
        </w:rPr>
        <w:t xml:space="preserve">53</w:t>
      </w:r>
      <w:r>
        <w:t xml:space="preserve">(8), 1901–1919.</w:t>
      </w:r>
      <w:r>
        <w:t xml:space="preserve"> </w:t>
      </w:r>
      <w:hyperlink r:id="rId80">
        <w:r>
          <w:rPr>
            <w:rStyle w:val="Hyperlink"/>
          </w:rPr>
          <w:t xml:space="preserve">https://doi.org/10.1175/JAMC-D-13-0147.1</w:t>
        </w:r>
      </w:hyperlink>
    </w:p>
    <w:bookmarkEnd w:id="81"/>
    <w:bookmarkStart w:id="83" w:name="ref-bartos1989"/>
    <w:p>
      <w:pPr>
        <w:pStyle w:val="Bibliography"/>
      </w:pPr>
      <w:r>
        <w:t xml:space="preserve">Bartos, D. L., &amp; Amman, G. D. (1989).</w:t>
      </w:r>
      <w:r>
        <w:t xml:space="preserve"> </w:t>
      </w:r>
      <w:r>
        <w:rPr>
          <w:i/>
          <w:iCs/>
        </w:rPr>
        <w:t xml:space="preserve">Microclimate: An alternative to tree vigor as a basis for mountain pine beetle infestations</w:t>
      </w:r>
      <w:r>
        <w:t xml:space="preserve"> </w:t>
      </w:r>
      <w:r>
        <w:t xml:space="preserve">(Research Paper No. INT-400). Ogden, UT: U.S. Department of Agriculture, Forest Service, Intermountain Research Station.</w:t>
      </w:r>
      <w:r>
        <w:t xml:space="preserve"> </w:t>
      </w:r>
      <w:hyperlink r:id="rId82">
        <w:r>
          <w:rPr>
            <w:rStyle w:val="Hyperlink"/>
          </w:rPr>
          <w:t xml:space="preserve">https://doi.org/10.2737/int-rp-400</w:t>
        </w:r>
      </w:hyperlink>
    </w:p>
    <w:bookmarkEnd w:id="83"/>
    <w:bookmarkStart w:id="84" w:name="ref-carroll2004bionomics"/>
    <w:p>
      <w:pPr>
        <w:pStyle w:val="Bibliography"/>
      </w:pPr>
      <w:r>
        <w:t xml:space="preserve">Carroll, A. L., &amp; Safranyik, L. (2004). The bionomics of the mountain pine beetle in lodgepole pine forests: Establishing a context. In T. L. Shore, J. E. Brooks, &amp; J. E. Stone (Eds.),</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21–32). Victoria, British Columbia:</w:t>
      </w:r>
      <w:r>
        <w:t xml:space="preserve"> </w:t>
      </w:r>
      <w:r>
        <w:t xml:space="preserve">Natural Resources Canada, Canadian Forest Service, Pacific Forestry Centre</w:t>
      </w:r>
      <w:r>
        <w:t xml:space="preserve">.</w:t>
      </w:r>
    </w:p>
    <w:bookmarkEnd w:id="84"/>
    <w:bookmarkStart w:id="86" w:name="ref-cartwright2018"/>
    <w:p>
      <w:pPr>
        <w:pStyle w:val="Bibliography"/>
      </w:pPr>
      <w:r>
        <w:t xml:space="preserve">Cartwright, J. M. (2018). Landscape topoedaphic features create refugia from drought and insect disturbance in a lodgepole and whitebark pine forest.</w:t>
      </w:r>
      <w:r>
        <w:t xml:space="preserve"> </w:t>
      </w:r>
      <w:r>
        <w:rPr>
          <w:i/>
          <w:iCs/>
        </w:rPr>
        <w:t xml:space="preserve">Forests</w:t>
      </w:r>
      <w:r>
        <w:t xml:space="preserve">,</w:t>
      </w:r>
      <w:r>
        <w:t xml:space="preserve"> </w:t>
      </w:r>
      <w:r>
        <w:rPr>
          <w:i/>
          <w:iCs/>
        </w:rPr>
        <w:t xml:space="preserve">9</w:t>
      </w:r>
      <w:r>
        <w:t xml:space="preserve">(11), 715.</w:t>
      </w:r>
      <w:r>
        <w:t xml:space="preserve"> </w:t>
      </w:r>
      <w:hyperlink r:id="rId85">
        <w:r>
          <w:rPr>
            <w:rStyle w:val="Hyperlink"/>
          </w:rPr>
          <w:t xml:space="preserve">https://doi.org/10.3390/f9110715</w:t>
        </w:r>
      </w:hyperlink>
    </w:p>
    <w:bookmarkEnd w:id="86"/>
    <w:bookmarkStart w:id="88" w:name="ref-cooke2025"/>
    <w:p>
      <w:pPr>
        <w:pStyle w:val="Bibliography"/>
      </w:pPr>
      <w:r>
        <w:t xml:space="preserve">Cooke, B. J., MacQuarrie, C. J. K., &amp; Carroll, A. L. (2025). On the deduction and quantification of irruptive dynamics in mountain pine beetle population and proxy data.</w:t>
      </w:r>
      <w:r>
        <w:t xml:space="preserve"> </w:t>
      </w:r>
      <w:r>
        <w:rPr>
          <w:i/>
          <w:iCs/>
        </w:rPr>
        <w:t xml:space="preserve">Journal of Applied Entomology</w:t>
      </w:r>
      <w:r>
        <w:t xml:space="preserve">,</w:t>
      </w:r>
      <w:r>
        <w:t xml:space="preserve"> </w:t>
      </w:r>
      <w:r>
        <w:rPr>
          <w:i/>
          <w:iCs/>
        </w:rPr>
        <w:t xml:space="preserve">149</w:t>
      </w:r>
      <w:r>
        <w:t xml:space="preserve">, 309–323.</w:t>
      </w:r>
      <w:r>
        <w:t xml:space="preserve"> </w:t>
      </w:r>
      <w:hyperlink r:id="rId87">
        <w:r>
          <w:rPr>
            <w:rStyle w:val="Hyperlink"/>
          </w:rPr>
          <w:t xml:space="preserve">https://doi.org/10.1111/jen.13262</w:t>
        </w:r>
      </w:hyperlink>
    </w:p>
    <w:bookmarkEnd w:id="88"/>
    <w:bookmarkStart w:id="90" w:name="ref-davis2023"/>
    <w:p>
      <w:pPr>
        <w:pStyle w:val="Bibliography"/>
      </w:pPr>
      <w:r>
        <w:t xml:space="preserve">Davis, N. N., Badger, J., Hahmann, A. N., Hansen, B. O., Mortensen, N. G., Kelly, M., … Drummond, R. (2023). The</w:t>
      </w:r>
      <w:r>
        <w:t xml:space="preserve"> </w:t>
      </w:r>
      <w:r>
        <w:t xml:space="preserve">Global Wind Atlas</w:t>
      </w:r>
      <w:r>
        <w:t xml:space="preserve">: A high-resolution dataset of climatologies and associated web-based application.</w:t>
      </w:r>
      <w:r>
        <w:t xml:space="preserve"> </w:t>
      </w:r>
      <w:r>
        <w:rPr>
          <w:i/>
          <w:iCs/>
        </w:rPr>
        <w:t xml:space="preserve">Bulletin of the American Meteorological Society</w:t>
      </w:r>
      <w:r>
        <w:t xml:space="preserve">,</w:t>
      </w:r>
      <w:r>
        <w:t xml:space="preserve"> </w:t>
      </w:r>
      <w:r>
        <w:rPr>
          <w:i/>
          <w:iCs/>
        </w:rPr>
        <w:t xml:space="preserve">104</w:t>
      </w:r>
      <w:r>
        <w:t xml:space="preserve">(8), E1507–E1525.</w:t>
      </w:r>
      <w:r>
        <w:t xml:space="preserve"> </w:t>
      </w:r>
      <w:hyperlink r:id="rId89">
        <w:r>
          <w:rPr>
            <w:rStyle w:val="Hyperlink"/>
          </w:rPr>
          <w:t xml:space="preserve">https://doi.org/10.1175/BAMS-D-21-0075.1</w:t>
        </w:r>
      </w:hyperlink>
    </w:p>
    <w:bookmarkEnd w:id="90"/>
    <w:bookmarkStart w:id="92" w:name="ref-gray1972"/>
    <w:p>
      <w:pPr>
        <w:pStyle w:val="Bibliography"/>
      </w:pPr>
      <w:r>
        <w:t xml:space="preserve">Gray, B., Billings, R. F., Gara, R. I., &amp; Johnsey, R. 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w:t>
      </w:r>
      <w:r>
        <w:t xml:space="preserve"> </w:t>
      </w:r>
      <w:r>
        <w:rPr>
          <w:i/>
          <w:iCs/>
        </w:rPr>
        <w:t xml:space="preserve">Zeitschrift f</w:t>
      </w:r>
      <w:r>
        <w:rPr>
          <w:i/>
          <w:iCs/>
        </w:rPr>
        <w:t xml:space="preserve">ü</w:t>
      </w:r>
      <w:r>
        <w:rPr>
          <w:i/>
          <w:iCs/>
        </w:rPr>
        <w:t xml:space="preserve">r Angewandte Entomologie</w:t>
      </w:r>
      <w:r>
        <w:t xml:space="preserve">,</w:t>
      </w:r>
      <w:r>
        <w:t xml:space="preserve"> </w:t>
      </w:r>
      <w:r>
        <w:rPr>
          <w:i/>
          <w:iCs/>
        </w:rPr>
        <w:t xml:space="preserve">71</w:t>
      </w:r>
      <w:r>
        <w:t xml:space="preserve">, 250–259.</w:t>
      </w:r>
      <w:r>
        <w:t xml:space="preserve"> </w:t>
      </w:r>
      <w:hyperlink r:id="rId91">
        <w:r>
          <w:rPr>
            <w:rStyle w:val="Hyperlink"/>
          </w:rPr>
          <w:t xml:space="preserve">https://doi.org/10.1111/j.1439-0418.1972.tb01745.x</w:t>
        </w:r>
      </w:hyperlink>
    </w:p>
    <w:bookmarkEnd w:id="92"/>
    <w:bookmarkStart w:id="94" w:name="ref-howe2022"/>
    <w:p>
      <w:pPr>
        <w:pStyle w:val="Bibliography"/>
      </w:pPr>
      <w:r>
        <w:t xml:space="preserve">Howe, M., Raffa, K. F., Aukema, B. H., Gratton, C., &amp; Carroll, A. L. (2022). Numbers matter: How irruptive bark beetles initiate transition to self-sustaining behavior during landscape-altering outbreaks.</w:t>
      </w:r>
      <w:r>
        <w:t xml:space="preserve"> </w:t>
      </w:r>
      <w:r>
        <w:rPr>
          <w:i/>
          <w:iCs/>
        </w:rPr>
        <w:t xml:space="preserve">Oecologia</w:t>
      </w:r>
      <w:r>
        <w:t xml:space="preserve">,</w:t>
      </w:r>
      <w:r>
        <w:t xml:space="preserve"> </w:t>
      </w:r>
      <w:r>
        <w:rPr>
          <w:i/>
          <w:iCs/>
        </w:rPr>
        <w:t xml:space="preserve">198</w:t>
      </w:r>
      <w:r>
        <w:t xml:space="preserve">, 681–698.</w:t>
      </w:r>
      <w:r>
        <w:t xml:space="preserve"> </w:t>
      </w:r>
      <w:hyperlink r:id="rId93">
        <w:r>
          <w:rPr>
            <w:rStyle w:val="Hyperlink"/>
          </w:rPr>
          <w:t xml:space="preserve">https://doi.org/10.1007/s00442-022-05129-4</w:t>
        </w:r>
      </w:hyperlink>
    </w:p>
    <w:bookmarkEnd w:id="94"/>
    <w:bookmarkStart w:id="96" w:name="ref-jackson2008"/>
    <w:p>
      <w:pPr>
        <w:pStyle w:val="Bibliography"/>
      </w:pPr>
      <w:r>
        <w:t xml:space="preserve">Jackson, P. L., Straussfogel, D., Lindgren, B. S., Mitchell, S., &amp; Murphy, B. (2008). Radar observation and aerial capture of mountain pine beetle,</w:t>
      </w:r>
      <w:r>
        <w:t xml:space="preserve"> </w:t>
      </w:r>
      <w:r>
        <w:t xml:space="preserve">Dendroctonus ponderosae</w:t>
      </w:r>
      <w:r>
        <w:t xml:space="preserve"> </w:t>
      </w:r>
      <w:r>
        <w:t xml:space="preserve">Hopk</w:t>
      </w:r>
      <w:r>
        <w:t xml:space="preserve">. (</w:t>
      </w:r>
      <w:r>
        <w:t xml:space="preserve">Coleoptera</w:t>
      </w:r>
      <w:r>
        <w:t xml:space="preserve">:</w:t>
      </w:r>
      <w:r>
        <w:t xml:space="preserve"> </w:t>
      </w:r>
      <w:r>
        <w:t xml:space="preserve">Scolytidae</w:t>
      </w:r>
      <w:r>
        <w:t xml:space="preserve">) in flight above the forest canopy.</w:t>
      </w:r>
      <w:r>
        <w:t xml:space="preserve"> </w:t>
      </w:r>
      <w:r>
        <w:rPr>
          <w:i/>
          <w:iCs/>
        </w:rPr>
        <w:t xml:space="preserve">Canadian Journal of Forest Research</w:t>
      </w:r>
      <w:r>
        <w:t xml:space="preserve">,</w:t>
      </w:r>
      <w:r>
        <w:t xml:space="preserve"> </w:t>
      </w:r>
      <w:r>
        <w:rPr>
          <w:i/>
          <w:iCs/>
        </w:rPr>
        <w:t xml:space="preserve">38</w:t>
      </w:r>
      <w:r>
        <w:t xml:space="preserve">(8), 2313–2327.</w:t>
      </w:r>
      <w:r>
        <w:t xml:space="preserve"> </w:t>
      </w:r>
      <w:hyperlink r:id="rId95">
        <w:r>
          <w:rPr>
            <w:rStyle w:val="Hyperlink"/>
          </w:rPr>
          <w:t xml:space="preserve">https://doi.org/10.1139/X08-066</w:t>
        </w:r>
      </w:hyperlink>
    </w:p>
    <w:bookmarkEnd w:id="96"/>
    <w:bookmarkStart w:id="98" w:name="ref-jones2019"/>
    <w:p>
      <w:pPr>
        <w:pStyle w:val="Bibliography"/>
      </w:pPr>
      <w:r>
        <w:t xml:space="preserve">Jones, K. L., Shegelski, V. A., Marculis, N. G., Wijerathna, A. N., &amp; Evenden, M. 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w:t>
      </w:r>
      <w:r>
        <w:t xml:space="preserve"> </w:t>
      </w:r>
      <w:r>
        <w:rPr>
          <w:i/>
          <w:iCs/>
        </w:rPr>
        <w:t xml:space="preserve">Canadian Journal of Forest Research</w:t>
      </w:r>
      <w:r>
        <w:t xml:space="preserve">,</w:t>
      </w:r>
      <w:r>
        <w:t xml:space="preserve"> </w:t>
      </w:r>
      <w:r>
        <w:rPr>
          <w:i/>
          <w:iCs/>
        </w:rPr>
        <w:t xml:space="preserve">49</w:t>
      </w:r>
      <w:r>
        <w:t xml:space="preserve">, 1024–1041.</w:t>
      </w:r>
      <w:r>
        <w:t xml:space="preserve"> </w:t>
      </w:r>
      <w:hyperlink r:id="rId97">
        <w:r>
          <w:rPr>
            <w:rStyle w:val="Hyperlink"/>
          </w:rPr>
          <w:t xml:space="preserve">https://doi.org/10.1139/cjfr-2018-0304</w:t>
        </w:r>
      </w:hyperlink>
    </w:p>
    <w:bookmarkEnd w:id="98"/>
    <w:bookmarkStart w:id="100" w:name="ref-krawchuk2020"/>
    <w:p>
      <w:pPr>
        <w:pStyle w:val="Bibliography"/>
      </w:pPr>
      <w:r>
        <w:t xml:space="preserve">Krawchuk, M. A., Meigs, G. W., Cartwright, J. M., Coop, J. D., Davis, R., Holz, A., … Meddens, A. J. H. (2020). Disturbance refugia within mosaics of forest fire, drought, and insect outbreaks.</w:t>
      </w:r>
      <w:r>
        <w:t xml:space="preserve"> </w:t>
      </w:r>
      <w:r>
        <w:rPr>
          <w:i/>
          <w:iCs/>
        </w:rPr>
        <w:t xml:space="preserve">Frontiers in Ecology and the Environment</w:t>
      </w:r>
      <w:r>
        <w:t xml:space="preserve">,</w:t>
      </w:r>
      <w:r>
        <w:t xml:space="preserve"> </w:t>
      </w:r>
      <w:r>
        <w:rPr>
          <w:i/>
          <w:iCs/>
        </w:rPr>
        <w:t xml:space="preserve">18</w:t>
      </w:r>
      <w:r>
        <w:t xml:space="preserve">(5), 235–244.</w:t>
      </w:r>
      <w:r>
        <w:t xml:space="preserve"> </w:t>
      </w:r>
      <w:hyperlink r:id="rId99">
        <w:r>
          <w:rPr>
            <w:rStyle w:val="Hyperlink"/>
          </w:rPr>
          <w:t xml:space="preserve">https://doi.org/10.1002/fee.2190</w:t>
        </w:r>
      </w:hyperlink>
    </w:p>
    <w:bookmarkEnd w:id="100"/>
    <w:bookmarkStart w:id="102" w:name="ref-liston2006"/>
    <w:p>
      <w:pPr>
        <w:pStyle w:val="Bibliography"/>
      </w:pPr>
      <w:r>
        <w:t xml:space="preserve">Liston, G. E., &amp; Elder, K. (2006). A meteorological distribution system for high-resolution terrestrial modeling (MicroMet).</w:t>
      </w:r>
      <w:r>
        <w:t xml:space="preserve"> </w:t>
      </w:r>
      <w:r>
        <w:rPr>
          <w:i/>
          <w:iCs/>
        </w:rPr>
        <w:t xml:space="preserve">Journal of Hydrometeorology</w:t>
      </w:r>
      <w:r>
        <w:t xml:space="preserve">,</w:t>
      </w:r>
      <w:r>
        <w:t xml:space="preserve"> </w:t>
      </w:r>
      <w:r>
        <w:rPr>
          <w:i/>
          <w:iCs/>
        </w:rPr>
        <w:t xml:space="preserve">7</w:t>
      </w:r>
      <w:r>
        <w:t xml:space="preserve">(2), 217–234.</w:t>
      </w:r>
      <w:r>
        <w:t xml:space="preserve"> </w:t>
      </w:r>
      <w:hyperlink r:id="rId101">
        <w:r>
          <w:rPr>
            <w:rStyle w:val="Hyperlink"/>
          </w:rPr>
          <w:t xml:space="preserve">https://doi.org/10.1175/JHM486.1</w:t>
        </w:r>
      </w:hyperlink>
    </w:p>
    <w:bookmarkEnd w:id="102"/>
    <w:bookmarkStart w:id="104" w:name="ref-mccambridge1971"/>
    <w:p>
      <w:pPr>
        <w:pStyle w:val="Bibliography"/>
      </w:pPr>
      <w:r>
        <w:t xml:space="preserve">McCambridge, W. F. (1971). Temperature limits of flight of the mountain pine beetle,</w:t>
      </w:r>
      <w:r>
        <w:t xml:space="preserve"> </w:t>
      </w:r>
      <w:r>
        <w:t xml:space="preserve">Dendroctonus ponderosae</w:t>
      </w:r>
      <w:r>
        <w:t xml:space="preserve">.</w:t>
      </w:r>
      <w:r>
        <w:t xml:space="preserve"> </w:t>
      </w:r>
      <w:r>
        <w:rPr>
          <w:i/>
          <w:iCs/>
        </w:rPr>
        <w:t xml:space="preserve">Annals of the Entomological Society of America</w:t>
      </w:r>
      <w:r>
        <w:t xml:space="preserve">,</w:t>
      </w:r>
      <w:r>
        <w:t xml:space="preserve"> </w:t>
      </w:r>
      <w:r>
        <w:rPr>
          <w:i/>
          <w:iCs/>
        </w:rPr>
        <w:t xml:space="preserve">64</w:t>
      </w:r>
      <w:r>
        <w:t xml:space="preserve">(2), 534–535.</w:t>
      </w:r>
      <w:r>
        <w:t xml:space="preserve"> </w:t>
      </w:r>
      <w:hyperlink r:id="rId103">
        <w:r>
          <w:rPr>
            <w:rStyle w:val="Hyperlink"/>
          </w:rPr>
          <w:t xml:space="preserve">https://doi.org/10.1093/aesa/64.2.534</w:t>
        </w:r>
      </w:hyperlink>
    </w:p>
    <w:bookmarkEnd w:id="104"/>
    <w:bookmarkStart w:id="106" w:name="ref-mccune2002"/>
    <w:p>
      <w:pPr>
        <w:pStyle w:val="Bibliography"/>
      </w:pPr>
      <w:r>
        <w:t xml:space="preserve">McCune, B., &amp; Keon, D. (2002). Equations for potential annual direct incident radiation and heat load.</w:t>
      </w:r>
      <w:r>
        <w:t xml:space="preserve"> </w:t>
      </w:r>
      <w:r>
        <w:rPr>
          <w:i/>
          <w:iCs/>
        </w:rPr>
        <w:t xml:space="preserve">Journal of Vegetation Science</w:t>
      </w:r>
      <w:r>
        <w:t xml:space="preserve">,</w:t>
      </w:r>
      <w:r>
        <w:t xml:space="preserve"> </w:t>
      </w:r>
      <w:r>
        <w:rPr>
          <w:i/>
          <w:iCs/>
        </w:rPr>
        <w:t xml:space="preserve">13</w:t>
      </w:r>
      <w:r>
        <w:t xml:space="preserve">(4), 603–606.</w:t>
      </w:r>
      <w:r>
        <w:t xml:space="preserve"> </w:t>
      </w:r>
      <w:hyperlink r:id="rId105">
        <w:r>
          <w:rPr>
            <w:rStyle w:val="Hyperlink"/>
          </w:rPr>
          <w:t xml:space="preserve">https://doi.org/10.1111/j.1654-1103.2002.tb02087.x</w:t>
        </w:r>
      </w:hyperlink>
    </w:p>
    <w:bookmarkEnd w:id="106"/>
    <w:bookmarkStart w:id="108" w:name="ref-murphy2026"/>
    <w:p>
      <w:pPr>
        <w:pStyle w:val="Bibliography"/>
      </w:pPr>
      <w:r>
        <w:t xml:space="preserve">Murphy, S., Leslie, A., Wilson, J., &amp; Banks, L. 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107">
        <w:r>
          <w:rPr>
            <w:rStyle w:val="Hyperlink"/>
          </w:rPr>
          <w:t xml:space="preserve">https://doi.org/10.1016/j.foreco.2026.123985</w:t>
        </w:r>
      </w:hyperlink>
    </w:p>
    <w:bookmarkEnd w:id="108"/>
    <w:bookmarkStart w:id="110"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 Retrieved from</w:t>
      </w:r>
      <w:r>
        <w:t xml:space="preserve"> </w:t>
      </w:r>
      <w:hyperlink r:id="rId109">
        <w:r>
          <w:rPr>
            <w:rStyle w:val="Hyperlink"/>
          </w:rPr>
          <w:t xml:space="preserve">https://open.canada.ca/data/en/dataset/957782bf-847c-4644-a757-e383c0057995</w:t>
        </w:r>
      </w:hyperlink>
    </w:p>
    <w:bookmarkEnd w:id="110"/>
    <w:bookmarkStart w:id="112" w:name="ref-powell2014"/>
    <w:p>
      <w:pPr>
        <w:pStyle w:val="Bibliography"/>
      </w:pPr>
      <w:r>
        <w:t xml:space="preserve">Powell, J. A., &amp; Bentz, B. J. (2014). Phenology and density-dependent dispersal predict patterns of mountain pine beetle (</w:t>
      </w:r>
      <w:r>
        <w:t xml:space="preserve">Dendroctonus ponderosae</w:t>
      </w:r>
      <w:r>
        <w:t xml:space="preserve">) impact.</w:t>
      </w:r>
      <w:r>
        <w:t xml:space="preserve"> </w:t>
      </w:r>
      <w:r>
        <w:rPr>
          <w:i/>
          <w:iCs/>
        </w:rPr>
        <w:t xml:space="preserve">Ecological Modelling</w:t>
      </w:r>
      <w:r>
        <w:t xml:space="preserve">,</w:t>
      </w:r>
      <w:r>
        <w:t xml:space="preserve"> </w:t>
      </w:r>
      <w:r>
        <w:rPr>
          <w:i/>
          <w:iCs/>
        </w:rPr>
        <w:t xml:space="preserve">273</w:t>
      </w:r>
      <w:r>
        <w:t xml:space="preserve">, 173–185.</w:t>
      </w:r>
      <w:r>
        <w:t xml:space="preserve"> </w:t>
      </w:r>
      <w:hyperlink r:id="rId111">
        <w:r>
          <w:rPr>
            <w:rStyle w:val="Hyperlink"/>
          </w:rPr>
          <w:t xml:space="preserve">https://doi.org/10.1016/j.ecolmodel.2013.10.034</w:t>
        </w:r>
      </w:hyperlink>
    </w:p>
    <w:bookmarkEnd w:id="112"/>
    <w:bookmarkStart w:id="113" w:name="ref-safranyik2006chap1"/>
    <w:p>
      <w:pPr>
        <w:pStyle w:val="Bibliography"/>
      </w:pPr>
      <w:r>
        <w:t xml:space="preserve">Safranyik, L., &amp; Carroll, A. L. (2006). The biology and epidemiology of the mountain pine beetle in lodgepole pine forests. In L. Safranyik &amp; B. Wilson (Eds.),</w:t>
      </w:r>
      <w:r>
        <w:t xml:space="preserve"> </w:t>
      </w:r>
      <w:r>
        <w:rPr>
          <w:i/>
          <w:iCs/>
        </w:rPr>
        <w:t xml:space="preserve">The mountain pine beetle: A synthesis of biology, management, and impacts on lodgepole pine</w:t>
      </w:r>
      <w:r>
        <w:t xml:space="preserve"> </w:t>
      </w:r>
      <w:r>
        <w:t xml:space="preserve">(pp. 3–66). Victoria, British Columbia:</w:t>
      </w:r>
      <w:r>
        <w:t xml:space="preserve"> </w:t>
      </w:r>
      <w:r>
        <w:t xml:space="preserve">Natural Resources Canada, Canadian Forest Service, Pacific Forestry Centre</w:t>
      </w:r>
      <w:r>
        <w:t xml:space="preserve">.</w:t>
      </w:r>
    </w:p>
    <w:bookmarkEnd w:id="113"/>
    <w:bookmarkStart w:id="115" w:name="ref-sambaraju2021"/>
    <w:p>
      <w:pPr>
        <w:pStyle w:val="Bibliography"/>
      </w:pPr>
      <w:r>
        <w:t xml:space="preserve">Sambaraju, K. R., &amp; Goodsman, D. W. (2021). Mountain pine beetle: An example of a climate-driven eruptive insect impacting conifer forest ecosystems.</w:t>
      </w:r>
      <w:r>
        <w:t xml:space="preserve"> </w:t>
      </w:r>
      <w:r>
        <w:rPr>
          <w:i/>
          <w:iCs/>
        </w:rPr>
        <w:t xml:space="preserve">CAB Reviews</w:t>
      </w:r>
      <w:r>
        <w:t xml:space="preserve">,</w:t>
      </w:r>
      <w:r>
        <w:t xml:space="preserve"> </w:t>
      </w:r>
      <w:r>
        <w:rPr>
          <w:i/>
          <w:iCs/>
        </w:rPr>
        <w:t xml:space="preserve">16</w:t>
      </w:r>
      <w:r>
        <w:t xml:space="preserve">(018).</w:t>
      </w:r>
      <w:r>
        <w:t xml:space="preserve"> </w:t>
      </w:r>
      <w:hyperlink r:id="rId114">
        <w:r>
          <w:rPr>
            <w:rStyle w:val="Hyperlink"/>
          </w:rPr>
          <w:t xml:space="preserve">https://doi.org/10.1079/PAVSNNR202116018</w:t>
        </w:r>
      </w:hyperlink>
    </w:p>
    <w:bookmarkEnd w:id="115"/>
    <w:bookmarkStart w:id="116" w:name="ref-taylor2003"/>
    <w:p>
      <w:pPr>
        <w:pStyle w:val="Bibliography"/>
      </w:pPr>
      <w:r>
        <w:t xml:space="preserve">Taylor, S. W., &amp; Carroll, A. L. (2003). Disturbance, forest age, and mountain pine beetle outbreak dynamics in</w:t>
      </w:r>
      <w:r>
        <w:t xml:space="preserve"> </w:t>
      </w:r>
      <w:r>
        <w:t xml:space="preserve">BC</w:t>
      </w:r>
      <w:r>
        <w:t xml:space="preserve">: A historical perspective. In</w:t>
      </w:r>
      <w:r>
        <w:t xml:space="preserve"> </w:t>
      </w:r>
      <w:r>
        <w:rPr>
          <w:i/>
          <w:iCs/>
        </w:rPr>
        <w:t xml:space="preserve">Mountain pine beetle symposium: Challenges and solutions,</w:t>
      </w:r>
      <w:r>
        <w:rPr>
          <w:i/>
          <w:iCs/>
        </w:rPr>
        <w:t xml:space="preserve"> </w:t>
      </w:r>
      <w:r>
        <w:rPr>
          <w:i/>
          <w:iCs/>
        </w:rPr>
        <w:t xml:space="preserve">October</w:t>
      </w:r>
      <w:r>
        <w:rPr>
          <w:i/>
          <w:iCs/>
        </w:rPr>
        <w:t xml:space="preserve"> </w:t>
      </w:r>
      <w:r>
        <w:rPr>
          <w:i/>
          <w:iCs/>
        </w:rPr>
        <w:t xml:space="preserve">30–31, 2003,</w:t>
      </w:r>
      <w:r>
        <w:rPr>
          <w:i/>
          <w:iCs/>
        </w:rPr>
        <w:t xml:space="preserve"> </w:t>
      </w:r>
      <w:r>
        <w:rPr>
          <w:i/>
          <w:iCs/>
        </w:rPr>
        <w:t xml:space="preserve">Kelowna</w:t>
      </w:r>
      <w:r>
        <w:rPr>
          <w:i/>
          <w:iCs/>
        </w:rPr>
        <w:t xml:space="preserve">,</w:t>
      </w:r>
      <w:r>
        <w:rPr>
          <w:i/>
          <w:iCs/>
        </w:rPr>
        <w:t xml:space="preserve"> </w:t>
      </w:r>
      <w:r>
        <w:rPr>
          <w:i/>
          <w:iCs/>
        </w:rPr>
        <w:t xml:space="preserve">British Columbia</w:t>
      </w:r>
      <w:r>
        <w:t xml:space="preserve"> </w:t>
      </w:r>
      <w:r>
        <w:t xml:space="preserve">(pp. 41–51). Victoria, British Columbia: Natural Resources Canada, Canadian Forest Service, Pacific Forestry Centre.</w:t>
      </w:r>
    </w:p>
    <w:bookmarkEnd w:id="116"/>
    <w:bookmarkEnd w:id="117"/>
    <w:bookmarkEnd w:id="118"/>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52" Target="media/rId52.png" /><Relationship Type="http://schemas.openxmlformats.org/officeDocument/2006/relationships/image" Id="rId25" Target="media/rId25.png" /><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9" Target="https://doi.org/10.1002/fee.2190" TargetMode="External" /><Relationship Type="http://schemas.openxmlformats.org/officeDocument/2006/relationships/hyperlink" Id="rId93" Target="https://doi.org/10.1007/s00442-022-05129-4" TargetMode="External" /><Relationship Type="http://schemas.openxmlformats.org/officeDocument/2006/relationships/hyperlink" Id="rId78" Target="https://doi.org/10.1007/s10453-010-9176-9" TargetMode="External" /><Relationship Type="http://schemas.openxmlformats.org/officeDocument/2006/relationships/hyperlink" Id="rId111" Target="https://doi.org/10.1016/j.ecolmodel.2013.10.034" TargetMode="External" /><Relationship Type="http://schemas.openxmlformats.org/officeDocument/2006/relationships/hyperlink" Id="rId107" Target="https://doi.org/10.1016/j.foreco.2026.123985" TargetMode="External" /><Relationship Type="http://schemas.openxmlformats.org/officeDocument/2006/relationships/hyperlink" Id="rId114" Target="https://doi.org/10.1079/PAVSNNR202116018" TargetMode="External" /><Relationship Type="http://schemas.openxmlformats.org/officeDocument/2006/relationships/hyperlink" Id="rId103" Target="https://doi.org/10.1093/aesa/64.2.534" TargetMode="External" /><Relationship Type="http://schemas.openxmlformats.org/officeDocument/2006/relationships/hyperlink" Id="rId91" Target="https://doi.org/10.1111/j.1439-0418.1972.tb01745.x" TargetMode="External" /><Relationship Type="http://schemas.openxmlformats.org/officeDocument/2006/relationships/hyperlink" Id="rId105" Target="https://doi.org/10.1111/j.1654-1103.2002.tb02087.x" TargetMode="External" /><Relationship Type="http://schemas.openxmlformats.org/officeDocument/2006/relationships/hyperlink" Id="rId87" Target="https://doi.org/10.1111/jen.13262" TargetMode="External" /><Relationship Type="http://schemas.openxmlformats.org/officeDocument/2006/relationships/hyperlink" Id="rId95" Target="https://doi.org/10.1139/X08-066" TargetMode="External" /><Relationship Type="http://schemas.openxmlformats.org/officeDocument/2006/relationships/hyperlink" Id="rId97" Target="https://doi.org/10.1139/cjfr-2018-0304" TargetMode="External" /><Relationship Type="http://schemas.openxmlformats.org/officeDocument/2006/relationships/hyperlink" Id="rId89" Target="https://doi.org/10.1175/BAMS-D-21-0075.1" TargetMode="External" /><Relationship Type="http://schemas.openxmlformats.org/officeDocument/2006/relationships/hyperlink" Id="rId80" Target="https://doi.org/10.1175/JAMC-D-13-0147.1" TargetMode="External" /><Relationship Type="http://schemas.openxmlformats.org/officeDocument/2006/relationships/hyperlink" Id="rId101" Target="https://doi.org/10.1175/JHM486.1" TargetMode="External" /><Relationship Type="http://schemas.openxmlformats.org/officeDocument/2006/relationships/hyperlink" Id="rId82" Target="https://doi.org/10.2737/int-rp-400" TargetMode="External" /><Relationship Type="http://schemas.openxmlformats.org/officeDocument/2006/relationships/hyperlink" Id="rId85" Target="https://doi.org/10.3390/f9110715" TargetMode="External" /><Relationship Type="http://schemas.openxmlformats.org/officeDocument/2006/relationships/hyperlink" Id="rId75" Target="https://github.com/seamusrobertmurphy/beetle-topography-and-wind-study" TargetMode="External" /><Relationship Type="http://schemas.openxmlformats.org/officeDocument/2006/relationships/hyperlink" Id="rId109"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forest disturbance, insect outbreaks, Landsat time series, refugia, British Columbia</cp:keywords>
  <dcterms:created xsi:type="dcterms:W3CDTF">2026-08-31T18:15:33Z</dcterms:created>
  <dcterms:modified xsi:type="dcterms:W3CDTF">2026-08-31T18:15:33Z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../04.references/apa-6th-edition.csl</vt:lpwstr>
  </property>
  <property fmtid="{D5CDD505-2E9C-101B-9397-08002B2CF9AE}" pid="8" name="date">
    <vt:lpwstr>2026-08-31</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and wind as competing controls on mountain pine beetle attack (Dendroctonus ponderosae) in the Selkirk Mountains of British Columbia</vt:lpwstr>
  </property>
  <property fmtid="{D5CDD505-2E9C-101B-9397-08002B2CF9AE}" pid="16" name="toc-title">
    <vt:lpwstr>Table of contents</vt:lpwstr>
  </property>
</Properties>
</file>