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17BD9" w14:textId="77777777" w:rsidR="008F642C" w:rsidRDefault="00000000">
      <w:pPr>
        <w:spacing w:line="276" w:lineRule="auto"/>
      </w:pPr>
      <w:r>
        <w:rPr>
          <w:rFonts w:ascii="Calibri" w:eastAsia="Calibri" w:hAnsi="Calibri" w:cs="Calibri"/>
          <w:sz w:val="22"/>
          <w:szCs w:val="22"/>
        </w:rPr>
        <w:t>Seamus Murphy</w:t>
      </w:r>
    </w:p>
    <w:p w14:paraId="3C68FD7D" w14:textId="77777777" w:rsidR="008F642C" w:rsidRDefault="00000000">
      <w:pPr>
        <w:spacing w:line="276" w:lineRule="auto"/>
      </w:pPr>
      <w:r>
        <w:rPr>
          <w:rFonts w:ascii="Calibri" w:eastAsia="Calibri" w:hAnsi="Calibri" w:cs="Calibri"/>
          <w:sz w:val="22"/>
          <w:szCs w:val="22"/>
        </w:rPr>
        <w:t>ORCID 0000-0002-1792-0351</w:t>
      </w:r>
    </w:p>
    <w:p w14:paraId="5752EC89" w14:textId="2555FBD4" w:rsidR="008F642C" w:rsidRDefault="00000000">
      <w:pPr>
        <w:spacing w:line="276" w:lineRule="auto"/>
      </w:pPr>
      <w:r>
        <w:rPr>
          <w:rFonts w:ascii="Calibri" w:eastAsia="Calibri" w:hAnsi="Calibri" w:cs="Calibri"/>
          <w:sz w:val="22"/>
          <w:szCs w:val="22"/>
        </w:rPr>
        <w:t>TÜV SÜD</w:t>
      </w:r>
      <w:r w:rsidR="00FD61C1">
        <w:rPr>
          <w:rFonts w:ascii="Calibri" w:eastAsia="Calibri" w:hAnsi="Calibri" w:cs="Calibri"/>
          <w:sz w:val="22"/>
          <w:szCs w:val="22"/>
        </w:rPr>
        <w:t xml:space="preserve"> AG,</w:t>
      </w:r>
      <w:r w:rsidR="00FD61C1">
        <w:t xml:space="preserve"> </w:t>
      </w:r>
      <w:r>
        <w:rPr>
          <w:rFonts w:ascii="Calibri" w:eastAsia="Calibri" w:hAnsi="Calibri" w:cs="Calibri"/>
          <w:sz w:val="22"/>
          <w:szCs w:val="22"/>
        </w:rPr>
        <w:t xml:space="preserve">Comox, </w:t>
      </w:r>
      <w:r w:rsidR="00FD61C1">
        <w:rPr>
          <w:rFonts w:ascii="Calibri" w:eastAsia="Calibri" w:hAnsi="Calibri" w:cs="Calibri"/>
          <w:sz w:val="22"/>
          <w:szCs w:val="22"/>
        </w:rPr>
        <w:t xml:space="preserve">BC, </w:t>
      </w:r>
      <w:r>
        <w:rPr>
          <w:rFonts w:ascii="Calibri" w:eastAsia="Calibri" w:hAnsi="Calibri" w:cs="Calibri"/>
          <w:sz w:val="22"/>
          <w:szCs w:val="22"/>
        </w:rPr>
        <w:t>Canada</w:t>
      </w:r>
    </w:p>
    <w:p w14:paraId="2349342A" w14:textId="74DFAFAC" w:rsidR="008F642C" w:rsidRDefault="00AD49DE">
      <w:pPr>
        <w:spacing w:after="400" w:line="276" w:lineRule="auto"/>
      </w:pPr>
      <w:hyperlink r:id="rId5" w:history="1">
        <w:r w:rsidRPr="00433D97">
          <w:rPr>
            <w:rStyle w:val="Hyperlink"/>
            <w:rFonts w:ascii="Calibri" w:eastAsia="Calibri" w:hAnsi="Calibri" w:cs="Calibri"/>
            <w:sz w:val="22"/>
            <w:szCs w:val="22"/>
          </w:rPr>
          <w:t>seamusrobertmurphy@gmail.com</w:t>
        </w:r>
      </w:hyperlink>
      <w:r>
        <w:rPr>
          <w:rFonts w:ascii="Calibri" w:eastAsia="Calibri" w:hAnsi="Calibri" w:cs="Calibri"/>
          <w:sz w:val="22"/>
          <w:szCs w:val="22"/>
        </w:rPr>
        <w:t xml:space="preserve"> </w:t>
      </w:r>
    </w:p>
    <w:p w14:paraId="4A62F46B" w14:textId="21E796D0" w:rsidR="008F642C" w:rsidRDefault="00000000">
      <w:pPr>
        <w:spacing w:after="200" w:line="276" w:lineRule="auto"/>
      </w:pPr>
      <w:r>
        <w:rPr>
          <w:rFonts w:ascii="Calibri" w:eastAsia="Calibri" w:hAnsi="Calibri" w:cs="Calibri"/>
          <w:sz w:val="22"/>
          <w:szCs w:val="22"/>
        </w:rPr>
        <w:t>Dear Editor,</w:t>
      </w:r>
    </w:p>
    <w:p w14:paraId="51477972" w14:textId="6887A7EE" w:rsidR="008F642C" w:rsidRDefault="00000000" w:rsidP="00AD49DE">
      <w:pPr>
        <w:spacing w:after="200" w:line="276" w:lineRule="auto"/>
        <w:ind w:firstLine="720"/>
      </w:pPr>
      <w:r>
        <w:rPr>
          <w:rFonts w:ascii="Calibri" w:eastAsia="Calibri" w:hAnsi="Calibri" w:cs="Calibri"/>
          <w:sz w:val="22"/>
          <w:szCs w:val="22"/>
        </w:rPr>
        <w:t xml:space="preserve">I </w:t>
      </w:r>
      <w:r w:rsidR="00E13C39">
        <w:rPr>
          <w:rFonts w:ascii="Calibri" w:eastAsia="Calibri" w:hAnsi="Calibri" w:cs="Calibri"/>
          <w:sz w:val="22"/>
          <w:szCs w:val="22"/>
        </w:rPr>
        <w:t xml:space="preserve">wish to </w:t>
      </w:r>
      <w:r>
        <w:rPr>
          <w:rFonts w:ascii="Calibri" w:eastAsia="Calibri" w:hAnsi="Calibri" w:cs="Calibri"/>
          <w:sz w:val="22"/>
          <w:szCs w:val="22"/>
        </w:rPr>
        <w:t>submit</w:t>
      </w:r>
      <w:r w:rsidR="00E13C39">
        <w:rPr>
          <w:rFonts w:ascii="Calibri" w:eastAsia="Calibri" w:hAnsi="Calibri" w:cs="Calibri"/>
          <w:sz w:val="22"/>
          <w:szCs w:val="22"/>
        </w:rPr>
        <w:t xml:space="preserve"> the attached manuscript titled </w:t>
      </w:r>
      <w:r>
        <w:rPr>
          <w:rFonts w:ascii="Calibri" w:eastAsia="Calibri" w:hAnsi="Calibri" w:cs="Calibri"/>
          <w:sz w:val="22"/>
          <w:szCs w:val="22"/>
        </w:rPr>
        <w:t>"Testing the wind disruption and disturbance refugia hypothesis for mountain pine beetle outbreaks (Dendroctonus ponderosae)</w:t>
      </w:r>
      <w:r w:rsidR="00E13C39">
        <w:rPr>
          <w:rFonts w:ascii="Calibri" w:eastAsia="Calibri" w:hAnsi="Calibri" w:cs="Calibri"/>
          <w:sz w:val="22"/>
          <w:szCs w:val="22"/>
        </w:rPr>
        <w:t xml:space="preserve">; </w:t>
      </w:r>
      <w:r>
        <w:rPr>
          <w:rFonts w:ascii="Calibri" w:eastAsia="Calibri" w:hAnsi="Calibri" w:cs="Calibri"/>
          <w:sz w:val="22"/>
          <w:szCs w:val="22"/>
        </w:rPr>
        <w:t>Terrain, stand density and flight-period wind as controls on attack in the Selkirk Mountains of British Columbia"</w:t>
      </w:r>
      <w:r w:rsidR="00E13C39">
        <w:rPr>
          <w:rFonts w:ascii="Calibri" w:eastAsia="Calibri" w:hAnsi="Calibri" w:cs="Calibri"/>
          <w:sz w:val="22"/>
          <w:szCs w:val="22"/>
        </w:rPr>
        <w:t xml:space="preserve"> </w:t>
      </w:r>
      <w:r>
        <w:rPr>
          <w:rFonts w:ascii="Calibri" w:eastAsia="Calibri" w:hAnsi="Calibri" w:cs="Calibri"/>
          <w:sz w:val="22"/>
          <w:szCs w:val="22"/>
        </w:rPr>
        <w:t>to Journal of Pest Science as an Original Research Paper.</w:t>
      </w:r>
    </w:p>
    <w:p w14:paraId="3E0AFCAE" w14:textId="77777777" w:rsidR="008F642C" w:rsidRDefault="00000000">
      <w:pPr>
        <w:spacing w:after="200" w:line="276" w:lineRule="auto"/>
      </w:pPr>
      <w:r>
        <w:rPr>
          <w:rFonts w:ascii="Calibri" w:eastAsia="Calibri" w:hAnsi="Calibri" w:cs="Calibri"/>
          <w:sz w:val="22"/>
          <w:szCs w:val="22"/>
        </w:rPr>
        <w:t>Krawchuk et al. (2020) proposed three mechanisms for refugia from mountain pine beetle, topographic shading that relieves water stress, low host density that admits the wind disrupting the aggregation pheromone, and a scarcity of large-diameter hosts. The proposal is widely cited and, so far as I can establish, none of the three has been fitted spatially. This paper fits all three on one landscape, with attack classified from the ground plots of my companion regeneration study on the same ground, Murphy, Leslie, Wilson and Banks (2026), Forest Ecology and Management 618, 123985.</w:t>
      </w:r>
    </w:p>
    <w:p w14:paraId="468C7920" w14:textId="77777777" w:rsidR="008F642C" w:rsidRDefault="00000000">
      <w:pPr>
        <w:spacing w:after="200" w:line="276" w:lineRule="auto"/>
      </w:pPr>
      <w:r>
        <w:rPr>
          <w:rFonts w:ascii="Calibri" w:eastAsia="Calibri" w:hAnsi="Calibri" w:cs="Calibri"/>
          <w:sz w:val="22"/>
          <w:szCs w:val="22"/>
        </w:rPr>
        <w:t>The wind mechanism was supported conditionally. Across 59 sixteen-day Landsat epochs, stand density interacted negatively with a terrain-resolved wind field, so a dense canopy was worth less to the beetle where and when the wind was stronger. The interaction held after a within-season spread term was added, so it is not the outbreak’s own contagion appearing as a wind coefficient.</w:t>
      </w:r>
    </w:p>
    <w:p w14:paraId="160F9945" w14:textId="77777777" w:rsidR="008F642C" w:rsidRDefault="00000000">
      <w:pPr>
        <w:spacing w:after="200" w:line="276" w:lineRule="auto"/>
      </w:pPr>
      <w:r>
        <w:rPr>
          <w:rFonts w:ascii="Calibri" w:eastAsia="Calibri" w:hAnsi="Calibri" w:cs="Calibri"/>
          <w:sz w:val="22"/>
          <w:szCs w:val="22"/>
        </w:rPr>
        <w:t>Terrain acted by a different mechanism. Leeward, sheltered ground had more attack as a main effect that did not depend on stand density, and open ground more still. Read with the evidence that mountain pine beetle lands without discriminating hosts and that much of the population travels above the canopy, that is the signature of deposition rather than of plume disruption, and it is what the terrain ruggedness term in my 2026 paper was recording without being able to name. The paper therefore reports two mechanisms at two scales, and it resolves the companion study’s relief signal into a landing surface.</w:t>
      </w:r>
    </w:p>
    <w:p w14:paraId="6F779AF8" w14:textId="77777777" w:rsidR="008F642C" w:rsidRDefault="00000000">
      <w:pPr>
        <w:spacing w:after="200" w:line="276" w:lineRule="auto"/>
      </w:pPr>
      <w:r>
        <w:rPr>
          <w:rFonts w:ascii="Calibri" w:eastAsia="Calibri" w:hAnsi="Calibri" w:cs="Calibri"/>
          <w:sz w:val="22"/>
          <w:szCs w:val="22"/>
        </w:rPr>
        <w:t>Two measurement results reach beyond this landscape. Flight-window radiation absorbed most of the apparent density-by-terrain-exposure interaction, so a terrain wind index is partly a measure of insolation. Previous-year attack destabilised the landform terms, so a landform variable in a spreading outbreak partly records where the outbreak has already been.</w:t>
      </w:r>
    </w:p>
    <w:p w14:paraId="5A81110E" w14:textId="46EE7ED0" w:rsidR="008F642C" w:rsidRDefault="00000000">
      <w:pPr>
        <w:spacing w:after="200" w:line="276" w:lineRule="auto"/>
      </w:pPr>
      <w:r>
        <w:rPr>
          <w:rFonts w:ascii="Calibri" w:eastAsia="Calibri" w:hAnsi="Calibri" w:cs="Calibri"/>
          <w:sz w:val="22"/>
          <w:szCs w:val="22"/>
        </w:rPr>
        <w:t>The shading mechanism failed in reverse, with north-facing slopes having more attack, so the refugia found here were warm rather than cool. Host size acted as a threshold at the 25 cm source-sink boundary rather than as a gradient.</w:t>
      </w:r>
    </w:p>
    <w:p w14:paraId="247834C2" w14:textId="77777777" w:rsidR="008F642C" w:rsidRDefault="00000000">
      <w:pPr>
        <w:spacing w:after="200" w:line="276" w:lineRule="auto"/>
      </w:pPr>
      <w:r>
        <w:rPr>
          <w:rFonts w:ascii="Calibri" w:eastAsia="Calibri" w:hAnsi="Calibri" w:cs="Calibri"/>
          <w:sz w:val="22"/>
          <w:szCs w:val="22"/>
        </w:rPr>
        <w:t>The work is original, is not published or under consideration elsewhere, and received no external funding. I am the sole author and declare no competing interests.</w:t>
      </w:r>
    </w:p>
    <w:p w14:paraId="328CB4D1" w14:textId="77777777" w:rsidR="008F642C" w:rsidRDefault="00000000" w:rsidP="00524FE9">
      <w:pPr>
        <w:spacing w:after="200" w:line="276" w:lineRule="auto"/>
        <w:ind w:firstLine="720"/>
      </w:pPr>
      <w:r>
        <w:rPr>
          <w:rFonts w:ascii="Calibri" w:eastAsia="Calibri" w:hAnsi="Calibri" w:cs="Calibri"/>
          <w:sz w:val="22"/>
          <w:szCs w:val="22"/>
        </w:rPr>
        <w:lastRenderedPageBreak/>
        <w:t>Yours sincerely,</w:t>
      </w:r>
    </w:p>
    <w:p w14:paraId="5B01948F" w14:textId="6639835D" w:rsidR="008F642C" w:rsidRDefault="009E0C67" w:rsidP="00524FE9">
      <w:pPr>
        <w:spacing w:after="200" w:line="276" w:lineRule="auto"/>
        <w:ind w:left="720" w:firstLine="720"/>
      </w:pPr>
      <w:r>
        <w:rPr>
          <w:rFonts w:ascii="Calibri" w:eastAsia="Calibri" w:hAnsi="Calibri" w:cs="Calibri"/>
          <w:sz w:val="22"/>
          <w:szCs w:val="22"/>
        </w:rPr>
        <w:t>Dr Seamus Murphy</w:t>
      </w:r>
    </w:p>
    <w:sectPr w:rsidR="008F64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EA49D7"/>
    <w:multiLevelType w:val="hybridMultilevel"/>
    <w:tmpl w:val="1C72C51A"/>
    <w:lvl w:ilvl="0" w:tplc="02303106">
      <w:start w:val="1"/>
      <w:numFmt w:val="bullet"/>
      <w:lvlText w:val="●"/>
      <w:lvlJc w:val="left"/>
      <w:pPr>
        <w:ind w:left="720" w:hanging="360"/>
      </w:pPr>
    </w:lvl>
    <w:lvl w:ilvl="1" w:tplc="084457DE">
      <w:start w:val="1"/>
      <w:numFmt w:val="bullet"/>
      <w:lvlText w:val="○"/>
      <w:lvlJc w:val="left"/>
      <w:pPr>
        <w:ind w:left="1440" w:hanging="360"/>
      </w:pPr>
    </w:lvl>
    <w:lvl w:ilvl="2" w:tplc="34EE0D02">
      <w:start w:val="1"/>
      <w:numFmt w:val="bullet"/>
      <w:lvlText w:val="■"/>
      <w:lvlJc w:val="left"/>
      <w:pPr>
        <w:ind w:left="2160" w:hanging="360"/>
      </w:pPr>
    </w:lvl>
    <w:lvl w:ilvl="3" w:tplc="69BA7CE4">
      <w:start w:val="1"/>
      <w:numFmt w:val="bullet"/>
      <w:lvlText w:val="●"/>
      <w:lvlJc w:val="left"/>
      <w:pPr>
        <w:ind w:left="2880" w:hanging="360"/>
      </w:pPr>
    </w:lvl>
    <w:lvl w:ilvl="4" w:tplc="C9FECB86">
      <w:start w:val="1"/>
      <w:numFmt w:val="bullet"/>
      <w:lvlText w:val="○"/>
      <w:lvlJc w:val="left"/>
      <w:pPr>
        <w:ind w:left="3600" w:hanging="360"/>
      </w:pPr>
    </w:lvl>
    <w:lvl w:ilvl="5" w:tplc="68A2ACBC">
      <w:start w:val="1"/>
      <w:numFmt w:val="bullet"/>
      <w:lvlText w:val="■"/>
      <w:lvlJc w:val="left"/>
      <w:pPr>
        <w:ind w:left="4320" w:hanging="360"/>
      </w:pPr>
    </w:lvl>
    <w:lvl w:ilvl="6" w:tplc="4F18D4BC">
      <w:start w:val="1"/>
      <w:numFmt w:val="bullet"/>
      <w:lvlText w:val="●"/>
      <w:lvlJc w:val="left"/>
      <w:pPr>
        <w:ind w:left="5040" w:hanging="360"/>
      </w:pPr>
    </w:lvl>
    <w:lvl w:ilvl="7" w:tplc="DAA2F2D2">
      <w:start w:val="1"/>
      <w:numFmt w:val="bullet"/>
      <w:lvlText w:val="●"/>
      <w:lvlJc w:val="left"/>
      <w:pPr>
        <w:ind w:left="5760" w:hanging="360"/>
      </w:pPr>
    </w:lvl>
    <w:lvl w:ilvl="8" w:tplc="1CF08250">
      <w:start w:val="1"/>
      <w:numFmt w:val="bullet"/>
      <w:lvlText w:val="●"/>
      <w:lvlJc w:val="left"/>
      <w:pPr>
        <w:ind w:left="6480" w:hanging="360"/>
      </w:pPr>
    </w:lvl>
  </w:abstractNum>
  <w:num w:numId="1" w16cid:durableId="290944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42C"/>
    <w:rsid w:val="00524FE9"/>
    <w:rsid w:val="00821FC5"/>
    <w:rsid w:val="008D5FCE"/>
    <w:rsid w:val="008F642C"/>
    <w:rsid w:val="009E0C67"/>
    <w:rsid w:val="00AD49DE"/>
    <w:rsid w:val="00AF161F"/>
    <w:rsid w:val="00E13C39"/>
    <w:rsid w:val="00FC6E75"/>
    <w:rsid w:val="00FD61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CD5C45"/>
  <w15:docId w15:val="{C49C5AA1-8889-C449-9E63-7DD03134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D4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amusrobertmurph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Murphy, Seamus</cp:lastModifiedBy>
  <cp:revision>8</cp:revision>
  <dcterms:created xsi:type="dcterms:W3CDTF">2026-08-31T22:33:00Z</dcterms:created>
  <dcterms:modified xsi:type="dcterms:W3CDTF">2026-09-03T03:08:00Z</dcterms:modified>
</cp:coreProperties>
</file>