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and wind as competing controls on mountain pine beetle attack (Dendroctonus ponderosae) in the Selkirk Mountains of British Columbia</w:t>
      </w:r>
    </w:p>
    <w:p>
      <w:pPr>
        <w:pStyle w:val="Author"/>
      </w:pPr>
      <w:r>
        <w:t xml:space="preserve">Seamus Murphy</w:t>
      </w:r>
    </w:p>
    <w:p>
      <w:pPr>
        <w:pStyle w:val="Date"/>
      </w:pPr>
      <w:r>
        <w:t xml:space="preserve">2026-08-31</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tree defences hold, on shaded ground that spares trees water stress, or in thin</w:t>
      </w:r>
      <w:r>
        <w:t xml:space="preserve"> </w:t>
      </w:r>
      <w:r>
        <w:t xml:space="preserve">stands with few large hosts, where wind may disrupt the aggregation pheromone or vigour</w:t>
      </w:r>
      <w:r>
        <w:t xml:space="preserve"> </w:t>
      </w:r>
      <w:r>
        <w:t xml:space="preserve">sustain chemical defence. None has been fitted spatially. All three were tested across</w:t>
      </w:r>
      <w:r>
        <w:t xml:space="preserve"> </w:t>
      </w:r>
      <w:r>
        <w:t xml:space="preserve">5,573 ha of the Selkirk Mountains, British Columbia, using 59</w:t>
      </w:r>
      <w:r>
        <w:t xml:space="preserve"> </w:t>
      </w:r>
      <w:r>
        <w:t xml:space="preserve">sixteen-day Landsat epochs over eight outbreak years, year-matched forest</w:t>
      </w:r>
      <w:r>
        <w:t xml:space="preserve"> </w:t>
      </w:r>
      <w:r>
        <w:t xml:space="preserve">inventory, 29 geomorphometric variables, and a terrain-resolved MicroMet wind</w:t>
      </w:r>
      <w:r>
        <w:t xml:space="preserve"> </w:t>
      </w:r>
      <w:r>
        <w:t xml:space="preserve">field from hourly station records. The wind disruption hypothesis held, conditionally.</w:t>
      </w:r>
      <w:r>
        <w:t xml:space="preserve"> </w:t>
      </w:r>
      <w:r>
        <w:t xml:space="preserve">Attack fell where a thin stand and strong flight-period wind coincided, the density-by-wind</w:t>
      </w:r>
      <w:r>
        <w:t xml:space="preserve"> </w:t>
      </w:r>
      <w:r>
        <w:t xml:space="preserve">interaction -0.049 for stem density (p &lt; 0.001) and -0.017 for</w:t>
      </w:r>
      <w:r>
        <w:t xml:space="preserve"> </w:t>
      </w:r>
      <w:r>
        <w:t xml:space="preserve">standing volume (p &lt; 0.05), both surviving a within-season contagion term. Neither</w:t>
      </w:r>
      <w:r>
        <w:t xml:space="preserve"> </w:t>
      </w:r>
      <w:r>
        <w:t xml:space="preserve">protected alone. Wind alone carried marginally more attack (+0.022), and</w:t>
      </w:r>
      <w:r>
        <w:t xml:space="preserve"> </w:t>
      </w:r>
      <w:r>
        <w:t xml:space="preserve">thin stands in still air did not. A refugium here is a conjunction of stand and weather, not</w:t>
      </w:r>
      <w:r>
        <w:t xml:space="preserve"> </w:t>
      </w:r>
      <w:r>
        <w:t xml:space="preserve">a fixed place. The model cannot separate plume disruption from the vigour that also</w:t>
      </w:r>
      <w:r>
        <w:t xml:space="preserve"> </w:t>
      </w:r>
      <w:r>
        <w:t xml:space="preserve">accompanies low density. Host size held as a threshold, not a gradient. Attack peaked at</w:t>
      </w:r>
      <w:r>
        <w:t xml:space="preserve"> </w:t>
      </w:r>
      <w:r>
        <w:t xml:space="preserve">39.7 per cent in the 25 to 30 cm quadratic mean diameter class, the</w:t>
      </w:r>
      <w:r>
        <w:t xml:space="preserve"> </w:t>
      </w:r>
      <w:r>
        <w:t xml:space="preserve">source-sink boundary of</w:t>
      </w:r>
      <w:r>
        <w:t xml:space="preserve"> </w:t>
      </w:r>
      <w:r>
        <w:t xml:space="preserve">Carroll &amp; Safranyik (2004)</w:t>
      </w:r>
      <w:r>
        <w:t xml:space="preserve">, and fell away on both sides. Above that class</w:t>
      </w:r>
      <w:r>
        <w:t xml:space="preserve"> </w:t>
      </w:r>
      <w:r>
        <w:t xml:space="preserve">pine basal area falls from 10.2 to 1.4 square</w:t>
      </w:r>
      <w:r>
        <w:t xml:space="preserve"> </w:t>
      </w:r>
      <w:r>
        <w:t xml:space="preserve">metres per hectare while total basal area rises, as expected of a pioneer, because the</w:t>
      </w:r>
      <w:r>
        <w:t xml:space="preserve"> </w:t>
      </w:r>
      <w:r>
        <w:t xml:space="preserve">larger stands are not pine. The rise across 25 cm is the size threshold, the</w:t>
      </w:r>
      <w:r>
        <w:t xml:space="preserve"> </w:t>
      </w:r>
      <w:r>
        <w:t xml:space="preserve">fall above it host scarcity. Temperature and hydrology failed in reverse. North-facing</w:t>
      </w:r>
      <w:r>
        <w:t xml:space="preserve"> </w:t>
      </w:r>
      <w:r>
        <w:t xml:space="preserve">slopes, which the water-stress mechanism predicts should escape, carried more attack,</w:t>
      </w:r>
      <w:r>
        <w:t xml:space="preserve"> </w:t>
      </w:r>
      <w:r>
        <w:t xml:space="preserve">+0.305. Refugia here were warm, not cool, so terrain wind indices at these</w:t>
      </w:r>
      <w:r>
        <w:t xml:space="preserve"> </w:t>
      </w:r>
      <w:r>
        <w:t xml:space="preserve">elevations partly carry insolation.</w:t>
      </w:r>
    </w:p>
    <w:bookmarkEnd w:id="20"/>
    <w:bookmarkStart w:id="21" w:name="keywords"/>
    <w:p>
      <w:pPr>
        <w:pStyle w:val="Heading1"/>
      </w:pPr>
      <w:r>
        <w:t xml:space="preserve">Keywords</w:t>
      </w:r>
    </w:p>
    <w:p>
      <w:pPr>
        <w:pStyle w:val="FirstParagraph"/>
      </w:pPr>
      <w:r>
        <w:t xml:space="preserve">Dendroctonus ponderosae, forest disturbance, insect outbreaks, Landsat time series,</w:t>
      </w:r>
      <w:r>
        <w:t xml:space="preserve"> </w:t>
      </w:r>
      <w:r>
        <w:t xml:space="preserve">refugia, British Columbia</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w:t>
      </w:r>
      <w:r>
        <w:t xml:space="preserve"> </w:t>
      </w:r>
      <w:r>
        <w:t xml:space="preserve">survive are the source of structure and seed for the next forest, and they are called</w:t>
      </w:r>
      <w:r>
        <w:t xml:space="preserve"> </w:t>
      </w:r>
      <w:r>
        <w:t xml:space="preserve">disturbance refugia, places buffered from disturbance over time</w:t>
      </w:r>
      <w:r>
        <w:t xml:space="preserve"> </w:t>
      </w:r>
      <w:r>
        <w:t xml:space="preserve">(Krawchuk et al., 2020)</w:t>
      </w:r>
      <w:r>
        <w:t xml:space="preserve">. Finding a</w:t>
      </w:r>
      <w:r>
        <w:t xml:space="preserve"> </w:t>
      </w:r>
      <w:r>
        <w:t xml:space="preserve">refugium is not the same as explaining one. Explanation needs a mechanism that ties survival</w:t>
      </w:r>
      <w:r>
        <w:t xml:space="preserve"> </w:t>
      </w:r>
      <w:r>
        <w:t xml:space="preserve">to 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that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These are treated here as three testable hypotheses.</w:t>
      </w:r>
      <w:r>
        <w:t xml:space="preserve"> </w:t>
      </w:r>
      <w:r>
        <w:t xml:space="preserve">Under H1, topographic shading reduces attack by relieving water stress on cool ground. Under</w:t>
      </w:r>
      <w:r>
        <w:t xml:space="preserve"> </w:t>
      </w:r>
      <w:r>
        <w:t xml:space="preserve">H2, low host density reduces attack by admitting the wind that disperses the aggregation</w:t>
      </w:r>
      <w:r>
        <w:t xml:space="preserve"> </w:t>
      </w:r>
      <w:r>
        <w:t xml:space="preserve">pheromone. Under H3, a scarcity of large-diameter hosts reduces attack by limiting brood</w:t>
      </w:r>
      <w:r>
        <w:t xml:space="preserve"> </w:t>
      </w:r>
      <w:r>
        <w:t xml:space="preserve">production. Two of the three act through terrain, and none has been fitted to a map. Only</w:t>
      </w:r>
      <w:r>
        <w:t xml:space="preserve"> </w:t>
      </w:r>
      <w:r>
        <w:t xml:space="preserve">one of the studies the screen retained enters a wind term, a companion study on this same</w:t>
      </w:r>
      <w:r>
        <w:t xml:space="preserve"> </w:t>
      </w:r>
      <w:r>
        <w:t xml:space="preserve">landscape whose response is conifer regeneration rather than beetle 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 that</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mostly between 22 and 32, and</w:t>
      </w:r>
      <w:r>
        <w:t xml:space="preserve"> </w:t>
      </w:r>
      <w:r>
        <w:t xml:space="preserve">Safranyik &amp; Carroll (2006)</w:t>
      </w:r>
      <w:r>
        <w:t xml:space="preserve"> </w:t>
      </w:r>
      <w:r>
        <w:t xml:space="preserve">and</w:t>
      </w:r>
      <w:r>
        <w:t xml:space="preserve"> </w:t>
      </w:r>
      <w:r>
        <w:t xml:space="preserve">McCambridge (1971)</w:t>
      </w:r>
      <w:r>
        <w:t xml:space="preserve"> </w:t>
      </w:r>
      <w:r>
        <w:t xml:space="preserve">report that</w:t>
      </w:r>
      <w:r>
        <w:t xml:space="preserve"> </w:t>
      </w:r>
      <w:r>
        <w:t xml:space="preserve">“most flights occur on bright sunny days, and peak flight is in</w:t>
      </w:r>
      <w:r>
        <w:t xml:space="preserve"> </w:t>
      </w:r>
      <w:r>
        <w:t xml:space="preserve">the early to mid afternoon”</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Wind is therefore taken</w:t>
      </w:r>
      <w:r>
        <w:t xml:space="preserve"> </w:t>
      </w:r>
      <w:r>
        <w:t xml:space="preserve">from station observations of each 16-day period, modified over the terrain with the MicroMet</w:t>
      </w:r>
      <w:r>
        <w:t xml:space="preserve"> </w:t>
      </w:r>
      <w:r>
        <w:t xml:space="preserve">model of</w:t>
      </w:r>
      <w:r>
        <w:t xml:space="preserve"> </w:t>
      </w:r>
      <w:r>
        <w:t xml:space="preserve">Liston &amp; Elder (2006)</w:t>
      </w:r>
      <w:r>
        <w:t xml:space="preserve">, and the response is measured at Landsat’s own 16-day repeat, which is</w:t>
      </w:r>
      <w:r>
        <w:t xml:space="preserve"> </w:t>
      </w:r>
      <w:r>
        <w:t xml:space="preserve">the finest interval the sensor and the flight period share.</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 The</w:t>
      </w:r>
      <w:r>
        <w:t xml:space="preserve"> </w:t>
      </w:r>
      <w:r>
        <w:t xml:space="preserve">asymmetry it shows is the one the analysis depends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Murphy et al. (2026)</w:t>
      </w:r>
      <w:r>
        <w:t xml:space="preserve"> </w:t>
      </w:r>
      <w:r>
        <w:t xml:space="preserve">report that</w:t>
      </w:r>
      <w:r>
        <w:t xml:space="preserve"> </w:t>
      </w:r>
      <w:r>
        <w:t xml:space="preserve">“All</w:t>
      </w:r>
      <w:r>
        <w:t xml:space="preserve"> </w:t>
      </w:r>
      <w:r>
        <w:t xml:space="preserve">disturbance and covariate rasters were aligned to a common 30 m grid in EPSG:3153, the</w:t>
      </w:r>
      <w:r>
        <w:t xml:space="preserve"> </w:t>
      </w:r>
      <w:r>
        <w:t xml:space="preserve">native resolution of the Landsat-derived dNBR and dNDMI products”</w:t>
      </w:r>
      <w:r>
        <w:t xml:space="preserve">, and that</w:t>
      </w:r>
      <w:r>
        <w:t xml:space="preserve"> </w:t>
      </w:r>
      <w:r>
        <w:t xml:space="preserve">“The plot anchor</w:t>
      </w:r>
      <w:r>
        <w:t xml:space="preserve"> </w:t>
      </w:r>
      <w:r>
        <w:t xml:space="preserve">was georeferenced with a handheld GPS receiver in EPSG:3153”</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extends beyond that hard boundary, because 480 ha does not contain the stand-density</w:t>
      </w:r>
      <w:r>
        <w:t xml:space="preserve"> </w:t>
      </w:r>
      <w:r>
        <w:t xml:space="preserve">contrast the pheromone mechanism requires. The extension is not arbitrary. The perimeter is</w:t>
      </w:r>
      <w:r>
        <w:t xml:space="preserve"> </w:t>
      </w:r>
      <w:r>
        <w:t xml:space="preserve">the 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vri-timeseries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has its own north arrow and the same numerical scale, 1:150,000, which is correct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cover the mechanism and the stem-size threshold. These are total basal area, crown closure,</w:t>
      </w:r>
      <w:r>
        <w:t xml:space="preserve"> </w:t>
      </w:r>
      <w:r>
        <w:t xml:space="preserve">live stems per hectare, quadratic mean diameter over stems 12.5 cm and up, stand age, and</w:t>
      </w:r>
      <w:r>
        <w:t xml:space="preserve"> </w:t>
      </w:r>
      <w:r>
        <w:t xml:space="preserve">susceptible pine basal area formed as total basal area times the pine share of cover.</w:t>
      </w:r>
    </w:p>
    <w:p>
      <w:pPr>
        <w:pStyle w:val="BodyText"/>
      </w:pPr>
      <w:r>
        <w:t xml:space="preserve">Every model is fitted on year-matched stand structure. Each cell-year takes the inventory</w:t>
      </w:r>
      <w:r>
        <w:t xml:space="preserve"> </w:t>
      </w:r>
      <w:r>
        <w:t xml:space="preserve">snapshot the province published for that year, depleted for harvest and projected for growth</w:t>
      </w:r>
      <w:r>
        <w:t xml:space="preserve"> </w:t>
      </w:r>
      <w:r>
        <w:t xml:space="preserve">to it, so the host terms vary in time as well as in space.</w:t>
      </w:r>
    </w:p>
    <w:p>
      <w:pPr>
        <w:pStyle w:val="BodyText"/>
      </w:pPr>
      <w:r>
        <w:t xml:space="preserve">One year is substituted. The 2007 delivery lists basal area and live stems as columns and fills neither, 0 and 3 per cent of polygons against 70 to 97 per cent in every other year, so the preceding year is carried forward rather than averaged. The inventory is itself a projection, so carrying forward reproduces a stand structure the province published, where averaging would invent one it did not.</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2"/>
          <w:p/>
        </w:tc>
      </w:tr>
    </w:tbl>
    <w:p>
      <w:pPr>
        <w:pStyle w:val="BodyText"/>
      </w:pPr>
      <w:r>
        <w:t xml:space="preserve">The inventory is a projected operational product, not a census, and its polygons here have</w:t>
      </w:r>
      <w:r>
        <w:t xml:space="preserve"> </w:t>
      </w:r>
      <w:r>
        <w:t xml:space="preserve">reference years spanning several decades. A polygon interpreted from late-outbreak</w:t>
      </w:r>
      <w:r>
        <w:t xml:space="preserve"> </w:t>
      </w:r>
      <w:r>
        <w:t xml:space="preserve">photography describes a stand the beetle had already attacked, so basal area and pine cover</w:t>
      </w:r>
      <w:r>
        <w:t xml:space="preserve"> </w:t>
      </w:r>
      <w:r>
        <w:t xml:space="preserve">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still falls on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The same figure shows the same daily pattern</w:t>
      </w:r>
      <w:r>
        <w:t xml:space="preserve"> </w:t>
      </w:r>
      <w:r>
        <w:t xml:space="preserve">in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w:t>
      </w:r>
    </w:p>
    <w:p>
      <w:pPr>
        <w:pStyle w:val="BodyText"/>
      </w:pPr>
      <w:r>
        <w:t xml:space="preserve">Station wind is Environment and Climate Change Canada hourly records, and it enters in</w:t>
      </w:r>
      <w:r>
        <w:t xml:space="preserve"> </w:t>
      </w:r>
      <w:r>
        <w:t xml:space="preserve">three places. It is the observation MicroMet modifies over the terrain, it supplies the</w:t>
      </w:r>
      <w:r>
        <w:t xml:space="preserve"> </w:t>
      </w:r>
      <w:r>
        <w:t xml:space="preserve">prevailing bearing the directional terrain indices are computed at, and it is the climate</w:t>
      </w:r>
      <w:r>
        <w:t xml:space="preserve"> </w:t>
      </w:r>
      <w:r>
        <w:t xml:space="preserve">against which the flight window is checked in</w:t>
      </w:r>
      <w:r>
        <w:t xml:space="preserve"> </w:t>
      </w:r>
      <w:hyperlink w:anchor="fig-flight-window">
        <w:r>
          <w:rPr>
            <w:rStyle w:val="Hyperlink"/>
          </w:rPr>
          <w:t xml:space="preserve">Figure 2</w:t>
        </w:r>
      </w:hyperlink>
      <w:r>
        <w:t xml:space="preserve">. The records are never</w:t>
      </w:r>
      <w:r>
        <w:t xml:space="preserve"> </w:t>
      </w:r>
      <w:r>
        <w:t xml:space="preserve">reduced before the terrain acts on them.</w:t>
      </w:r>
    </w:p>
    <w:p>
      <w:pPr>
        <w:pStyle w:val="BodyText"/>
      </w:pPr>
      <w:r>
        <w:t xml:space="preserve">Hourly readings give detail, not independent observations. Summarised over a whole season,</w:t>
      </w:r>
      <w:r>
        <w:t xml:space="preserve"> </w:t>
      </w:r>
      <w:r>
        <w:t xml:space="preserve">every hour of wind collapses into one number per metric, a coefficient rests on as many</w:t>
      </w:r>
      <w:r>
        <w:t xml:space="preserve"> </w:t>
      </w:r>
      <w:r>
        <w:t xml:space="preserve">values as there are seasons, and its standard error looks small without being believable.</w:t>
      </w:r>
      <w:r>
        <w:t xml:space="preserve"> </w:t>
      </w:r>
      <w:r>
        <w:t xml:space="preserve">Stand density varies cell to cell; a season’s wind does not. The response is therefore</w:t>
      </w:r>
      <w:r>
        <w:t xml:space="preserve"> </w:t>
      </w:r>
      <w:r>
        <w:t xml:space="preserve">measured over each sixteen-day epoch, so that wind varies within a season as well as</w:t>
      </w:r>
      <w:r>
        <w:t xml:space="preserve"> </w:t>
      </w:r>
      <w:r>
        <w:t xml:space="preserve">between seasons and the interaction the mechanism predicts is identified.</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beetle-topography-wind-study-vri-timeseries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for each pathway the</w:t>
      </w:r>
      <w:r>
        <w:t xml:space="preserve"> </w:t>
      </w:r>
      <w:r>
        <w:t xml:space="preserve">review names. The groups are stand density, host quality, terrain exposure to wind, terrain</w:t>
      </w:r>
      <w:r>
        <w:t xml:space="preserve"> </w:t>
      </w:r>
      <w:r>
        <w:t xml:space="preserve">shape, landscape 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fits Krawchuk’s first and third mechanisms together with landform context, that is host</w:t>
      </w:r>
      <w:r>
        <w:t xml:space="preserve"> </w:t>
      </w:r>
      <w:r>
        <w:t xml:space="preserve">size, 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three interactions objective 4 requires, stand density by terrain exposure, by</w:t>
      </w:r>
      <w:r>
        <w:t xml:space="preserve"> </w:t>
      </w:r>
      <w:r>
        <w:t xml:space="preserve">flight-window radiation, and by flight-window wind.</w:t>
      </w:r>
    </w:p>
    <w:bookmarkEnd w:id="48"/>
    <w:bookmarkEnd w:id="49"/>
    <w:bookmarkStart w:id="62"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1"/>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is the strongest density term.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has the same</w:t>
      </w:r>
      <w:r>
        <w:t xml:space="preserve"> </w:t>
      </w:r>
      <w:r>
        <w:t xml:space="preserve">sign at +0.051 (p &lt; 0.01), crown closure</w:t>
      </w:r>
      <w:r>
        <w:t xml:space="preserve"> </w:t>
      </w:r>
      <w:r>
        <w:t xml:space="preserve">the opposite at -0.125 (p &lt; 0.001).</w:t>
      </w:r>
    </w:p>
    <w:p>
      <w:pPr>
        <w:pStyle w:val="BodyText"/>
      </w:pPr>
      <w:r>
        <w:t xml:space="preserve">Basal area and live stems both rise with attack, which is the direction a plume-holding</w:t>
      </w:r>
      <w:r>
        <w:t xml:space="preserve"> </w:t>
      </w:r>
      <w:r>
        <w:t xml:space="preserve">canopy implies, while crown closure falls. Crown closure is also the one measure the</w:t>
      </w:r>
      <w:r>
        <w:t xml:space="preserve"> </w:t>
      </w:r>
      <w:r>
        <w:t xml:space="preserve">inventory caps. It is recorded to a ceiling of 60 per cent, so its coefficient describes a</w:t>
      </w:r>
      <w:r>
        <w:t xml:space="preserve"> </w:t>
      </w:r>
      <w:r>
        <w:t xml:space="preserve">truncated variable and should not be read as the others are.</w:t>
      </w:r>
    </w:p>
    <w:p>
      <w:pPr>
        <w:pStyle w:val="BodyText"/>
      </w:pPr>
      <w:r>
        <w:t xml:space="preserve">Radiation enters the model once. Direct radiation during the flight window is</w:t>
      </w:r>
      <w:r>
        <w:t xml:space="preserve"> </w:t>
      </w:r>
      <w:r>
        <w:t xml:space="preserve">+0.497, the temperature limit on flying. Growing-season radiation did</w:t>
      </w:r>
      <w:r>
        <w:t xml:space="preserve"> </w:t>
      </w:r>
      <w:r>
        <w:t xml:space="preserve">not survive selection, so northness stands in for the shading pathway, and the two correlate</w:t>
      </w:r>
      <w:r>
        <w:t xml:space="preserve"> </w:t>
      </w:r>
      <w:r>
        <w:t xml:space="preserve">-0.824. Northness is +0.305. Shaded,</w:t>
      </w:r>
      <w:r>
        <w:t xml:space="preserve"> </w:t>
      </w:r>
      <w:r>
        <w:t xml:space="preserve">north-facing ground therefore has more attack, against the prediction.</w:t>
      </w:r>
    </w:p>
    <w:p>
      <w:pPr>
        <w:pStyle w:val="BodyText"/>
      </w:pPr>
      <w:r>
        <w:t xml:space="preserve">Terrain predicted attack independently of both. The windward-leeward index was</w:t>
      </w:r>
      <w:r>
        <w:t xml:space="preserve"> </w:t>
      </w:r>
      <w:r>
        <w:t xml:space="preserve">+0.394 and elevation +0.337, while ruggedness is -0.005</w:t>
      </w:r>
      <w:r>
        <w:t xml:space="preserve"> </w:t>
      </w:r>
      <w:r>
        <w:t xml:space="preserve">and not distinguishable from zero (p = 0.848), the vector ruggedness measure agreeing</w:t>
      </w:r>
      <w:r>
        <w:t xml:space="preserve"> </w:t>
      </w:r>
      <w:r>
        <w:t xml:space="preserve">in sign at -0.052. Ruggedness takes the opposite sign to that of</w:t>
      </w:r>
      <w:r>
        <w:t xml:space="preserve"> </w:t>
      </w:r>
      <w:r>
        <w:t xml:space="preserve">Murphy et al. (2026)</w:t>
      </w:r>
      <w:r>
        <w:t xml:space="preserve">, whose</w:t>
      </w:r>
      <w:r>
        <w:t xml:space="preserve"> </w:t>
      </w:r>
      <w:r>
        <w:t xml:space="preserve">response is seedling establishment rather than attack.</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beetle-topography-wind-study-vri-timeseries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6" w:name="density-and-wind"/>
    <w:p>
      <w:pPr>
        <w:pStyle w:val="Heading2"/>
      </w:pPr>
      <w:r>
        <w:t xml:space="preserve">4.1 Density and wind</w:t>
      </w:r>
    </w:p>
    <w:p>
      <w:pPr>
        <w:pStyle w:val="FirstParagraph"/>
      </w:pPr>
      <w:r>
        <w:t xml:space="preserve">Stand density interacts negatively with terrain-resolved wind, which is the form the</w:t>
      </w:r>
      <w:r>
        <w:t xml:space="preserve"> </w:t>
      </w:r>
      <w:r>
        <w:t xml:space="preserve">pheromone mechanism predicts. Attack falls where a thin stand and strong wind coincide, the</w:t>
      </w:r>
      <w:r>
        <w:t xml:space="preserve"> </w:t>
      </w:r>
      <w:r>
        <w:t xml:space="preserve">interaction -0.049 for stem density (p &lt; 0.001) and -0.017 for</w:t>
      </w:r>
      <w:r>
        <w:t xml:space="preserve"> </w:t>
      </w:r>
      <w:r>
        <w:t xml:space="preserve">standing volume (p &lt; 0.05). Expressed as odds, each standard deviation of the epoch</w:t>
      </w:r>
      <w:r>
        <w:t xml:space="preserve"> </w:t>
      </w:r>
      <w:r>
        <w:t xml:space="preserve">wind regime multiplied the contribution of stem density by 0.952, a reduction of</w:t>
      </w:r>
      <w:r>
        <w:t xml:space="preserve"> </w:t>
      </w:r>
      <w:r>
        <w:t xml:space="preserve">4.8 per cent. Both interactions survive entering the previous epoch of the</w:t>
      </w:r>
      <w:r>
        <w:t xml:space="preserve"> </w:t>
      </w:r>
      <w:r>
        <w:t xml:space="preserve">same season, so neither is the outbreak’s own spread appearing as a wind coefficient.</w:t>
      </w:r>
    </w:p>
    <w:p>
      <w:pPr>
        <w:pStyle w:val="BodyText"/>
      </w:pPr>
      <w:r>
        <w:t xml:space="preserve">Wind on its own does not protect. Its main effect is +0.022, marginally more</w:t>
      </w:r>
      <w:r>
        <w:t xml:space="preserve"> </w:t>
      </w:r>
      <w:r>
        <w:t xml:space="preserve">attack rather than less, and the density terms are positive, so a thin stand in still air</w:t>
      </w:r>
      <w:r>
        <w:t xml:space="preserve"> </w:t>
      </w:r>
      <w:r>
        <w:t xml:space="preserve">shows no reduction either. The mechanism is present only as the conjunction of the two.</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Which environmental terms survive is the informative part. Ruggedness keeps 1.23</w:t>
      </w:r>
      <w:r>
        <w:t xml:space="preserve"> </w:t>
      </w:r>
      <w:r>
        <w:t xml:space="preserve">of its value, and it describes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is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has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1" w:name="sec-window"/>
    <w:p>
      <w:pPr>
        <w:pStyle w:val="Heading2"/>
      </w:pPr>
      <w:r>
        <w:t xml:space="preserve">4.4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and that follows from how the 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hyperlink w:anchor="tbl-window">
        <w:r>
          <w:rPr>
            <w:rStyle w:val="Hyperlink"/>
          </w:rPr>
          <w:t xml:space="preserve">Table 8</w:t>
        </w:r>
      </w:hyperlink>
      <w:r>
        <w:t xml:space="preserve"> </w:t>
      </w:r>
      <w:r>
        <w:t xml:space="preserve">refits the 16-day model under four definitions of the window. These are every</w:t>
      </w:r>
      <w:r>
        <w:t xml:space="preserve"> </w:t>
      </w:r>
      <w:r>
        <w:t xml:space="preserve">hour, the 12:00 to 17:00 hours the flight peak occupies, the 11:00 to 18:00 hours that clear</w:t>
      </w:r>
      <w:r>
        <w:t xml:space="preserve"> </w:t>
      </w:r>
      <w:r>
        <w:t xml:space="preserve">the thermal gate on this landscape more than half the time, and only those hours whose</w:t>
      </w:r>
      <w:r>
        <w:t xml:space="preserve"> </w:t>
      </w:r>
      <w:r>
        <w:t xml:space="preserve">observed temperature fell inside the 19 to 41 degrees C 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0" w:name="tbl-window"/>
          <w:p>
            <w:pPr>
              <w:jc w:val="center"/>
            </w:pPr>
            <w:pPr>
              <w:jc w:val="start"/>
              <w:spacing w:before="200"/>
              <w:pStyle w:val="ImageCaption"/>
            </w:pPr>
            <w:r>
              <w:t xml:space="preserve">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0"/>
          <w:p/>
        </w:tc>
      </w:tr>
    </w:tbl>
    <w:bookmarkEnd w:id="61"/>
    <w:bookmarkEnd w:id="62"/>
    <w:bookmarkStart w:id="68" w:name="discussion"/>
    <w:p>
      <w:pPr>
        <w:pStyle w:val="Heading1"/>
      </w:pPr>
      <w:r>
        <w:t xml:space="preserve">5. Discussion</w:t>
      </w:r>
    </w:p>
    <w:bookmarkStart w:id="63" w:name="radiation-not-wind"/>
    <w:p>
      <w:pPr>
        <w:pStyle w:val="Heading2"/>
      </w:pPr>
      <w:r>
        <w:t xml:space="preserve">5.1 Radiation, not wind</w:t>
      </w:r>
    </w:p>
    <w:p>
      <w:pPr>
        <w:pStyle w:val="FirstParagraph"/>
      </w:pPr>
      <w:r>
        <w:t xml:space="preserve">The clearest result of this study is methodological. It changes what a terrain variable in</w:t>
      </w:r>
      <w:r>
        <w:t xml:space="preserve"> </w:t>
      </w:r>
      <w:r>
        <w:t xml:space="preserve">this literature can be read as.</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two fifths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3"/>
    <w:bookmarkStart w:id="64" w:name="what-survives"/>
    <w:p>
      <w:pPr>
        <w:pStyle w:val="Heading2"/>
      </w:pPr>
      <w:r>
        <w:t xml:space="preserve">5.2 What survives</w:t>
      </w:r>
    </w:p>
    <w:p>
      <w:pPr>
        <w:pStyle w:val="FirstParagraph"/>
      </w:pPr>
      <w:r>
        <w:t xml:space="preserve">This study tested the three mechanisms</w:t>
      </w:r>
      <w:r>
        <w:t xml:space="preserve"> </w:t>
      </w:r>
      <w:r>
        <w:t xml:space="preserve">Krawchuk et al. (2020)</w:t>
      </w:r>
      <w:r>
        <w:t xml:space="preserve"> </w:t>
      </w:r>
      <w:r>
        <w:t xml:space="preserve">propose for refugia from mountain pine</w:t>
      </w:r>
      <w:r>
        <w:t xml:space="preserve"> </w:t>
      </w:r>
      <w:r>
        <w:t xml:space="preserve">beetle, using a response measured at the sixteen-day cadence the sensor and the insect share.</w:t>
      </w:r>
      <w:r>
        <w:t xml:space="preserve"> </w:t>
      </w:r>
      <w:r>
        <w:t xml:space="preserve">Support was partial.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H2, host density, holds, and it holds in the conditional form the mechanism specifies</w:t>
      </w:r>
      <w:r>
        <w:t xml:space="preserve"> </w:t>
      </w:r>
      <w:r>
        <w:t xml:space="preserve">rather than as a bare 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the advantage this gives the beetle should shrink as the wind rises.</w:t>
      </w:r>
      <w:r>
        <w:t xml:space="preserve"> </w:t>
      </w:r>
      <w:r>
        <w:t xml:space="preserve">Both halves are present.</w:t>
      </w:r>
    </w:p>
    <w:p>
      <w:pPr>
        <w:pStyle w:val="BodyText"/>
      </w:pPr>
      <w:r>
        <w:t xml:space="preserve">H3, large-diameter host, holds as a threshold rather than a gradient.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H1, topographic shading, does not hold, and it fails on a stand-in rather than on the</w:t>
      </w:r>
      <w:r>
        <w:t xml:space="preserve"> </w:t>
      </w:r>
      <w:r>
        <w:t xml:space="preserve">quantity the mechanism names. Growing-season radiation did not survive variable selection, so</w:t>
      </w:r>
      <w:r>
        <w:t xml:space="preserve"> </w:t>
      </w:r>
      <w:r>
        <w:t xml:space="preserve">northness stands in for the pathway, and it correlates -0.824</w:t>
      </w:r>
      <w:r>
        <w:t xml:space="preserve"> </w:t>
      </w:r>
      <w:r>
        <w:t xml:space="preserve">with it. Northness is +0.305, so shaded ground has more attack where the</w:t>
      </w:r>
      <w:r>
        <w:t xml:space="preserve"> </w:t>
      </w:r>
      <w:r>
        <w:t xml:space="preserve">mechanism requires less. Northness tests aspect, and aspect measures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4"/>
    <w:bookmarkStart w:id="65" w:name="the-wind-claim"/>
    <w:p>
      <w:pPr>
        <w:pStyle w:val="Heading2"/>
      </w:pPr>
      <w:r>
        <w:t xml:space="preserve">5.3 The wind claim</w:t>
      </w:r>
    </w:p>
    <w:p>
      <w:pPr>
        <w:pStyle w:val="FirstParagraph"/>
      </w:pPr>
      <w:r>
        <w:t xml:space="preserve">Stand density interacts with terrain-resolved wind at -0.049 for stem density and</w:t>
      </w:r>
      <w:r>
        <w:t xml:space="preserve"> </w:t>
      </w:r>
      <w:r>
        <w:t xml:space="preserve">-0.017 for standing volume, both negative, at p &lt; 0.001 and</w:t>
      </w:r>
      <w:r>
        <w:t xml:space="preserve"> </w:t>
      </w:r>
      <w:r>
        <w:t xml:space="preserve">p = 0.038 respectively. A dense stand is worth less to the beetle where and when</w:t>
      </w:r>
      <w:r>
        <w:t xml:space="preserve"> </w:t>
      </w:r>
      <w:r>
        <w:t xml:space="preserve">the wind blows harder, which is what</w:t>
      </w:r>
      <w:r>
        <w:t xml:space="preserve"> </w:t>
      </w:r>
      <w:r>
        <w:t xml:space="preserve">Krawchuk et al. (2020)</w:t>
      </w:r>
      <w:r>
        <w:t xml:space="preserve"> </w:t>
      </w:r>
      <w:r>
        <w:t xml:space="preserve">predict. The result survives entering the</w:t>
      </w:r>
      <w:r>
        <w:t xml:space="preserve"> </w:t>
      </w:r>
      <w:r>
        <w:t xml:space="preserve">previous epoch of the same season, so it is not the outbreak’s own spread appearing as a</w:t>
      </w:r>
      <w:r>
        <w:t xml:space="preserve"> </w:t>
      </w:r>
      <w:r>
        <w:t xml:space="preserve">wind coefficient.</w:t>
      </w:r>
    </w:p>
    <w:p>
      <w:pPr>
        <w:pStyle w:val="BodyText"/>
      </w:pPr>
      <w:r>
        <w:t xml:space="preserve">The mechanism concerns a plume that persists for minutes over a flight period of weeks, and</w:t>
      </w:r>
      <w:r>
        <w:t xml:space="preserve"> </w:t>
      </w:r>
      <w:r>
        <w:t xml:space="preserve">the wind term is measured over the sixteen days an epoch covers for that reason.</w:t>
      </w:r>
      <w:r>
        <w:t xml:space="preserve"> </w:t>
      </w:r>
      <w:r>
        <w:t xml:space="preserve">Krawchuk et al. (2020)</w:t>
      </w:r>
      <w:r>
        <w:t xml:space="preserve"> </w:t>
      </w:r>
      <w:r>
        <w:t xml:space="preserve">name wind without naming the interval it should be summarised over, and nothing in the</w:t>
      </w:r>
      <w:r>
        <w:t xml:space="preserve"> </w:t>
      </w:r>
      <w:r>
        <w:t xml:space="preserve">literature since has supplied one.</w:t>
      </w:r>
    </w:p>
    <w:p>
      <w:pPr>
        <w:pStyle w:val="BodyText"/>
      </w:pPr>
      <w:r>
        <w:t xml:space="preserve">Two limits stay attached to the claim. The interaction is small, roughly a tenth of the</w:t>
      </w:r>
      <w:r>
        <w:t xml:space="preserve"> </w:t>
      </w:r>
      <w:r>
        <w:t xml:space="preserve">stand basal area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5"/>
    <w:bookmarkStart w:id="66"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It is -0.005 for beetle attack here, against a positive</w:t>
      </w:r>
      <w:r>
        <w:t xml:space="preserve"> </w:t>
      </w:r>
      <w:r>
        <w:t xml:space="preserve">coefficient for conifer regeneration in</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6"/>
    <w:bookmarkStart w:id="67"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combines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7"/>
    <w:bookmarkEnd w:id="68"/>
    <w:bookmarkStart w:id="69"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w:t>
      </w:r>
      <w:r>
        <w:t xml:space="preserve"> </w:t>
      </w:r>
      <w:r>
        <w:t xml:space="preserve">basal area, +0.504, with live stems agreeing in sign and crown closure alone running</w:t>
      </w:r>
      <w:r>
        <w:t xml:space="preserve"> </w:t>
      </w:r>
      <w:r>
        <w:t xml:space="preserve">the other way, and large-diameter host holds as a threshold at 25 to 30 cm rather than as a</w:t>
      </w:r>
      <w:r>
        <w:t xml:space="preserve"> </w:t>
      </w:r>
      <w:r>
        <w:t xml:space="preserve">slope, at the source-sink boundary of</w:t>
      </w:r>
      <w:r>
        <w:t xml:space="preserve"> </w:t>
      </w:r>
      <w:r>
        <w:t xml:space="preserve">Carroll &amp; Safranyik (2004)</w:t>
      </w:r>
      <w:r>
        <w:t xml:space="preserve">. Topographic shading does not</w:t>
      </w:r>
      <w:r>
        <w:t xml:space="preserve"> </w:t>
      </w:r>
      <w:r>
        <w:t xml:space="preserve">hold, and it fails on a surrogate. Growing-season radiation did not survive selection, so</w:t>
      </w:r>
      <w:r>
        <w:t xml:space="preserve"> </w:t>
      </w:r>
      <w:r>
        <w:t xml:space="preserve">northness stands in for the pathway at +0.305, and the two correlate</w:t>
      </w:r>
      <w:r>
        <w:t xml:space="preserve"> </w:t>
      </w:r>
      <w:r>
        <w:t xml:space="preserve">-0.824.</w:t>
      </w:r>
    </w:p>
    <w:p>
      <w:pPr>
        <w:pStyle w:val="BodyText"/>
      </w:pPr>
      <w:r>
        <w:t xml:space="preserve">Two measurement results travel beyond this landscape, and both concern variables that look</w:t>
      </w:r>
      <w:r>
        <w:t xml:space="preserve"> </w:t>
      </w:r>
      <w:r>
        <w:t xml:space="preserve">like one thing and behave as another.</w:t>
      </w:r>
    </w:p>
    <w:p>
      <w:pPr>
        <w:pStyle w:val="BodyText"/>
      </w:pPr>
      <w:r>
        <w:t xml:space="preserve">A terrain wind index is partly a measurement of sunlight. Entering flight-window radiation</w:t>
      </w:r>
      <w:r>
        <w:t xml:space="preserve"> </w:t>
      </w:r>
      <w:r>
        <w:t xml:space="preserve">weakened the density by terrain-exposure interaction from -0.068 to -0.040.</w:t>
      </w:r>
      <w:r>
        <w:t xml:space="preserve"> </w:t>
      </w:r>
      <w:r>
        <w:t xml:space="preserve">On any range whose prevailing bearing puts the windward slopes into the afternoon sun, and</w:t>
      </w:r>
      <w:r>
        <w:t xml:space="preserve"> </w:t>
      </w:r>
      <w:r>
        <w:t xml:space="preserve">that is most of them, a study entering a windward-leeward index without a radiation term on</w:t>
      </w:r>
      <w:r>
        <w:t xml:space="preserve"> </w:t>
      </w:r>
      <w:r>
        <w:t xml:space="preserve">the same clock will attribute radiation to wind.</w:t>
      </w:r>
    </w:p>
    <w:p>
      <w:pPr>
        <w:pStyle w:val="BodyText"/>
      </w:pPr>
      <w:r>
        <w:t xml:space="preserve">A landform variable in a spreading outbreak partly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has whether or not the</w:t>
      </w:r>
      <w:r>
        <w:t xml:space="preserve"> </w:t>
      </w:r>
      <w:r>
        <w:t xml:space="preserve">beetle ever arrived. Landform terms fitted without a contagion term are not measuring</w:t>
      </w:r>
      <w:r>
        <w:t xml:space="preserve"> </w:t>
      </w:r>
      <w:r>
        <w:t xml:space="preserve">landform alone.</w:t>
      </w:r>
    </w:p>
    <w:bookmarkEnd w:id="69"/>
    <w:bookmarkStart w:id="70"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northness stands in for the pathway, and it correlates</w:t>
      </w:r>
      <w:r>
        <w:t xml:space="preserve"> </w:t>
      </w:r>
      <w:r>
        <w:t xml:space="preserve">-0.824 with it. Northness tests aspect, aspect measures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and total basal area discriminates only weakly on its own,</w:t>
      </w:r>
      <w:r>
        <w:t xml:space="preserve"> </w:t>
      </w:r>
      <w:r>
        <w:t xml:space="preserve">0.603.</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0"/>
    <w:bookmarkStart w:id="71"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1"/>
    <w:bookmarkStart w:id="72" w:name="conflict-of-interest"/>
    <w:p>
      <w:pPr>
        <w:pStyle w:val="Heading1"/>
      </w:pPr>
      <w:r>
        <w:t xml:space="preserve">9. Conflict of interest</w:t>
      </w:r>
    </w:p>
    <w:p>
      <w:pPr>
        <w:pStyle w:val="FirstParagraph"/>
      </w:pPr>
      <w:r>
        <w:t xml:space="preserve">The author declares no conflict of interest.</w:t>
      </w:r>
    </w:p>
    <w:bookmarkEnd w:id="72"/>
    <w:bookmarkStart w:id="73"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3"/>
    <w:bookmarkStart w:id="74"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4"/>
    <w:bookmarkStart w:id="76"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5">
        <w:r>
          <w:rPr>
            <w:rStyle w:val="Hyperlink"/>
          </w:rPr>
          <w:t xml:space="preserve">https://github.com/seamusrobertmurphy/beetle-topography-and-wind-study</w:t>
        </w:r>
      </w:hyperlink>
      <w:r>
        <w:t xml:space="preserve">.</w:t>
      </w:r>
    </w:p>
    <w:bookmarkEnd w:id="76"/>
    <w:bookmarkStart w:id="77" w:name="figure-legends"/>
    <w:p>
      <w:pPr>
        <w:pStyle w:val="Heading1"/>
      </w:pPr>
      <w:r>
        <w:t xml:space="preserve">13.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has its own north arrow and the same numerical scale,</w:t>
      </w:r>
      <w:r>
        <w:t xml:space="preserve"> </w:t>
      </w:r>
      <w:r>
        <w:t xml:space="preserve">1:150,000, which is correct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7"/>
    <w:bookmarkStart w:id="118" w:name="references"/>
    <w:p>
      <w:pPr>
        <w:pStyle w:val="Heading1"/>
      </w:pPr>
      <w:r>
        <w:t xml:space="preserve">14. References</w:t>
      </w:r>
    </w:p>
    <w:bookmarkStart w:id="117" w:name="refs"/>
    <w:bookmarkStart w:id="7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8">
        <w:r>
          <w:rPr>
            <w:rStyle w:val="Hyperlink"/>
          </w:rPr>
          <w:t xml:space="preserve">https://doi.org/10.1007/s10453-010-9176-9</w:t>
        </w:r>
      </w:hyperlink>
    </w:p>
    <w:bookmarkEnd w:id="79"/>
    <w:bookmarkStart w:id="81"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0">
        <w:r>
          <w:rPr>
            <w:rStyle w:val="Hyperlink"/>
          </w:rPr>
          <w:t xml:space="preserve">https://doi.org/10.1175/JAMC-D-13-0147.1</w:t>
        </w:r>
      </w:hyperlink>
    </w:p>
    <w:bookmarkEnd w:id="81"/>
    <w:bookmarkStart w:id="83"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2">
        <w:r>
          <w:rPr>
            <w:rStyle w:val="Hyperlink"/>
          </w:rPr>
          <w:t xml:space="preserve">https://doi.org/10.2737/int-rp-400</w:t>
        </w:r>
      </w:hyperlink>
    </w:p>
    <w:bookmarkEnd w:id="83"/>
    <w:bookmarkStart w:id="84"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4"/>
    <w:bookmarkStart w:id="86"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5">
        <w:r>
          <w:rPr>
            <w:rStyle w:val="Hyperlink"/>
          </w:rPr>
          <w:t xml:space="preserve">https://doi.org/10.3390/f9110715</w:t>
        </w:r>
      </w:hyperlink>
    </w:p>
    <w:bookmarkEnd w:id="86"/>
    <w:bookmarkStart w:id="88"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7">
        <w:r>
          <w:rPr>
            <w:rStyle w:val="Hyperlink"/>
          </w:rPr>
          <w:t xml:space="preserve">https://doi.org/10.1111/jen.13262</w:t>
        </w:r>
      </w:hyperlink>
    </w:p>
    <w:bookmarkEnd w:id="88"/>
    <w:bookmarkStart w:id="90"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89">
        <w:r>
          <w:rPr>
            <w:rStyle w:val="Hyperlink"/>
          </w:rPr>
          <w:t xml:space="preserve">https://doi.org/10.1175/BAMS-D-21-0075.1</w:t>
        </w:r>
      </w:hyperlink>
    </w:p>
    <w:bookmarkEnd w:id="90"/>
    <w:bookmarkStart w:id="92"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1">
        <w:r>
          <w:rPr>
            <w:rStyle w:val="Hyperlink"/>
          </w:rPr>
          <w:t xml:space="preserve">https://doi.org/10.1111/j.1439-0418.1972.tb01745.x</w:t>
        </w:r>
      </w:hyperlink>
    </w:p>
    <w:bookmarkEnd w:id="92"/>
    <w:bookmarkStart w:id="94"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3">
        <w:r>
          <w:rPr>
            <w:rStyle w:val="Hyperlink"/>
          </w:rPr>
          <w:t xml:space="preserve">https://doi.org/10.1007/s00442-022-05129-4</w:t>
        </w:r>
      </w:hyperlink>
    </w:p>
    <w:bookmarkEnd w:id="94"/>
    <w:bookmarkStart w:id="96"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5">
        <w:r>
          <w:rPr>
            <w:rStyle w:val="Hyperlink"/>
          </w:rPr>
          <w:t xml:space="preserve">https://doi.org/10.1139/X08-066</w:t>
        </w:r>
      </w:hyperlink>
    </w:p>
    <w:bookmarkEnd w:id="96"/>
    <w:bookmarkStart w:id="98"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7">
        <w:r>
          <w:rPr>
            <w:rStyle w:val="Hyperlink"/>
          </w:rPr>
          <w:t xml:space="preserve">https://doi.org/10.1139/cjfr-2018-0304</w:t>
        </w:r>
      </w:hyperlink>
    </w:p>
    <w:bookmarkEnd w:id="98"/>
    <w:bookmarkStart w:id="100"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99">
        <w:r>
          <w:rPr>
            <w:rStyle w:val="Hyperlink"/>
          </w:rPr>
          <w:t xml:space="preserve">https://doi.org/10.1002/fee.2190</w:t>
        </w:r>
      </w:hyperlink>
    </w:p>
    <w:bookmarkEnd w:id="100"/>
    <w:bookmarkStart w:id="102"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1">
        <w:r>
          <w:rPr>
            <w:rStyle w:val="Hyperlink"/>
          </w:rPr>
          <w:t xml:space="preserve">https://doi.org/10.1175/JHM486.1</w:t>
        </w:r>
      </w:hyperlink>
    </w:p>
    <w:bookmarkEnd w:id="102"/>
    <w:bookmarkStart w:id="104"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3">
        <w:r>
          <w:rPr>
            <w:rStyle w:val="Hyperlink"/>
          </w:rPr>
          <w:t xml:space="preserve">https://doi.org/10.1093/aesa/64.2.534</w:t>
        </w:r>
      </w:hyperlink>
    </w:p>
    <w:bookmarkEnd w:id="104"/>
    <w:bookmarkStart w:id="106"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5">
        <w:r>
          <w:rPr>
            <w:rStyle w:val="Hyperlink"/>
          </w:rPr>
          <w:t xml:space="preserve">https://doi.org/10.1111/j.1654-1103.2002.tb02087.x</w:t>
        </w:r>
      </w:hyperlink>
    </w:p>
    <w:bookmarkEnd w:id="106"/>
    <w:bookmarkStart w:id="108"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7">
        <w:r>
          <w:rPr>
            <w:rStyle w:val="Hyperlink"/>
          </w:rPr>
          <w:t xml:space="preserve">https://doi.org/10.1016/j.foreco.2026.123985</w:t>
        </w:r>
      </w:hyperlink>
    </w:p>
    <w:bookmarkEnd w:id="108"/>
    <w:bookmarkStart w:id="11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09">
        <w:r>
          <w:rPr>
            <w:rStyle w:val="Hyperlink"/>
          </w:rPr>
          <w:t xml:space="preserve">https://open.canada.ca/data/en/dataset/957782bf-847c-4644-a757-e383c0057995</w:t>
        </w:r>
      </w:hyperlink>
    </w:p>
    <w:bookmarkEnd w:id="110"/>
    <w:bookmarkStart w:id="112"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1">
        <w:r>
          <w:rPr>
            <w:rStyle w:val="Hyperlink"/>
          </w:rPr>
          <w:t xml:space="preserve">https://doi.org/10.1016/j.ecolmodel.2013.10.034</w:t>
        </w:r>
      </w:hyperlink>
    </w:p>
    <w:bookmarkEnd w:id="112"/>
    <w:bookmarkStart w:id="113"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3"/>
    <w:bookmarkStart w:id="115"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4">
        <w:r>
          <w:rPr>
            <w:rStyle w:val="Hyperlink"/>
          </w:rPr>
          <w:t xml:space="preserve">https://doi.org/10.1079/PAVSNNR202116018</w:t>
        </w:r>
      </w:hyperlink>
    </w:p>
    <w:bookmarkEnd w:id="115"/>
    <w:bookmarkStart w:id="116"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6"/>
    <w:bookmarkEnd w:id="117"/>
    <w:bookmarkEnd w:id="11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dcterms:created xsi:type="dcterms:W3CDTF">2026-08-31T15:43:46Z</dcterms:created>
  <dcterms:modified xsi:type="dcterms:W3CDTF">2026-08-31T15:43:46Z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