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eight outbreak years,</w:t>
      </w:r>
      <w:r>
        <w:t xml:space="preserve"> </w:t>
      </w:r>
      <w:r>
        <w:t xml:space="preserve">66,302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-0.049 for stem density (p &lt; 0.001) and -0.017 for standing</w:t>
      </w:r>
      <w:r>
        <w:t xml:space="preserve"> </w:t>
      </w:r>
      <w:r>
        <w:t xml:space="preserve">volume (p &lt; 0.05), and both survived a within-season spread term carrying</w:t>
      </w:r>
      <w:r>
        <w:t xml:space="preserve"> </w:t>
      </w:r>
      <w:r>
        <w:t xml:space="preserve">+0.704. Host held through stand basal area, +0.504,</w:t>
      </w:r>
      <w:r>
        <w:t xml:space="preserve"> </w:t>
      </w:r>
      <w:r>
        <w:t xml:space="preserve">and attack peaked at</w:t>
      </w:r>
      <w:r>
        <w:t xml:space="preserve"> </w:t>
      </w:r>
      <w:r>
        <w:t xml:space="preserve">39.7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-0.824 with it, is +0.305, so shaded ground</w:t>
      </w:r>
      <w:r>
        <w:t xml:space="preserve"> </w:t>
      </w:r>
      <w:r>
        <w:t xml:space="preserve">carries more attack.</w:t>
      </w:r>
    </w:p>
    <w:p>
      <w:pPr>
        <w:pStyle w:val="BodyText"/>
      </w:pPr>
      <w:r>
        <w:t xml:space="preserve">Wind had no main effect on attack. What it did was change what stand density was worth,</w:t>
      </w:r>
      <w:r>
        <w:t xml:space="preserve"> </w:t>
      </w:r>
      <w:r>
        <w:t xml:space="preserve">which is the form the population biology predicts for an environmental control on mass</w:t>
      </w:r>
      <w:r>
        <w:t xml:space="preserve"> </w:t>
      </w:r>
      <w:r>
        <w:t xml:space="preserve">attack. A refugium from beetle is therefore not a location but a conjunction of thin stand</w:t>
      </w:r>
      <w:r>
        <w:t xml:space="preserve"> </w:t>
      </w:r>
      <w:r>
        <w:t xml:space="preserve">and wind, in the weeks the insect flies. That distinguishes it from a fire refugium, which</w:t>
      </w:r>
      <w:r>
        <w:t xml:space="preserve"> </w:t>
      </w:r>
      <w:r>
        <w:t xml:space="preserve">the framework was built on and which can be mapped from terrain alone.</w:t>
      </w:r>
    </w:p>
    <w:p>
      <w:pPr>
        <w:pStyle w:val="BodyText"/>
      </w:pPr>
      <w:r>
        <w:t xml:space="preserve">Two measurement results bear on any refugia study. Terrain wind indices are partly</w:t>
      </w:r>
      <w:r>
        <w:t xml:space="preserve"> </w:t>
      </w:r>
      <w:r>
        <w:t xml:space="preserve">insolation: entering flight-window radiation weakened the density by exposure interaction</w:t>
      </w:r>
      <w:r>
        <w:t xml:space="preserve"> </w:t>
      </w:r>
      <w:r>
        <w:t xml:space="preserve">from -0.068 to -0.040. And inventory vintage governs what can be detected at</w:t>
      </w:r>
      <w:r>
        <w:t xml:space="preserve"> </w:t>
      </w:r>
      <w:r>
        <w:t xml:space="preserve">all. Holding stand structure at its current projection, as is routine, halved the</w:t>
      </w:r>
      <w:r>
        <w:t xml:space="preserve"> </w:t>
      </w:r>
      <w:r>
        <w:t xml:space="preserve">interaction and left basal area at chance, 0.517 against 0.602 once each year carried its</w:t>
      </w:r>
      <w:r>
        <w:t xml:space="preserve"> </w:t>
      </w:r>
      <w:r>
        <w:t xml:space="preserve">own inventory.</w:t>
      </w:r>
    </w:p>
    <w:bookmarkEnd w:id="20"/>
    <w:bookmarkStart w:id="21" w:name="keywords"/>
    <w:p>
      <w:pPr>
        <w:pStyle w:val="Heading1"/>
      </w:pPr>
      <w:r>
        <w:t xml:space="preserve">Keywords</w:t>
      </w:r>
    </w:p>
    <w:p>
      <w:pPr>
        <w:pStyle w:val="FirstParagraph"/>
      </w:pPr>
      <w:r>
        <w:t xml:space="preserve">Dendroctonus ponderosae, Landsat time series, stand density, geomorphometry, temporal</w:t>
      </w:r>
      <w:r>
        <w:t xml:space="preserve"> </w:t>
      </w:r>
      <w:r>
        <w:t xml:space="preserve">resolution, pheromone communication</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 survive carry the forest’s</w:t>
      </w:r>
      <w:r>
        <w:t xml:space="preserve"> </w:t>
      </w:r>
      <w:r>
        <w:t xml:space="preserve">structure and seed into whatever comes next, and those patches have a name: disturbance</w:t>
      </w:r>
      <w:r>
        <w:t xml:space="preserve"> </w:t>
      </w:r>
      <w:r>
        <w:t xml:space="preserve">refugia, places buffered from disturbance over time</w:t>
      </w:r>
      <w:r>
        <w:t xml:space="preserve"> </w:t>
      </w:r>
      <w:r>
        <w:t xml:space="preserve">(Krawchuk et al., 2020)</w:t>
      </w:r>
      <w:r>
        <w:t xml:space="preserve">. Finding a refugium is</w:t>
      </w:r>
      <w:r>
        <w:t xml:space="preserve"> </w:t>
      </w:r>
      <w:r>
        <w:t xml:space="preserve">not the same as explaining one. Explanation needs a mechanism that ties survival to</w:t>
      </w:r>
      <w:r>
        <w:t xml:space="preserve"> </w:t>
      </w:r>
      <w:r>
        <w:t xml:space="preserve">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We treat these as three testable hypotheses. Under H1, topographic shading reduces attack</w:t>
      </w:r>
      <w:r>
        <w:t xml:space="preserve"> </w:t>
      </w:r>
      <w:r>
        <w:t xml:space="preserve">by relieving water stress on cool ground. Under H2, low host density reduces attack by</w:t>
      </w:r>
      <w:r>
        <w:t xml:space="preserve"> </w:t>
      </w:r>
      <w:r>
        <w:t xml:space="preserve">admitting the wind that disperses the aggregation pheromone. Under H3, a scarcity of</w:t>
      </w:r>
      <w:r>
        <w:t xml:space="preserve"> </w:t>
      </w:r>
      <w:r>
        <w:t xml:space="preserve">large-diameter hosts reduces attack by limiting brood production. Two of the three act</w:t>
      </w:r>
      <w:r>
        <w:t xml:space="preserve"> </w:t>
      </w:r>
      <w:r>
        <w:t xml:space="preserve">through terrain, and none has been fitted to a map.</w:t>
      </w:r>
      <w:r>
        <w:t xml:space="preserve"> </w:t>
      </w:r>
      <w:r>
        <w:t xml:space="preserve">Of the studies our screen retained, one enters a wind term at all, and it is a companion</w:t>
      </w:r>
      <w:r>
        <w:t xml:space="preserve"> </w:t>
      </w:r>
      <w:r>
        <w:t xml:space="preserve">study on this same landscape whose response is conifer regeneration rather than beetle</w:t>
      </w:r>
      <w:r>
        <w:t xml:space="preserve"> </w:t>
      </w:r>
      <w:r>
        <w:t xml:space="preserve">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and mostly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&amp;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&amp;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 And how much of the answer depends on the interval the</w:t>
      </w:r>
      <w:r>
        <w:t xml:space="preserve"> </w:t>
      </w:r>
      <w:r>
        <w:t xml:space="preserve">response is measured over?</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w:t>
      </w:r>
      <w:r>
        <w:t xml:space="preserve"> </w:t>
      </w:r>
      <w:r>
        <w:t xml:space="preserve">The asymmetry it shows is the one the analysis turns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We took the response as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We reduced them only</w:t>
      </w:r>
      <w:r>
        <w:t xml:space="preserve"> </w:t>
      </w:r>
      <w:r>
        <w:t xml:space="preserve">at the last step, into monthly means for June, July and August and four flight-window</w:t>
      </w:r>
      <w:r>
        <w:t xml:space="preserve"> </w:t>
      </w:r>
      <w:r>
        <w:t xml:space="preserve">metrics for 1 July to 15 August. Those four are the mean speed, the 95th percentile, and the</w:t>
      </w:r>
      <w:r>
        <w:t xml:space="preserve"> </w:t>
      </w:r>
      <w:r>
        <w:t xml:space="preserve">fractions of hours below 5 km/h and above 15 km/h.</w:t>
      </w:r>
    </w:p>
    <w:p>
      <w:pPr>
        <w:pStyle w:val="BodyText"/>
      </w:pPr>
      <w:r>
        <w:t xml:space="preserve">Hourly readings buy detail, not independent observations. With one map a year, every hour</w:t>
      </w:r>
      <w:r>
        <w:t xml:space="preserve"> </w:t>
      </w:r>
      <w:r>
        <w:t xml:space="preserve">of wind collapses into one of eight numbers per metric, so the model has</w:t>
      </w:r>
      <w:r>
        <w:t xml:space="preserve"> </w:t>
      </w:r>
      <w:r>
        <w:t xml:space="preserve">only eight distinct wind values to work with and a wind coefficient rests on those</w:t>
      </w:r>
      <w:r>
        <w:t xml:space="preserve"> </w:t>
      </w:r>
      <w:r>
        <w:t xml:space="preserve">alone. Its standard error will look small and should not be believed.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8"/>
    <w:bookmarkEnd w:id="49"/>
    <w:bookmarkStart w:id="64"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carried the density pathway.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carried</w:t>
      </w:r>
      <w:r>
        <w:t xml:space="preserve"> </w:t>
      </w:r>
      <w:r>
        <w:t xml:space="preserve">+0.051 (p &lt; 0.01) in the same direction,</w:t>
      </w:r>
      <w:r>
        <w:t xml:space="preserve"> </w:t>
      </w:r>
      <w:r>
        <w:t xml:space="preserve">while crown closure carried -0.125 (p &lt; 0.001) in the</w:t>
      </w:r>
      <w:r>
        <w:t xml:space="preserve"> </w:t>
      </w:r>
      <w:r>
        <w:t xml:space="preserve">opposite one.</w:t>
      </w:r>
    </w:p>
    <w:p>
      <w:pPr>
        <w:pStyle w:val="BodyText"/>
      </w:pPr>
      <w:r>
        <w:t xml:space="preserve">Notably, basal area is the term that could not be used at all when stand structure was held</w:t>
      </w:r>
      <w:r>
        <w:t xml:space="preserve"> </w:t>
      </w:r>
      <w:r>
        <w:t xml:space="preserve">at the 2025 composite. Its univariate discrimination rises from 0.517 on that composite,</w:t>
      </w:r>
      <w:r>
        <w:t xml:space="preserve"> </w:t>
      </w:r>
      <w:r>
        <w:t xml:space="preserve">indistinguishable from chance, to 0.602 once each year carries its own inventory, and live</w:t>
      </w:r>
      <w:r>
        <w:t xml:space="preserve"> </w:t>
      </w:r>
      <w:r>
        <w:t xml:space="preserve">stems rise from 0.572 to 0.616. Standing volume moves only from 0.547 to 0.550 and no longer</w:t>
      </w:r>
      <w:r>
        <w:t xml:space="preserve"> </w:t>
      </w:r>
      <w:r>
        <w:t xml:space="preserve">survives selection. Our earlier draft attributed basal area’s failure to an inventory that</w:t>
      </w:r>
      <w:r>
        <w:t xml:space="preserve"> </w:t>
      </w:r>
      <w:r>
        <w:t xml:space="preserve">postdated the outbreak; matching the inventory to its year confirms that diagnosis.</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We entered radiation once. Flight-window direct radiation carried +0.497,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-0.824. Northness is +0.305: shaded,</w:t>
      </w:r>
      <w:r>
        <w:t xml:space="preserve"> </w:t>
      </w:r>
      <w:r>
        <w:t xml:space="preserve">north-facing ground carries more attack, against the prediction.</w:t>
      </w:r>
    </w:p>
    <w:p>
      <w:pPr>
        <w:pStyle w:val="BodyText"/>
      </w:pPr>
      <w:r>
        <w:t xml:space="preserve">We found that 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7"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6"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488"/>
              <w:gridCol w:w="4678"/>
              <w:gridCol w:w="696"/>
              <w:gridCol w:w="696"/>
              <w:gridCol w:w="796"/>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-16.42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+0.032</w:t>
                  </w:r>
                </w:p>
              </w:tc>
              <w:tc>
                <w:tcPr/>
                <w:p>
                  <w:pPr>
                    <w:pStyle w:val="Compact"/>
                    <w:jc w:val="left"/>
                    <w:rPr>
                      <w:sz w:val="16"/>
                      <w:szCs w:val="16"/>
                    </w:rPr>
                  </w:pPr>
                  <w:r>
                    <w:rPr>
                      <w:sz w:val="16"/>
                      <w:szCs w:val="16"/>
                    </w:rPr>
                    <w:t xml:space="preserve">1.20</w:t>
                  </w:r>
                </w:p>
              </w:tc>
              <w:tc>
                <w:tcPr/>
                <w:p>
                  <w:pPr>
                    <w:pStyle w:val="Compact"/>
                    <w:jc w:val="left"/>
                    <w:rPr>
                      <w:sz w:val="16"/>
                      <w:szCs w:val="16"/>
                    </w:rPr>
                  </w:pPr>
                  <w:r>
                    <w:rPr>
                      <w:sz w:val="16"/>
                      <w:szCs w:val="16"/>
                    </w:rPr>
                    <w:t xml:space="preserve">0.232</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+0.386</w:t>
                  </w:r>
                </w:p>
              </w:tc>
              <w:tc>
                <w:tcPr/>
                <w:p>
                  <w:pPr>
                    <w:pStyle w:val="Compact"/>
                    <w:jc w:val="left"/>
                    <w:rPr>
                      <w:sz w:val="16"/>
                      <w:szCs w:val="16"/>
                    </w:rPr>
                  </w:pPr>
                  <w:r>
                    <w:rPr>
                      <w:sz w:val="16"/>
                      <w:szCs w:val="16"/>
                    </w:rPr>
                    <w:t xml:space="preserve">22.18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Stand basal area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1.71</w:t>
                  </w:r>
                </w:p>
              </w:tc>
              <w:tc>
                <w:tcPr/>
                <w:p>
                  <w:pPr>
                    <w:pStyle w:val="Compact"/>
                    <w:jc w:val="left"/>
                    <w:rPr>
                      <w:sz w:val="16"/>
                      <w:szCs w:val="16"/>
                    </w:rPr>
                  </w:pPr>
                  <w:r>
                    <w:rPr>
                      <w:sz w:val="16"/>
                      <w:szCs w:val="16"/>
                    </w:rPr>
                    <w:t xml:space="preserve">0.087</w:t>
                  </w:r>
                </w:p>
              </w:tc>
            </w:tr>
          </w:tbl>
          <w:bookmarkEnd w:id="56"/>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+0.386 log-odds per standard deviation</w:t>
      </w:r>
      <w:r>
        <w:t xml:space="preserve"> </w:t>
      </w:r>
      <w:r>
        <w:t xml:space="preserve">(z = 22.18, p &lt; 0.001) when the response is one map per year. Windier ground</w:t>
      </w:r>
      <w:r>
        <w:t xml:space="preserve"> </w:t>
      </w:r>
      <w:r>
        <w:t xml:space="preserve">carries more moderate-to-high disturbance. The interaction the mechanism turns on is</w:t>
      </w:r>
      <w:r>
        <w:t xml:space="preserve"> </w:t>
      </w:r>
      <w:r>
        <w:t xml:space="preserve">+0.031 (z = 1.71, p = 0.087), positive where the</w:t>
      </w:r>
      <w:r>
        <w:t xml:space="preserve"> </w:t>
      </w:r>
      <w:r>
        <w:t xml:space="preserve">pheromone-disruption mechanism requires negative.</w:t>
      </w:r>
    </w:p>
    <w:p>
      <w:pPr>
        <w:pStyle w:val="BodyText"/>
      </w:pPr>
      <w:r>
        <w:t xml:space="preserve">At sixteen days, the same wind field, the same covariates and the same classification</w:t>
      </w:r>
      <w:r>
        <w:t xml:space="preserve"> </w:t>
      </w:r>
      <w:r>
        <w:t xml:space="preserve">threshold gave -0.049 for stem density (p &lt; 0.001) and</w:t>
      </w:r>
      <w:r>
        <w:t xml:space="preserve"> </w:t>
      </w:r>
      <w:r>
        <w:t xml:space="preserve">-0.017 for standing volume (p &lt; 0.05). Expressed as odds, each standard</w:t>
      </w:r>
      <w:r>
        <w:t xml:space="preserve"> </w:t>
      </w:r>
      <w:r>
        <w:t xml:space="preserve">deviation of the epoch wind regime multiplied the contribution of stem density by</w:t>
      </w:r>
      <w:r>
        <w:t xml:space="preserve"> </w:t>
      </w:r>
      <w:r>
        <w:t xml:space="preserve">0.952, a reduction of 4.8 per cent. Notably, nothing</w:t>
      </w:r>
      <w:r>
        <w:t xml:space="preserve"> </w:t>
      </w:r>
      <w:r>
        <w:t xml:space="preserve">about the landscape or the wind product changed between the two specifications.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flight-window calm hours (share below 5 km/h) at -0.543, which carries no flight-window information at all.</w:t>
      </w:r>
    </w:p>
    <w:p>
      <w:pPr>
        <w:pStyle w:val="BodyText"/>
      </w:pPr>
      <w:r>
        <w:t xml:space="preserve">The resolution requirement follows from the biology and is stated here as a constraint on</w:t>
      </w:r>
      <w:r>
        <w:t xml:space="preserve"> </w:t>
      </w:r>
      <w:r>
        <w:t xml:space="preserve">design rather than as a result: a plume that persists for minutes, acting over a flight</w:t>
      </w:r>
      <w:r>
        <w:t xml:space="preserve"> </w:t>
      </w:r>
      <w:r>
        <w:t xml:space="preserve">period of weeks, cannot be tested against a response aggregated to the year.</w:t>
      </w:r>
    </w:p>
    <w:bookmarkEnd w:id="57"/>
    <w:bookmarkStart w:id="58"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Notably, which environmental terms survived is the informative part. Ruggedness keeps 1.23</w:t>
      </w:r>
      <w:r>
        <w:t xml:space="preserve"> </w:t>
      </w:r>
      <w:r>
        <w:t xml:space="preserve">of its value, a term describing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8"/>
    <w:bookmarkStart w:id="60"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9"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9"/>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carries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60"/>
    <w:bookmarkStart w:id="61" w:name="sec-vri"/>
    <w:p>
      <w:pPr>
        <w:pStyle w:val="Heading2"/>
      </w:pPr>
      <w:r>
        <w:t xml:space="preserve">4.4 Host structure in time</w:t>
      </w:r>
    </w:p>
    <w:p>
      <w:pPr>
        <w:pStyle w:val="FirstParagraph"/>
      </w:pPr>
      <w:r>
        <w:t xml:space="preserve">The stand structure every model above is fitted on is year-matched: each cell-year carries</w:t>
      </w:r>
      <w:r>
        <w:t xml:space="preserve"> </w:t>
      </w:r>
      <w:r>
        <w:t xml:space="preserve">the inventory snapshot the province published for that year, depleted for harvest and</w:t>
      </w:r>
      <w:r>
        <w:t xml:space="preserve"> </w:t>
      </w:r>
      <w:r>
        <w:t xml:space="preserve">projected for growth to it. The alternative, and what earlier drafts of this study used, is</w:t>
      </w:r>
      <w:r>
        <w:t xml:space="preserve"> </w:t>
      </w:r>
      <w:r>
        <w:t xml:space="preserve">the single composite the web feature service serves, projected to 2025. Under that composite</w:t>
      </w:r>
      <w:r>
        <w:t xml:space="preserve"> </w:t>
      </w:r>
      <w:r>
        <w:t xml:space="preserve">every year of a cell carries the same basal area, volume, stems and diameter, so the host</w:t>
      </w:r>
      <w:r>
        <w:t xml:space="preserve"> </w:t>
      </w:r>
      <w:r>
        <w:t xml:space="preserve">terms have no variation in time at all and their values have been grown forward through and</w:t>
      </w:r>
      <w:r>
        <w:t xml:space="preserve"> </w:t>
      </w:r>
      <w:r>
        <w:t xml:space="preserve">past the outbreak they are meant to predict. Across the nine study years the</w:t>
      </w:r>
      <w:r>
        <w:t xml:space="preserve"> </w:t>
      </w:r>
      <w:r>
        <w:t xml:space="preserve">between-year standard deviation of mean standing volume rises from</w:t>
      </w:r>
      <w:r>
        <w:t xml:space="preserve"> </w:t>
      </w:r>
      <w:r>
        <w:t xml:space="preserve">7.95 to</w:t>
      </w:r>
      <w:r>
        <w:t xml:space="preserve"> </w:t>
      </w:r>
      <w:r>
        <w:t xml:space="preserve">13.68 m</w:t>
      </w:r>
      <w:r>
        <w:rPr>
          <w:vertAlign w:val="superscript"/>
        </w:rPr>
        <w:t xml:space="preserve">3</w:t>
      </w:r>
      <w:r>
        <w:t xml:space="preserve"> </w:t>
      </w:r>
      <w:r>
        <w:t xml:space="preserve">ha</w:t>
      </w:r>
      <w:r>
        <w:rPr>
          <w:vertAlign w:val="superscript"/>
        </w:rPr>
        <w:t xml:space="preserve">-1</w:t>
      </w:r>
      <w:r>
        <w:t xml:space="preserve"> </w:t>
      </w:r>
      <w:r>
        <w:t xml:space="preserve">when the snapshots are</w:t>
      </w:r>
      <w:r>
        <w:t xml:space="preserve"> </w:t>
      </w:r>
      <w:r>
        <w:t xml:space="preserve">matched to their years, so the change is not cosmetic.</w:t>
      </w:r>
    </w:p>
    <w:p>
      <w:pPr>
        <w:pStyle w:val="BodyText"/>
      </w:pPr>
      <w:r>
        <w:t xml:space="preserve">It costs the result about half its size. The interaction between stem density and wind falls</w:t>
      </w:r>
      <w:r>
        <w:t xml:space="preserve"> </w:t>
      </w:r>
      <w:r>
        <w:t xml:space="preserve">from -0.0941 (p</w:t>
      </w:r>
      <w:r>
        <w:t xml:space="preserve"> </w:t>
      </w:r>
      <w:r>
        <w:t xml:space="preserve">&lt; 0.001) to</w:t>
      </w:r>
      <w:r>
        <w:t xml:space="preserve"> </w:t>
      </w:r>
      <w:r>
        <w:t xml:space="preserve">-0.0491 (p &lt; 0.001),</w:t>
      </w:r>
      <w:r>
        <w:t xml:space="preserve"> </w:t>
      </w:r>
      <w:r>
        <w:t xml:space="preserve">and the interaction with standing volume from</w:t>
      </w:r>
      <w:r>
        <w:t xml:space="preserve"> </w:t>
      </w:r>
      <w:r>
        <w:t xml:space="preserve">-0.0410 (p</w:t>
      </w:r>
      <w:r>
        <w:t xml:space="preserve"> </w:t>
      </w:r>
      <w:r>
        <w:t xml:space="preserve">&lt; 0.001) to</w:t>
      </w:r>
      <w:r>
        <w:t xml:space="preserve"> </w:t>
      </w:r>
      <w:r>
        <w:t xml:space="preserve">-0.0169 (p</w:t>
      </w:r>
      <w:r>
        <w:t xml:space="preserve"> </w:t>
      </w:r>
      <w:r>
        <w:t xml:space="preserve">= 0.038). Both keep the sign the mechanism requires and</w:t>
      </w:r>
      <w:r>
        <w:t xml:space="preserve"> </w:t>
      </w:r>
      <w:r>
        <w:t xml:space="preserve">both remain distinguishable from zero, but roughly half of the effect the composite reported</w:t>
      </w:r>
      <w:r>
        <w:t xml:space="preserve"> </w:t>
      </w:r>
      <w:r>
        <w:t xml:space="preserve">was an artefact of holding host structure constant. The model that reports the smaller</w:t>
      </w:r>
      <w:r>
        <w:t xml:space="preserve"> </w:t>
      </w:r>
      <w:r>
        <w:t xml:space="preserve">effect is the better one: discrimination rises from</w:t>
      </w:r>
      <w:r>
        <w:t xml:space="preserve"> </w:t>
      </w:r>
      <w:r>
        <w:t xml:space="preserve">0.6685 to</w:t>
      </w:r>
      <w:r>
        <w:t xml:space="preserve"> </w:t>
      </w:r>
      <w:r>
        <w:t xml:space="preserve">0.6730.</w:t>
      </w:r>
    </w:p>
    <w:p>
      <w:pPr>
        <w:pStyle w:val="BodyText"/>
      </w:pPr>
      <w:r>
        <w:t xml:space="preserve">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bookmarkEnd w:id="61"/>
    <w:bookmarkStart w:id="63" w:name="sec-window"/>
    <w:p>
      <w:pPr>
        <w:pStyle w:val="Heading2"/>
      </w:pPr>
      <w:r>
        <w:t xml:space="preserve">4.5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That is deliberate, and it follows from how the</w:t>
      </w:r>
      <w:r>
        <w:t xml:space="preserve"> </w:t>
      </w:r>
      <w:r>
        <w:t xml:space="preserve">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r>
        <w:t xml:space="preserve">The choice is reported rather than assumed.</w:t>
      </w:r>
      <w:r>
        <w:t xml:space="preserve"> </w:t>
      </w:r>
      <w:hyperlink w:anchor="tbl-window">
        <w:r>
          <w:rPr>
            <w:rStyle w:val="Hyperlink"/>
          </w:rPr>
          <w:t xml:space="preserve">Table 9</w:t>
        </w:r>
      </w:hyperlink>
      <w:r>
        <w:t xml:space="preserve"> </w:t>
      </w:r>
      <w:r>
        <w:t xml:space="preserve">refits the 16-day model under four</w:t>
      </w:r>
      <w:r>
        <w:t xml:space="preserve"> </w:t>
      </w:r>
      <w:r>
        <w:t xml:space="preserve">definitions of the window: every hour, the 12:00 to 17:00 hours the flight peak occupies,</w:t>
      </w:r>
      <w:r>
        <w:t xml:space="preserve"> </w:t>
      </w:r>
      <w:r>
        <w:t xml:space="preserve">the 11:00 to 18:00 hours that clear the thermal gate on this landscape more than half the</w:t>
      </w:r>
      <w:r>
        <w:t xml:space="preserve"> </w:t>
      </w:r>
      <w:r>
        <w:t xml:space="preserve">time, and only those hours whose observed temperature fell inside the 19 to 41 degrees C</w:t>
      </w:r>
      <w:r>
        <w:t xml:space="preserve"> </w:t>
      </w:r>
      <w:r>
        <w:t xml:space="preserve">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2" w:name="tbl-window"/>
          <w:p>
            <w:pPr>
              <w:jc w:val="center"/>
            </w:pPr>
            <w:pPr>
              <w:jc w:val="start"/>
              <w:spacing w:before="200"/>
              <w:pStyle w:val="ImageCaption"/>
            </w:pPr>
            <w:r>
              <w:t xml:space="preserve">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2"/>
          <w:p/>
        </w:tc>
      </w:tr>
    </w:tbl>
    <w:bookmarkEnd w:id="63"/>
    <w:bookmarkEnd w:id="64"/>
    <w:bookmarkStart w:id="70" w:name="discussion"/>
    <w:p>
      <w:pPr>
        <w:pStyle w:val="Heading1"/>
      </w:pPr>
      <w:r>
        <w:t xml:space="preserve">5. Discussion</w:t>
      </w:r>
    </w:p>
    <w:bookmarkStart w:id="65"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5"/>
    <w:bookmarkStart w:id="66" w:name="what-survives"/>
    <w:p>
      <w:pPr>
        <w:pStyle w:val="Heading2"/>
      </w:pPr>
      <w:r>
        <w:t xml:space="preserve">5.2 What survives</w:t>
      </w:r>
    </w:p>
    <w:p>
      <w:pPr>
        <w:pStyle w:val="FirstParagraph"/>
      </w:pPr>
      <w:r>
        <w:t xml:space="preserve">In this study we tested the three mechanisms</w:t>
      </w:r>
      <w:r>
        <w:t xml:space="preserve"> </w:t>
      </w:r>
      <w:r>
        <w:t xml:space="preserve">Krawchuk et al. (2020)</w:t>
      </w:r>
      <w:r>
        <w:t xml:space="preserve"> </w:t>
      </w:r>
      <w:r>
        <w:t xml:space="preserve">propose for refugia from mountain</w:t>
      </w:r>
      <w:r>
        <w:t xml:space="preserve"> </w:t>
      </w:r>
      <w:r>
        <w:t xml:space="preserve">pine beetle, using a response measured at the sixteen-day cadence the sensor and the insect</w:t>
      </w:r>
      <w:r>
        <w:t xml:space="preserve"> </w:t>
      </w:r>
      <w:r>
        <w:t xml:space="preserve">share. Our results offered partial support.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 the</w:t>
      </w:r>
      <w:r>
        <w:t xml:space="preserve"> </w:t>
      </w:r>
      <w:r>
        <w:t xml:space="preserve">pathway is carried by northness, which correlates -0.824</w:t>
      </w:r>
      <w:r>
        <w:t xml:space="preserve"> </w:t>
      </w:r>
      <w:r>
        <w:t xml:space="preserve">with it. Northness is +0.305,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6"/>
    <w:bookmarkStart w:id="67"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-0.049 for stem density and -0.017 for standing volume, both negative,</w:t>
      </w:r>
      <w:r>
        <w:t xml:space="preserve"> </w:t>
      </w:r>
      <w:r>
        <w:t xml:space="preserve">at p &lt; 0.001 and p = 0.038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+0.032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7"/>
    <w:bookmarkStart w:id="68"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-0.005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8"/>
    <w:bookmarkStart w:id="69"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9"/>
    <w:bookmarkEnd w:id="70"/>
    <w:bookmarkStart w:id="71"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+0.305, which correlates</w:t>
      </w:r>
      <w:r>
        <w:t xml:space="preserve"> </w:t>
      </w:r>
      <w:r>
        <w:t xml:space="preserve">-0.824 with it.</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holds whether or not the</w:t>
      </w:r>
      <w:r>
        <w:t xml:space="preserve"> </w:t>
      </w:r>
      <w:r>
        <w:t xml:space="preserve">beetle ever arrived. Landform terms fitted without a contagion term are not measuring</w:t>
      </w:r>
      <w:r>
        <w:t xml:space="preserve"> </w:t>
      </w:r>
      <w:r>
        <w:t xml:space="preserve">landform alone.</w:t>
      </w:r>
    </w:p>
    <w:bookmarkEnd w:id="71"/>
    <w:bookmarkStart w:id="72"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-0.824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only weakly on its own,</w:t>
      </w:r>
      <w:r>
        <w:t xml:space="preserve"> </w:t>
      </w:r>
      <w:r>
        <w:t xml:space="preserve">0.603, and on the 2025 composite it did not</w:t>
      </w:r>
      <w:r>
        <w:t xml:space="preserve"> </w:t>
      </w:r>
      <w:r>
        <w:t xml:space="preserve">discriminate at all; matching each year to its own snapshot is what recovered it.</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2"/>
    <w:bookmarkStart w:id="73"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3"/>
    <w:bookmarkStart w:id="74" w:name="conflict-of-interest"/>
    <w:p>
      <w:pPr>
        <w:pStyle w:val="Heading1"/>
      </w:pPr>
      <w:r>
        <w:t xml:space="preserve">9. Conflict of interest</w:t>
      </w:r>
    </w:p>
    <w:p>
      <w:pPr>
        <w:pStyle w:val="FirstParagraph"/>
      </w:pPr>
      <w:r>
        <w:t xml:space="preserve">The author declares no conflict of interest.</w:t>
      </w:r>
    </w:p>
    <w:bookmarkEnd w:id="74"/>
    <w:bookmarkStart w:id="75"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5"/>
    <w:bookmarkStart w:id="76"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6"/>
    <w:bookmarkStart w:id="78"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7">
        <w:r>
          <w:rPr>
            <w:rStyle w:val="Hyperlink"/>
          </w:rPr>
          <w:t xml:space="preserve">https://github.com/seamusrobertmurphy/beetle-topography-and-wind-study</w:t>
        </w:r>
      </w:hyperlink>
      <w:r>
        <w:t xml:space="preserve">.</w:t>
      </w:r>
    </w:p>
    <w:bookmarkEnd w:id="78"/>
    <w:bookmarkStart w:id="79"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carries its own north arrow and the same numerical scale,</w:t>
      </w:r>
      <w:r>
        <w:t xml:space="preserve"> </w:t>
      </w:r>
      <w:r>
        <w:t xml:space="preserve">1:150,000, which holds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9"/>
    <w:bookmarkStart w:id="120" w:name="references"/>
    <w:p>
      <w:pPr>
        <w:pStyle w:val="Heading1"/>
      </w:pPr>
      <w:r>
        <w:t xml:space="preserve">14. References</w:t>
      </w:r>
    </w:p>
    <w:bookmarkStart w:id="119" w:name="refs"/>
    <w:bookmarkStart w:id="81"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80">
        <w:r>
          <w:rPr>
            <w:rStyle w:val="Hyperlink"/>
          </w:rPr>
          <w:t xml:space="preserve">https://doi.org/10.1007/s10453-010-9176-9</w:t>
        </w:r>
      </w:hyperlink>
    </w:p>
    <w:bookmarkEnd w:id="81"/>
    <w:bookmarkStart w:id="83"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2">
        <w:r>
          <w:rPr>
            <w:rStyle w:val="Hyperlink"/>
          </w:rPr>
          <w:t xml:space="preserve">https://doi.org/10.1175/JAMC-D-13-0147.1</w:t>
        </w:r>
      </w:hyperlink>
    </w:p>
    <w:bookmarkEnd w:id="83"/>
    <w:bookmarkStart w:id="85"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4">
        <w:r>
          <w:rPr>
            <w:rStyle w:val="Hyperlink"/>
          </w:rPr>
          <w:t xml:space="preserve">https://doi.org/10.2737/int-rp-400</w:t>
        </w:r>
      </w:hyperlink>
    </w:p>
    <w:bookmarkEnd w:id="85"/>
    <w:bookmarkStart w:id="86"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6"/>
    <w:bookmarkStart w:id="88"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7">
        <w:r>
          <w:rPr>
            <w:rStyle w:val="Hyperlink"/>
          </w:rPr>
          <w:t xml:space="preserve">https://doi.org/10.3390/f9110715</w:t>
        </w:r>
      </w:hyperlink>
    </w:p>
    <w:bookmarkEnd w:id="88"/>
    <w:bookmarkStart w:id="90"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9">
        <w:r>
          <w:rPr>
            <w:rStyle w:val="Hyperlink"/>
          </w:rPr>
          <w:t xml:space="preserve">https://doi.org/10.1111/jen.13262</w:t>
        </w:r>
      </w:hyperlink>
    </w:p>
    <w:bookmarkEnd w:id="90"/>
    <w:bookmarkStart w:id="92"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91">
        <w:r>
          <w:rPr>
            <w:rStyle w:val="Hyperlink"/>
          </w:rPr>
          <w:t xml:space="preserve">https://doi.org/10.1175/BAMS-D-21-0075.1</w:t>
        </w:r>
      </w:hyperlink>
    </w:p>
    <w:bookmarkEnd w:id="92"/>
    <w:bookmarkStart w:id="94"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3">
        <w:r>
          <w:rPr>
            <w:rStyle w:val="Hyperlink"/>
          </w:rPr>
          <w:t xml:space="preserve">https://doi.org/10.1111/j.1439-0418.1972.tb01745.x</w:t>
        </w:r>
      </w:hyperlink>
    </w:p>
    <w:bookmarkEnd w:id="94"/>
    <w:bookmarkStart w:id="96"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5">
        <w:r>
          <w:rPr>
            <w:rStyle w:val="Hyperlink"/>
          </w:rPr>
          <w:t xml:space="preserve">https://doi.org/10.1007/s00442-022-05129-4</w:t>
        </w:r>
      </w:hyperlink>
    </w:p>
    <w:bookmarkEnd w:id="96"/>
    <w:bookmarkStart w:id="98"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7">
        <w:r>
          <w:rPr>
            <w:rStyle w:val="Hyperlink"/>
          </w:rPr>
          <w:t xml:space="preserve">https://doi.org/10.1139/X08-066</w:t>
        </w:r>
      </w:hyperlink>
    </w:p>
    <w:bookmarkEnd w:id="98"/>
    <w:bookmarkStart w:id="100"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9">
        <w:r>
          <w:rPr>
            <w:rStyle w:val="Hyperlink"/>
          </w:rPr>
          <w:t xml:space="preserve">https://doi.org/10.1139/cjfr-2018-0304</w:t>
        </w:r>
      </w:hyperlink>
    </w:p>
    <w:bookmarkEnd w:id="100"/>
    <w:bookmarkStart w:id="102"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1">
        <w:r>
          <w:rPr>
            <w:rStyle w:val="Hyperlink"/>
          </w:rPr>
          <w:t xml:space="preserve">https://doi.org/10.1002/fee.2190</w:t>
        </w:r>
      </w:hyperlink>
    </w:p>
    <w:bookmarkEnd w:id="102"/>
    <w:bookmarkStart w:id="104"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3">
        <w:r>
          <w:rPr>
            <w:rStyle w:val="Hyperlink"/>
          </w:rPr>
          <w:t xml:space="preserve">https://doi.org/10.1175/JHM486.1</w:t>
        </w:r>
      </w:hyperlink>
    </w:p>
    <w:bookmarkEnd w:id="104"/>
    <w:bookmarkStart w:id="106"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5">
        <w:r>
          <w:rPr>
            <w:rStyle w:val="Hyperlink"/>
          </w:rPr>
          <w:t xml:space="preserve">https://doi.org/10.1093/aesa/64.2.534</w:t>
        </w:r>
      </w:hyperlink>
    </w:p>
    <w:bookmarkEnd w:id="106"/>
    <w:bookmarkStart w:id="108"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7">
        <w:r>
          <w:rPr>
            <w:rStyle w:val="Hyperlink"/>
          </w:rPr>
          <w:t xml:space="preserve">https://doi.org/10.1111/j.1654-1103.2002.tb02087.x</w:t>
        </w:r>
      </w:hyperlink>
    </w:p>
    <w:bookmarkEnd w:id="108"/>
    <w:bookmarkStart w:id="110"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9">
        <w:r>
          <w:rPr>
            <w:rStyle w:val="Hyperlink"/>
          </w:rPr>
          <w:t xml:space="preserve">https://doi.org/10.1016/j.foreco.2026.123985</w:t>
        </w:r>
      </w:hyperlink>
    </w:p>
    <w:bookmarkEnd w:id="110"/>
    <w:bookmarkStart w:id="112"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11">
        <w:r>
          <w:rPr>
            <w:rStyle w:val="Hyperlink"/>
          </w:rPr>
          <w:t xml:space="preserve">https://open.canada.ca/data/en/dataset/957782bf-847c-4644-a757-e383c0057995</w:t>
        </w:r>
      </w:hyperlink>
    </w:p>
    <w:bookmarkEnd w:id="112"/>
    <w:bookmarkStart w:id="114"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3">
        <w:r>
          <w:rPr>
            <w:rStyle w:val="Hyperlink"/>
          </w:rPr>
          <w:t xml:space="preserve">https://doi.org/10.1016/j.ecolmodel.2013.10.034</w:t>
        </w:r>
      </w:hyperlink>
    </w:p>
    <w:bookmarkEnd w:id="114"/>
    <w:bookmarkStart w:id="115"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5"/>
    <w:bookmarkStart w:id="117"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6">
        <w:r>
          <w:rPr>
            <w:rStyle w:val="Hyperlink"/>
          </w:rPr>
          <w:t xml:space="preserve">https://doi.org/10.1079/PAVSNNR202116018</w:t>
        </w:r>
      </w:hyperlink>
    </w:p>
    <w:bookmarkEnd w:id="117"/>
    <w:bookmarkStart w:id="118"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8"/>
    <w:bookmarkEnd w:id="119"/>
    <w:bookmarkEnd w:id="120"/>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101" Target="https://doi.org/10.1002/fee.2190" TargetMode="External" /><Relationship Type="http://schemas.openxmlformats.org/officeDocument/2006/relationships/hyperlink" Id="rId95" Target="https://doi.org/10.1007/s00442-022-05129-4" TargetMode="External" /><Relationship Type="http://schemas.openxmlformats.org/officeDocument/2006/relationships/hyperlink" Id="rId80" Target="https://doi.org/10.1007/s10453-010-9176-9" TargetMode="External" /><Relationship Type="http://schemas.openxmlformats.org/officeDocument/2006/relationships/hyperlink" Id="rId113" Target="https://doi.org/10.1016/j.ecolmodel.2013.10.034" TargetMode="External" /><Relationship Type="http://schemas.openxmlformats.org/officeDocument/2006/relationships/hyperlink" Id="rId109" Target="https://doi.org/10.1016/j.foreco.2026.123985" TargetMode="External" /><Relationship Type="http://schemas.openxmlformats.org/officeDocument/2006/relationships/hyperlink" Id="rId116" Target="https://doi.org/10.1079/PAVSNNR202116018" TargetMode="External" /><Relationship Type="http://schemas.openxmlformats.org/officeDocument/2006/relationships/hyperlink" Id="rId105" Target="https://doi.org/10.1093/aesa/64.2.534" TargetMode="External" /><Relationship Type="http://schemas.openxmlformats.org/officeDocument/2006/relationships/hyperlink" Id="rId93" Target="https://doi.org/10.1111/j.1439-0418.1972.tb01745.x" TargetMode="External" /><Relationship Type="http://schemas.openxmlformats.org/officeDocument/2006/relationships/hyperlink" Id="rId107" Target="https://doi.org/10.1111/j.1654-1103.2002.tb02087.x" TargetMode="External" /><Relationship Type="http://schemas.openxmlformats.org/officeDocument/2006/relationships/hyperlink" Id="rId89" Target="https://doi.org/10.1111/jen.13262" TargetMode="External" /><Relationship Type="http://schemas.openxmlformats.org/officeDocument/2006/relationships/hyperlink" Id="rId97" Target="https://doi.org/10.1139/X08-066" TargetMode="External" /><Relationship Type="http://schemas.openxmlformats.org/officeDocument/2006/relationships/hyperlink" Id="rId99" Target="https://doi.org/10.1139/cjfr-2018-0304" TargetMode="External" /><Relationship Type="http://schemas.openxmlformats.org/officeDocument/2006/relationships/hyperlink" Id="rId91" Target="https://doi.org/10.1175/BAMS-D-21-0075.1" TargetMode="External" /><Relationship Type="http://schemas.openxmlformats.org/officeDocument/2006/relationships/hyperlink" Id="rId82" Target="https://doi.org/10.1175/JAMC-D-13-0147.1" TargetMode="External" /><Relationship Type="http://schemas.openxmlformats.org/officeDocument/2006/relationships/hyperlink" Id="rId103" Target="https://doi.org/10.1175/JHM486.1" TargetMode="External" /><Relationship Type="http://schemas.openxmlformats.org/officeDocument/2006/relationships/hyperlink" Id="rId84" Target="https://doi.org/10.2737/int-rp-400" TargetMode="External" /><Relationship Type="http://schemas.openxmlformats.org/officeDocument/2006/relationships/hyperlink" Id="rId87" Target="https://doi.org/10.3390/f9110715" TargetMode="External" /><Relationship Type="http://schemas.openxmlformats.org/officeDocument/2006/relationships/hyperlink" Id="rId77" Target="https://github.com/seamusrobertmurphy/beetle-topography-and-wind-study" TargetMode="External" /><Relationship Type="http://schemas.openxmlformats.org/officeDocument/2006/relationships/hyperlink" Id="rId111"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1" Target="https://doi.org/10.1002/fee.2190" TargetMode="External" /><Relationship Type="http://schemas.openxmlformats.org/officeDocument/2006/relationships/hyperlink" Id="rId95" Target="https://doi.org/10.1007/s00442-022-05129-4" TargetMode="External" /><Relationship Type="http://schemas.openxmlformats.org/officeDocument/2006/relationships/hyperlink" Id="rId80" Target="https://doi.org/10.1007/s10453-010-9176-9" TargetMode="External" /><Relationship Type="http://schemas.openxmlformats.org/officeDocument/2006/relationships/hyperlink" Id="rId113" Target="https://doi.org/10.1016/j.ecolmodel.2013.10.034" TargetMode="External" /><Relationship Type="http://schemas.openxmlformats.org/officeDocument/2006/relationships/hyperlink" Id="rId109" Target="https://doi.org/10.1016/j.foreco.2026.123985" TargetMode="External" /><Relationship Type="http://schemas.openxmlformats.org/officeDocument/2006/relationships/hyperlink" Id="rId116" Target="https://doi.org/10.1079/PAVSNNR202116018" TargetMode="External" /><Relationship Type="http://schemas.openxmlformats.org/officeDocument/2006/relationships/hyperlink" Id="rId105" Target="https://doi.org/10.1093/aesa/64.2.534" TargetMode="External" /><Relationship Type="http://schemas.openxmlformats.org/officeDocument/2006/relationships/hyperlink" Id="rId93" Target="https://doi.org/10.1111/j.1439-0418.1972.tb01745.x" TargetMode="External" /><Relationship Type="http://schemas.openxmlformats.org/officeDocument/2006/relationships/hyperlink" Id="rId107" Target="https://doi.org/10.1111/j.1654-1103.2002.tb02087.x" TargetMode="External" /><Relationship Type="http://schemas.openxmlformats.org/officeDocument/2006/relationships/hyperlink" Id="rId89" Target="https://doi.org/10.1111/jen.13262" TargetMode="External" /><Relationship Type="http://schemas.openxmlformats.org/officeDocument/2006/relationships/hyperlink" Id="rId97" Target="https://doi.org/10.1139/X08-066" TargetMode="External" /><Relationship Type="http://schemas.openxmlformats.org/officeDocument/2006/relationships/hyperlink" Id="rId99" Target="https://doi.org/10.1139/cjfr-2018-0304" TargetMode="External" /><Relationship Type="http://schemas.openxmlformats.org/officeDocument/2006/relationships/hyperlink" Id="rId91" Target="https://doi.org/10.1175/BAMS-D-21-0075.1" TargetMode="External" /><Relationship Type="http://schemas.openxmlformats.org/officeDocument/2006/relationships/hyperlink" Id="rId82" Target="https://doi.org/10.1175/JAMC-D-13-0147.1" TargetMode="External" /><Relationship Type="http://schemas.openxmlformats.org/officeDocument/2006/relationships/hyperlink" Id="rId103" Target="https://doi.org/10.1175/JHM486.1" TargetMode="External" /><Relationship Type="http://schemas.openxmlformats.org/officeDocument/2006/relationships/hyperlink" Id="rId84" Target="https://doi.org/10.2737/int-rp-400" TargetMode="External" /><Relationship Type="http://schemas.openxmlformats.org/officeDocument/2006/relationships/hyperlink" Id="rId87" Target="https://doi.org/10.3390/f9110715" TargetMode="External" /><Relationship Type="http://schemas.openxmlformats.org/officeDocument/2006/relationships/hyperlink" Id="rId77" Target="https://github.com/seamusrobertmurphy/beetle-topography-and-wind-study" TargetMode="External" /><Relationship Type="http://schemas.openxmlformats.org/officeDocument/2006/relationships/hyperlink" Id="rId111"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2026-08-29T06:00:00Z</dcterms:created>
  <dcterms:modified xsi:type="dcterms:W3CDTF">2026-08-29T06:00:00Z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