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media/rId25.png" ContentType="image/png"/>
  <Override PartName="/word/media/rId28.png" ContentType="image/png"/>
  <Override PartName="/word/media/image1.png" ContentType="image/png"/>
  <Override PartName="/word/media/image2.png" ContentType="image/png"/>
  <Override PartName="/word/media/image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Testing the wind disruption hypothesis for beetle refugia</w:t>
      </w:r>
    </w:p>
    <w:p>
      <w:pPr>
        <w:pStyle w:val="Author"/>
      </w:pPr>
      <w:r>
        <w:t xml:space="preserve">Seamus Murphy</w:t>
      </w:r>
    </w:p>
    <w:p>
      <w:pPr>
        <w:pStyle w:val="Date"/>
      </w:pPr>
      <w:r>
        <w:t xml:space="preserve">2026-08-27</w:t>
      </w:r>
    </w:p>
    <w:bookmarkStart w:id="20" w:name="abstract"/>
    <w:p>
      <w:pPr>
        <w:pStyle w:val="Heading1"/>
      </w:pPr>
      <w:r>
        <w:t xml:space="preserve">Abstract</w:t>
      </w:r>
    </w:p>
    <w:p>
      <w:pPr>
        <w:pStyle w:val="FirstParagraph"/>
      </w:pPr>
      <w:r>
        <w:t xml:space="preserve">Refugia from mountain pine beetle (</w:t>
      </w:r>
      <w:r>
        <w:rPr>
          <w:i/>
          <w:iCs/>
        </w:rPr>
        <w:t xml:space="preserve">Dendroctonus ponderosae</w:t>
      </w:r>
      <w:r>
        <w:t xml:space="preserve">) are thought to form where</w:t>
      </w:r>
      <w:r>
        <w:t xml:space="preserve"> </w:t>
      </w:r>
      <w:r>
        <w:t xml:space="preserve">stands are thin enough for wind to break up the pheromone plume that coordinates mass</w:t>
      </w:r>
      <w:r>
        <w:t xml:space="preserve"> </w:t>
      </w:r>
      <w:r>
        <w:t xml:space="preserve">attack. It names three mechanisms, shading, low host density and few large-diameter hosts,</w:t>
      </w:r>
      <w:r>
        <w:t xml:space="preserve"> </w:t>
      </w:r>
      <w:r>
        <w:t xml:space="preserve">and none has been fitted. We tested all three over 5,573 ha of the Selkirk</w:t>
      </w:r>
      <w:r>
        <w:t xml:space="preserve"> </w:t>
      </w:r>
      <w:r>
        <w:t xml:space="preserve">Mountains, British Columbia, at 30 m and Landsat’s 16-day repeat, 59 epochs across</w:t>
      </w:r>
      <w:r>
        <w:t xml:space="preserve"> </w:t>
      </w:r>
      <w:r>
        <w:t xml:space="preserve">8 outbreak years, with wind from a terrain-resolved field driven hourly. Stand density interacted negatively with wind,</w:t>
      </w:r>
      <w:r>
        <w:t xml:space="preserve"> </w:t>
      </w:r>
      <w:r>
        <w:t xml:space="preserve">-0.094 for stem density and -0.041 for standing volume, both surviving a</w:t>
      </w:r>
      <w:r>
        <w:t xml:space="preserve"> </w:t>
      </w:r>
      <w:r>
        <w:t xml:space="preserve">within-season spread term. Host held through standing volume, attack peaking at</w:t>
      </w:r>
      <w:r>
        <w:t xml:space="preserve"> </w:t>
      </w:r>
      <w:r>
        <w:t xml:space="preserve">45.9 per cent at 25 to 30 cm.</w:t>
      </w:r>
      <w:r>
        <w:t xml:space="preserve"> </w:t>
      </w:r>
      <w:r>
        <w:t xml:space="preserve">Shading failed: shaded ground carried more attack, not less. Resolution decided it. One map</w:t>
      </w:r>
      <w:r>
        <w:t xml:space="preserve"> </w:t>
      </w:r>
      <w:r>
        <w:t xml:space="preserve">a year, same wind field and covariates, gave +0.031, the opposite sign.</w:t>
      </w:r>
    </w:p>
    <w:bookmarkEnd w:id="20"/>
    <w:bookmarkStart w:id="21" w:name="introduction"/>
    <w:p>
      <w:pPr>
        <w:pStyle w:val="Heading1"/>
      </w:pPr>
      <w:r>
        <w:t xml:space="preserve">1. Introduction</w:t>
      </w:r>
    </w:p>
    <w:p>
      <w:pPr>
        <w:pStyle w:val="FirstParagraph"/>
      </w:pPr>
      <w:r>
        <w:t xml:space="preserve">Mountain pine beetle (</w:t>
      </w:r>
      <w:r>
        <w:rPr>
          <w:i/>
          <w:iCs/>
        </w:rPr>
        <w:t xml:space="preserve">Dendroctonus ponderosae</w:t>
      </w:r>
      <w:r>
        <w:t xml:space="preserve"> </w:t>
      </w:r>
      <w:r>
        <w:t xml:space="preserve">Hopkins) has killed more lodgepole pine</w:t>
      </w:r>
      <w:r>
        <w:t xml:space="preserve"> </w:t>
      </w:r>
      <w:r>
        <w:t xml:space="preserve">(</w:t>
      </w:r>
      <w:r>
        <w:rPr>
          <w:i/>
          <w:iCs/>
        </w:rPr>
        <w:t xml:space="preserve">Pinus contorta</w:t>
      </w:r>
      <w:r>
        <w:t xml:space="preserve"> </w:t>
      </w:r>
      <w:r>
        <w:t xml:space="preserve">Douglas ex Loudon) in British Columbia than any other agent on record</w:t>
      </w:r>
      <w:r>
        <w:t xml:space="preserve"> </w:t>
      </w:r>
      <w:r>
        <w:t xml:space="preserve">(Taylor and Carroll 2003; Sambaraju and Goodsman 2021)</w:t>
      </w:r>
      <w:r>
        <w:t xml:space="preserve">. Where a landscape is not killed uniformly, the surviving</w:t>
      </w:r>
      <w:r>
        <w:t xml:space="preserve"> </w:t>
      </w:r>
      <w:r>
        <w:t xml:space="preserve">patches shape what the forest becomes, and the framework for them is disturbance refugia,</w:t>
      </w:r>
      <w:r>
        <w:t xml:space="preserve"> </w:t>
      </w:r>
      <w:r>
        <w:t xml:space="preserve">places buffered from disturbance over time</w:t>
      </w:r>
      <w:r>
        <w:t xml:space="preserve"> </w:t>
      </w:r>
      <w:r>
        <w:t xml:space="preserve">(Krawchuk</w:t>
      </w:r>
      <w:r>
        <w:t xml:space="preserve"> </w:t>
      </w:r>
      <w:r>
        <w:rPr>
          <w:i/>
          <w:iCs/>
        </w:rPr>
        <w:t xml:space="preserve">et al.</w:t>
      </w:r>
      <w:r>
        <w:t xml:space="preserve"> </w:t>
      </w:r>
      <w:r>
        <w:t xml:space="preserve">2020)</w:t>
      </w:r>
      <w:r>
        <w:t xml:space="preserve">. Explaining refugia rather than</w:t>
      </w:r>
      <w:r>
        <w:t xml:space="preserve"> </w:t>
      </w:r>
      <w:r>
        <w:t xml:space="preserve">locating them needs mechanistic links to terrain, soil and stand structure</w:t>
      </w:r>
      <w:r>
        <w:t xml:space="preserve"> </w:t>
      </w:r>
      <w:r>
        <w:t xml:space="preserve">(Cartwright 2018)</w:t>
      </w:r>
      <w:r>
        <w:t xml:space="preserve">.</w:t>
      </w:r>
    </w:p>
    <w:p>
      <w:pPr>
        <w:pStyle w:val="BodyText"/>
      </w:pPr>
      <w:r>
        <w:t xml:space="preserve">Krawchuk</w:t>
      </w:r>
      <w:r>
        <w:t xml:space="preserve"> </w:t>
      </w:r>
      <w:r>
        <w:rPr>
          <w:i/>
          <w:iCs/>
        </w:rPr>
        <w:t xml:space="preserve">et al.</w:t>
      </w:r>
      <w:r>
        <w:t xml:space="preserve"> </w:t>
      </w:r>
      <w:r>
        <w:t xml:space="preserve">(2020)</w:t>
      </w:r>
      <w:r>
        <w:t xml:space="preserve"> </w:t>
      </w:r>
      <w:r>
        <w:t xml:space="preserve">proposed such a mechanism: refugia could occur</w:t>
      </w:r>
      <w:r>
        <w:t xml:space="preserve"> </w:t>
      </w:r>
      <w:r>
        <w:t xml:space="preserve">“in areas with cooler</w:t>
      </w:r>
      <w:r>
        <w:t xml:space="preserve"> </w:t>
      </w:r>
      <w:r>
        <w:t xml:space="preserve">temperatures (eg from topographic shading) that protect trees from water stress; in areas</w:t>
      </w:r>
      <w:r>
        <w:t xml:space="preserve"> </w:t>
      </w:r>
      <w:r>
        <w:t xml:space="preserve">with lower host density, allowing for greater wind disruption of beetle pheromone</w:t>
      </w:r>
      <w:r>
        <w:t xml:space="preserve"> </w:t>
      </w:r>
      <w:r>
        <w:t xml:space="preserve">communication and more vigorous tree growth and chemical defenses; and in areas with fewer</w:t>
      </w:r>
      <w:r>
        <w:t xml:space="preserve"> </w:t>
      </w:r>
      <w:r>
        <w:t xml:space="preserve">large-diameter host trees”</w:t>
      </w:r>
      <w:r>
        <w:t xml:space="preserve">. Three mechanisms, two of them terrain, and none has been fitted</w:t>
      </w:r>
      <w:r>
        <w:t xml:space="preserve"> </w:t>
      </w:r>
      <w:r>
        <w:t xml:space="preserve">spatially. Of the studies our screen retained, only a companion study on this landscape</w:t>
      </w:r>
      <w:r>
        <w:t xml:space="preserve"> </w:t>
      </w:r>
      <w:r>
        <w:t xml:space="preserve">enters a wind term, and its response is conifer regeneration rather than attack</w:t>
      </w:r>
      <w:r>
        <w:t xml:space="preserve"> </w:t>
      </w:r>
      <w:r>
        <w:t xml:space="preserve">(Murphy</w:t>
      </w:r>
      <w:r>
        <w:t xml:space="preserve"> </w:t>
      </w:r>
      <w:r>
        <w:rPr>
          <w:i/>
          <w:iCs/>
        </w:rPr>
        <w:t xml:space="preserve">et al.</w:t>
      </w:r>
      <w:r>
        <w:t xml:space="preserve"> </w:t>
      </w:r>
      <w:r>
        <w:t xml:space="preserve">2026)</w:t>
      </w:r>
      <w:r>
        <w:t xml:space="preserve">.</w:t>
      </w:r>
    </w:p>
    <w:p>
      <w:pPr>
        <w:pStyle w:val="BodyText"/>
      </w:pPr>
      <w:r>
        <w:t xml:space="preserve">Why a plume should matter at all is a population argument. A lodgepole pine resists a</w:t>
      </w:r>
      <w:r>
        <w:t xml:space="preserve"> </w:t>
      </w:r>
      <w:r>
        <w:t xml:space="preserve">single beetle through resin flow and an induced response that saturates the phloem with</w:t>
      </w:r>
      <w:r>
        <w:t xml:space="preserve"> </w:t>
      </w:r>
      <w:r>
        <w:t xml:space="preserve">terpenes, so overwhelming that defence takes the near-simultaneous arrival of many</w:t>
      </w:r>
      <w:r>
        <w:t xml:space="preserve"> </w:t>
      </w:r>
      <w:r>
        <w:t xml:space="preserve">individuals. Arrival is coordinated chemically, pioneer females oxidising a host</w:t>
      </w:r>
      <w:r>
        <w:t xml:space="preserve"> </w:t>
      </w:r>
      <w:r>
        <w:t xml:space="preserve">monoterpene to</w:t>
      </w:r>
      <w:r>
        <w:t xml:space="preserve"> </w:t>
      </w:r>
      <w:r>
        <w:rPr>
          <w:i/>
          <w:iCs/>
        </w:rPr>
        <w:t xml:space="preserve">trans</w:t>
      </w:r>
      <w:r>
        <w:t xml:space="preserve">-verbenol while arriving males release</w:t>
      </w:r>
      <w:r>
        <w:t xml:space="preserve"> </w:t>
      </w:r>
      <w:r>
        <w:rPr>
          <w:i/>
          <w:iCs/>
        </w:rPr>
        <w:t xml:space="preserve">exo</w:t>
      </w:r>
      <w:r>
        <w:t xml:space="preserve">-brevicomin, and</w:t>
      </w:r>
      <w:r>
        <w:t xml:space="preserve"> </w:t>
      </w:r>
      <w:r>
        <w:t xml:space="preserve">colonisation is normally complete within one to two days</w:t>
      </w:r>
      <w:r>
        <w:t xml:space="preserve"> </w:t>
      </w:r>
      <w:r>
        <w:t xml:space="preserve">(Safranyik and Carroll 2006)</w:t>
      </w:r>
      <w:r>
        <w:t xml:space="preserve">. Because</w:t>
      </w:r>
      <w:r>
        <w:t xml:space="preserve"> </w:t>
      </w:r>
      <w:r>
        <w:t xml:space="preserve">that signal is airborne it is in principle susceptible to wind, and that susceptibility is</w:t>
      </w:r>
      <w:r>
        <w:t xml:space="preserve"> </w:t>
      </w:r>
      <w:r>
        <w:t xml:space="preserve">the premise under test. Stem size sets a second constraint: bark thickness, phloem</w:t>
      </w:r>
      <w:r>
        <w:t xml:space="preserve"> </w:t>
      </w:r>
      <w:r>
        <w:t xml:space="preserve">thickness and moisture retention all rise with diameter, and</w:t>
      </w:r>
      <w:r>
        <w:t xml:space="preserve"> </w:t>
      </w:r>
      <w:r>
        <w:t xml:space="preserve">Carroll and Safranyik (2004)</w:t>
      </w:r>
      <w:r>
        <w:t xml:space="preserve"> </w:t>
      </w:r>
      <w:r>
        <w:t xml:space="preserve">put the</w:t>
      </w:r>
      <w:r>
        <w:t xml:space="preserve"> </w:t>
      </w:r>
      <w:r>
        <w:t xml:space="preserve">consequence as a threshold, pine at or below 25 cm being on average beetle sinks and larger</w:t>
      </w:r>
      <w:r>
        <w:t xml:space="preserve"> </w:t>
      </w:r>
      <w:r>
        <w:t xml:space="preserve">trees sources.</w:t>
      </w:r>
    </w:p>
    <w:p>
      <w:pPr>
        <w:pStyle w:val="BodyText"/>
      </w:pPr>
      <w:r>
        <w:t xml:space="preserve">The wind half is a claim about canopy, not open air.</w:t>
      </w:r>
      <w:r>
        <w:t xml:space="preserve"> </w:t>
      </w:r>
      <w:r>
        <w:t xml:space="preserve">Cartwright (2018)</w:t>
      </w:r>
      <w:r>
        <w:t xml:space="preserve"> </w:t>
      </w:r>
      <w:r>
        <w:t xml:space="preserve">found insect refugia in</w:t>
      </w:r>
      <w:r>
        <w:t xml:space="preserve"> </w:t>
      </w:r>
      <w:r>
        <w:t xml:space="preserve">stands of low basal area:</w:t>
      </w:r>
      <w:r>
        <w:t xml:space="preserve"> </w:t>
      </w:r>
      <w:r>
        <w:t xml:space="preserve">“thinner stands also increase wind penetration, helping to disperse</w:t>
      </w:r>
      <w:r>
        <w:t xml:space="preserve"> </w:t>
      </w:r>
      <w:r>
        <w:t xml:space="preserve">beetle pheromones and disrupt chemical communications needed to coordinate attacks.”</w:t>
      </w:r>
      <w:r>
        <w:t xml:space="preserve"> </w:t>
      </w:r>
      <w:r>
        <w:t xml:space="preserve">Powell and Bentz (2014)</w:t>
      </w:r>
      <w:r>
        <w:t xml:space="preserve"> </w:t>
      </w:r>
      <w:r>
        <w:t xml:space="preserve">state the converse as the condition for outbreak,</w:t>
      </w:r>
      <w:r>
        <w:t xml:space="preserve"> </w:t>
      </w:r>
      <w:r>
        <w:t xml:space="preserve">“higher local host density,</w:t>
      </w:r>
      <w:r>
        <w:t xml:space="preserve"> </w:t>
      </w:r>
      <w:r>
        <w:t xml:space="preserve">which minimizes pheromone plume dispersion, reduces wind, and promotes successful switching</w:t>
      </w:r>
      <w:r>
        <w:t xml:space="preserve"> </w:t>
      </w:r>
      <w:r>
        <w:t xml:space="preserve">to nearby hosts”</w:t>
      </w:r>
      <w:r>
        <w:t xml:space="preserve">. A model that controls stand density out and then reads a terrain</w:t>
      </w:r>
      <w:r>
        <w:t xml:space="preserve"> </w:t>
      </w:r>
      <w:r>
        <w:t xml:space="preserve">coefficient as a wind effect has removed the pathway it set out to test.</w:t>
      </w:r>
    </w:p>
    <w:p>
      <w:pPr>
        <w:pStyle w:val="BodyText"/>
      </w:pPr>
      <w:r>
        <w:t xml:space="preserve">Terrain also acts through heat. Flight is thermally gated at 19 to 41 degrees C, and</w:t>
      </w:r>
      <w:r>
        <w:t xml:space="preserve"> </w:t>
      </w:r>
      <w:r>
        <w:t xml:space="preserve">“most</w:t>
      </w:r>
      <w:r>
        <w:t xml:space="preserve"> </w:t>
      </w:r>
      <w:r>
        <w:t xml:space="preserve">flights occur on bright sunny days, and peak flight is in the early to mid afternoon”</w:t>
      </w:r>
      <w:r>
        <w:t xml:space="preserve"> </w:t>
      </w:r>
      <w:r>
        <w:t xml:space="preserve">(McCambridge 1971; Safranyik and Carroll 2006)</w:t>
      </w:r>
      <w:r>
        <w:t xml:space="preserve">. Radiation during the flight window is therefore a</w:t>
      </w:r>
      <w:r>
        <w:t xml:space="preserve"> </w:t>
      </w:r>
      <w:r>
        <w:t xml:space="preserve">different quantity from radiation across the season, and the season quantity is the one the</w:t>
      </w:r>
      <w:r>
        <w:t xml:space="preserve"> </w:t>
      </w:r>
      <w:r>
        <w:t xml:space="preserve">shading pathway concerns. Cool sites also push the beetle toward a two-year cycle</w:t>
      </w:r>
      <w:r>
        <w:t xml:space="preserve"> </w:t>
      </w:r>
      <w:r>
        <w:t xml:space="preserve">(Sambaraju and Goodsman 2021)</w:t>
      </w:r>
      <w:r>
        <w:t xml:space="preserve">, so shading and tree vigour predict the same sign by independent routes</w:t>
      </w:r>
      <w:r>
        <w:t xml:space="preserve"> </w:t>
      </w:r>
      <w:r>
        <w:t xml:space="preserve">(Bartos and Amman 1989)</w:t>
      </w:r>
      <w:r>
        <w:t xml:space="preserve">.</w:t>
      </w:r>
    </w:p>
    <w:p>
      <w:pPr>
        <w:pStyle w:val="BodyText"/>
      </w:pPr>
      <w:r>
        <w:t xml:space="preserve">No product reports the wind the hypothesis concerns, an instantaneous below-canopy speed at</w:t>
      </w:r>
      <w:r>
        <w:t xml:space="preserve"> </w:t>
      </w:r>
      <w:r>
        <w:t xml:space="preserve">flight height during the flight period. Gridded climatologies report a long-run mean at 10 m</w:t>
      </w:r>
      <w:r>
        <w:t xml:space="preserve"> </w:t>
      </w:r>
      <w:r>
        <w:t xml:space="preserve">over open ground, downscaled over a digital elevation model, which makes them partly a</w:t>
      </w:r>
      <w:r>
        <w:t xml:space="preserve"> </w:t>
      </w:r>
      <w:r>
        <w:t xml:space="preserve">transform of the terrain offered alongside them</w:t>
      </w:r>
      <w:r>
        <w:t xml:space="preserve"> </w:t>
      </w:r>
      <w:r>
        <w:t xml:space="preserve">(Badger</w:t>
      </w:r>
      <w:r>
        <w:t xml:space="preserve"> </w:t>
      </w:r>
      <w:r>
        <w:rPr>
          <w:i/>
          <w:iCs/>
        </w:rPr>
        <w:t xml:space="preserve">et al.</w:t>
      </w:r>
      <w:r>
        <w:t xml:space="preserve"> </w:t>
      </w:r>
      <w:r>
        <w:t xml:space="preserve">2014; Davis</w:t>
      </w:r>
      <w:r>
        <w:t xml:space="preserve"> </w:t>
      </w:r>
      <w:r>
        <w:rPr>
          <w:i/>
          <w:iCs/>
        </w:rPr>
        <w:t xml:space="preserve">et al.</w:t>
      </w:r>
      <w:r>
        <w:t xml:space="preserve"> </w:t>
      </w:r>
      <w:r>
        <w:t xml:space="preserve">2023)</w:t>
      </w:r>
      <w:r>
        <w:t xml:space="preserve">. Nor does the</w:t>
      </w:r>
      <w:r>
        <w:t xml:space="preserve"> </w:t>
      </w:r>
      <w:r>
        <w:t xml:space="preserve">literature state the interval over which wind should be summarised. We therefore take wind</w:t>
      </w:r>
      <w:r>
        <w:t xml:space="preserve"> </w:t>
      </w:r>
      <w:r>
        <w:t xml:space="preserve">from station observations of each 16-day period, modify it over the terrain, and test the</w:t>
      </w:r>
      <w:r>
        <w:t xml:space="preserve"> </w:t>
      </w:r>
      <w:r>
        <w:t xml:space="preserve">response at Landsat’s own 16-day repeat rather than annually. Appendix S1 gives the direction</w:t>
      </w:r>
      <w:r>
        <w:t xml:space="preserve"> </w:t>
      </w:r>
      <w:r>
        <w:t xml:space="preserve">expected of every attribute entered and the reasoning behind it.</w:t>
      </w:r>
    </w:p>
    <w:bookmarkEnd w:id="21"/>
    <w:bookmarkStart w:id="22" w:name="methods"/>
    <w:p>
      <w:pPr>
        <w:pStyle w:val="Heading1"/>
      </w:pPr>
      <w:r>
        <w:t xml:space="preserve">2. Methods</w:t>
      </w:r>
    </w:p>
    <w:p>
      <w:pPr>
        <w:pStyle w:val="FirstParagraph"/>
      </w:pPr>
      <w:r>
        <w:t xml:space="preserve">The study area is 5,573 ha of the Selkirk Mountains in southeastern British</w:t>
      </w:r>
      <w:r>
        <w:t xml:space="preserve"> </w:t>
      </w:r>
      <w:r>
        <w:t xml:space="preserve">Columbia, 61,923 cells at 30 m in EPSG:3153, spanning 830 to</w:t>
      </w:r>
      <w:r>
        <w:t xml:space="preserve"> </w:t>
      </w:r>
      <w:r>
        <w:t xml:space="preserve">1,744 m (Figure 1). The grid and the perimeter are the parent study’s</w:t>
      </w:r>
      <w:r>
        <w:t xml:space="preserve"> </w:t>
      </w:r>
      <w:r>
        <w:t xml:space="preserve">(Murphy</w:t>
      </w:r>
      <w:r>
        <w:t xml:space="preserve"> </w:t>
      </w:r>
      <w:r>
        <w:rPr>
          <w:i/>
          <w:iCs/>
        </w:rPr>
        <w:t xml:space="preserve">et al.</w:t>
      </w:r>
      <w:r>
        <w:t xml:space="preserve"> </w:t>
      </w:r>
      <w:r>
        <w:t xml:space="preserve">2026)</w:t>
      </w:r>
      <w:r>
        <w:t xml:space="preserve">, anchored on the 2015 Mt Midgeley fire and expanded to the elevation band that</w:t>
      </w:r>
      <w:r>
        <w:t xml:space="preserve"> </w:t>
      </w:r>
      <w:r>
        <w:t xml:space="preserve">site occupies, because 480 ha cannot carry the stand-density contrast the mechanism runs on.</w:t>
      </w:r>
    </w:p>
    <w:p>
      <w:pPr>
        <w:pStyle w:val="BodyText"/>
      </w:pPr>
      <w:r>
        <w:t xml:space="preserve">The response is moderate-to-high beetle disturbance, classified from Landsat normalised</w:t>
      </w:r>
      <w:r>
        <w:t xml:space="preserve"> </w:t>
      </w:r>
      <w:r>
        <w:t xml:space="preserve">difference moisture index by the parent study’s method. It covers 8 outbreak</w:t>
      </w:r>
      <w:r>
        <w:t xml:space="preserve"> </w:t>
      </w:r>
      <w:r>
        <w:t xml:space="preserve">years, 2006 to 2014, excluding 2012, the one year flown only by</w:t>
      </w:r>
      <w:r>
        <w:t xml:space="preserve"> </w:t>
      </w:r>
      <w:r>
        <w:t xml:space="preserve">Landsat 7 with its scan-line corrector off. Pooled prevalence is</w:t>
      </w:r>
      <w:r>
        <w:t xml:space="preserve"> </w:t>
      </w:r>
      <w:r>
        <w:t xml:space="preserve">12.5 per cent over 122,700 cell-years (Appendix S3). Years</w:t>
      </w:r>
      <w:r>
        <w:t xml:space="preserve"> </w:t>
      </w:r>
      <w:r>
        <w:t xml:space="preserve">are never unioned: unioning destroys the year-to-year spread this study measures.</w:t>
      </w:r>
    </w:p>
    <w:p>
      <w:pPr>
        <w:pStyle w:val="BodyText"/>
      </w:pPr>
      <w:r>
        <w:t xml:space="preserve">Stand structure comes from the provincial Vegetation Resources Inventory (Appendix S4). Six</w:t>
      </w:r>
      <w:r>
        <w:t xml:space="preserve"> </w:t>
      </w:r>
      <w:r>
        <w:t xml:space="preserve">attributes carry the mechanism and the stem-size threshold: basal area, crown closure, live</w:t>
      </w:r>
      <w:r>
        <w:t xml:space="preserve"> </w:t>
      </w:r>
      <w:r>
        <w:t xml:space="preserve">stems per hectare, quadratic mean diameter over stems 12.5 cm and up, stand age, and</w:t>
      </w:r>
      <w:r>
        <w:t xml:space="preserve"> </w:t>
      </w:r>
      <w:r>
        <w:t xml:space="preserve">susceptible pine basal area. Terrain is 29 geomorphometric surfaces computed</w:t>
      </w:r>
      <w:r>
        <w:t xml:space="preserve"> </w:t>
      </w:r>
      <w:r>
        <w:t xml:space="preserve">with SAGA GIS over the full elevation model and clipped afterwards, so a search radius near</w:t>
      </w:r>
      <w:r>
        <w:t xml:space="preserve"> </w:t>
      </w:r>
      <w:r>
        <w:t xml:space="preserve">the boundary sees real ground. They cover exposure, shape, landform and aspect, the last</w:t>
      </w:r>
      <w:r>
        <w:t xml:space="preserve"> </w:t>
      </w:r>
      <w:r>
        <w:t xml:space="preserve">entering as northward and eastward components and as the heat load index of</w:t>
      </w:r>
      <w:r>
        <w:t xml:space="preserve"> </w:t>
      </w:r>
      <w:r>
        <w:t xml:space="preserve">McCune and Keon (2002)</w:t>
      </w:r>
      <w:r>
        <w:t xml:space="preserve">. Radiation is computed twice, because two mechanisms need it:</w:t>
      </w:r>
      <w:r>
        <w:t xml:space="preserve"> </w:t>
      </w:r>
      <w:r>
        <w:t xml:space="preserve">flight-window insolation over 1 July to 15 August restricted to 12:00 to 17:00, the hours</w:t>
      </w:r>
      <w:r>
        <w:t xml:space="preserve"> </w:t>
      </w:r>
      <w:r>
        <w:t xml:space="preserve">Safranyik and Carroll (2006)</w:t>
      </w:r>
      <w:r>
        <w:t xml:space="preserve"> </w:t>
      </w:r>
      <w:r>
        <w:t xml:space="preserve">identify as the flight peak, and growing-season insolation as the</w:t>
      </w:r>
      <w:r>
        <w:t xml:space="preserve"> </w:t>
      </w:r>
      <w:r>
        <w:t xml:space="preserve">whole-day total from 1 May to 30 September. A single annual index cannot separate them, the</w:t>
      </w:r>
      <w:r>
        <w:t xml:space="preserve"> </w:t>
      </w:r>
      <w:r>
        <w:t xml:space="preserve">flight-window surface spanning a</w:t>
      </w:r>
      <w:r>
        <w:t xml:space="preserve"> </w:t>
      </w:r>
      <w:r>
        <w:t xml:space="preserve">7-fold range here</w:t>
      </w:r>
      <w:r>
        <w:t xml:space="preserve"> </w:t>
      </w:r>
      <w:r>
        <w:t xml:space="preserve">against 2.6-fold for the</w:t>
      </w:r>
      <w:r>
        <w:t xml:space="preserve"> </w:t>
      </w:r>
      <w:r>
        <w:t xml:space="preserve">season total.</w:t>
      </w:r>
    </w:p>
    <w:p>
      <w:pPr>
        <w:pStyle w:val="BodyText"/>
      </w:pPr>
      <w:r>
        <w:t xml:space="preserve">Station wind interpolated from four to seven valley stations is nearly flat within a year, so</w:t>
      </w:r>
      <w:r>
        <w:t xml:space="preserve"> </w:t>
      </w:r>
      <w:r>
        <w:t xml:space="preserve">wind is also computed as a field varying in space, using the MicroMet model of</w:t>
      </w:r>
      <w:r>
        <w:t xml:space="preserve"> </w:t>
      </w:r>
      <w:r>
        <w:t xml:space="preserve">Liston and Elder (2006)</w:t>
      </w:r>
      <w:r>
        <w:t xml:space="preserve">.</w:t>
      </w:r>
      <w:r>
        <w:t xml:space="preserve"> </w:t>
      </w:r>
      <w:r>
        <w:t xml:space="preserve">Its wind component is seven equations rather than a program, implemented directly. Terrain</w:t>
      </w:r>
      <w:r>
        <w:t xml:space="preserve"> </w:t>
      </w:r>
      <w:r>
        <w:t xml:space="preserve">slope, azimuth and curvature give a weighting factor</w:t>
      </w:r>
      <w:r>
        <w:t xml:space="preserve"> </w:t>
      </w:r>
      <m:oMath>
        <m:sSub>
          <m:e>
            <m:r>
              <m:t>W</m:t>
            </m:r>
          </m:e>
          <m:sub>
            <m:r>
              <m:t>w</m:t>
            </m:r>
          </m:sub>
        </m:sSub>
        <m:r>
          <m:rPr>
            <m:sty m:val="p"/>
          </m:rPr>
          <m:t>=</m:t>
        </m:r>
        <m:r>
          <m:t>1</m:t>
        </m:r>
        <m:r>
          <m:rPr>
            <m:sty m:val="p"/>
          </m:rPr>
          <m:t>+</m:t>
        </m:r>
        <m:sSub>
          <m:e>
            <m:r>
              <m:t>γ</m:t>
            </m:r>
          </m:e>
          <m:sub>
            <m:r>
              <m:t>s</m:t>
            </m:r>
          </m:sub>
        </m:sSub>
        <m:sSub>
          <m:e>
            <m:r>
              <m:t>Ω</m:t>
            </m:r>
          </m:e>
          <m:sub>
            <m:r>
              <m:t>s</m:t>
            </m:r>
          </m:sub>
        </m:sSub>
        <m:r>
          <m:rPr>
            <m:sty m:val="p"/>
          </m:rPr>
          <m:t>+</m:t>
        </m:r>
        <m:sSub>
          <m:e>
            <m:r>
              <m:t>γ</m:t>
            </m:r>
          </m:e>
          <m:sub>
            <m:r>
              <m:t>c</m:t>
            </m:r>
          </m:sub>
        </m:sSub>
        <m:sSub>
          <m:e>
            <m:r>
              <m:t>Ω</m:t>
            </m:r>
          </m:e>
          <m:sub>
            <m:r>
              <m:t>c</m:t>
            </m:r>
          </m:sub>
        </m:sSub>
      </m:oMath>
      <w:r>
        <w:t xml:space="preserve"> </w:t>
      </w:r>
      <w:r>
        <w:t xml:space="preserve">with</w:t>
      </w:r>
      <w:r>
        <w:t xml:space="preserve"> </w:t>
      </w:r>
      <m:oMath>
        <m:sSub>
          <m:e>
            <m:r>
              <m:t>γ</m:t>
            </m:r>
          </m:e>
          <m:sub>
            <m:r>
              <m:t>s</m:t>
            </m:r>
          </m:sub>
        </m:sSub>
        <m:r>
          <m:rPr>
            <m:sty m:val="p"/>
          </m:rPr>
          <m:t>=</m:t>
        </m:r>
        <m:sSub>
          <m:e>
            <m:r>
              <m:t>γ</m:t>
            </m:r>
          </m:e>
          <m:sub>
            <m:r>
              <m:t>c</m:t>
            </m:r>
          </m:sub>
        </m:sSub>
        <m:r>
          <m:rPr>
            <m:sty m:val="p"/>
          </m:rPr>
          <m:t>=</m:t>
        </m:r>
        <m:r>
          <m:t>0.5</m:t>
        </m:r>
      </m:oMath>
      <w:r>
        <w:t xml:space="preserve">, a modified speed</w:t>
      </w:r>
      <w:r>
        <w:t xml:space="preserve"> </w:t>
      </w:r>
      <m:oMath>
        <m:sSub>
          <m:e>
            <m:r>
              <m:t>W</m:t>
            </m:r>
          </m:e>
          <m:sub>
            <m:r>
              <m:t>t</m:t>
            </m:r>
          </m:sub>
        </m:sSub>
        <m:r>
          <m:rPr>
            <m:sty m:val="p"/>
          </m:rPr>
          <m:t>=</m:t>
        </m:r>
        <m:sSub>
          <m:e>
            <m:r>
              <m:t>W</m:t>
            </m:r>
          </m:e>
          <m:sub>
            <m:r>
              <m:t>w</m:t>
            </m:r>
          </m:sub>
        </m:sSub>
        <m:r>
          <m:t>W</m:t>
        </m:r>
      </m:oMath>
      <w:r>
        <w:t xml:space="preserve">, and a</w:t>
      </w:r>
      <w:r>
        <w:t xml:space="preserve"> </w:t>
      </w:r>
      <w:r>
        <w:t xml:space="preserve">direction diversion</w:t>
      </w:r>
      <w:r>
        <w:t xml:space="preserve"> </w:t>
      </w:r>
      <m:oMath>
        <m:sSub>
          <m:e>
            <m:r>
              <m:t>θ</m:t>
            </m:r>
          </m:e>
          <m:sub>
            <m:r>
              <m:t>d</m:t>
            </m:r>
          </m:sub>
        </m:sSub>
        <m:r>
          <m:rPr>
            <m:sty m:val="p"/>
          </m:rPr>
          <m:t>=</m:t>
        </m:r>
        <m:r>
          <m:rPr>
            <m:sty m:val="p"/>
          </m:rPr>
          <m:t>−</m:t>
        </m:r>
        <m:r>
          <m:t>0.5</m:t>
        </m:r>
        <m:r>
          <m:t> </m:t>
        </m:r>
        <m:sSub>
          <m:e>
            <m:r>
              <m:t>Ω</m:t>
            </m:r>
          </m:e>
          <m:sub>
            <m:r>
              <m:t>s</m:t>
            </m:r>
          </m:sub>
        </m:sSub>
        <m:r>
          <m:rPr>
            <m:sty m:val="p"/>
          </m:rPr>
          <m:t>sin</m:t>
        </m:r>
        <m:d>
          <m:dPr>
            <m:begChr m:val="["/>
            <m:sepChr m:val=""/>
            <m:endChr m:val="]"/>
            <m:grow/>
          </m:dPr>
          <m:e>
            <m:r>
              <m:t>2</m:t>
            </m:r>
            <m:d>
              <m:dPr>
                <m:begChr m:val="("/>
                <m:sepChr m:val=""/>
                <m:endChr m:val=")"/>
                <m:grow/>
              </m:dPr>
              <m:e>
                <m:r>
                  <m:t>ξ</m:t>
                </m:r>
                <m:r>
                  <m:rPr>
                    <m:sty m:val="p"/>
                  </m:rPr>
                  <m:t>−</m:t>
                </m:r>
                <m:r>
                  <m:t>θ</m:t>
                </m:r>
              </m:e>
            </m:d>
          </m:e>
        </m:d>
      </m:oMath>
      <w:r>
        <w:t xml:space="preserve">.</w:t>
      </w:r>
      <w:r>
        <w:t xml:space="preserve"> </w:t>
      </w:r>
      <m:oMath>
        <m:sSub>
          <m:e>
            <m:r>
              <m:t>W</m:t>
            </m:r>
          </m:e>
          <m:sub>
            <m:r>
              <m:t>w</m:t>
            </m:r>
          </m:sub>
        </m:sSub>
      </m:oMath>
      <w:r>
        <w:t xml:space="preserve"> </w:t>
      </w:r>
      <w:r>
        <w:t xml:space="preserve">depends on</w:t>
      </w:r>
      <w:r>
        <w:t xml:space="preserve"> </w:t>
      </w:r>
      <w:r>
        <w:t xml:space="preserve">direction and not speed, so it is computed once for each of 16 direction bins and each hourly</w:t>
      </w:r>
      <w:r>
        <w:t xml:space="preserve"> </w:t>
      </w:r>
      <w:r>
        <w:t xml:space="preserve">observation multiplied by the surface for its own bin; nothing is averaged before the terrain</w:t>
      </w:r>
      <w:r>
        <w:t xml:space="preserve"> </w:t>
      </w:r>
      <w:r>
        <w:t xml:space="preserve">acts on it. The field varies 1.9 to</w:t>
      </w:r>
      <w:r>
        <w:t xml:space="preserve"> </w:t>
      </w:r>
      <w:r>
        <w:t xml:space="preserve">2.8 km/h across the grid within a year, and is not</w:t>
      </w:r>
      <w:r>
        <w:t xml:space="preserve"> </w:t>
      </w:r>
      <w:r>
        <w:t xml:space="preserve">a repackaged terrain index, correlating +0.153 with the</w:t>
      </w:r>
      <w:r>
        <w:t xml:space="preserve"> </w:t>
      </w:r>
      <w:r>
        <w:t xml:space="preserve">windward-leeward index.</w:t>
      </w:r>
    </w:p>
    <w:p>
      <w:pPr>
        <w:pStyle w:val="BodyText"/>
      </w:pPr>
      <w:r>
        <w:t xml:space="preserve">45 candidate variables in six groups, one per pathway, passed a four-stage selection</w:t>
      </w:r>
      <w:r>
        <w:t xml:space="preserve"> </w:t>
      </w:r>
      <w:r>
        <w:t xml:space="preserve">required to retain at least one variable from each group, so a collinearity filter could not</w:t>
      </w:r>
      <w:r>
        <w:t xml:space="preserve"> </w:t>
      </w:r>
      <w:r>
        <w:t xml:space="preserve">delete a hypothesis. Fitting used a class-balanced sample of 47,328 cell-years,</w:t>
      </w:r>
      <w:r>
        <w:t xml:space="preserve"> </w:t>
      </w:r>
      <w:r>
        <w:t xml:space="preserve">because an unbalanced fit at 12 per cent prevalence reports the</w:t>
      </w:r>
      <w:r>
        <w:t xml:space="preserve"> </w:t>
      </w:r>
      <w:r>
        <w:t xml:space="preserve">intercept rather than the covariates. Four annual logistic models each add one claim to the</w:t>
      </w:r>
      <w:r>
        <w:t xml:space="preserve"> </w:t>
      </w:r>
      <w:r>
        <w:t xml:space="preserve">last: host size, shading and landform (M0), stand density (M1), terrain shape, exposure and</w:t>
      </w:r>
      <w:r>
        <w:t xml:space="preserve"> </w:t>
      </w:r>
      <w:r>
        <w:t xml:space="preserve">flight radiation (M2), and the interactions (M3). Two further annual models add previous-year</w:t>
      </w:r>
      <w:r>
        <w:t xml:space="preserve"> </w:t>
      </w:r>
      <w:r>
        <w:t xml:space="preserve">attack and 90 m neighbourhood pressure after the autologistic design used for this province</w:t>
      </w:r>
      <w:r>
        <w:t xml:space="preserve"> </w:t>
      </w:r>
      <w:r>
        <w:t xml:space="preserve">(M4), and replace station wind with the terrain-resolved field (M5). The 16-day models (E1,</w:t>
      </w:r>
      <w:r>
        <w:t xml:space="preserve"> </w:t>
      </w:r>
      <w:r>
        <w:t xml:space="preserve">E2) refit the same covariates over 59 epochs, E2 adding the previous epoch of the</w:t>
      </w:r>
      <w:r>
        <w:t xml:space="preserve"> </w:t>
      </w:r>
      <w:r>
        <w:t xml:space="preserve">same season. Model comparison is in Appendix S2.</w:t>
      </w:r>
    </w:p>
    <w:bookmarkEnd w:id="22"/>
    <w:bookmarkStart w:id="23" w:name="results"/>
    <w:p>
      <w:pPr>
        <w:pStyle w:val="Heading1"/>
      </w:pPr>
      <w:r>
        <w:t xml:space="preserve">3. Results</w:t>
      </w:r>
    </w:p>
    <w:p>
      <w:pPr>
        <w:pStyle w:val="FirstParagraph"/>
      </w:pPr>
      <w:r>
        <w:t xml:space="preserve">Every pathway earns its place. AIC falls 498 when stand density</w:t>
      </w:r>
      <w:r>
        <w:t xml:space="preserve"> </w:t>
      </w:r>
      <w:r>
        <w:t xml:space="preserve">enters, 744 more with terrain and flight radiation, and</w:t>
      </w:r>
      <w:r>
        <w:t xml:space="preserve"> </w:t>
      </w:r>
      <w:r>
        <w:t xml:space="preserve">1,065 more with the interactions.</w:t>
      </w:r>
    </w:p>
    <w:p>
      <w:pPr>
        <w:pStyle w:val="BodyText"/>
      </w:pPr>
      <w:r>
        <w:t xml:space="preserve">Stand density does not behave as one variable (Table 1). Standing volume carries</w:t>
      </w:r>
      <w:r>
        <w:t xml:space="preserve"> </w:t>
      </w:r>
      <w:r>
        <w:t xml:space="preserve">+0.381 log-odds per standard deviation, but live stems per hectare</w:t>
      </w:r>
      <w:r>
        <w:t xml:space="preserve"> </w:t>
      </w:r>
      <w:r>
        <w:t xml:space="preserve">carries -0.099 and crown closure -0.183, both</w:t>
      </w:r>
      <w:r>
        <w:t xml:space="preserve"> </w:t>
      </w:r>
      <w:r>
        <w:t xml:space="preserve">negative and both far from zero (p = &lt; 1e-16). As a main effect the density</w:t>
      </w:r>
      <w:r>
        <w:t xml:space="preserve"> </w:t>
      </w:r>
      <w:r>
        <w:t xml:space="preserve">pathway is mixed, and standing wood in large stems is the only measure of it that points the</w:t>
      </w:r>
      <w:r>
        <w:t xml:space="preserve"> </w:t>
      </w:r>
      <w:r>
        <w:t xml:space="preserve">way the mechanism predicts. That is a weaker reading than it first appears, because the</w:t>
      </w:r>
      <w:r>
        <w:t xml:space="preserve"> </w:t>
      </w:r>
      <w:r>
        <w:t xml:space="preserve">mechanism’s prediction is not about a main effect at all.</w:t>
      </w:r>
    </w:p>
    <w:p>
      <w:pPr>
        <w:pStyle w:val="BodyText"/>
      </w:pPr>
      <w:r>
        <w:t xml:space="preserve">Radiation enters once. Flight-window direct radiation carries</w:t>
      </w:r>
      <w:r>
        <w:t xml:space="preserve"> </w:t>
      </w:r>
      <w:r>
        <w:t xml:space="preserve">+0.487, which is the thermal gate on flight. Growing-season radiation</w:t>
      </w:r>
      <w:r>
        <w:t xml:space="preserve"> </w:t>
      </w:r>
      <w:r>
        <w:t xml:space="preserve">did not survive selection, so the shading pathway is carried by northness, with which it</w:t>
      </w:r>
      <w:r>
        <w:t xml:space="preserve"> </w:t>
      </w:r>
      <w:r>
        <w:t xml:space="preserve">correlates -0.834. Northness is +0.382:</w:t>
      </w:r>
      <w:r>
        <w:t xml:space="preserve"> </w:t>
      </w:r>
      <w:r>
        <w:t xml:space="preserve">shaded, north-facing ground carries more attack, against the prediction. Terrain predicts</w:t>
      </w:r>
      <w:r>
        <w:t xml:space="preserve"> </w:t>
      </w:r>
      <w:r>
        <w:t xml:space="preserve">attack independently of both, the windward-leeward index at +0.358 and</w:t>
      </w:r>
      <w:r>
        <w:t xml:space="preserve"> </w:t>
      </w:r>
      <w:r>
        <w:t xml:space="preserve">elevation at +0.329, while terrain ruggedness is -0.036 and not</w:t>
      </w:r>
      <w:r>
        <w:t xml:space="preserve"> </w:t>
      </w:r>
      <w:r>
        <w:t xml:space="preserve">distinguishable from zero (p = 0.124).</w:t>
      </w:r>
    </w:p>
    <w:p>
      <w:pPr>
        <w:pStyle w:val="BodyText"/>
      </w:pPr>
      <w:r>
        <w:t xml:space="preserve">A terrain index is partly an insolation measurement. Fitted without flight-window radiation,</w:t>
      </w:r>
      <w:r>
        <w:t xml:space="preserve"> </w:t>
      </w:r>
      <w:r>
        <w:t xml:space="preserve">stand density interacts with terrain exposure at +0.311. With radiation in the model</w:t>
      </w:r>
      <w:r>
        <w:t xml:space="preserve"> </w:t>
      </w:r>
      <w:r>
        <w:t xml:space="preserve">that interaction falls to +0.221 (p = &lt; 1e-16) and density interacts with</w:t>
      </w:r>
      <w:r>
        <w:t xml:space="preserve"> </w:t>
      </w:r>
      <w:r>
        <w:t xml:space="preserve">radiation at -0.144. On a range whose prevailing bearing is</w:t>
      </w:r>
      <w:r>
        <w:t xml:space="preserve"> </w:t>
      </w:r>
      <w:r>
        <w:t xml:space="preserve">258 degrees the windward slopes face west, which are also the slopes</w:t>
      </w:r>
      <w:r>
        <w:t xml:space="preserve"> </w:t>
      </w:r>
      <w:r>
        <w:t xml:space="preserve">taking afternoon sun, so about a third of the apparent exposure effect was the sun. The</w:t>
      </w:r>
      <w:r>
        <w:t xml:space="preserve"> </w:t>
      </w:r>
      <w:r>
        <w:t xml:space="preserve">remainder is not, and it stays positive, which is the wrong sign for pheromone disruption.</w:t>
      </w:r>
      <w:r>
        <w:t xml:space="preserve"> </w:t>
      </w:r>
      <w:r>
        <w:t xml:space="preserve">That is the annual answer, and the next paragraph shows it is an artefact of the calendar.</w:t>
      </w:r>
    </w:p>
    <w:p>
      <w:pPr>
        <w:pStyle w:val="BodyText"/>
      </w:pPr>
      <w:r>
        <w:t xml:space="preserve">Temporal resolution decided the outcome (Figure 2). At 16 days, stand density interacts with</w:t>
      </w:r>
      <w:r>
        <w:t xml:space="preserve"> </w:t>
      </w:r>
      <w:r>
        <w:t xml:space="preserve">terrain-resolved wind at -0.094 for stem density (p = &lt; 1e-16) and</w:t>
      </w:r>
      <w:r>
        <w:t xml:space="preserve"> </w:t>
      </w:r>
      <w:r>
        <w:t xml:space="preserve">-0.041 for standing volume (p = 4.91e-07), both negative, which is the</w:t>
      </w:r>
      <w:r>
        <w:t xml:space="preserve"> </w:t>
      </w:r>
      <w:r>
        <w:t xml:space="preserve">mechanism’s signature: a dense stand is worth less where and when the wind blows harder. Both</w:t>
      </w:r>
      <w:r>
        <w:t xml:space="preserve"> </w:t>
      </w:r>
      <w:r>
        <w:t xml:space="preserve">survive entering the previous epoch of the same season, which carries</w:t>
      </w:r>
      <w:r>
        <w:t xml:space="preserve"> </w:t>
      </w:r>
      <w:r>
        <w:t xml:space="preserve">+0.672, so the result is not the outbreak’s own spread wearing a wind</w:t>
      </w:r>
      <w:r>
        <w:t xml:space="preserve"> </w:t>
      </w:r>
      <w:r>
        <w:t xml:space="preserve">coefficient, and they discriminate at 0.668 and</w:t>
      </w:r>
      <w:r>
        <w:t xml:space="preserve"> </w:t>
      </w:r>
      <w:r>
        <w:t xml:space="preserve">0.756 respectively. With one map a year, the same wind field,</w:t>
      </w:r>
      <w:r>
        <w:t xml:space="preserve"> </w:t>
      </w:r>
      <w:r>
        <w:t xml:space="preserve">covariates and classification</w:t>
      </w:r>
      <w:r>
        <w:t xml:space="preserve"> </w:t>
      </w:r>
      <w:r>
        <w:t xml:space="preserve">threshold give +0.031 (p = 0.0364), the opposite sign. Nothing about the</w:t>
      </w:r>
      <w:r>
        <w:t xml:space="preserve"> </w:t>
      </w:r>
      <w:r>
        <w:t xml:space="preserve">landscape or the wind product changed between the two. What changed is that an annual</w:t>
      </w:r>
      <w:r>
        <w:t xml:space="preserve"> </w:t>
      </w:r>
      <w:r>
        <w:t xml:space="preserve">response can only ask whether windy summers carry less attack than calm ones, and a summer</w:t>
      </w:r>
      <w:r>
        <w:t xml:space="preserve"> </w:t>
      </w:r>
      <w:r>
        <w:t xml:space="preserve">contains both windy and calm weeks.</w:t>
      </w:r>
    </w:p>
    <w:p>
      <w:pPr>
        <w:pStyle w:val="BodyText"/>
      </w:pPr>
      <w:r>
        <w:t xml:space="preserve">Attack also recurs where it was, by a margin that changes how every other coefficient reads.</w:t>
      </w:r>
      <w:r>
        <w:t xml:space="preserve"> </w:t>
      </w:r>
      <w:r>
        <w:t xml:space="preserve">Entering persistence and 90 m spread separately gives +0.873 and</w:t>
      </w:r>
      <w:r>
        <w:t xml:space="preserve"> </w:t>
      </w:r>
      <w:r>
        <w:t xml:space="preserve">+0.950 and raises discrimination from 0.799 to</w:t>
      </w:r>
      <w:r>
        <w:t xml:space="preserve"> </w:t>
      </w:r>
      <w:r>
        <w:t xml:space="preserve">0.888. Which environmental terms survive is the informative part.</w:t>
      </w:r>
      <w:r>
        <w:t xml:space="preserve"> </w:t>
      </w:r>
      <w:r>
        <w:t xml:space="preserve">Ruggedness keeps 0.61 of its value, a term describing a condition a cell has</w:t>
      </w:r>
      <w:r>
        <w:t xml:space="preserve"> </w:t>
      </w:r>
      <w:r>
        <w:t xml:space="preserve">whether or not the beetle was there. The landform terms are not stable: valley depth keeps</w:t>
      </w:r>
      <w:r>
        <w:t xml:space="preserve"> </w:t>
      </w:r>
      <w:r>
        <w:t xml:space="preserve">0.50 while mid-slope position moves to 1.32,</w:t>
      </w:r>
      <w:r>
        <w:t xml:space="preserve"> </w:t>
      </w:r>
      <w:r>
        <w:t xml:space="preserve">growing rather than shrinking. Part of what the landform terms measured was where the</w:t>
      </w:r>
      <w:r>
        <w:t xml:space="preserve"> </w:t>
      </w:r>
      <w:r>
        <w:t xml:space="preserve">outbreak had already been.</w:t>
      </w:r>
    </w:p>
    <w:p>
      <w:pPr>
        <w:pStyle w:val="BodyText"/>
      </w:pPr>
      <w:r>
        <w:t xml:space="preserve">Host coded as diameter holds as a threshold rather than a slope. Attack peaks in the 25 to</w:t>
      </w:r>
      <w:r>
        <w:t xml:space="preserve"> </w:t>
      </w:r>
      <w:r>
        <w:t xml:space="preserve">30 cm class at 45.9 per cent,</w:t>
      </w:r>
      <w:r>
        <w:t xml:space="preserve"> </w:t>
      </w:r>
      <w:r>
        <w:t xml:space="preserve">stepping up from 36.3 per cent</w:t>
      </w:r>
      <w:r>
        <w:t xml:space="preserve"> </w:t>
      </w:r>
      <w:r>
        <w:t xml:space="preserve">below the 25 cm source-sink boundary of</w:t>
      </w:r>
      <w:r>
        <w:t xml:space="preserve"> </w:t>
      </w:r>
      <w:r>
        <w:t xml:space="preserve">Carroll and Safranyik (2004)</w:t>
      </w:r>
      <w:r>
        <w:t xml:space="preserve"> </w:t>
      </w:r>
      <w:r>
        <w:t xml:space="preserve">and falling to</w:t>
      </w:r>
      <w:r>
        <w:t xml:space="preserve"> </w:t>
      </w:r>
      <w:r>
        <w:t xml:space="preserve">17.0 per cent above 40 cm</w:t>
      </w:r>
      <w:r>
        <w:t xml:space="preserve"> </w:t>
      </w:r>
      <w:r>
        <w:t xml:space="preserve">(Appendix S5). The linear coefficient is negative, -0.422, because a</w:t>
      </w:r>
      <w:r>
        <w:t xml:space="preserve"> </w:t>
      </w:r>
      <w:r>
        <w:t xml:space="preserve">straight line through a humped response returns the slope of its falling limb.</w:t>
      </w:r>
    </w:p>
    <w:bookmarkEnd w:id="23"/>
    <w:bookmarkStart w:id="24" w:name="conclusions"/>
    <w:p>
      <w:pPr>
        <w:pStyle w:val="Heading1"/>
      </w:pPr>
      <w:r>
        <w:t xml:space="preserve">4. Conclusions</w:t>
      </w:r>
    </w:p>
    <w:p>
      <w:pPr>
        <w:pStyle w:val="FirstParagraph"/>
      </w:pPr>
      <w:r>
        <w:t xml:space="preserve">Of the three mechanisms</w:t>
      </w:r>
      <w:r>
        <w:t xml:space="preserve"> </w:t>
      </w:r>
      <w:r>
        <w:t xml:space="preserve">Krawchuk</w:t>
      </w:r>
      <w:r>
        <w:t xml:space="preserve"> </w:t>
      </w:r>
      <w:r>
        <w:rPr>
          <w:i/>
          <w:iCs/>
        </w:rPr>
        <w:t xml:space="preserve">et al.</w:t>
      </w:r>
      <w:r>
        <w:t xml:space="preserve"> </w:t>
      </w:r>
      <w:r>
        <w:t xml:space="preserve">(2020)</w:t>
      </w:r>
      <w:r>
        <w:t xml:space="preserve"> </w:t>
      </w:r>
      <w:r>
        <w:t xml:space="preserve">name, two hold at the resolution the sensor and the</w:t>
      </w:r>
      <w:r>
        <w:t xml:space="preserve"> </w:t>
      </w:r>
      <w:r>
        <w:t xml:space="preserve">insect share and one does not. Host density holds in the conditional form the mechanism</w:t>
      </w:r>
      <w:r>
        <w:t xml:space="preserve"> </w:t>
      </w:r>
      <w:r>
        <w:t xml:space="preserve">specifies rather than as a bare main effect, which is the important distinction: as main</w:t>
      </w:r>
      <w:r>
        <w:t xml:space="preserve"> </w:t>
      </w:r>
      <w:r>
        <w:t xml:space="preserve">effects the three density measures disagree in sign, but what a dense canopy buys shrinks as</w:t>
      </w:r>
      <w:r>
        <w:t xml:space="preserve"> </w:t>
      </w:r>
      <w:r>
        <w:t xml:space="preserve">the wind rises, and that is the claim. Large-diameter host holds as a threshold at 25 to</w:t>
      </w:r>
      <w:r>
        <w:t xml:space="preserve"> </w:t>
      </w:r>
      <w:r>
        <w:t xml:space="preserve">30 cm. Topographic shading fails, and it fails on a surrogate: growing-season radiation did</w:t>
      </w:r>
      <w:r>
        <w:t xml:space="preserve"> </w:t>
      </w:r>
      <w:r>
        <w:t xml:space="preserve">not survive selection, so the pathway is carried by northness, which correlates</w:t>
      </w:r>
      <w:r>
        <w:t xml:space="preserve"> </w:t>
      </w:r>
      <w:r>
        <w:t xml:space="preserve">-0.834 with it. Northness tests aspect, and aspect</w:t>
      </w:r>
      <w:r>
        <w:t xml:space="preserve"> </w:t>
      </w:r>
      <w:r>
        <w:t xml:space="preserve">carries more than shade, so this is the least secure of the three verdicts.</w:t>
      </w:r>
    </w:p>
    <w:p>
      <w:pPr>
        <w:pStyle w:val="BodyText"/>
      </w:pPr>
      <w:r>
        <w:t xml:space="preserve">The methodological finding is the more transferable one, and it has three parts. A terrain</w:t>
      </w:r>
      <w:r>
        <w:t xml:space="preserve"> </w:t>
      </w:r>
      <w:r>
        <w:t xml:space="preserve">index is not an environmental measurement: entering flight-window radiation cut the density</w:t>
      </w:r>
      <w:r>
        <w:t xml:space="preserve"> </w:t>
      </w:r>
      <w:r>
        <w:t xml:space="preserve">by terrain-exposure interaction from +0.311 to +0.221. A landform variable in</w:t>
      </w:r>
      <w:r>
        <w:t xml:space="preserve"> </w:t>
      </w:r>
      <w:r>
        <w:t xml:space="preserve">a spreading outbreak records the outbreak’s own history: entering previous-year pressure left</w:t>
      </w:r>
      <w:r>
        <w:t xml:space="preserve"> </w:t>
      </w:r>
      <w:r>
        <w:t xml:space="preserve">valley depth at 0.50 of its value while mid-slope position moved to</w:t>
      </w:r>
      <w:r>
        <w:t xml:space="preserve"> </w:t>
      </w:r>
      <w:r>
        <w:t xml:space="preserve">1.32, against 0.61 for ruggedness. And an annual response cannot test a mechanism that operates over weeks: the</w:t>
      </w:r>
      <w:r>
        <w:t xml:space="preserve"> </w:t>
      </w:r>
      <w:r>
        <w:t xml:space="preserve">same wind field, covariates and threshold gave +0.031 annually against</w:t>
      </w:r>
      <w:r>
        <w:t xml:space="preserve"> </w:t>
      </w:r>
      <w:r>
        <w:t xml:space="preserve">-0.094 at sixteen days. A test that aggregates past the flight period is not a</w:t>
      </w:r>
      <w:r>
        <w:t xml:space="preserve"> </w:t>
      </w:r>
      <w:r>
        <w:t xml:space="preserve">weaker version of the right test. It is a different question, and this study answers it in</w:t>
      </w:r>
      <w:r>
        <w:t xml:space="preserve"> </w:t>
      </w:r>
      <w:r>
        <w:t xml:space="preserve">the opposite direction.</w:t>
      </w:r>
    </w:p>
    <w:p>
      <w:pPr>
        <w:pStyle w:val="BodyText"/>
      </w:pPr>
      <w:r>
        <w:t xml:space="preserve">Since no previous study has fitted a wind term at all, nothing establishes the resolution at</w:t>
      </w:r>
      <w:r>
        <w:t xml:space="preserve"> </w:t>
      </w:r>
      <w:r>
        <w:t xml:space="preserve">which one should be fitted. Our answer is that it must be no coarser than the flight period.</w:t>
      </w:r>
      <w:r>
        <w:t xml:space="preserve"> </w:t>
      </w:r>
      <w:r>
        <w:t xml:space="preserve">For managers reading refugia maps built from annual disturbance products, that matters</w:t>
      </w:r>
      <w:r>
        <w:t xml:space="preserve"> </w:t>
      </w:r>
      <w:r>
        <w:t xml:space="preserve">directly: a map that shows no wind signal may be showing the calendar rather than the</w:t>
      </w:r>
      <w:r>
        <w:t xml:space="preserve"> </w:t>
      </w:r>
      <w:r>
        <w:t xml:space="preserve">landscape.</w:t>
      </w:r>
    </w:p>
    <w:p>
      <w:pPr>
        <w:pStyle w:val="BodyText"/>
      </w:pPr>
      <w:r>
        <w:t xml:space="preserve">Four limits stay attached. Flight-window radiation and terrain exposure are not separable</w:t>
      </w:r>
      <w:r>
        <w:t xml:space="preserve"> </w:t>
      </w:r>
      <w:r>
        <w:t xml:space="preserve">here, correlating -0.599, so the positive flight</w:t>
      </w:r>
      <w:r>
        <w:t xml:space="preserve"> </w:t>
      </w:r>
      <w:r>
        <w:t xml:space="preserve">radiation coefficient is consistent with the thermal gate and with exposure alike, and the</w:t>
      </w:r>
      <w:r>
        <w:t xml:space="preserve"> </w:t>
      </w:r>
      <w:r>
        <w:t xml:space="preserve">annual density by exposure interaction stays positive after radiation enters. The wind</w:t>
      </w:r>
      <w:r>
        <w:t xml:space="preserve"> </w:t>
      </w:r>
      <w:r>
        <w:t xml:space="preserve">field is modelled from station data rather than measured on the ridge, so what is established</w:t>
      </w:r>
      <w:r>
        <w:t xml:space="preserve"> </w:t>
      </w:r>
      <w:r>
        <w:t xml:space="preserve">is that the modelled field behaves as the mechanism requires, not that the air did. The</w:t>
      </w:r>
      <w:r>
        <w:t xml:space="preserve"> </w:t>
      </w:r>
      <w:r>
        <w:t xml:space="preserve">inventory postdates part of the outbreak, which is the likeliest reason total basal area</w:t>
      </w:r>
      <w:r>
        <w:t xml:space="preserve"> </w:t>
      </w:r>
      <w:r>
        <w:t xml:space="preserve">discriminates below chance at</w:t>
      </w:r>
      <w:r>
        <w:t xml:space="preserve"> </w:t>
      </w:r>
      <w:r>
        <w:t xml:space="preserve">0.516. And every conclusion rests on one</w:t>
      </w:r>
      <w:r>
        <w:t xml:space="preserve"> </w:t>
      </w:r>
      <w:r>
        <w:t xml:space="preserve">mountain range over 8 years and 59 epochs.</w:t>
      </w:r>
    </w:p>
    <w:bookmarkEnd w:id="24"/>
    <w:bookmarkStart w:id="31" w:name="open-research"/>
    <w:p>
      <w:pPr>
        <w:pStyle w:val="Heading1"/>
      </w:pPr>
      <w:r>
        <w:t xml:space="preserve">5. Open research</w:t>
      </w:r>
    </w:p>
    <w:p>
      <w:pPr>
        <w:pStyle w:val="FirstParagraph"/>
      </w:pPr>
      <w:r>
        <w:t xml:space="preserve">This study complies with the Ecological Society of America’s Open Research Policy. Every</w:t>
      </w:r>
      <w:r>
        <w:t xml:space="preserve"> </w:t>
      </w:r>
      <w:r>
        <w:t xml:space="preserve">dataset is public and none was collected by the authors. Beetle disturbance is classified</w:t>
      </w:r>
      <w:r>
        <w:t xml:space="preserve"> </w:t>
      </w:r>
      <w:r>
        <w:t xml:space="preserve">from Landsat Collection 2 Level-2 surface reflectance. Stand structure is the provincial</w:t>
      </w:r>
      <w:r>
        <w:t xml:space="preserve"> </w:t>
      </w:r>
      <w:r>
        <w:t xml:space="preserve">Vegetation Resources Inventory layer</w:t>
      </w:r>
      <w:r>
        <w:t xml:space="preserve"> </w:t>
      </w:r>
      <w:r>
        <w:rPr>
          <w:rStyle w:val="VerbatimChar"/>
        </w:rPr>
        <w:t xml:space="preserve">VEG_COMP_LYR_R1_POLY</w:t>
      </w:r>
      <w:r>
        <w:t xml:space="preserve">, retrieved from the British</w:t>
      </w:r>
      <w:r>
        <w:t xml:space="preserve"> </w:t>
      </w:r>
      <w:r>
        <w:t xml:space="preserve">Columbia Data Catalogue web feature service. Terrain derives from the Natural Resources</w:t>
      </w:r>
      <w:r>
        <w:t xml:space="preserve"> </w:t>
      </w:r>
      <w:r>
        <w:t xml:space="preserve">Canada High Resolution Digital Elevation Model</w:t>
      </w:r>
      <w:r>
        <w:t xml:space="preserve"> </w:t>
      </w:r>
      <w:r>
        <w:t xml:space="preserve">(Natural Resources Canada 2017)</w:t>
      </w:r>
      <w:r>
        <w:t xml:space="preserve">, with geomorphometry computed by</w:t>
      </w:r>
      <w:r>
        <w:t xml:space="preserve"> </w:t>
      </w:r>
      <w:r>
        <w:t xml:space="preserve">SAGA GIS. Wind is Environment and Climate Change Canada hourly station data. All processing</w:t>
      </w:r>
      <w:r>
        <w:t xml:space="preserve"> </w:t>
      </w:r>
      <w:r>
        <w:t xml:space="preserve">scripts and the derived model tables that reproduce every number reported here will be</w:t>
      </w:r>
      <w:r>
        <w:t xml:space="preserve"> </w:t>
      </w:r>
      <w:r>
        <w:t xml:space="preserve">deposited in Dryad on acceptance, and are available to reviewers on request.</w:t>
      </w:r>
    </w:p>
    <w:p>
      <w:pPr>
        <w:pStyle w:val="CaptionedFigure"/>
      </w:pPr>
      <w:r>
        <w:drawing>
          <wp:inline>
            <wp:extent cx="5943600" cy="3037840"/>
            <wp:effectExtent b="0" l="0" r="0" t="0"/>
            <wp:docPr descr="The study area over the British Columbia Freshwater Atlas, with Kootenay Lake and the Kootenay River to the east. (a) Elevation, with the 2015 Mt Midgeley burn that anchors the perimeter outlined in red. (b) Terrain ruggedness index. (c) Stand basal area from the Vegetation Resources Inventory, the density term the pheromone-disruption mechanism runs through. The study perimeter is the grey outline and contours are at 250 m. All panels share one extent, projection and scale, so the north arrow, scale bar and representative fraction are drawn once, on (a); the representative fraction holds at a printed panel width of 66 mm. Coordinates are EPSG:3153, NAD83(CSRS) / BC Albers." title="" id="26" name="Picture"/>
            <a:graphic>
              <a:graphicData uri="http://schemas.openxmlformats.org/drawingml/2006/picture">
                <pic:pic>
                  <pic:nvPicPr>
                    <pic:cNvPr descr="beetle-topography-wind-study-short-short_files/figure-docx/figure-1-1.png" id="27" name="Picture"/>
                    <pic:cNvPicPr>
                      <a:picLocks noChangeArrowheads="1" noChangeAspect="1"/>
                    </pic:cNvPicPr>
                  </pic:nvPicPr>
                  <pic:blipFill>
                    <a:blip r:embed="rId25"/>
                    <a:stretch>
                      <a:fillRect/>
                    </a:stretch>
                  </pic:blipFill>
                  <pic:spPr bwMode="auto">
                    <a:xfrm>
                      <a:off x="0" y="0"/>
                      <a:ext cx="5943600" cy="3037840"/>
                    </a:xfrm>
                    <a:prstGeom prst="rect">
                      <a:avLst/>
                    </a:prstGeom>
                    <a:noFill/>
                    <a:ln w="9525">
                      <a:noFill/>
                      <a:headEnd/>
                      <a:tailEnd/>
                    </a:ln>
                  </pic:spPr>
                </pic:pic>
              </a:graphicData>
            </a:graphic>
          </wp:inline>
        </w:drawing>
      </w:r>
    </w:p>
    <w:p>
      <w:pPr>
        <w:pStyle w:val="ImageCaption"/>
      </w:pPr>
      <w:r>
        <w:t xml:space="preserve">The study area over the British Columbia Freshwater Atlas, with Kootenay Lake and the Kootenay River to the east. (a) Elevation, with the 2015 Mt Midgeley burn that anchors the perimeter outlined in red. (b) Terrain ruggedness index. (c) Stand basal area from the Vegetation Resources Inventory, the density term the pheromone-disruption mechanism runs through. The study perimeter is the grey outline and contours are at 250 m. All panels share one extent, projection and scale, so the north arrow, scale bar and representative fraction are drawn once, on (a); the representative fraction holds at a printed panel width of 66 mm. Coordinates are EPSG:3153, NAD83(CSRS) / BC Albers.</w:t>
      </w:r>
    </w:p>
    <w:p>
      <w:pPr>
        <w:pStyle w:val="CaptionedFigure"/>
      </w:pPr>
      <w:r>
        <w:drawing>
          <wp:inline>
            <wp:extent cx="5943600" cy="3962400"/>
            <wp:effectExtent b="0" l="0" r="0" t="0"/>
            <wp:docPr descr="Figure 2. The refugia mechanism as fitted at 16 days. (a) Predicted probability of moderate-to-high disturbance against terrain-resolved epoch wind, at the 10th and 90th percentiles of stem density, all other terms at their means; the lines cross, so wind raises attack in thin stands and lowers it in dense ones, which is the interaction. (b) The same for standing volume. (c) Coefficients of the 16-day model, with and without the within-season spread term. (d) Epoch prevalence against epoch mean wind, one point per epoch." title="" id="29" name="Picture"/>
            <a:graphic>
              <a:graphicData uri="http://schemas.openxmlformats.org/drawingml/2006/picture">
                <pic:pic>
                  <pic:nvPicPr>
                    <pic:cNvPr descr="beetle-topography-wind-study-short-short_files/figure-docx/figure-2-1.png" id="30" name="Picture"/>
                    <pic:cNvPicPr>
                      <a:picLocks noChangeArrowheads="1" noChangeAspect="1"/>
                    </pic:cNvPicPr>
                  </pic:nvPicPr>
                  <pic:blipFill>
                    <a:blip r:embed="rId28"/>
                    <a:stretch>
                      <a:fillRect/>
                    </a:stretch>
                  </pic:blipFill>
                  <pic:spPr bwMode="auto">
                    <a:xfrm>
                      <a:off x="0" y="0"/>
                      <a:ext cx="5943600" cy="3962400"/>
                    </a:xfrm>
                    <a:prstGeom prst="rect">
                      <a:avLst/>
                    </a:prstGeom>
                    <a:noFill/>
                    <a:ln w="9525">
                      <a:noFill/>
                      <a:headEnd/>
                      <a:tailEnd/>
                    </a:ln>
                  </pic:spPr>
                </pic:pic>
              </a:graphicData>
            </a:graphic>
          </wp:inline>
        </w:drawing>
      </w:r>
    </w:p>
    <w:p>
      <w:pPr>
        <w:pStyle w:val="ImageCaption"/>
      </w:pPr>
      <w:r>
        <w:rPr>
          <w:b/>
          <w:bCs/>
        </w:rPr>
        <w:t xml:space="preserve">Figure 2.</w:t>
      </w:r>
      <w:r>
        <w:t xml:space="preserve"> </w:t>
      </w:r>
      <w:r>
        <w:t xml:space="preserve">The refugia mechanism as fitted at 16 days. (a) Predicted probability of moderate-to-high disturbance against terrain-resolved epoch wind, at the 10th and 90th percentiles of stem density, all other terms at their means; the lines cross, so wind raises attack in thin stands and lowers it in dense ones, which is the interaction. (b) The same for standing volume. (c) Coefficients of the 16-day model, with and without the within-season spread term. (d) Epoch prevalence against epoch mean wind, one point per epoch.</w:t>
      </w:r>
    </w:p>
    <w:p>
      <w:pPr>
        <w:pStyle w:val="TableCaption"/>
      </w:pPr>
      <w:r>
        <w:rPr>
          <w:b/>
          <w:bCs/>
        </w:rPr>
        <w:t xml:space="preserve">Table 1.</w:t>
      </w:r>
      <w:r>
        <w:t xml:space="preserve"> </w:t>
      </w:r>
      <w:r>
        <w:t xml:space="preserve">The terms the three mechanisms turn on, and the specification contrasts the paper rests on. Coefficients are log-odds per standard deviation on a class-balanced sample. The annual models are M3, M3 without flight-window radiation, and M5; the 16-day models are E1 and E2. The three mechanisms are those of Krawchuk et al. (2020). Growing-season direct radiation did not survive variable selection, so the shading pathway is represented by northness.</w:t>
      </w:r>
    </w:p>
    <w:tbl>
      <w:tblPr>
        <w:tblStyle w:val="Table"/>
        <w:tblLook w:firstRow="1" w:lastRow="0" w:firstColumn="0" w:lastColumn="0" w:noHBand="0" w:noVBand="0" w:val="0020"/>
        <w:tblCaption w:val="Table 1. The terms the three mechanisms turn on, and the specification contrasts the paper rests on. Coefficients are log-odds per standard deviation on a class-balanced sample. The annual models are M3, M3 without flight-window radiation, and M5; the 16-day models are E1 and E2. The three mechanisms are those of Krawchuk et al. (2020). Growing-season direct radiation did not survive variable selection, so the shading pathway is represented by northness."/>
        <w:tblW w:w="9354" w:type="dxa"/>
        <w:tblLayout w:type="fixed"/>
      </w:tblPr>
      <w:tblGrid>
        <w:gridCol w:w="2757"/>
        <w:gridCol w:w="4431"/>
        <w:gridCol w:w="689"/>
        <w:gridCol w:w="591"/>
        <w:gridCol w:w="886"/>
      </w:tblGrid>
      <w:tr>
        <w:trPr>
          <w:tblHeader w:val="on"/>
          <w:trHeight w:val="624" w:hRule="exact"/>
        </w:trPr>
        <w:tc>
          <w:tcPr/>
          <w:p>
            <w:pPr>
              <w:pStyle w:val="Compact"/>
              <w:jc w:val="left"/>
              <w:rPr>
                <w:sz w:val="16"/>
                <w:szCs w:val="16"/>
              </w:rPr>
            </w:pPr>
          </w:p>
        </w:tc>
        <w:tc>
          <w:tcPr/>
          <w:p>
            <w:pPr>
              <w:pStyle w:val="Compact"/>
              <w:jc w:val="left"/>
              <w:rPr>
                <w:sz w:val="16"/>
                <w:szCs w:val="16"/>
              </w:rPr>
            </w:pPr>
            <w:r>
              <w:rPr>
                <w:sz w:val="16"/>
                <w:szCs w:val="16"/>
              </w:rPr>
              <w:t xml:space="preserve">Term</w:t>
            </w:r>
          </w:p>
        </w:tc>
        <w:tc>
          <w:tcPr/>
          <w:p>
            <w:pPr>
              <w:pStyle w:val="Compact"/>
              <w:jc w:val="left"/>
              <w:rPr>
                <w:sz w:val="16"/>
                <w:szCs w:val="16"/>
              </w:rPr>
            </w:pPr>
            <w:r>
              <w:rPr>
                <w:sz w:val="16"/>
                <w:szCs w:val="16"/>
              </w:rPr>
              <w:t xml:space="preserve">Beta</w:t>
            </w:r>
          </w:p>
        </w:tc>
        <w:tc>
          <w:tcPr/>
          <w:p>
            <w:pPr>
              <w:pStyle w:val="Compact"/>
              <w:jc w:val="left"/>
              <w:rPr>
                <w:sz w:val="16"/>
                <w:szCs w:val="16"/>
              </w:rPr>
            </w:pPr>
            <w:r>
              <w:rPr>
                <w:sz w:val="16"/>
                <w:szCs w:val="16"/>
              </w:rPr>
              <w:t xml:space="preserve">z</w:t>
            </w:r>
          </w:p>
        </w:tc>
        <w:tc>
          <w:tcPr/>
          <w:p>
            <w:pPr>
              <w:pStyle w:val="Compact"/>
              <w:jc w:val="left"/>
              <w:rPr>
                <w:sz w:val="16"/>
                <w:szCs w:val="16"/>
              </w:rPr>
            </w:pPr>
            <w:r>
              <w:rPr>
                <w:sz w:val="16"/>
                <w:szCs w:val="16"/>
              </w:rPr>
              <w:t xml:space="preserve">p</w:t>
            </w:r>
          </w:p>
        </w:tc>
      </w:tr>
      <w:tr>
        <w:trPr>
          <w:trHeight w:val="340" w:hRule="exact"/>
        </w:trPr>
        <w:tc>
          <w:tcPr/>
          <w:p>
            <w:pPr>
              <w:pStyle w:val="Compact"/>
              <w:jc w:val="left"/>
              <w:rPr>
                <w:sz w:val="16"/>
                <w:szCs w:val="16"/>
              </w:rPr>
            </w:pPr>
            <w:r>
              <w:rPr>
                <w:sz w:val="16"/>
                <w:szCs w:val="16"/>
              </w:rPr>
              <w:t xml:space="preserve">Mechanism 1: shading</w:t>
            </w:r>
          </w:p>
        </w:tc>
        <w:tc>
          <w:tcPr/>
          <w:p>
            <w:pPr>
              <w:pStyle w:val="Compact"/>
              <w:jc w:val="left"/>
              <w:rPr>
                <w:sz w:val="16"/>
                <w:szCs w:val="16"/>
              </w:rPr>
            </w:pPr>
            <w:r>
              <w:rPr>
                <w:sz w:val="16"/>
                <w:szCs w:val="16"/>
              </w:rPr>
              <w:t xml:space="preserve">Northness (shading surrogate)</w:t>
            </w:r>
          </w:p>
        </w:tc>
        <w:tc>
          <w:tcPr/>
          <w:p>
            <w:pPr>
              <w:pStyle w:val="Compact"/>
              <w:jc w:val="left"/>
              <w:rPr>
                <w:sz w:val="16"/>
                <w:szCs w:val="16"/>
              </w:rPr>
            </w:pPr>
            <w:r>
              <w:rPr>
                <w:sz w:val="16"/>
                <w:szCs w:val="16"/>
              </w:rPr>
              <w:t xml:space="preserve">+0.382</w:t>
            </w:r>
          </w:p>
        </w:tc>
        <w:tc>
          <w:tcPr/>
          <w:p>
            <w:pPr>
              <w:pStyle w:val="Compact"/>
              <w:jc w:val="left"/>
              <w:rPr>
                <w:sz w:val="16"/>
                <w:szCs w:val="16"/>
              </w:rPr>
            </w:pPr>
            <w:r>
              <w:rPr>
                <w:sz w:val="16"/>
                <w:szCs w:val="16"/>
              </w:rPr>
              <w:t xml:space="preserve">23.2</w:t>
            </w:r>
          </w:p>
        </w:tc>
        <w:tc>
          <w:tcPr/>
          <w:p>
            <w:pPr>
              <w:pStyle w:val="Compact"/>
              <w:jc w:val="left"/>
              <w:rPr>
                <w:sz w:val="16"/>
                <w:szCs w:val="16"/>
              </w:rPr>
            </w:pPr>
            <w:r>
              <w:rPr>
                <w:sz w:val="16"/>
                <w:szCs w:val="16"/>
              </w:rPr>
              <w:t xml:space="preserve">&lt; 1e-16</w:t>
            </w:r>
          </w:p>
        </w:tc>
      </w:tr>
      <w:tr>
        <w:trPr>
          <w:trHeight w:val="340" w:hRule="exact"/>
        </w:trPr>
        <w:tc>
          <w:tcPr/>
          <w:p>
            <w:pPr>
              <w:pStyle w:val="Compact"/>
              <w:jc w:val="left"/>
              <w:rPr>
                <w:sz w:val="16"/>
                <w:szCs w:val="16"/>
              </w:rPr>
            </w:pPr>
            <w:r>
              <w:rPr>
                <w:sz w:val="16"/>
                <w:szCs w:val="16"/>
              </w:rPr>
              <w:t xml:space="preserve">Mechanism 2: host density</w:t>
            </w:r>
          </w:p>
        </w:tc>
        <w:tc>
          <w:tcPr/>
          <w:p>
            <w:pPr>
              <w:pStyle w:val="Compact"/>
              <w:jc w:val="left"/>
              <w:rPr>
                <w:sz w:val="16"/>
                <w:szCs w:val="16"/>
              </w:rPr>
            </w:pPr>
            <w:r>
              <w:rPr>
                <w:sz w:val="16"/>
                <w:szCs w:val="16"/>
              </w:rPr>
              <w:t xml:space="preserve">Standing volume</w:t>
            </w:r>
          </w:p>
        </w:tc>
        <w:tc>
          <w:tcPr/>
          <w:p>
            <w:pPr>
              <w:pStyle w:val="Compact"/>
              <w:jc w:val="left"/>
              <w:rPr>
                <w:sz w:val="16"/>
                <w:szCs w:val="16"/>
              </w:rPr>
            </w:pPr>
            <w:r>
              <w:rPr>
                <w:sz w:val="16"/>
                <w:szCs w:val="16"/>
              </w:rPr>
              <w:t xml:space="preserve">+0.381</w:t>
            </w:r>
          </w:p>
        </w:tc>
        <w:tc>
          <w:tcPr/>
          <w:p>
            <w:pPr>
              <w:pStyle w:val="Compact"/>
              <w:jc w:val="left"/>
              <w:rPr>
                <w:sz w:val="16"/>
                <w:szCs w:val="16"/>
              </w:rPr>
            </w:pPr>
            <w:r>
              <w:rPr>
                <w:sz w:val="16"/>
                <w:szCs w:val="16"/>
              </w:rPr>
              <w:t xml:space="preserve">15.6</w:t>
            </w:r>
          </w:p>
        </w:tc>
        <w:tc>
          <w:tcPr/>
          <w:p>
            <w:pPr>
              <w:pStyle w:val="Compact"/>
              <w:jc w:val="left"/>
              <w:rPr>
                <w:sz w:val="16"/>
                <w:szCs w:val="16"/>
              </w:rPr>
            </w:pPr>
            <w:r>
              <w:rPr>
                <w:sz w:val="16"/>
                <w:szCs w:val="16"/>
              </w:rPr>
              <w:t xml:space="preserve">&lt; 1e-16</w:t>
            </w:r>
          </w:p>
        </w:tc>
      </w:tr>
      <w:tr>
        <w:trPr>
          <w:trHeight w:val="340" w:hRule="exact"/>
        </w:trPr>
        <w:tc>
          <w:tcPr/>
          <w:p>
            <w:pPr>
              <w:pStyle w:val="Compact"/>
              <w:jc w:val="left"/>
              <w:rPr>
                <w:sz w:val="16"/>
                <w:szCs w:val="16"/>
              </w:rPr>
            </w:pPr>
          </w:p>
        </w:tc>
        <w:tc>
          <w:tcPr/>
          <w:p>
            <w:pPr>
              <w:pStyle w:val="Compact"/>
              <w:jc w:val="left"/>
              <w:rPr>
                <w:sz w:val="16"/>
                <w:szCs w:val="16"/>
              </w:rPr>
            </w:pPr>
            <w:r>
              <w:rPr>
                <w:sz w:val="16"/>
                <w:szCs w:val="16"/>
              </w:rPr>
              <w:t xml:space="preserve">Live stems per hectare</w:t>
            </w:r>
          </w:p>
        </w:tc>
        <w:tc>
          <w:tcPr/>
          <w:p>
            <w:pPr>
              <w:pStyle w:val="Compact"/>
              <w:jc w:val="left"/>
              <w:rPr>
                <w:sz w:val="16"/>
                <w:szCs w:val="16"/>
              </w:rPr>
            </w:pPr>
            <w:r>
              <w:rPr>
                <w:sz w:val="16"/>
                <w:szCs w:val="16"/>
              </w:rPr>
              <w:t xml:space="preserve">-0.099</w:t>
            </w:r>
          </w:p>
        </w:tc>
        <w:tc>
          <w:tcPr/>
          <w:p>
            <w:pPr>
              <w:pStyle w:val="Compact"/>
              <w:jc w:val="left"/>
              <w:rPr>
                <w:sz w:val="16"/>
                <w:szCs w:val="16"/>
              </w:rPr>
            </w:pPr>
            <w:r>
              <w:rPr>
                <w:sz w:val="16"/>
                <w:szCs w:val="16"/>
              </w:rPr>
              <w:t xml:space="preserve">-5.4</w:t>
            </w:r>
          </w:p>
        </w:tc>
        <w:tc>
          <w:tcPr/>
          <w:p>
            <w:pPr>
              <w:pStyle w:val="Compact"/>
              <w:jc w:val="left"/>
              <w:rPr>
                <w:sz w:val="16"/>
                <w:szCs w:val="16"/>
              </w:rPr>
            </w:pPr>
            <w:r>
              <w:rPr>
                <w:sz w:val="16"/>
                <w:szCs w:val="16"/>
              </w:rPr>
              <w:t xml:space="preserve">8.29e-08</w:t>
            </w:r>
          </w:p>
        </w:tc>
      </w:tr>
      <w:tr>
        <w:trPr>
          <w:trHeight w:val="340" w:hRule="exact"/>
        </w:trPr>
        <w:tc>
          <w:tcPr/>
          <w:p>
            <w:pPr>
              <w:pStyle w:val="Compact"/>
              <w:jc w:val="left"/>
              <w:rPr>
                <w:sz w:val="16"/>
                <w:szCs w:val="16"/>
              </w:rPr>
            </w:pPr>
          </w:p>
        </w:tc>
        <w:tc>
          <w:tcPr/>
          <w:p>
            <w:pPr>
              <w:pStyle w:val="Compact"/>
              <w:jc w:val="left"/>
              <w:rPr>
                <w:sz w:val="16"/>
                <w:szCs w:val="16"/>
              </w:rPr>
            </w:pPr>
            <w:r>
              <w:rPr>
                <w:sz w:val="16"/>
                <w:szCs w:val="16"/>
              </w:rPr>
              <w:t xml:space="preserve">Crown closure</w:t>
            </w:r>
          </w:p>
        </w:tc>
        <w:tc>
          <w:tcPr/>
          <w:p>
            <w:pPr>
              <w:pStyle w:val="Compact"/>
              <w:jc w:val="left"/>
              <w:rPr>
                <w:sz w:val="16"/>
                <w:szCs w:val="16"/>
              </w:rPr>
            </w:pPr>
            <w:r>
              <w:rPr>
                <w:sz w:val="16"/>
                <w:szCs w:val="16"/>
              </w:rPr>
              <w:t xml:space="preserve">-0.183</w:t>
            </w:r>
          </w:p>
        </w:tc>
        <w:tc>
          <w:tcPr/>
          <w:p>
            <w:pPr>
              <w:pStyle w:val="Compact"/>
              <w:jc w:val="left"/>
              <w:rPr>
                <w:sz w:val="16"/>
                <w:szCs w:val="16"/>
              </w:rPr>
            </w:pPr>
            <w:r>
              <w:rPr>
                <w:sz w:val="16"/>
                <w:szCs w:val="16"/>
              </w:rPr>
              <w:t xml:space="preserve">-9.0</w:t>
            </w:r>
          </w:p>
        </w:tc>
        <w:tc>
          <w:tcPr/>
          <w:p>
            <w:pPr>
              <w:pStyle w:val="Compact"/>
              <w:jc w:val="left"/>
              <w:rPr>
                <w:sz w:val="16"/>
                <w:szCs w:val="16"/>
              </w:rPr>
            </w:pPr>
            <w:r>
              <w:rPr>
                <w:sz w:val="16"/>
                <w:szCs w:val="16"/>
              </w:rPr>
              <w:t xml:space="preserve">&lt; 1e-16</w:t>
            </w:r>
          </w:p>
        </w:tc>
      </w:tr>
      <w:tr>
        <w:trPr>
          <w:trHeight w:val="340" w:hRule="exact"/>
        </w:trPr>
        <w:tc>
          <w:tcPr/>
          <w:p>
            <w:pPr>
              <w:pStyle w:val="Compact"/>
              <w:jc w:val="left"/>
              <w:rPr>
                <w:sz w:val="16"/>
                <w:szCs w:val="16"/>
              </w:rPr>
            </w:pPr>
            <w:r>
              <w:rPr>
                <w:sz w:val="16"/>
                <w:szCs w:val="16"/>
              </w:rPr>
              <w:t xml:space="preserve">Mechanism 3: host size</w:t>
            </w:r>
          </w:p>
        </w:tc>
        <w:tc>
          <w:tcPr/>
          <w:p>
            <w:pPr>
              <w:pStyle w:val="Compact"/>
              <w:jc w:val="left"/>
              <w:rPr>
                <w:sz w:val="16"/>
                <w:szCs w:val="16"/>
              </w:rPr>
            </w:pPr>
            <w:r>
              <w:rPr>
                <w:sz w:val="16"/>
                <w:szCs w:val="16"/>
              </w:rPr>
              <w:t xml:space="preserve">Quadratic mean diameter</w:t>
            </w:r>
          </w:p>
        </w:tc>
        <w:tc>
          <w:tcPr/>
          <w:p>
            <w:pPr>
              <w:pStyle w:val="Compact"/>
              <w:jc w:val="left"/>
              <w:rPr>
                <w:sz w:val="16"/>
                <w:szCs w:val="16"/>
              </w:rPr>
            </w:pPr>
            <w:r>
              <w:rPr>
                <w:sz w:val="16"/>
                <w:szCs w:val="16"/>
              </w:rPr>
              <w:t xml:space="preserve">-0.422</w:t>
            </w:r>
          </w:p>
        </w:tc>
        <w:tc>
          <w:tcPr/>
          <w:p>
            <w:pPr>
              <w:pStyle w:val="Compact"/>
              <w:jc w:val="left"/>
              <w:rPr>
                <w:sz w:val="16"/>
                <w:szCs w:val="16"/>
              </w:rPr>
            </w:pPr>
            <w:r>
              <w:rPr>
                <w:sz w:val="16"/>
                <w:szCs w:val="16"/>
              </w:rPr>
              <w:t xml:space="preserve">-18.4</w:t>
            </w:r>
          </w:p>
        </w:tc>
        <w:tc>
          <w:tcPr/>
          <w:p>
            <w:pPr>
              <w:pStyle w:val="Compact"/>
              <w:jc w:val="left"/>
              <w:rPr>
                <w:sz w:val="16"/>
                <w:szCs w:val="16"/>
              </w:rPr>
            </w:pPr>
            <w:r>
              <w:rPr>
                <w:sz w:val="16"/>
                <w:szCs w:val="16"/>
              </w:rPr>
              <w:t xml:space="preserve">&lt; 1e-16</w:t>
            </w:r>
          </w:p>
        </w:tc>
      </w:tr>
      <w:tr>
        <w:trPr>
          <w:trHeight w:val="340" w:hRule="exact"/>
        </w:trPr>
        <w:tc>
          <w:tcPr/>
          <w:p>
            <w:pPr>
              <w:pStyle w:val="Compact"/>
              <w:jc w:val="left"/>
              <w:rPr>
                <w:sz w:val="16"/>
                <w:szCs w:val="16"/>
              </w:rPr>
            </w:pPr>
          </w:p>
        </w:tc>
        <w:tc>
          <w:tcPr/>
          <w:p>
            <w:pPr>
              <w:pStyle w:val="Compact"/>
              <w:jc w:val="left"/>
              <w:rPr>
                <w:sz w:val="16"/>
                <w:szCs w:val="16"/>
              </w:rPr>
            </w:pPr>
            <w:r>
              <w:rPr>
                <w:sz w:val="16"/>
                <w:szCs w:val="16"/>
              </w:rPr>
              <w:t xml:space="preserve">Susceptible pine basal area</w:t>
            </w:r>
          </w:p>
        </w:tc>
        <w:tc>
          <w:tcPr/>
          <w:p>
            <w:pPr>
              <w:pStyle w:val="Compact"/>
              <w:jc w:val="left"/>
              <w:rPr>
                <w:sz w:val="16"/>
                <w:szCs w:val="16"/>
              </w:rPr>
            </w:pPr>
            <w:r>
              <w:rPr>
                <w:sz w:val="16"/>
                <w:szCs w:val="16"/>
              </w:rPr>
              <w:t xml:space="preserve">+0.459</w:t>
            </w:r>
          </w:p>
        </w:tc>
        <w:tc>
          <w:tcPr/>
          <w:p>
            <w:pPr>
              <w:pStyle w:val="Compact"/>
              <w:jc w:val="left"/>
              <w:rPr>
                <w:sz w:val="16"/>
                <w:szCs w:val="16"/>
              </w:rPr>
            </w:pPr>
            <w:r>
              <w:rPr>
                <w:sz w:val="16"/>
                <w:szCs w:val="16"/>
              </w:rPr>
              <w:t xml:space="preserve">32.4</w:t>
            </w:r>
          </w:p>
        </w:tc>
        <w:tc>
          <w:tcPr/>
          <w:p>
            <w:pPr>
              <w:pStyle w:val="Compact"/>
              <w:jc w:val="left"/>
              <w:rPr>
                <w:sz w:val="16"/>
                <w:szCs w:val="16"/>
              </w:rPr>
            </w:pPr>
            <w:r>
              <w:rPr>
                <w:sz w:val="16"/>
                <w:szCs w:val="16"/>
              </w:rPr>
              <w:t xml:space="preserve">&lt; 1e-16</w:t>
            </w:r>
          </w:p>
        </w:tc>
      </w:tr>
      <w:tr>
        <w:trPr>
          <w:trHeight w:val="340" w:hRule="exact"/>
        </w:trPr>
        <w:tc>
          <w:tcPr/>
          <w:p>
            <w:pPr>
              <w:pStyle w:val="Compact"/>
              <w:jc w:val="left"/>
              <w:rPr>
                <w:sz w:val="16"/>
                <w:szCs w:val="16"/>
              </w:rPr>
            </w:pPr>
            <w:r>
              <w:rPr>
                <w:sz w:val="16"/>
                <w:szCs w:val="16"/>
              </w:rPr>
              <w:t xml:space="preserve">Terrain</w:t>
            </w:r>
          </w:p>
        </w:tc>
        <w:tc>
          <w:tcPr/>
          <w:p>
            <w:pPr>
              <w:pStyle w:val="Compact"/>
              <w:jc w:val="left"/>
              <w:rPr>
                <w:sz w:val="16"/>
                <w:szCs w:val="16"/>
              </w:rPr>
            </w:pPr>
            <w:r>
              <w:rPr>
                <w:sz w:val="16"/>
                <w:szCs w:val="16"/>
              </w:rPr>
              <w:t xml:space="preserve">Flight-window direct radiation</w:t>
            </w:r>
          </w:p>
        </w:tc>
        <w:tc>
          <w:tcPr/>
          <w:p>
            <w:pPr>
              <w:pStyle w:val="Compact"/>
              <w:jc w:val="left"/>
              <w:rPr>
                <w:sz w:val="16"/>
                <w:szCs w:val="16"/>
              </w:rPr>
            </w:pPr>
            <w:r>
              <w:rPr>
                <w:sz w:val="16"/>
                <w:szCs w:val="16"/>
              </w:rPr>
              <w:t xml:space="preserve">+0.487</w:t>
            </w:r>
          </w:p>
        </w:tc>
        <w:tc>
          <w:tcPr/>
          <w:p>
            <w:pPr>
              <w:pStyle w:val="Compact"/>
              <w:jc w:val="left"/>
              <w:rPr>
                <w:sz w:val="16"/>
                <w:szCs w:val="16"/>
              </w:rPr>
            </w:pPr>
            <w:r>
              <w:rPr>
                <w:sz w:val="16"/>
                <w:szCs w:val="16"/>
              </w:rPr>
              <w:t xml:space="preserve">17.2</w:t>
            </w:r>
          </w:p>
        </w:tc>
        <w:tc>
          <w:tcPr/>
          <w:p>
            <w:pPr>
              <w:pStyle w:val="Compact"/>
              <w:jc w:val="left"/>
              <w:rPr>
                <w:sz w:val="16"/>
                <w:szCs w:val="16"/>
              </w:rPr>
            </w:pPr>
            <w:r>
              <w:rPr>
                <w:sz w:val="16"/>
                <w:szCs w:val="16"/>
              </w:rPr>
              <w:t xml:space="preserve">&lt; 1e-16</w:t>
            </w:r>
          </w:p>
        </w:tc>
      </w:tr>
      <w:tr>
        <w:trPr>
          <w:trHeight w:val="340" w:hRule="exact"/>
        </w:trPr>
        <w:tc>
          <w:tcPr/>
          <w:p>
            <w:pPr>
              <w:pStyle w:val="Compact"/>
              <w:jc w:val="left"/>
              <w:rPr>
                <w:sz w:val="16"/>
                <w:szCs w:val="16"/>
              </w:rPr>
            </w:pPr>
          </w:p>
        </w:tc>
        <w:tc>
          <w:tcPr/>
          <w:p>
            <w:pPr>
              <w:pStyle w:val="Compact"/>
              <w:jc w:val="left"/>
              <w:rPr>
                <w:sz w:val="16"/>
                <w:szCs w:val="16"/>
              </w:rPr>
            </w:pPr>
            <w:r>
              <w:rPr>
                <w:sz w:val="16"/>
                <w:szCs w:val="16"/>
              </w:rPr>
              <w:t xml:space="preserve">Terrain ruggedness index</w:t>
            </w:r>
          </w:p>
        </w:tc>
        <w:tc>
          <w:tcPr/>
          <w:p>
            <w:pPr>
              <w:pStyle w:val="Compact"/>
              <w:jc w:val="left"/>
              <w:rPr>
                <w:sz w:val="16"/>
                <w:szCs w:val="16"/>
              </w:rPr>
            </w:pPr>
            <w:r>
              <w:rPr>
                <w:sz w:val="16"/>
                <w:szCs w:val="16"/>
              </w:rPr>
              <w:t xml:space="preserve">-0.036</w:t>
            </w:r>
          </w:p>
        </w:tc>
        <w:tc>
          <w:tcPr/>
          <w:p>
            <w:pPr>
              <w:pStyle w:val="Compact"/>
              <w:jc w:val="left"/>
              <w:rPr>
                <w:sz w:val="16"/>
                <w:szCs w:val="16"/>
              </w:rPr>
            </w:pPr>
            <w:r>
              <w:rPr>
                <w:sz w:val="16"/>
                <w:szCs w:val="16"/>
              </w:rPr>
              <w:t xml:space="preserve">-1.5</w:t>
            </w:r>
          </w:p>
        </w:tc>
        <w:tc>
          <w:tcPr/>
          <w:p>
            <w:pPr>
              <w:pStyle w:val="Compact"/>
              <w:jc w:val="left"/>
              <w:rPr>
                <w:sz w:val="16"/>
                <w:szCs w:val="16"/>
              </w:rPr>
            </w:pPr>
            <w:r>
              <w:rPr>
                <w:sz w:val="16"/>
                <w:szCs w:val="16"/>
              </w:rPr>
              <w:t xml:space="preserve">0.124</w:t>
            </w:r>
          </w:p>
        </w:tc>
      </w:tr>
      <w:tr>
        <w:trPr>
          <w:trHeight w:val="340" w:hRule="exact"/>
        </w:trPr>
        <w:tc>
          <w:tcPr/>
          <w:p>
            <w:pPr>
              <w:pStyle w:val="Compact"/>
              <w:jc w:val="left"/>
              <w:rPr>
                <w:sz w:val="16"/>
                <w:szCs w:val="16"/>
              </w:rPr>
            </w:pPr>
          </w:p>
        </w:tc>
        <w:tc>
          <w:tcPr/>
          <w:p>
            <w:pPr>
              <w:pStyle w:val="Compact"/>
              <w:jc w:val="left"/>
              <w:rPr>
                <w:sz w:val="16"/>
                <w:szCs w:val="16"/>
              </w:rPr>
            </w:pPr>
            <w:r>
              <w:rPr>
                <w:sz w:val="16"/>
                <w:szCs w:val="16"/>
              </w:rPr>
              <w:t xml:space="preserve">Windward-leeward index</w:t>
            </w:r>
          </w:p>
        </w:tc>
        <w:tc>
          <w:tcPr/>
          <w:p>
            <w:pPr>
              <w:pStyle w:val="Compact"/>
              <w:jc w:val="left"/>
              <w:rPr>
                <w:sz w:val="16"/>
                <w:szCs w:val="16"/>
              </w:rPr>
            </w:pPr>
            <w:r>
              <w:rPr>
                <w:sz w:val="16"/>
                <w:szCs w:val="16"/>
              </w:rPr>
              <w:t xml:space="preserve">+0.358</w:t>
            </w:r>
          </w:p>
        </w:tc>
        <w:tc>
          <w:tcPr/>
          <w:p>
            <w:pPr>
              <w:pStyle w:val="Compact"/>
              <w:jc w:val="left"/>
              <w:rPr>
                <w:sz w:val="16"/>
                <w:szCs w:val="16"/>
              </w:rPr>
            </w:pPr>
            <w:r>
              <w:rPr>
                <w:sz w:val="16"/>
                <w:szCs w:val="16"/>
              </w:rPr>
              <w:t xml:space="preserve">12.4</w:t>
            </w:r>
          </w:p>
        </w:tc>
        <w:tc>
          <w:tcPr/>
          <w:p>
            <w:pPr>
              <w:pStyle w:val="Compact"/>
              <w:jc w:val="left"/>
              <w:rPr>
                <w:sz w:val="16"/>
                <w:szCs w:val="16"/>
              </w:rPr>
            </w:pPr>
            <w:r>
              <w:rPr>
                <w:sz w:val="16"/>
                <w:szCs w:val="16"/>
              </w:rPr>
              <w:t xml:space="preserve">&lt; 1e-16</w:t>
            </w:r>
          </w:p>
        </w:tc>
      </w:tr>
      <w:tr>
        <w:trPr>
          <w:trHeight w:val="340" w:hRule="exact"/>
        </w:trPr>
        <w:tc>
          <w:tcPr/>
          <w:p>
            <w:pPr>
              <w:pStyle w:val="Compact"/>
              <w:jc w:val="left"/>
              <w:rPr>
                <w:sz w:val="16"/>
                <w:szCs w:val="16"/>
              </w:rPr>
            </w:pPr>
          </w:p>
        </w:tc>
        <w:tc>
          <w:tcPr/>
          <w:p>
            <w:pPr>
              <w:pStyle w:val="Compact"/>
              <w:jc w:val="left"/>
              <w:rPr>
                <w:sz w:val="16"/>
                <w:szCs w:val="16"/>
              </w:rPr>
            </w:pPr>
            <w:r>
              <w:rPr>
                <w:sz w:val="16"/>
                <w:szCs w:val="16"/>
              </w:rPr>
              <w:t xml:space="preserve">Elevation</w:t>
            </w:r>
          </w:p>
        </w:tc>
        <w:tc>
          <w:tcPr/>
          <w:p>
            <w:pPr>
              <w:pStyle w:val="Compact"/>
              <w:jc w:val="left"/>
              <w:rPr>
                <w:sz w:val="16"/>
                <w:szCs w:val="16"/>
              </w:rPr>
            </w:pPr>
            <w:r>
              <w:rPr>
                <w:sz w:val="16"/>
                <w:szCs w:val="16"/>
              </w:rPr>
              <w:t xml:space="preserve">+0.329</w:t>
            </w:r>
          </w:p>
        </w:tc>
        <w:tc>
          <w:tcPr/>
          <w:p>
            <w:pPr>
              <w:pStyle w:val="Compact"/>
              <w:jc w:val="left"/>
              <w:rPr>
                <w:sz w:val="16"/>
                <w:szCs w:val="16"/>
              </w:rPr>
            </w:pPr>
            <w:r>
              <w:rPr>
                <w:sz w:val="16"/>
                <w:szCs w:val="16"/>
              </w:rPr>
              <w:t xml:space="preserve">18.2</w:t>
            </w:r>
          </w:p>
        </w:tc>
        <w:tc>
          <w:tcPr/>
          <w:p>
            <w:pPr>
              <w:pStyle w:val="Compact"/>
              <w:jc w:val="left"/>
              <w:rPr>
                <w:sz w:val="16"/>
                <w:szCs w:val="16"/>
              </w:rPr>
            </w:pPr>
            <w:r>
              <w:rPr>
                <w:sz w:val="16"/>
                <w:szCs w:val="16"/>
              </w:rPr>
              <w:t xml:space="preserve">&lt; 1e-16</w:t>
            </w:r>
          </w:p>
        </w:tc>
      </w:tr>
      <w:tr>
        <w:trPr>
          <w:trHeight w:val="340" w:hRule="exact"/>
        </w:trPr>
        <w:tc>
          <w:tcPr/>
          <w:p>
            <w:pPr>
              <w:pStyle w:val="Compact"/>
              <w:jc w:val="left"/>
              <w:rPr>
                <w:sz w:val="16"/>
                <w:szCs w:val="16"/>
              </w:rPr>
            </w:pPr>
            <w:r>
              <w:rPr>
                <w:sz w:val="16"/>
                <w:szCs w:val="16"/>
              </w:rPr>
              <w:t xml:space="preserve">Radiation and exposure</w:t>
            </w:r>
          </w:p>
        </w:tc>
        <w:tc>
          <w:tcPr/>
          <w:p>
            <w:pPr>
              <w:pStyle w:val="Compact"/>
              <w:jc w:val="left"/>
              <w:rPr>
                <w:sz w:val="16"/>
                <w:szCs w:val="16"/>
              </w:rPr>
            </w:pPr>
            <w:r>
              <w:rPr>
                <w:sz w:val="16"/>
                <w:szCs w:val="16"/>
              </w:rPr>
              <w:t xml:space="preserve">Density x terrain exposure, no radiation</w:t>
            </w:r>
          </w:p>
        </w:tc>
        <w:tc>
          <w:tcPr/>
          <w:p>
            <w:pPr>
              <w:pStyle w:val="Compact"/>
              <w:jc w:val="left"/>
              <w:rPr>
                <w:sz w:val="16"/>
                <w:szCs w:val="16"/>
              </w:rPr>
            </w:pPr>
            <w:r>
              <w:rPr>
                <w:sz w:val="16"/>
                <w:szCs w:val="16"/>
              </w:rPr>
              <w:t xml:space="preserve">+0.311</w:t>
            </w:r>
          </w:p>
        </w:tc>
        <w:tc>
          <w:tcPr/>
          <w:p>
            <w:pPr>
              <w:pStyle w:val="Compact"/>
              <w:jc w:val="left"/>
              <w:rPr>
                <w:sz w:val="16"/>
                <w:szCs w:val="16"/>
              </w:rPr>
            </w:pPr>
            <w:r>
              <w:rPr>
                <w:sz w:val="16"/>
                <w:szCs w:val="16"/>
              </w:rPr>
              <w:t xml:space="preserve">19.2</w:t>
            </w:r>
          </w:p>
        </w:tc>
        <w:tc>
          <w:tcPr/>
          <w:p>
            <w:pPr>
              <w:pStyle w:val="Compact"/>
              <w:jc w:val="left"/>
              <w:rPr>
                <w:sz w:val="16"/>
                <w:szCs w:val="16"/>
              </w:rPr>
            </w:pPr>
            <w:r>
              <w:rPr>
                <w:sz w:val="16"/>
                <w:szCs w:val="16"/>
              </w:rPr>
              <w:t xml:space="preserve">&lt; 1e-16</w:t>
            </w:r>
          </w:p>
        </w:tc>
      </w:tr>
      <w:tr>
        <w:trPr>
          <w:trHeight w:val="340" w:hRule="exact"/>
        </w:trPr>
        <w:tc>
          <w:tcPr/>
          <w:p>
            <w:pPr>
              <w:pStyle w:val="Compact"/>
              <w:jc w:val="left"/>
              <w:rPr>
                <w:sz w:val="16"/>
                <w:szCs w:val="16"/>
              </w:rPr>
            </w:pPr>
          </w:p>
        </w:tc>
        <w:tc>
          <w:tcPr/>
          <w:p>
            <w:pPr>
              <w:pStyle w:val="Compact"/>
              <w:jc w:val="left"/>
              <w:rPr>
                <w:sz w:val="16"/>
                <w:szCs w:val="16"/>
              </w:rPr>
            </w:pPr>
            <w:r>
              <w:rPr>
                <w:sz w:val="16"/>
                <w:szCs w:val="16"/>
              </w:rPr>
              <w:t xml:space="preserve">Density x terrain exposure, with radiation</w:t>
            </w:r>
          </w:p>
        </w:tc>
        <w:tc>
          <w:tcPr/>
          <w:p>
            <w:pPr>
              <w:pStyle w:val="Compact"/>
              <w:jc w:val="left"/>
              <w:rPr>
                <w:sz w:val="16"/>
                <w:szCs w:val="16"/>
              </w:rPr>
            </w:pPr>
            <w:r>
              <w:rPr>
                <w:sz w:val="16"/>
                <w:szCs w:val="16"/>
              </w:rPr>
              <w:t xml:space="preserve">+0.221</w:t>
            </w:r>
          </w:p>
        </w:tc>
        <w:tc>
          <w:tcPr/>
          <w:p>
            <w:pPr>
              <w:pStyle w:val="Compact"/>
              <w:jc w:val="left"/>
              <w:rPr>
                <w:sz w:val="16"/>
                <w:szCs w:val="16"/>
              </w:rPr>
            </w:pPr>
            <w:r>
              <w:rPr>
                <w:sz w:val="16"/>
                <w:szCs w:val="16"/>
              </w:rPr>
              <w:t xml:space="preserve">10.6</w:t>
            </w:r>
          </w:p>
        </w:tc>
        <w:tc>
          <w:tcPr/>
          <w:p>
            <w:pPr>
              <w:pStyle w:val="Compact"/>
              <w:jc w:val="left"/>
              <w:rPr>
                <w:sz w:val="16"/>
                <w:szCs w:val="16"/>
              </w:rPr>
            </w:pPr>
            <w:r>
              <w:rPr>
                <w:sz w:val="16"/>
                <w:szCs w:val="16"/>
              </w:rPr>
              <w:t xml:space="preserve">&lt; 1e-16</w:t>
            </w:r>
          </w:p>
        </w:tc>
      </w:tr>
      <w:tr>
        <w:trPr>
          <w:trHeight w:val="340" w:hRule="exact"/>
        </w:trPr>
        <w:tc>
          <w:tcPr/>
          <w:p>
            <w:pPr>
              <w:pStyle w:val="Compact"/>
              <w:jc w:val="left"/>
              <w:rPr>
                <w:sz w:val="16"/>
                <w:szCs w:val="16"/>
              </w:rPr>
            </w:pPr>
            <w:r>
              <w:rPr>
                <w:sz w:val="16"/>
                <w:szCs w:val="16"/>
              </w:rPr>
              <w:t xml:space="preserve">Resolution decides the sign</w:t>
            </w:r>
          </w:p>
        </w:tc>
        <w:tc>
          <w:tcPr/>
          <w:p>
            <w:pPr>
              <w:pStyle w:val="Compact"/>
              <w:jc w:val="left"/>
              <w:rPr>
                <w:sz w:val="16"/>
                <w:szCs w:val="16"/>
              </w:rPr>
            </w:pPr>
            <w:r>
              <w:rPr>
                <w:sz w:val="16"/>
                <w:szCs w:val="16"/>
              </w:rPr>
              <w:t xml:space="preserve">Density x wind, annual (M5)</w:t>
            </w:r>
          </w:p>
        </w:tc>
        <w:tc>
          <w:tcPr/>
          <w:p>
            <w:pPr>
              <w:pStyle w:val="Compact"/>
              <w:jc w:val="left"/>
              <w:rPr>
                <w:sz w:val="16"/>
                <w:szCs w:val="16"/>
              </w:rPr>
            </w:pPr>
            <w:r>
              <w:rPr>
                <w:sz w:val="16"/>
                <w:szCs w:val="16"/>
              </w:rPr>
              <w:t xml:space="preserve">+0.031</w:t>
            </w:r>
          </w:p>
        </w:tc>
        <w:tc>
          <w:tcPr/>
          <w:p>
            <w:pPr>
              <w:pStyle w:val="Compact"/>
              <w:jc w:val="left"/>
              <w:rPr>
                <w:sz w:val="16"/>
                <w:szCs w:val="16"/>
              </w:rPr>
            </w:pPr>
            <w:r>
              <w:rPr>
                <w:sz w:val="16"/>
                <w:szCs w:val="16"/>
              </w:rPr>
              <w:t xml:space="preserve">2.1</w:t>
            </w:r>
          </w:p>
        </w:tc>
        <w:tc>
          <w:tcPr/>
          <w:p>
            <w:pPr>
              <w:pStyle w:val="Compact"/>
              <w:jc w:val="left"/>
              <w:rPr>
                <w:sz w:val="16"/>
                <w:szCs w:val="16"/>
              </w:rPr>
            </w:pPr>
            <w:r>
              <w:rPr>
                <w:sz w:val="16"/>
                <w:szCs w:val="16"/>
              </w:rPr>
              <w:t xml:space="preserve">0.0364</w:t>
            </w:r>
          </w:p>
        </w:tc>
      </w:tr>
      <w:tr>
        <w:trPr>
          <w:trHeight w:val="340" w:hRule="exact"/>
        </w:trPr>
        <w:tc>
          <w:tcPr/>
          <w:p>
            <w:pPr>
              <w:pStyle w:val="Compact"/>
              <w:jc w:val="left"/>
              <w:rPr>
                <w:sz w:val="16"/>
                <w:szCs w:val="16"/>
              </w:rPr>
            </w:pPr>
          </w:p>
        </w:tc>
        <w:tc>
          <w:tcPr/>
          <w:p>
            <w:pPr>
              <w:pStyle w:val="Compact"/>
              <w:jc w:val="left"/>
              <w:rPr>
                <w:sz w:val="16"/>
                <w:szCs w:val="16"/>
              </w:rPr>
            </w:pPr>
            <w:r>
              <w:rPr>
                <w:sz w:val="16"/>
                <w:szCs w:val="16"/>
              </w:rPr>
              <w:t xml:space="preserve">Stem density x wind, 16-day (E1)</w:t>
            </w:r>
          </w:p>
        </w:tc>
        <w:tc>
          <w:tcPr/>
          <w:p>
            <w:pPr>
              <w:pStyle w:val="Compact"/>
              <w:jc w:val="left"/>
              <w:rPr>
                <w:sz w:val="16"/>
                <w:szCs w:val="16"/>
              </w:rPr>
            </w:pPr>
            <w:r>
              <w:rPr>
                <w:sz w:val="16"/>
                <w:szCs w:val="16"/>
              </w:rPr>
              <w:t xml:space="preserve">-0.094</w:t>
            </w:r>
          </w:p>
        </w:tc>
        <w:tc>
          <w:tcPr/>
          <w:p>
            <w:pPr>
              <w:pStyle w:val="Compact"/>
              <w:jc w:val="left"/>
              <w:rPr>
                <w:sz w:val="16"/>
                <w:szCs w:val="16"/>
              </w:rPr>
            </w:pPr>
            <w:r>
              <w:rPr>
                <w:sz w:val="16"/>
                <w:szCs w:val="16"/>
              </w:rPr>
              <w:t xml:space="preserve">-11.7</w:t>
            </w:r>
          </w:p>
        </w:tc>
        <w:tc>
          <w:tcPr/>
          <w:p>
            <w:pPr>
              <w:pStyle w:val="Compact"/>
              <w:jc w:val="left"/>
              <w:rPr>
                <w:sz w:val="16"/>
                <w:szCs w:val="16"/>
              </w:rPr>
            </w:pPr>
            <w:r>
              <w:rPr>
                <w:sz w:val="16"/>
                <w:szCs w:val="16"/>
              </w:rPr>
              <w:t xml:space="preserve">&lt; 1e-16</w:t>
            </w:r>
          </w:p>
        </w:tc>
      </w:tr>
      <w:tr>
        <w:trPr>
          <w:trHeight w:val="340" w:hRule="exact"/>
        </w:trPr>
        <w:tc>
          <w:tcPr/>
          <w:p>
            <w:pPr>
              <w:pStyle w:val="Compact"/>
              <w:jc w:val="left"/>
              <w:rPr>
                <w:sz w:val="16"/>
                <w:szCs w:val="16"/>
              </w:rPr>
            </w:pPr>
          </w:p>
        </w:tc>
        <w:tc>
          <w:tcPr/>
          <w:p>
            <w:pPr>
              <w:pStyle w:val="Compact"/>
              <w:jc w:val="left"/>
              <w:rPr>
                <w:sz w:val="16"/>
                <w:szCs w:val="16"/>
              </w:rPr>
            </w:pPr>
            <w:r>
              <w:rPr>
                <w:sz w:val="16"/>
                <w:szCs w:val="16"/>
              </w:rPr>
              <w:t xml:space="preserve">Standing volume x wind, 16-day (E1)</w:t>
            </w:r>
          </w:p>
        </w:tc>
        <w:tc>
          <w:tcPr/>
          <w:p>
            <w:pPr>
              <w:pStyle w:val="Compact"/>
              <w:jc w:val="left"/>
              <w:rPr>
                <w:sz w:val="16"/>
                <w:szCs w:val="16"/>
              </w:rPr>
            </w:pPr>
            <w:r>
              <w:rPr>
                <w:sz w:val="16"/>
                <w:szCs w:val="16"/>
              </w:rPr>
              <w:t xml:space="preserve">-0.041</w:t>
            </w:r>
          </w:p>
        </w:tc>
        <w:tc>
          <w:tcPr/>
          <w:p>
            <w:pPr>
              <w:pStyle w:val="Compact"/>
              <w:jc w:val="left"/>
              <w:rPr>
                <w:sz w:val="16"/>
                <w:szCs w:val="16"/>
              </w:rPr>
            </w:pPr>
            <w:r>
              <w:rPr>
                <w:sz w:val="16"/>
                <w:szCs w:val="16"/>
              </w:rPr>
              <w:t xml:space="preserve">-5.0</w:t>
            </w:r>
          </w:p>
        </w:tc>
        <w:tc>
          <w:tcPr/>
          <w:p>
            <w:pPr>
              <w:pStyle w:val="Compact"/>
              <w:jc w:val="left"/>
              <w:rPr>
                <w:sz w:val="16"/>
                <w:szCs w:val="16"/>
              </w:rPr>
            </w:pPr>
            <w:r>
              <w:rPr>
                <w:sz w:val="16"/>
                <w:szCs w:val="16"/>
              </w:rPr>
              <w:t xml:space="preserve">4.91e-07</w:t>
            </w:r>
          </w:p>
        </w:tc>
      </w:tr>
      <w:tr>
        <w:trPr>
          <w:trHeight w:val="340" w:hRule="exact"/>
        </w:trPr>
        <w:tc>
          <w:tcPr/>
          <w:p>
            <w:pPr>
              <w:pStyle w:val="Compact"/>
              <w:jc w:val="left"/>
              <w:rPr>
                <w:sz w:val="16"/>
                <w:szCs w:val="16"/>
              </w:rPr>
            </w:pPr>
          </w:p>
        </w:tc>
        <w:tc>
          <w:tcPr/>
          <w:p>
            <w:pPr>
              <w:pStyle w:val="Compact"/>
              <w:jc w:val="left"/>
              <w:rPr>
                <w:sz w:val="16"/>
                <w:szCs w:val="16"/>
              </w:rPr>
            </w:pPr>
            <w:r>
              <w:rPr>
                <w:sz w:val="16"/>
                <w:szCs w:val="16"/>
              </w:rPr>
              <w:t xml:space="preserve">Standing volume x wind, 16-day with lag (E2)</w:t>
            </w:r>
          </w:p>
        </w:tc>
        <w:tc>
          <w:tcPr/>
          <w:p>
            <w:pPr>
              <w:pStyle w:val="Compact"/>
              <w:jc w:val="left"/>
              <w:rPr>
                <w:sz w:val="16"/>
                <w:szCs w:val="16"/>
              </w:rPr>
            </w:pPr>
            <w:r>
              <w:rPr>
                <w:sz w:val="16"/>
                <w:szCs w:val="16"/>
              </w:rPr>
              <w:t xml:space="preserve">-0.039</w:t>
            </w:r>
          </w:p>
        </w:tc>
        <w:tc>
          <w:tcPr/>
          <w:p>
            <w:pPr>
              <w:pStyle w:val="Compact"/>
              <w:jc w:val="left"/>
              <w:rPr>
                <w:sz w:val="16"/>
                <w:szCs w:val="16"/>
              </w:rPr>
            </w:pPr>
            <w:r>
              <w:rPr>
                <w:sz w:val="16"/>
                <w:szCs w:val="16"/>
              </w:rPr>
              <w:t xml:space="preserve">-2.7</w:t>
            </w:r>
          </w:p>
        </w:tc>
        <w:tc>
          <w:tcPr/>
          <w:p>
            <w:pPr>
              <w:pStyle w:val="Compact"/>
              <w:jc w:val="left"/>
              <w:rPr>
                <w:sz w:val="16"/>
                <w:szCs w:val="16"/>
              </w:rPr>
            </w:pPr>
            <w:r>
              <w:rPr>
                <w:sz w:val="16"/>
                <w:szCs w:val="16"/>
              </w:rPr>
              <w:t xml:space="preserve">0.00726</w:t>
            </w:r>
          </w:p>
        </w:tc>
      </w:tr>
    </w:tbl>
    <w:bookmarkEnd w:id="31"/>
    <w:bookmarkStart w:id="37" w:name="supporting-information"/>
    <w:p>
      <w:pPr>
        <w:pStyle w:val="Heading1"/>
      </w:pPr>
      <w:r>
        <w:t xml:space="preserve">Supporting information</w:t>
      </w:r>
    </w:p>
    <w:p>
      <w:pPr>
        <w:pStyle w:val="FirstParagraph"/>
      </w:pPr>
      <w:r>
        <w:t xml:space="preserve">Five components accompany this paper and are supplied as stand-alone documents at</w:t>
      </w:r>
      <w:r>
        <w:t xml:space="preserve"> </w:t>
      </w:r>
      <w:r>
        <w:t xml:space="preserve">submission. They are reproduced below for review.</w:t>
      </w:r>
    </w:p>
    <w:bookmarkStart w:id="32" w:name="appendix-s1"/>
    <w:p>
      <w:pPr>
        <w:pStyle w:val="Heading2"/>
      </w:pPr>
      <w:r>
        <w:t xml:space="preserve">5.1 Appendix S1</w:t>
      </w:r>
    </w:p>
    <w:p>
      <w:pPr>
        <w:pStyle w:val="TableCaption"/>
      </w:pPr>
      <w:r>
        <w:rPr>
          <w:b/>
          <w:bCs/>
        </w:rPr>
        <w:t xml:space="preserve">Appendix S1.</w:t>
      </w:r>
      <w:r>
        <w:t xml:space="preserve"> </w:t>
      </w:r>
      <w:r>
        <w:t xml:space="preserve">Landscape attributes entered in this study, the direction expected of each, and the reasoning behind that expectation.</w:t>
      </w:r>
    </w:p>
    <w:tbl>
      <w:tblPr>
        <w:tblStyle w:val="Table"/>
        <w:tblLook w:firstRow="1" w:lastRow="0" w:firstColumn="0" w:lastColumn="0" w:noHBand="0" w:noVBand="0" w:val="0020"/>
        <w:tblCaption w:val="Appendix S1. Landscape attributes entered in this study, the direction expected of each, and the reasoning behind that expectation."/>
        <w:tblW w:w="9354" w:type="dxa"/>
        <w:tblLayout w:type="fixed"/>
      </w:tblPr>
      <w:tblGrid>
        <w:gridCol w:w="2039"/>
        <w:gridCol w:w="1239"/>
        <w:gridCol w:w="6076"/>
      </w:tblGrid>
      <w:tr>
        <w:trPr>
          <w:tblHeader w:val="on"/>
          <w:trHeight w:val="624" w:hRule="exact"/>
        </w:trPr>
        <w:tc>
          <w:tcPr/>
          <w:p>
            <w:pPr>
              <w:pStyle w:val="Compact"/>
              <w:jc w:val="left"/>
              <w:rPr>
                <w:sz w:val="16"/>
                <w:szCs w:val="16"/>
              </w:rPr>
            </w:pPr>
            <w:r>
              <w:rPr>
                <w:sz w:val="16"/>
                <w:szCs w:val="16"/>
              </w:rPr>
              <w:t xml:space="preserve">Attribute</w:t>
            </w:r>
          </w:p>
        </w:tc>
        <w:tc>
          <w:tcPr/>
          <w:p>
            <w:pPr>
              <w:pStyle w:val="Compact"/>
              <w:jc w:val="left"/>
              <w:rPr>
                <w:sz w:val="16"/>
                <w:szCs w:val="16"/>
              </w:rPr>
            </w:pPr>
            <w:r>
              <w:rPr>
                <w:sz w:val="16"/>
                <w:szCs w:val="16"/>
              </w:rPr>
              <w:t xml:space="preserve">Expected</w:t>
            </w:r>
          </w:p>
        </w:tc>
        <w:tc>
          <w:tcPr/>
          <w:p>
            <w:pPr>
              <w:pStyle w:val="Compact"/>
              <w:jc w:val="left"/>
              <w:rPr>
                <w:sz w:val="16"/>
                <w:szCs w:val="16"/>
              </w:rPr>
            </w:pPr>
            <w:r>
              <w:rPr>
                <w:sz w:val="16"/>
                <w:szCs w:val="16"/>
              </w:rPr>
              <w:t xml:space="preserve">Rationale</w:t>
            </w:r>
          </w:p>
        </w:tc>
      </w:tr>
      <w:tr>
        <w:trPr>
          <w:trHeight w:val="340" w:hRule="exact"/>
        </w:trPr>
        <w:tc>
          <w:tcPr/>
          <w:p>
            <w:pPr>
              <w:pStyle w:val="Compact"/>
              <w:jc w:val="left"/>
              <w:rPr>
                <w:sz w:val="16"/>
                <w:szCs w:val="16"/>
              </w:rPr>
            </w:pPr>
            <w:r>
              <w:rPr>
                <w:sz w:val="16"/>
                <w:szCs w:val="16"/>
              </w:rPr>
              <w:t xml:space="preserve">Stand basal area, volume, crown closure, stems</w:t>
            </w:r>
          </w:p>
        </w:tc>
        <w:tc>
          <w:tcPr/>
          <w:p>
            <w:pPr>
              <w:pStyle w:val="Compact"/>
              <w:jc w:val="left"/>
              <w:rPr>
                <w:sz w:val="16"/>
                <w:szCs w:val="16"/>
              </w:rPr>
            </w:pPr>
            <w:r>
              <w:rPr>
                <w:sz w:val="16"/>
                <w:szCs w:val="16"/>
              </w:rPr>
              <w:t xml:space="preserve">positive</w:t>
            </w:r>
          </w:p>
        </w:tc>
        <w:tc>
          <w:tcPr/>
          <w:p>
            <w:pPr>
              <w:pStyle w:val="Compact"/>
              <w:jc w:val="left"/>
              <w:rPr>
                <w:sz w:val="16"/>
                <w:szCs w:val="16"/>
              </w:rPr>
            </w:pPr>
            <w:r>
              <w:rPr>
                <w:sz w:val="16"/>
                <w:szCs w:val="16"/>
              </w:rPr>
              <w:t xml:space="preserve">Denser canopy holds the pheromone plume together; thinner stands admit wind that disperses it</w:t>
            </w:r>
            <w:r>
              <w:rPr>
                <w:sz w:val="16"/>
                <w:szCs w:val="16"/>
              </w:rPr>
              <w:t xml:space="preserve"> </w:t>
            </w:r>
            <w:r>
              <w:rPr>
                <w:sz w:val="16"/>
                <w:szCs w:val="16"/>
              </w:rPr>
              <w:t xml:space="preserve">(Powell and Bentz 2014; Cartwright 2018; Krawchuk</w:t>
            </w:r>
            <w:r>
              <w:rPr>
                <w:sz w:val="16"/>
                <w:szCs w:val="16"/>
              </w:rPr>
              <w:t xml:space="preserve"> </w:t>
            </w:r>
            <w:r>
              <w:rPr>
                <w:i/>
                <w:iCs/>
                <w:sz w:val="16"/>
                <w:szCs w:val="16"/>
              </w:rPr>
              <w:t xml:space="preserve">et al.</w:t>
            </w:r>
            <w:r>
              <w:rPr>
                <w:sz w:val="16"/>
                <w:szCs w:val="16"/>
              </w:rPr>
              <w:t xml:space="preserve"> </w:t>
            </w:r>
            <w:r>
              <w:rPr>
                <w:sz w:val="16"/>
                <w:szCs w:val="16"/>
              </w:rPr>
              <w:t xml:space="preserve">2020)</w:t>
            </w:r>
            <w:r>
              <w:rPr>
                <w:sz w:val="16"/>
                <w:szCs w:val="16"/>
              </w:rPr>
              <w:t xml:space="preserve">.</w:t>
            </w:r>
          </w:p>
        </w:tc>
      </w:tr>
      <w:tr>
        <w:trPr>
          <w:trHeight w:val="340" w:hRule="exact"/>
        </w:trPr>
        <w:tc>
          <w:tcPr/>
          <w:p>
            <w:pPr>
              <w:pStyle w:val="Compact"/>
              <w:jc w:val="left"/>
              <w:rPr>
                <w:sz w:val="16"/>
                <w:szCs w:val="16"/>
              </w:rPr>
            </w:pPr>
            <w:r>
              <w:rPr>
                <w:sz w:val="16"/>
                <w:szCs w:val="16"/>
              </w:rPr>
              <w:t xml:space="preserve">Quadratic mean diameter</w:t>
            </w:r>
          </w:p>
        </w:tc>
        <w:tc>
          <w:tcPr/>
          <w:p>
            <w:pPr>
              <w:pStyle w:val="Compact"/>
              <w:jc w:val="left"/>
              <w:rPr>
                <w:sz w:val="16"/>
                <w:szCs w:val="16"/>
              </w:rPr>
            </w:pPr>
            <w:r>
              <w:rPr>
                <w:sz w:val="16"/>
                <w:szCs w:val="16"/>
              </w:rPr>
              <w:t xml:space="preserve">positive above 25 cm</w:t>
            </w:r>
          </w:p>
        </w:tc>
        <w:tc>
          <w:tcPr/>
          <w:p>
            <w:pPr>
              <w:pStyle w:val="Compact"/>
              <w:jc w:val="left"/>
              <w:rPr>
                <w:sz w:val="16"/>
                <w:szCs w:val="16"/>
              </w:rPr>
            </w:pPr>
            <w:r>
              <w:rPr>
                <w:sz w:val="16"/>
                <w:szCs w:val="16"/>
              </w:rPr>
              <w:t xml:space="preserve">Trees under 25 cm are beetle sinks, over 25 cm are sources</w:t>
            </w:r>
            <w:r>
              <w:rPr>
                <w:sz w:val="16"/>
                <w:szCs w:val="16"/>
              </w:rPr>
              <w:t xml:space="preserve"> </w:t>
            </w:r>
            <w:r>
              <w:rPr>
                <w:sz w:val="16"/>
                <w:szCs w:val="16"/>
              </w:rPr>
              <w:t xml:space="preserve">(Carroll and Safranyik 2004)</w:t>
            </w:r>
            <w:r>
              <w:rPr>
                <w:sz w:val="16"/>
                <w:szCs w:val="16"/>
              </w:rPr>
              <w:t xml:space="preserve">.</w:t>
            </w:r>
          </w:p>
        </w:tc>
      </w:tr>
      <w:tr>
        <w:trPr>
          <w:trHeight w:val="340" w:hRule="exact"/>
        </w:trPr>
        <w:tc>
          <w:tcPr/>
          <w:p>
            <w:pPr>
              <w:pStyle w:val="Compact"/>
              <w:jc w:val="left"/>
              <w:rPr>
                <w:sz w:val="16"/>
                <w:szCs w:val="16"/>
              </w:rPr>
            </w:pPr>
            <w:r>
              <w:rPr>
                <w:sz w:val="16"/>
                <w:szCs w:val="16"/>
              </w:rPr>
              <w:t xml:space="preserve">Lodgepole pine cover and basal area</w:t>
            </w:r>
          </w:p>
        </w:tc>
        <w:tc>
          <w:tcPr/>
          <w:p>
            <w:pPr>
              <w:pStyle w:val="Compact"/>
              <w:jc w:val="left"/>
              <w:rPr>
                <w:sz w:val="16"/>
                <w:szCs w:val="16"/>
              </w:rPr>
            </w:pPr>
            <w:r>
              <w:rPr>
                <w:sz w:val="16"/>
                <w:szCs w:val="16"/>
              </w:rPr>
              <w:t xml:space="preserve">positive</w:t>
            </w:r>
          </w:p>
        </w:tc>
        <w:tc>
          <w:tcPr/>
          <w:p>
            <w:pPr>
              <w:pStyle w:val="Compact"/>
              <w:jc w:val="left"/>
              <w:rPr>
                <w:sz w:val="16"/>
                <w:szCs w:val="16"/>
              </w:rPr>
            </w:pPr>
            <w:r>
              <w:rPr>
                <w:sz w:val="16"/>
                <w:szCs w:val="16"/>
              </w:rPr>
              <w:t xml:space="preserve">Attack cannot occur where the host is absent; a cell without pine is not a refugium</w:t>
            </w:r>
            <w:r>
              <w:rPr>
                <w:sz w:val="16"/>
                <w:szCs w:val="16"/>
              </w:rPr>
              <w:t xml:space="preserve"> </w:t>
            </w:r>
            <w:r>
              <w:rPr>
                <w:sz w:val="16"/>
                <w:szCs w:val="16"/>
              </w:rPr>
              <w:t xml:space="preserve">(Cartwright 2018)</w:t>
            </w:r>
            <w:r>
              <w:rPr>
                <w:sz w:val="16"/>
                <w:szCs w:val="16"/>
              </w:rPr>
              <w:t xml:space="preserve">.</w:t>
            </w:r>
          </w:p>
        </w:tc>
      </w:tr>
      <w:tr>
        <w:trPr>
          <w:trHeight w:val="340" w:hRule="exact"/>
        </w:trPr>
        <w:tc>
          <w:tcPr/>
          <w:p>
            <w:pPr>
              <w:pStyle w:val="Compact"/>
              <w:jc w:val="left"/>
              <w:rPr>
                <w:sz w:val="16"/>
                <w:szCs w:val="16"/>
              </w:rPr>
            </w:pPr>
            <w:r>
              <w:rPr>
                <w:sz w:val="16"/>
                <w:szCs w:val="16"/>
              </w:rPr>
              <w:t xml:space="preserve">Flight-period direct radiation</w:t>
            </w:r>
          </w:p>
        </w:tc>
        <w:tc>
          <w:tcPr/>
          <w:p>
            <w:pPr>
              <w:pStyle w:val="Compact"/>
              <w:jc w:val="left"/>
              <w:rPr>
                <w:sz w:val="16"/>
                <w:szCs w:val="16"/>
              </w:rPr>
            </w:pPr>
            <w:r>
              <w:rPr>
                <w:sz w:val="16"/>
                <w:szCs w:val="16"/>
              </w:rPr>
              <w:t xml:space="preserve">positive</w:t>
            </w:r>
          </w:p>
        </w:tc>
        <w:tc>
          <w:tcPr/>
          <w:p>
            <w:pPr>
              <w:pStyle w:val="Compact"/>
              <w:jc w:val="left"/>
              <w:rPr>
                <w:sz w:val="16"/>
                <w:szCs w:val="16"/>
              </w:rPr>
            </w:pPr>
            <w:r>
              <w:rPr>
                <w:sz w:val="16"/>
                <w:szCs w:val="16"/>
              </w:rPr>
              <w:t xml:space="preserve">Flight is gated between 19 and 41 degrees C and peaks on bright afternoons, so sunlit slopes are reachable</w:t>
            </w:r>
            <w:r>
              <w:rPr>
                <w:sz w:val="16"/>
                <w:szCs w:val="16"/>
              </w:rPr>
              <w:t xml:space="preserve"> </w:t>
            </w:r>
            <w:r>
              <w:rPr>
                <w:sz w:val="16"/>
                <w:szCs w:val="16"/>
              </w:rPr>
              <w:t xml:space="preserve">(McCambridge 1971; Safranyik and Carroll 2006)</w:t>
            </w:r>
            <w:r>
              <w:rPr>
                <w:sz w:val="16"/>
                <w:szCs w:val="16"/>
              </w:rPr>
              <w:t xml:space="preserve">.</w:t>
            </w:r>
          </w:p>
        </w:tc>
      </w:tr>
      <w:tr>
        <w:trPr>
          <w:trHeight w:val="340" w:hRule="exact"/>
        </w:trPr>
        <w:tc>
          <w:tcPr/>
          <w:p>
            <w:pPr>
              <w:pStyle w:val="Compact"/>
              <w:jc w:val="left"/>
              <w:rPr>
                <w:sz w:val="16"/>
                <w:szCs w:val="16"/>
              </w:rPr>
            </w:pPr>
            <w:r>
              <w:rPr>
                <w:sz w:val="16"/>
                <w:szCs w:val="16"/>
              </w:rPr>
              <w:t xml:space="preserve">Growing-season direct radiation</w:t>
            </w:r>
          </w:p>
        </w:tc>
        <w:tc>
          <w:tcPr/>
          <w:p>
            <w:pPr>
              <w:pStyle w:val="Compact"/>
              <w:jc w:val="left"/>
              <w:rPr>
                <w:sz w:val="16"/>
                <w:szCs w:val="16"/>
              </w:rPr>
            </w:pPr>
            <w:r>
              <w:rPr>
                <w:sz w:val="16"/>
                <w:szCs w:val="16"/>
              </w:rPr>
              <w:t xml:space="preserve">negative</w:t>
            </w:r>
          </w:p>
        </w:tc>
        <w:tc>
          <w:tcPr/>
          <w:p>
            <w:pPr>
              <w:pStyle w:val="Compact"/>
              <w:jc w:val="left"/>
              <w:rPr>
                <w:sz w:val="16"/>
                <w:szCs w:val="16"/>
              </w:rPr>
            </w:pPr>
            <w:r>
              <w:rPr>
                <w:sz w:val="16"/>
                <w:szCs w:val="16"/>
              </w:rPr>
              <w:t xml:space="preserve">Shading cools, relieving water stress and funding defence, and cool sites also push the beetle toward a two-year cycle</w:t>
            </w:r>
            <w:r>
              <w:rPr>
                <w:sz w:val="16"/>
                <w:szCs w:val="16"/>
              </w:rPr>
              <w:t xml:space="preserve"> </w:t>
            </w:r>
            <w:r>
              <w:rPr>
                <w:sz w:val="16"/>
                <w:szCs w:val="16"/>
              </w:rPr>
              <w:t xml:space="preserve">(Krawchuk</w:t>
            </w:r>
            <w:r>
              <w:rPr>
                <w:sz w:val="16"/>
                <w:szCs w:val="16"/>
              </w:rPr>
              <w:t xml:space="preserve"> </w:t>
            </w:r>
            <w:r>
              <w:rPr>
                <w:i/>
                <w:iCs/>
                <w:sz w:val="16"/>
                <w:szCs w:val="16"/>
              </w:rPr>
              <w:t xml:space="preserve">et al.</w:t>
            </w:r>
            <w:r>
              <w:rPr>
                <w:sz w:val="16"/>
                <w:szCs w:val="16"/>
              </w:rPr>
              <w:t xml:space="preserve"> </w:t>
            </w:r>
            <w:r>
              <w:rPr>
                <w:sz w:val="16"/>
                <w:szCs w:val="16"/>
              </w:rPr>
              <w:t xml:space="preserve">2020; Sambaraju and Goodsman 2021)</w:t>
            </w:r>
            <w:r>
              <w:rPr>
                <w:sz w:val="16"/>
                <w:szCs w:val="16"/>
              </w:rPr>
              <w:t xml:space="preserve">.</w:t>
            </w:r>
          </w:p>
        </w:tc>
      </w:tr>
      <w:tr>
        <w:trPr>
          <w:trHeight w:val="340" w:hRule="exact"/>
        </w:trPr>
        <w:tc>
          <w:tcPr/>
          <w:p>
            <w:pPr>
              <w:pStyle w:val="Compact"/>
              <w:jc w:val="left"/>
              <w:rPr>
                <w:sz w:val="16"/>
                <w:szCs w:val="16"/>
              </w:rPr>
            </w:pPr>
            <w:r>
              <w:rPr>
                <w:sz w:val="16"/>
                <w:szCs w:val="16"/>
              </w:rPr>
              <w:t xml:space="preserve">Terrain exposure to wind</w:t>
            </w:r>
          </w:p>
        </w:tc>
        <w:tc>
          <w:tcPr/>
          <w:p>
            <w:pPr>
              <w:pStyle w:val="Compact"/>
              <w:jc w:val="left"/>
              <w:rPr>
                <w:sz w:val="16"/>
                <w:szCs w:val="16"/>
              </w:rPr>
            </w:pPr>
            <w:r>
              <w:rPr>
                <w:sz w:val="16"/>
                <w:szCs w:val="16"/>
              </w:rPr>
              <w:t xml:space="preserve">negative</w:t>
            </w:r>
          </w:p>
        </w:tc>
        <w:tc>
          <w:tcPr/>
          <w:p>
            <w:pPr>
              <w:pStyle w:val="Compact"/>
              <w:jc w:val="left"/>
              <w:rPr>
                <w:sz w:val="16"/>
                <w:szCs w:val="16"/>
              </w:rPr>
            </w:pPr>
            <w:r>
              <w:rPr>
                <w:sz w:val="16"/>
                <w:szCs w:val="16"/>
              </w:rPr>
              <w:t xml:space="preserve">Wind disrupts the pheromone plume, so exposed ground should carry less attack</w:t>
            </w:r>
            <w:r>
              <w:rPr>
                <w:sz w:val="16"/>
                <w:szCs w:val="16"/>
              </w:rPr>
              <w:t xml:space="preserve"> </w:t>
            </w:r>
            <w:r>
              <w:rPr>
                <w:sz w:val="16"/>
                <w:szCs w:val="16"/>
              </w:rPr>
              <w:t xml:space="preserve">(Krawchuk</w:t>
            </w:r>
            <w:r>
              <w:rPr>
                <w:sz w:val="16"/>
                <w:szCs w:val="16"/>
              </w:rPr>
              <w:t xml:space="preserve"> </w:t>
            </w:r>
            <w:r>
              <w:rPr>
                <w:i/>
                <w:iCs/>
                <w:sz w:val="16"/>
                <w:szCs w:val="16"/>
              </w:rPr>
              <w:t xml:space="preserve">et al.</w:t>
            </w:r>
            <w:r>
              <w:rPr>
                <w:sz w:val="16"/>
                <w:szCs w:val="16"/>
              </w:rPr>
              <w:t xml:space="preserve"> </w:t>
            </w:r>
            <w:r>
              <w:rPr>
                <w:sz w:val="16"/>
                <w:szCs w:val="16"/>
              </w:rPr>
              <w:t xml:space="preserve">2020)</w:t>
            </w:r>
            <w:r>
              <w:rPr>
                <w:sz w:val="16"/>
                <w:szCs w:val="16"/>
              </w:rPr>
              <w:t xml:space="preserve">.</w:t>
            </w:r>
          </w:p>
        </w:tc>
      </w:tr>
      <w:tr>
        <w:trPr>
          <w:trHeight w:val="340" w:hRule="exact"/>
        </w:trPr>
        <w:tc>
          <w:tcPr/>
          <w:p>
            <w:pPr>
              <w:pStyle w:val="Compact"/>
              <w:jc w:val="left"/>
              <w:rPr>
                <w:sz w:val="16"/>
                <w:szCs w:val="16"/>
              </w:rPr>
            </w:pPr>
            <w:r>
              <w:rPr>
                <w:sz w:val="16"/>
                <w:szCs w:val="16"/>
              </w:rPr>
              <w:t xml:space="preserve">Terrain ruggedness</w:t>
            </w:r>
          </w:p>
        </w:tc>
        <w:tc>
          <w:tcPr/>
          <w:p>
            <w:pPr>
              <w:pStyle w:val="Compact"/>
              <w:jc w:val="left"/>
              <w:rPr>
                <w:sz w:val="16"/>
                <w:szCs w:val="16"/>
              </w:rPr>
            </w:pPr>
            <w:r>
              <w:rPr>
                <w:sz w:val="16"/>
                <w:szCs w:val="16"/>
              </w:rPr>
              <w:t xml:space="preserve">uncertain</w:t>
            </w:r>
          </w:p>
        </w:tc>
        <w:tc>
          <w:tcPr/>
          <w:p>
            <w:pPr>
              <w:pStyle w:val="Compact"/>
              <w:jc w:val="left"/>
              <w:rPr>
                <w:sz w:val="16"/>
                <w:szCs w:val="16"/>
              </w:rPr>
            </w:pPr>
            <w:r>
              <w:rPr>
                <w:sz w:val="16"/>
                <w:szCs w:val="16"/>
              </w:rPr>
              <w:t xml:space="preserve">The strongest terrain term in the companion study on this landscape, but fitted there against regeneration rather than attack</w:t>
            </w:r>
            <w:r>
              <w:rPr>
                <w:sz w:val="16"/>
                <w:szCs w:val="16"/>
              </w:rPr>
              <w:t xml:space="preserve"> </w:t>
            </w:r>
            <w:r>
              <w:rPr>
                <w:sz w:val="16"/>
                <w:szCs w:val="16"/>
              </w:rPr>
              <w:t xml:space="preserve">(Murphy</w:t>
            </w:r>
            <w:r>
              <w:rPr>
                <w:sz w:val="16"/>
                <w:szCs w:val="16"/>
              </w:rPr>
              <w:t xml:space="preserve"> </w:t>
            </w:r>
            <w:r>
              <w:rPr>
                <w:i/>
                <w:iCs/>
                <w:sz w:val="16"/>
                <w:szCs w:val="16"/>
              </w:rPr>
              <w:t xml:space="preserve">et al.</w:t>
            </w:r>
            <w:r>
              <w:rPr>
                <w:sz w:val="16"/>
                <w:szCs w:val="16"/>
              </w:rPr>
              <w:t xml:space="preserve"> </w:t>
            </w:r>
            <w:r>
              <w:rPr>
                <w:sz w:val="16"/>
                <w:szCs w:val="16"/>
              </w:rPr>
              <w:t xml:space="preserve">2026)</w:t>
            </w:r>
            <w:r>
              <w:rPr>
                <w:sz w:val="16"/>
                <w:szCs w:val="16"/>
              </w:rPr>
              <w:t xml:space="preserve">.</w:t>
            </w:r>
          </w:p>
        </w:tc>
      </w:tr>
      <w:tr>
        <w:trPr>
          <w:trHeight w:val="340" w:hRule="exact"/>
        </w:trPr>
        <w:tc>
          <w:tcPr/>
          <w:p>
            <w:pPr>
              <w:pStyle w:val="Compact"/>
              <w:jc w:val="left"/>
              <w:rPr>
                <w:sz w:val="16"/>
                <w:szCs w:val="16"/>
              </w:rPr>
            </w:pPr>
            <w:r>
              <w:rPr>
                <w:sz w:val="16"/>
                <w:szCs w:val="16"/>
              </w:rPr>
              <w:t xml:space="preserve">Convergence, wetness, valley depth, slope position</w:t>
            </w:r>
          </w:p>
        </w:tc>
        <w:tc>
          <w:tcPr/>
          <w:p>
            <w:pPr>
              <w:pStyle w:val="Compact"/>
              <w:jc w:val="left"/>
              <w:rPr>
                <w:sz w:val="16"/>
                <w:szCs w:val="16"/>
              </w:rPr>
            </w:pPr>
            <w:r>
              <w:rPr>
                <w:sz w:val="16"/>
                <w:szCs w:val="16"/>
              </w:rPr>
              <w:t xml:space="preserve">positive in convergent terrain</w:t>
            </w:r>
          </w:p>
        </w:tc>
        <w:tc>
          <w:tcPr/>
          <w:p>
            <w:pPr>
              <w:pStyle w:val="Compact"/>
              <w:jc w:val="left"/>
              <w:rPr>
                <w:sz w:val="16"/>
                <w:szCs w:val="16"/>
              </w:rPr>
            </w:pPr>
            <w:r>
              <w:rPr>
                <w:sz w:val="16"/>
                <w:szCs w:val="16"/>
              </w:rPr>
              <w:t xml:space="preserve">Infested groups gather in draws and gullies, and deep snow insulates overwintering brood</w:t>
            </w:r>
            <w:r>
              <w:rPr>
                <w:sz w:val="16"/>
                <w:szCs w:val="16"/>
              </w:rPr>
              <w:t xml:space="preserve"> </w:t>
            </w:r>
            <w:r>
              <w:rPr>
                <w:sz w:val="16"/>
                <w:szCs w:val="16"/>
              </w:rPr>
              <w:t xml:space="preserve">(Safranyik and Carroll 2006)</w:t>
            </w:r>
            <w:r>
              <w:rPr>
                <w:sz w:val="16"/>
                <w:szCs w:val="16"/>
              </w:rPr>
              <w:t xml:space="preserve">.</w:t>
            </w:r>
          </w:p>
        </w:tc>
      </w:tr>
      <w:tr>
        <w:trPr>
          <w:trHeight w:val="340" w:hRule="exact"/>
        </w:trPr>
        <w:tc>
          <w:tcPr/>
          <w:p>
            <w:pPr>
              <w:pStyle w:val="Compact"/>
              <w:jc w:val="left"/>
              <w:rPr>
                <w:sz w:val="16"/>
                <w:szCs w:val="16"/>
              </w:rPr>
            </w:pPr>
            <w:r>
              <w:rPr>
                <w:sz w:val="16"/>
                <w:szCs w:val="16"/>
              </w:rPr>
              <w:t xml:space="preserve">Flight-period wind speed</w:t>
            </w:r>
          </w:p>
        </w:tc>
        <w:tc>
          <w:tcPr/>
          <w:p>
            <w:pPr>
              <w:pStyle w:val="Compact"/>
              <w:jc w:val="left"/>
              <w:rPr>
                <w:sz w:val="16"/>
                <w:szCs w:val="16"/>
              </w:rPr>
            </w:pPr>
            <w:r>
              <w:rPr>
                <w:sz w:val="16"/>
                <w:szCs w:val="16"/>
              </w:rPr>
              <w:t xml:space="preserve">negative</w:t>
            </w:r>
          </w:p>
        </w:tc>
        <w:tc>
          <w:tcPr/>
          <w:p>
            <w:pPr>
              <w:pStyle w:val="Compact"/>
              <w:jc w:val="left"/>
              <w:rPr>
                <w:sz w:val="16"/>
                <w:szCs w:val="16"/>
              </w:rPr>
            </w:pPr>
            <w:r>
              <w:rPr>
                <w:sz w:val="16"/>
                <w:szCs w:val="16"/>
              </w:rPr>
              <w:t xml:space="preserve">The mechanism acts during dispersal, and no study specifies the interval, so it is taken at the flight period</w:t>
            </w:r>
            <w:r>
              <w:rPr>
                <w:sz w:val="16"/>
                <w:szCs w:val="16"/>
              </w:rPr>
              <w:t xml:space="preserve"> </w:t>
            </w:r>
            <w:r>
              <w:rPr>
                <w:sz w:val="16"/>
                <w:szCs w:val="16"/>
              </w:rPr>
              <w:t xml:space="preserve">(Jones</w:t>
            </w:r>
            <w:r>
              <w:rPr>
                <w:sz w:val="16"/>
                <w:szCs w:val="16"/>
              </w:rPr>
              <w:t xml:space="preserve"> </w:t>
            </w:r>
            <w:r>
              <w:rPr>
                <w:i/>
                <w:iCs/>
                <w:sz w:val="16"/>
                <w:szCs w:val="16"/>
              </w:rPr>
              <w:t xml:space="preserve">et al.</w:t>
            </w:r>
            <w:r>
              <w:rPr>
                <w:sz w:val="16"/>
                <w:szCs w:val="16"/>
              </w:rPr>
              <w:t xml:space="preserve"> </w:t>
            </w:r>
            <w:r>
              <w:rPr>
                <w:sz w:val="16"/>
                <w:szCs w:val="16"/>
              </w:rPr>
              <w:t xml:space="preserve">2019; Krawchuk</w:t>
            </w:r>
            <w:r>
              <w:rPr>
                <w:sz w:val="16"/>
                <w:szCs w:val="16"/>
              </w:rPr>
              <w:t xml:space="preserve"> </w:t>
            </w:r>
            <w:r>
              <w:rPr>
                <w:i/>
                <w:iCs/>
                <w:sz w:val="16"/>
                <w:szCs w:val="16"/>
              </w:rPr>
              <w:t xml:space="preserve">et al.</w:t>
            </w:r>
            <w:r>
              <w:rPr>
                <w:sz w:val="16"/>
                <w:szCs w:val="16"/>
              </w:rPr>
              <w:t xml:space="preserve"> </w:t>
            </w:r>
            <w:r>
              <w:rPr>
                <w:sz w:val="16"/>
                <w:szCs w:val="16"/>
              </w:rPr>
              <w:t xml:space="preserve">2020)</w:t>
            </w:r>
            <w:r>
              <w:rPr>
                <w:sz w:val="16"/>
                <w:szCs w:val="16"/>
              </w:rPr>
              <w:t xml:space="preserve">.</w:t>
            </w:r>
          </w:p>
        </w:tc>
      </w:tr>
      <w:tr>
        <w:trPr>
          <w:trHeight w:val="340" w:hRule="exact"/>
        </w:trPr>
        <w:tc>
          <w:tcPr/>
          <w:p>
            <w:pPr>
              <w:pStyle w:val="Compact"/>
              <w:jc w:val="left"/>
              <w:rPr>
                <w:sz w:val="16"/>
                <w:szCs w:val="16"/>
              </w:rPr>
            </w:pPr>
            <w:r>
              <w:rPr>
                <w:sz w:val="16"/>
                <w:szCs w:val="16"/>
              </w:rPr>
              <w:t xml:space="preserve">Elevation</w:t>
            </w:r>
          </w:p>
        </w:tc>
        <w:tc>
          <w:tcPr/>
          <w:p>
            <w:pPr>
              <w:pStyle w:val="Compact"/>
              <w:jc w:val="left"/>
              <w:rPr>
                <w:sz w:val="16"/>
                <w:szCs w:val="16"/>
              </w:rPr>
            </w:pPr>
            <w:r>
              <w:rPr>
                <w:sz w:val="16"/>
                <w:szCs w:val="16"/>
              </w:rPr>
              <w:t xml:space="preserve">uncertain</w:t>
            </w:r>
          </w:p>
        </w:tc>
        <w:tc>
          <w:tcPr/>
          <w:p>
            <w:pPr>
              <w:pStyle w:val="Compact"/>
              <w:jc w:val="left"/>
              <w:rPr>
                <w:sz w:val="16"/>
                <w:szCs w:val="16"/>
              </w:rPr>
            </w:pPr>
            <w:r>
              <w:rPr>
                <w:sz w:val="16"/>
                <w:szCs w:val="16"/>
              </w:rPr>
              <w:t xml:space="preserve">A composite of temperature, snowpack, season length and host distribution that this design cannot separate</w:t>
            </w:r>
            <w:r>
              <w:rPr>
                <w:sz w:val="16"/>
                <w:szCs w:val="16"/>
              </w:rPr>
              <w:t xml:space="preserve"> </w:t>
            </w:r>
            <w:r>
              <w:rPr>
                <w:sz w:val="16"/>
                <w:szCs w:val="16"/>
              </w:rPr>
              <w:t xml:space="preserve">(Sambaraju and Goodsman 2021)</w:t>
            </w:r>
            <w:r>
              <w:rPr>
                <w:sz w:val="16"/>
                <w:szCs w:val="16"/>
              </w:rPr>
              <w:t xml:space="preserve">.</w:t>
            </w:r>
          </w:p>
        </w:tc>
      </w:tr>
    </w:tbl>
    <w:bookmarkEnd w:id="32"/>
    <w:bookmarkStart w:id="33" w:name="appendix-s2"/>
    <w:p>
      <w:pPr>
        <w:pStyle w:val="Heading2"/>
      </w:pPr>
      <w:r>
        <w:t xml:space="preserve">5.2 Appendix S2</w:t>
      </w:r>
    </w:p>
    <w:p>
      <w:pPr>
        <w:pStyle w:val="TableCaption"/>
      </w:pPr>
      <w:r>
        <w:t xml:space="preserve">Model comparison. Each model adds one pathway to the previous. AIC ranks on likelihood and a parameter penalty; the remaining columns are predictive error on the fitted probabilities. RMSE is the root mean squared error and is the square root of the Brier score; RMSE (%) expresses it against the prevalence of the response. Brier skill is the improvement over predicting the prevalence for every cell, where 0 is no better than the base rate. MAPE and Theil’s U are not reported: both divide by the observed value, which is zero for the majority class of a binary response, so both are undefined without discarding that class.</w:t>
      </w:r>
    </w:p>
    <w:tbl>
      <w:tblPr>
        <w:tblStyle w:val="Table"/>
        <w:tblLook w:firstRow="1" w:lastRow="0" w:firstColumn="0" w:lastColumn="0" w:noHBand="0" w:noVBand="0" w:val="0020"/>
        <w:tblCaption w:val="Model comparison. Each model adds one pathway to the previous. AIC ranks on likelihood and a parameter penalty; the remaining columns are predictive error on the fitted probabilities. RMSE is the root mean squared error and is the square root of the Brier score; RMSE (%) expresses it against the prevalence of the response. Brier skill is the improvement over predicting the prevalence for every cell, where 0 is no better than the base rate. MAPE and Theil’s U are not reported: both divide by the observed value, which is zero for the majority class of a binary response, so both are undefined without discarding that class."/>
        <w:tblW w:w="9354" w:type="dxa"/>
        <w:tblLayout w:type="fixed"/>
      </w:tblPr>
      <w:tblGrid>
        <w:gridCol w:w="3151"/>
        <w:gridCol w:w="648"/>
        <w:gridCol w:w="556"/>
        <w:gridCol w:w="556"/>
        <w:gridCol w:w="833"/>
        <w:gridCol w:w="556"/>
        <w:gridCol w:w="556"/>
        <w:gridCol w:w="833"/>
        <w:gridCol w:w="556"/>
        <w:gridCol w:w="1109"/>
      </w:tblGrid>
      <w:tr>
        <w:trPr>
          <w:tblHeader w:val="on"/>
          <w:trHeight w:val="624" w:hRule="exact"/>
        </w:trPr>
        <w:tc>
          <w:tcPr/>
          <w:p>
            <w:pPr>
              <w:pStyle w:val="Compact"/>
              <w:jc w:val="left"/>
              <w:rPr>
                <w:sz w:val="16"/>
                <w:szCs w:val="16"/>
              </w:rPr>
            </w:pPr>
            <w:r>
              <w:rPr>
                <w:sz w:val="16"/>
                <w:szCs w:val="16"/>
              </w:rPr>
              <w:t xml:space="preserve">Model</w:t>
            </w:r>
          </w:p>
        </w:tc>
        <w:tc>
          <w:tcPr/>
          <w:p>
            <w:pPr>
              <w:pStyle w:val="Compact"/>
              <w:jc w:val="left"/>
              <w:rPr>
                <w:sz w:val="16"/>
                <w:szCs w:val="16"/>
              </w:rPr>
            </w:pPr>
            <w:r>
              <w:rPr>
                <w:sz w:val="16"/>
                <w:szCs w:val="16"/>
              </w:rPr>
              <w:t xml:space="preserve">AIC</w:t>
            </w:r>
          </w:p>
        </w:tc>
        <w:tc>
          <w:tcPr/>
          <w:p>
            <w:pPr>
              <w:pStyle w:val="Compact"/>
              <w:jc w:val="left"/>
              <w:rPr>
                <w:sz w:val="16"/>
                <w:szCs w:val="16"/>
              </w:rPr>
            </w:pPr>
            <w:r>
              <w:rPr>
                <w:sz w:val="16"/>
                <w:szCs w:val="16"/>
              </w:rPr>
              <w:t xml:space="preserve">ΔAIC</w:t>
            </w:r>
          </w:p>
        </w:tc>
        <w:tc>
          <w:tcPr/>
          <w:p>
            <w:pPr>
              <w:pStyle w:val="Compact"/>
              <w:jc w:val="left"/>
              <w:rPr>
                <w:sz w:val="16"/>
                <w:szCs w:val="16"/>
              </w:rPr>
            </w:pPr>
            <w:r>
              <w:rPr>
                <w:sz w:val="16"/>
                <w:szCs w:val="16"/>
              </w:rPr>
              <w:t xml:space="preserve">RMSE</w:t>
            </w:r>
          </w:p>
        </w:tc>
        <w:tc>
          <w:tcPr/>
          <w:p>
            <w:pPr>
              <w:pStyle w:val="Compact"/>
              <w:jc w:val="left"/>
              <w:rPr>
                <w:sz w:val="16"/>
                <w:szCs w:val="16"/>
              </w:rPr>
            </w:pPr>
            <w:r>
              <w:rPr>
                <w:sz w:val="16"/>
                <w:szCs w:val="16"/>
              </w:rPr>
              <w:t xml:space="preserve">RMSE (%)</w:t>
            </w:r>
          </w:p>
        </w:tc>
        <w:tc>
          <w:tcPr/>
          <w:p>
            <w:pPr>
              <w:pStyle w:val="Compact"/>
              <w:jc w:val="left"/>
              <w:rPr>
                <w:sz w:val="16"/>
                <w:szCs w:val="16"/>
              </w:rPr>
            </w:pPr>
            <w:r>
              <w:rPr>
                <w:sz w:val="16"/>
                <w:szCs w:val="16"/>
              </w:rPr>
              <w:t xml:space="preserve">MAE</w:t>
            </w:r>
          </w:p>
        </w:tc>
        <w:tc>
          <w:tcPr/>
          <w:p>
            <w:pPr>
              <w:pStyle w:val="Compact"/>
              <w:jc w:val="left"/>
              <w:rPr>
                <w:sz w:val="16"/>
                <w:szCs w:val="16"/>
              </w:rPr>
            </w:pPr>
            <w:r>
              <w:rPr>
                <w:sz w:val="16"/>
                <w:szCs w:val="16"/>
              </w:rPr>
              <w:t xml:space="preserve">Brier</w:t>
            </w:r>
          </w:p>
        </w:tc>
        <w:tc>
          <w:tcPr/>
          <w:p>
            <w:pPr>
              <w:pStyle w:val="Compact"/>
              <w:jc w:val="left"/>
              <w:rPr>
                <w:sz w:val="16"/>
                <w:szCs w:val="16"/>
              </w:rPr>
            </w:pPr>
            <w:r>
              <w:rPr>
                <w:sz w:val="16"/>
                <w:szCs w:val="16"/>
              </w:rPr>
              <w:t xml:space="preserve">Log loss</w:t>
            </w:r>
          </w:p>
        </w:tc>
        <w:tc>
          <w:tcPr/>
          <w:p>
            <w:pPr>
              <w:pStyle w:val="Compact"/>
              <w:jc w:val="left"/>
              <w:rPr>
                <w:sz w:val="16"/>
                <w:szCs w:val="16"/>
              </w:rPr>
            </w:pPr>
            <w:r>
              <w:rPr>
                <w:sz w:val="16"/>
                <w:szCs w:val="16"/>
              </w:rPr>
              <w:t xml:space="preserve">AUC</w:t>
            </w:r>
          </w:p>
        </w:tc>
        <w:tc>
          <w:tcPr/>
          <w:p>
            <w:pPr>
              <w:pStyle w:val="Compact"/>
              <w:jc w:val="left"/>
              <w:rPr>
                <w:sz w:val="16"/>
                <w:szCs w:val="16"/>
              </w:rPr>
            </w:pPr>
            <w:r>
              <w:rPr>
                <w:sz w:val="16"/>
                <w:szCs w:val="16"/>
              </w:rPr>
              <w:t xml:space="preserve">Brier skill</w:t>
            </w:r>
          </w:p>
        </w:tc>
      </w:tr>
      <w:tr>
        <w:trPr>
          <w:trHeight w:val="340" w:hRule="exact"/>
        </w:trPr>
        <w:tc>
          <w:tcPr/>
          <w:p>
            <w:pPr>
              <w:pStyle w:val="Compact"/>
              <w:jc w:val="left"/>
              <w:rPr>
                <w:sz w:val="16"/>
                <w:szCs w:val="16"/>
              </w:rPr>
            </w:pPr>
            <w:r>
              <w:rPr>
                <w:sz w:val="16"/>
                <w:szCs w:val="16"/>
              </w:rPr>
              <w:t xml:space="preserve">M0 host size + shading + landform</w:t>
            </w:r>
          </w:p>
        </w:tc>
        <w:tc>
          <w:tcPr/>
          <w:p>
            <w:pPr>
              <w:pStyle w:val="Compact"/>
              <w:jc w:val="left"/>
              <w:rPr>
                <w:sz w:val="16"/>
                <w:szCs w:val="16"/>
              </w:rPr>
            </w:pPr>
            <w:r>
              <w:rPr>
                <w:sz w:val="16"/>
                <w:szCs w:val="16"/>
              </w:rPr>
              <w:t xml:space="preserve">49,547</w:t>
            </w:r>
          </w:p>
        </w:tc>
        <w:tc>
          <w:tcPr/>
          <w:p>
            <w:pPr>
              <w:pStyle w:val="Compact"/>
              <w:jc w:val="left"/>
              <w:rPr>
                <w:sz w:val="16"/>
                <w:szCs w:val="16"/>
              </w:rPr>
            </w:pPr>
            <w:r>
              <w:rPr>
                <w:sz w:val="16"/>
                <w:szCs w:val="16"/>
              </w:rPr>
              <w:t xml:space="preserve">2,307</w:t>
            </w:r>
          </w:p>
        </w:tc>
        <w:tc>
          <w:tcPr/>
          <w:p>
            <w:pPr>
              <w:pStyle w:val="Compact"/>
              <w:jc w:val="left"/>
              <w:rPr>
                <w:sz w:val="16"/>
                <w:szCs w:val="16"/>
              </w:rPr>
            </w:pPr>
            <w:r>
              <w:rPr>
                <w:sz w:val="16"/>
                <w:szCs w:val="16"/>
              </w:rPr>
              <w:t xml:space="preserve">0.416</w:t>
            </w:r>
          </w:p>
        </w:tc>
        <w:tc>
          <w:tcPr/>
          <w:p>
            <w:pPr>
              <w:pStyle w:val="Compact"/>
              <w:jc w:val="left"/>
              <w:rPr>
                <w:sz w:val="16"/>
                <w:szCs w:val="16"/>
              </w:rPr>
            </w:pPr>
            <w:r>
              <w:rPr>
                <w:sz w:val="16"/>
                <w:szCs w:val="16"/>
              </w:rPr>
              <w:t xml:space="preserve">128.3</w:t>
            </w:r>
          </w:p>
        </w:tc>
        <w:tc>
          <w:tcPr/>
          <w:p>
            <w:pPr>
              <w:pStyle w:val="Compact"/>
              <w:jc w:val="left"/>
              <w:rPr>
                <w:sz w:val="16"/>
                <w:szCs w:val="16"/>
              </w:rPr>
            </w:pPr>
            <w:r>
              <w:rPr>
                <w:sz w:val="16"/>
                <w:szCs w:val="16"/>
              </w:rPr>
              <w:t xml:space="preserve">0.346</w:t>
            </w:r>
          </w:p>
        </w:tc>
        <w:tc>
          <w:tcPr/>
          <w:p>
            <w:pPr>
              <w:pStyle w:val="Compact"/>
              <w:jc w:val="left"/>
              <w:rPr>
                <w:sz w:val="16"/>
                <w:szCs w:val="16"/>
              </w:rPr>
            </w:pPr>
            <w:r>
              <w:rPr>
                <w:sz w:val="16"/>
                <w:szCs w:val="16"/>
              </w:rPr>
              <w:t xml:space="preserve">0.173</w:t>
            </w:r>
          </w:p>
        </w:tc>
        <w:tc>
          <w:tcPr/>
          <w:p>
            <w:pPr>
              <w:pStyle w:val="Compact"/>
              <w:jc w:val="left"/>
              <w:rPr>
                <w:sz w:val="16"/>
                <w:szCs w:val="16"/>
              </w:rPr>
            </w:pPr>
            <w:r>
              <w:rPr>
                <w:sz w:val="16"/>
                <w:szCs w:val="16"/>
              </w:rPr>
              <w:t xml:space="preserve">0.523</w:t>
            </w:r>
          </w:p>
        </w:tc>
        <w:tc>
          <w:tcPr/>
          <w:p>
            <w:pPr>
              <w:pStyle w:val="Compact"/>
              <w:jc w:val="left"/>
              <w:rPr>
                <w:sz w:val="16"/>
                <w:szCs w:val="16"/>
              </w:rPr>
            </w:pPr>
            <w:r>
              <w:rPr>
                <w:sz w:val="16"/>
                <w:szCs w:val="16"/>
              </w:rPr>
              <w:t xml:space="preserve">0.771</w:t>
            </w:r>
          </w:p>
        </w:tc>
        <w:tc>
          <w:tcPr/>
          <w:p>
            <w:pPr>
              <w:pStyle w:val="Compact"/>
              <w:jc w:val="left"/>
              <w:rPr>
                <w:sz w:val="16"/>
                <w:szCs w:val="16"/>
              </w:rPr>
            </w:pPr>
            <w:r>
              <w:rPr>
                <w:sz w:val="16"/>
                <w:szCs w:val="16"/>
              </w:rPr>
              <w:t xml:space="preserve">0.211</w:t>
            </w:r>
          </w:p>
        </w:tc>
      </w:tr>
      <w:tr>
        <w:trPr>
          <w:trHeight w:val="340" w:hRule="exact"/>
        </w:trPr>
        <w:tc>
          <w:tcPr/>
          <w:p>
            <w:pPr>
              <w:pStyle w:val="Compact"/>
              <w:jc w:val="left"/>
              <w:rPr>
                <w:sz w:val="16"/>
                <w:szCs w:val="16"/>
              </w:rPr>
            </w:pPr>
            <w:r>
              <w:rPr>
                <w:sz w:val="16"/>
                <w:szCs w:val="16"/>
              </w:rPr>
              <w:t xml:space="preserve">M1 + stand density</w:t>
            </w:r>
          </w:p>
        </w:tc>
        <w:tc>
          <w:tcPr/>
          <w:p>
            <w:pPr>
              <w:pStyle w:val="Compact"/>
              <w:jc w:val="left"/>
              <w:rPr>
                <w:sz w:val="16"/>
                <w:szCs w:val="16"/>
              </w:rPr>
            </w:pPr>
            <w:r>
              <w:rPr>
                <w:sz w:val="16"/>
                <w:szCs w:val="16"/>
              </w:rPr>
              <w:t xml:space="preserve">49,049</w:t>
            </w:r>
          </w:p>
        </w:tc>
        <w:tc>
          <w:tcPr/>
          <w:p>
            <w:pPr>
              <w:pStyle w:val="Compact"/>
              <w:jc w:val="left"/>
              <w:rPr>
                <w:sz w:val="16"/>
                <w:szCs w:val="16"/>
              </w:rPr>
            </w:pPr>
            <w:r>
              <w:rPr>
                <w:sz w:val="16"/>
                <w:szCs w:val="16"/>
              </w:rPr>
              <w:t xml:space="preserve">1,809</w:t>
            </w:r>
          </w:p>
        </w:tc>
        <w:tc>
          <w:tcPr/>
          <w:p>
            <w:pPr>
              <w:pStyle w:val="Compact"/>
              <w:jc w:val="left"/>
              <w:rPr>
                <w:sz w:val="16"/>
                <w:szCs w:val="16"/>
              </w:rPr>
            </w:pPr>
            <w:r>
              <w:rPr>
                <w:sz w:val="16"/>
                <w:szCs w:val="16"/>
              </w:rPr>
              <w:t xml:space="preserve">0.412</w:t>
            </w:r>
          </w:p>
        </w:tc>
        <w:tc>
          <w:tcPr/>
          <w:p>
            <w:pPr>
              <w:pStyle w:val="Compact"/>
              <w:jc w:val="left"/>
              <w:rPr>
                <w:sz w:val="16"/>
                <w:szCs w:val="16"/>
              </w:rPr>
            </w:pPr>
            <w:r>
              <w:rPr>
                <w:sz w:val="16"/>
                <w:szCs w:val="16"/>
              </w:rPr>
              <w:t xml:space="preserve">127.3</w:t>
            </w:r>
          </w:p>
        </w:tc>
        <w:tc>
          <w:tcPr/>
          <w:p>
            <w:pPr>
              <w:pStyle w:val="Compact"/>
              <w:jc w:val="left"/>
              <w:rPr>
                <w:sz w:val="16"/>
                <w:szCs w:val="16"/>
              </w:rPr>
            </w:pPr>
            <w:r>
              <w:rPr>
                <w:sz w:val="16"/>
                <w:szCs w:val="16"/>
              </w:rPr>
              <w:t xml:space="preserve">0.342</w:t>
            </w:r>
          </w:p>
        </w:tc>
        <w:tc>
          <w:tcPr/>
          <w:p>
            <w:pPr>
              <w:pStyle w:val="Compact"/>
              <w:jc w:val="left"/>
              <w:rPr>
                <w:sz w:val="16"/>
                <w:szCs w:val="16"/>
              </w:rPr>
            </w:pPr>
            <w:r>
              <w:rPr>
                <w:sz w:val="16"/>
                <w:szCs w:val="16"/>
              </w:rPr>
              <w:t xml:space="preserve">0.170</w:t>
            </w:r>
          </w:p>
        </w:tc>
        <w:tc>
          <w:tcPr/>
          <w:p>
            <w:pPr>
              <w:pStyle w:val="Compact"/>
              <w:jc w:val="left"/>
              <w:rPr>
                <w:sz w:val="16"/>
                <w:szCs w:val="16"/>
              </w:rPr>
            </w:pPr>
            <w:r>
              <w:rPr>
                <w:sz w:val="16"/>
                <w:szCs w:val="16"/>
              </w:rPr>
              <w:t xml:space="preserve">0.518</w:t>
            </w:r>
          </w:p>
        </w:tc>
        <w:tc>
          <w:tcPr/>
          <w:p>
            <w:pPr>
              <w:pStyle w:val="Compact"/>
              <w:jc w:val="left"/>
              <w:rPr>
                <w:sz w:val="16"/>
                <w:szCs w:val="16"/>
              </w:rPr>
            </w:pPr>
            <w:r>
              <w:rPr>
                <w:sz w:val="16"/>
                <w:szCs w:val="16"/>
              </w:rPr>
              <w:t xml:space="preserve">0.775</w:t>
            </w:r>
          </w:p>
        </w:tc>
        <w:tc>
          <w:tcPr/>
          <w:p>
            <w:pPr>
              <w:pStyle w:val="Compact"/>
              <w:jc w:val="left"/>
              <w:rPr>
                <w:sz w:val="16"/>
                <w:szCs w:val="16"/>
              </w:rPr>
            </w:pPr>
            <w:r>
              <w:rPr>
                <w:sz w:val="16"/>
                <w:szCs w:val="16"/>
              </w:rPr>
              <w:t xml:space="preserve">0.223</w:t>
            </w:r>
          </w:p>
        </w:tc>
      </w:tr>
      <w:tr>
        <w:trPr>
          <w:trHeight w:val="340" w:hRule="exact"/>
        </w:trPr>
        <w:tc>
          <w:tcPr/>
          <w:p>
            <w:pPr>
              <w:pStyle w:val="Compact"/>
              <w:jc w:val="left"/>
              <w:rPr>
                <w:sz w:val="16"/>
                <w:szCs w:val="16"/>
              </w:rPr>
            </w:pPr>
            <w:r>
              <w:rPr>
                <w:sz w:val="16"/>
                <w:szCs w:val="16"/>
              </w:rPr>
              <w:t xml:space="preserve">M2 + terrain and flight radiation</w:t>
            </w:r>
          </w:p>
        </w:tc>
        <w:tc>
          <w:tcPr/>
          <w:p>
            <w:pPr>
              <w:pStyle w:val="Compact"/>
              <w:jc w:val="left"/>
              <w:rPr>
                <w:sz w:val="16"/>
                <w:szCs w:val="16"/>
              </w:rPr>
            </w:pPr>
            <w:r>
              <w:rPr>
                <w:sz w:val="16"/>
                <w:szCs w:val="16"/>
              </w:rPr>
              <w:t xml:space="preserve">48,305</w:t>
            </w:r>
          </w:p>
        </w:tc>
        <w:tc>
          <w:tcPr/>
          <w:p>
            <w:pPr>
              <w:pStyle w:val="Compact"/>
              <w:jc w:val="left"/>
              <w:rPr>
                <w:sz w:val="16"/>
                <w:szCs w:val="16"/>
              </w:rPr>
            </w:pPr>
            <w:r>
              <w:rPr>
                <w:sz w:val="16"/>
                <w:szCs w:val="16"/>
              </w:rPr>
              <w:t xml:space="preserve">1,065</w:t>
            </w:r>
          </w:p>
        </w:tc>
        <w:tc>
          <w:tcPr/>
          <w:p>
            <w:pPr>
              <w:pStyle w:val="Compact"/>
              <w:jc w:val="left"/>
              <w:rPr>
                <w:sz w:val="16"/>
                <w:szCs w:val="16"/>
              </w:rPr>
            </w:pPr>
            <w:r>
              <w:rPr>
                <w:sz w:val="16"/>
                <w:szCs w:val="16"/>
              </w:rPr>
              <w:t xml:space="preserve">0.409</w:t>
            </w:r>
          </w:p>
        </w:tc>
        <w:tc>
          <w:tcPr/>
          <w:p>
            <w:pPr>
              <w:pStyle w:val="Compact"/>
              <w:jc w:val="left"/>
              <w:rPr>
                <w:sz w:val="16"/>
                <w:szCs w:val="16"/>
              </w:rPr>
            </w:pPr>
            <w:r>
              <w:rPr>
                <w:sz w:val="16"/>
                <w:szCs w:val="16"/>
              </w:rPr>
              <w:t xml:space="preserve">126.2</w:t>
            </w:r>
          </w:p>
        </w:tc>
        <w:tc>
          <w:tcPr/>
          <w:p>
            <w:pPr>
              <w:pStyle w:val="Compact"/>
              <w:jc w:val="left"/>
              <w:rPr>
                <w:sz w:val="16"/>
                <w:szCs w:val="16"/>
              </w:rPr>
            </w:pPr>
            <w:r>
              <w:rPr>
                <w:sz w:val="16"/>
                <w:szCs w:val="16"/>
              </w:rPr>
              <w:t xml:space="preserve">0.336</w:t>
            </w:r>
          </w:p>
        </w:tc>
        <w:tc>
          <w:tcPr/>
          <w:p>
            <w:pPr>
              <w:pStyle w:val="Compact"/>
              <w:jc w:val="left"/>
              <w:rPr>
                <w:sz w:val="16"/>
                <w:szCs w:val="16"/>
              </w:rPr>
            </w:pPr>
            <w:r>
              <w:rPr>
                <w:sz w:val="16"/>
                <w:szCs w:val="16"/>
              </w:rPr>
              <w:t xml:space="preserve">0.167</w:t>
            </w:r>
          </w:p>
        </w:tc>
        <w:tc>
          <w:tcPr/>
          <w:p>
            <w:pPr>
              <w:pStyle w:val="Compact"/>
              <w:jc w:val="left"/>
              <w:rPr>
                <w:sz w:val="16"/>
                <w:szCs w:val="16"/>
              </w:rPr>
            </w:pPr>
            <w:r>
              <w:rPr>
                <w:sz w:val="16"/>
                <w:szCs w:val="16"/>
              </w:rPr>
              <w:t xml:space="preserve">0.510</w:t>
            </w:r>
          </w:p>
        </w:tc>
        <w:tc>
          <w:tcPr/>
          <w:p>
            <w:pPr>
              <w:pStyle w:val="Compact"/>
              <w:jc w:val="left"/>
              <w:rPr>
                <w:sz w:val="16"/>
                <w:szCs w:val="16"/>
              </w:rPr>
            </w:pPr>
            <w:r>
              <w:rPr>
                <w:sz w:val="16"/>
                <w:szCs w:val="16"/>
              </w:rPr>
              <w:t xml:space="preserve">0.784</w:t>
            </w:r>
          </w:p>
        </w:tc>
        <w:tc>
          <w:tcPr/>
          <w:p>
            <w:pPr>
              <w:pStyle w:val="Compact"/>
              <w:jc w:val="left"/>
              <w:rPr>
                <w:sz w:val="16"/>
                <w:szCs w:val="16"/>
              </w:rPr>
            </w:pPr>
            <w:r>
              <w:rPr>
                <w:sz w:val="16"/>
                <w:szCs w:val="16"/>
              </w:rPr>
              <w:t xml:space="preserve">0.237</w:t>
            </w:r>
          </w:p>
        </w:tc>
      </w:tr>
      <w:tr>
        <w:trPr>
          <w:trHeight w:val="340" w:hRule="exact"/>
        </w:trPr>
        <w:tc>
          <w:tcPr/>
          <w:p>
            <w:pPr>
              <w:pStyle w:val="Compact"/>
              <w:jc w:val="left"/>
              <w:rPr>
                <w:sz w:val="16"/>
                <w:szCs w:val="16"/>
              </w:rPr>
            </w:pPr>
            <w:r>
              <w:rPr>
                <w:sz w:val="16"/>
                <w:szCs w:val="16"/>
              </w:rPr>
              <w:t xml:space="preserve">M3 + interactions</w:t>
            </w:r>
          </w:p>
        </w:tc>
        <w:tc>
          <w:tcPr/>
          <w:p>
            <w:pPr>
              <w:pStyle w:val="Compact"/>
              <w:jc w:val="left"/>
              <w:rPr>
                <w:sz w:val="16"/>
                <w:szCs w:val="16"/>
              </w:rPr>
            </w:pPr>
            <w:r>
              <w:rPr>
                <w:sz w:val="16"/>
                <w:szCs w:val="16"/>
              </w:rPr>
              <w:t xml:space="preserve">47,240</w:t>
            </w:r>
          </w:p>
        </w:tc>
        <w:tc>
          <w:tcPr/>
          <w:p>
            <w:pPr>
              <w:pStyle w:val="Compact"/>
              <w:jc w:val="left"/>
              <w:rPr>
                <w:sz w:val="16"/>
                <w:szCs w:val="16"/>
              </w:rPr>
            </w:pPr>
            <w:r>
              <w:rPr>
                <w:sz w:val="16"/>
                <w:szCs w:val="16"/>
              </w:rPr>
              <w:t xml:space="preserve">0</w:t>
            </w:r>
          </w:p>
        </w:tc>
        <w:tc>
          <w:tcPr/>
          <w:p>
            <w:pPr>
              <w:pStyle w:val="Compact"/>
              <w:jc w:val="left"/>
              <w:rPr>
                <w:sz w:val="16"/>
                <w:szCs w:val="16"/>
              </w:rPr>
            </w:pPr>
            <w:r>
              <w:rPr>
                <w:sz w:val="16"/>
                <w:szCs w:val="16"/>
              </w:rPr>
              <w:t xml:space="preserve">0.404</w:t>
            </w:r>
          </w:p>
        </w:tc>
        <w:tc>
          <w:tcPr/>
          <w:p>
            <w:pPr>
              <w:pStyle w:val="Compact"/>
              <w:jc w:val="left"/>
              <w:rPr>
                <w:sz w:val="16"/>
                <w:szCs w:val="16"/>
              </w:rPr>
            </w:pPr>
            <w:r>
              <w:rPr>
                <w:sz w:val="16"/>
                <w:szCs w:val="16"/>
              </w:rPr>
              <w:t xml:space="preserve">124.7</w:t>
            </w:r>
          </w:p>
        </w:tc>
        <w:tc>
          <w:tcPr/>
          <w:p>
            <w:pPr>
              <w:pStyle w:val="Compact"/>
              <w:jc w:val="left"/>
              <w:rPr>
                <w:sz w:val="16"/>
                <w:szCs w:val="16"/>
              </w:rPr>
            </w:pPr>
            <w:r>
              <w:rPr>
                <w:sz w:val="16"/>
                <w:szCs w:val="16"/>
              </w:rPr>
              <w:t xml:space="preserve">0.327</w:t>
            </w:r>
          </w:p>
        </w:tc>
        <w:tc>
          <w:tcPr/>
          <w:p>
            <w:pPr>
              <w:pStyle w:val="Compact"/>
              <w:jc w:val="left"/>
              <w:rPr>
                <w:sz w:val="16"/>
                <w:szCs w:val="16"/>
              </w:rPr>
            </w:pPr>
            <w:r>
              <w:rPr>
                <w:sz w:val="16"/>
                <w:szCs w:val="16"/>
              </w:rPr>
              <w:t xml:space="preserve">0.163</w:t>
            </w:r>
          </w:p>
        </w:tc>
        <w:tc>
          <w:tcPr/>
          <w:p>
            <w:pPr>
              <w:pStyle w:val="Compact"/>
              <w:jc w:val="left"/>
              <w:rPr>
                <w:sz w:val="16"/>
                <w:szCs w:val="16"/>
              </w:rPr>
            </w:pPr>
            <w:r>
              <w:rPr>
                <w:sz w:val="16"/>
                <w:szCs w:val="16"/>
              </w:rPr>
              <w:t xml:space="preserve">0.498</w:t>
            </w:r>
          </w:p>
        </w:tc>
        <w:tc>
          <w:tcPr/>
          <w:p>
            <w:pPr>
              <w:pStyle w:val="Compact"/>
              <w:jc w:val="left"/>
              <w:rPr>
                <w:sz w:val="16"/>
                <w:szCs w:val="16"/>
              </w:rPr>
            </w:pPr>
            <w:r>
              <w:rPr>
                <w:sz w:val="16"/>
                <w:szCs w:val="16"/>
              </w:rPr>
              <w:t xml:space="preserve">0.798</w:t>
            </w:r>
          </w:p>
        </w:tc>
        <w:tc>
          <w:tcPr/>
          <w:p>
            <w:pPr>
              <w:pStyle w:val="Compact"/>
              <w:jc w:val="left"/>
              <w:rPr>
                <w:sz w:val="16"/>
                <w:szCs w:val="16"/>
              </w:rPr>
            </w:pPr>
            <w:r>
              <w:rPr>
                <w:sz w:val="16"/>
                <w:szCs w:val="16"/>
              </w:rPr>
              <w:t xml:space="preserve">0.256</w:t>
            </w:r>
          </w:p>
        </w:tc>
      </w:tr>
    </w:tbl>
    <w:bookmarkEnd w:id="33"/>
    <w:bookmarkStart w:id="34" w:name="appendix-s3"/>
    <w:p>
      <w:pPr>
        <w:pStyle w:val="Heading2"/>
      </w:pPr>
      <w:r>
        <w:t xml:space="preserve">5.3 Appendix S3</w:t>
      </w:r>
    </w:p>
    <w:p>
      <w:pPr>
        <w:pStyle w:val="TableCaption"/>
      </w:pPr>
      <w:r>
        <w:rPr>
          <w:b/>
          <w:bCs/>
        </w:rPr>
        <w:t xml:space="preserve">Appendix S3.</w:t>
      </w:r>
      <w:r>
        <w:t xml:space="preserve"> </w:t>
      </w:r>
      <w:r>
        <w:t xml:space="preserve">Moderate-to-high beetle disturbance by year inside the study perimeter.</w:t>
      </w:r>
    </w:p>
    <w:tbl>
      <w:tblPr>
        <w:tblStyle w:val="Table"/>
        <w:tblLook w:firstRow="1" w:lastRow="0" w:firstColumn="0" w:lastColumn="0" w:noHBand="0" w:noVBand="0" w:val="0020"/>
        <w:tblCaption w:val="Appendix S3. Moderate-to-high beetle disturbance by year inside the study perimeter."/>
        <w:tblW w:w="9354" w:type="dxa"/>
        <w:tblLayout w:type="fixed"/>
      </w:tblPr>
      <w:tblGrid>
        <w:gridCol w:w="3118"/>
        <w:gridCol w:w="3118"/>
        <w:gridCol w:w="3118"/>
      </w:tblGrid>
      <w:tr>
        <w:trPr>
          <w:tblHeader w:val="on"/>
          <w:trHeight w:val="624" w:hRule="exact"/>
        </w:trPr>
        <w:tc>
          <w:tcPr/>
          <w:p>
            <w:pPr>
              <w:pStyle w:val="Compact"/>
              <w:jc w:val="left"/>
              <w:rPr>
                <w:sz w:val="16"/>
                <w:szCs w:val="16"/>
              </w:rPr>
            </w:pPr>
            <w:r>
              <w:rPr>
                <w:sz w:val="16"/>
                <w:szCs w:val="16"/>
              </w:rPr>
              <w:t xml:space="preserve">Year</w:t>
            </w:r>
          </w:p>
        </w:tc>
        <w:tc>
          <w:tcPr/>
          <w:p>
            <w:pPr>
              <w:pStyle w:val="Compact"/>
              <w:jc w:val="left"/>
              <w:rPr>
                <w:sz w:val="16"/>
                <w:szCs w:val="16"/>
              </w:rPr>
            </w:pPr>
            <w:r>
              <w:rPr>
                <w:sz w:val="16"/>
                <w:szCs w:val="16"/>
              </w:rPr>
              <w:t xml:space="preserve">Cells</w:t>
            </w:r>
          </w:p>
        </w:tc>
        <w:tc>
          <w:tcPr/>
          <w:p>
            <w:pPr>
              <w:pStyle w:val="Compact"/>
              <w:jc w:val="left"/>
              <w:rPr>
                <w:sz w:val="16"/>
                <w:szCs w:val="16"/>
              </w:rPr>
            </w:pPr>
            <w:r>
              <w:rPr>
                <w:sz w:val="16"/>
                <w:szCs w:val="16"/>
              </w:rPr>
              <w:t xml:space="preserve">Moderate-to-high (%)</w:t>
            </w:r>
          </w:p>
        </w:tc>
      </w:tr>
      <w:tr>
        <w:trPr>
          <w:trHeight w:val="340" w:hRule="exact"/>
        </w:trPr>
        <w:tc>
          <w:tcPr/>
          <w:p>
            <w:pPr>
              <w:pStyle w:val="Compact"/>
              <w:jc w:val="left"/>
              <w:rPr>
                <w:sz w:val="16"/>
                <w:szCs w:val="16"/>
              </w:rPr>
            </w:pPr>
            <w:r>
              <w:rPr>
                <w:sz w:val="16"/>
                <w:szCs w:val="16"/>
              </w:rPr>
              <w:t xml:space="preserve">2006</w:t>
            </w:r>
          </w:p>
        </w:tc>
        <w:tc>
          <w:tcPr/>
          <w:p>
            <w:pPr>
              <w:pStyle w:val="Compact"/>
              <w:jc w:val="left"/>
              <w:rPr>
                <w:sz w:val="16"/>
                <w:szCs w:val="16"/>
              </w:rPr>
            </w:pPr>
            <w:r>
              <w:rPr>
                <w:sz w:val="16"/>
                <w:szCs w:val="16"/>
              </w:rPr>
              <w:t xml:space="preserve">15,339</w:t>
            </w:r>
          </w:p>
        </w:tc>
        <w:tc>
          <w:tcPr/>
          <w:p>
            <w:pPr>
              <w:pStyle w:val="Compact"/>
              <w:jc w:val="left"/>
              <w:rPr>
                <w:sz w:val="16"/>
                <w:szCs w:val="16"/>
              </w:rPr>
            </w:pPr>
            <w:r>
              <w:rPr>
                <w:sz w:val="16"/>
                <w:szCs w:val="16"/>
              </w:rPr>
              <w:t xml:space="preserve">4.5</w:t>
            </w:r>
          </w:p>
        </w:tc>
      </w:tr>
      <w:tr>
        <w:trPr>
          <w:trHeight w:val="340" w:hRule="exact"/>
        </w:trPr>
        <w:tc>
          <w:tcPr/>
          <w:p>
            <w:pPr>
              <w:pStyle w:val="Compact"/>
              <w:jc w:val="left"/>
              <w:rPr>
                <w:sz w:val="16"/>
                <w:szCs w:val="16"/>
              </w:rPr>
            </w:pPr>
            <w:r>
              <w:rPr>
                <w:sz w:val="16"/>
                <w:szCs w:val="16"/>
              </w:rPr>
              <w:t xml:space="preserve">2007</w:t>
            </w:r>
          </w:p>
        </w:tc>
        <w:tc>
          <w:tcPr/>
          <w:p>
            <w:pPr>
              <w:pStyle w:val="Compact"/>
              <w:jc w:val="left"/>
              <w:rPr>
                <w:sz w:val="16"/>
                <w:szCs w:val="16"/>
              </w:rPr>
            </w:pPr>
            <w:r>
              <w:rPr>
                <w:sz w:val="16"/>
                <w:szCs w:val="16"/>
              </w:rPr>
              <w:t xml:space="preserve">15,340</w:t>
            </w:r>
          </w:p>
        </w:tc>
        <w:tc>
          <w:tcPr/>
          <w:p>
            <w:pPr>
              <w:pStyle w:val="Compact"/>
              <w:jc w:val="left"/>
              <w:rPr>
                <w:sz w:val="16"/>
                <w:szCs w:val="16"/>
              </w:rPr>
            </w:pPr>
            <w:r>
              <w:rPr>
                <w:sz w:val="16"/>
                <w:szCs w:val="16"/>
              </w:rPr>
              <w:t xml:space="preserve">5.6</w:t>
            </w:r>
          </w:p>
        </w:tc>
      </w:tr>
      <w:tr>
        <w:trPr>
          <w:trHeight w:val="340" w:hRule="exact"/>
        </w:trPr>
        <w:tc>
          <w:tcPr/>
          <w:p>
            <w:pPr>
              <w:pStyle w:val="Compact"/>
              <w:jc w:val="left"/>
              <w:rPr>
                <w:sz w:val="16"/>
                <w:szCs w:val="16"/>
              </w:rPr>
            </w:pPr>
            <w:r>
              <w:rPr>
                <w:sz w:val="16"/>
                <w:szCs w:val="16"/>
              </w:rPr>
              <w:t xml:space="preserve">2008</w:t>
            </w:r>
          </w:p>
        </w:tc>
        <w:tc>
          <w:tcPr/>
          <w:p>
            <w:pPr>
              <w:pStyle w:val="Compact"/>
              <w:jc w:val="left"/>
              <w:rPr>
                <w:sz w:val="16"/>
                <w:szCs w:val="16"/>
              </w:rPr>
            </w:pPr>
            <w:r>
              <w:rPr>
                <w:sz w:val="16"/>
                <w:szCs w:val="16"/>
              </w:rPr>
              <w:t xml:space="preserve">15,340</w:t>
            </w:r>
          </w:p>
        </w:tc>
        <w:tc>
          <w:tcPr/>
          <w:p>
            <w:pPr>
              <w:pStyle w:val="Compact"/>
              <w:jc w:val="left"/>
              <w:rPr>
                <w:sz w:val="16"/>
                <w:szCs w:val="16"/>
              </w:rPr>
            </w:pPr>
            <w:r>
              <w:rPr>
                <w:sz w:val="16"/>
                <w:szCs w:val="16"/>
              </w:rPr>
              <w:t xml:space="preserve">20.2</w:t>
            </w:r>
          </w:p>
        </w:tc>
      </w:tr>
      <w:tr>
        <w:trPr>
          <w:trHeight w:val="340" w:hRule="exact"/>
        </w:trPr>
        <w:tc>
          <w:tcPr/>
          <w:p>
            <w:pPr>
              <w:pStyle w:val="Compact"/>
              <w:jc w:val="left"/>
              <w:rPr>
                <w:sz w:val="16"/>
                <w:szCs w:val="16"/>
              </w:rPr>
            </w:pPr>
            <w:r>
              <w:rPr>
                <w:sz w:val="16"/>
                <w:szCs w:val="16"/>
              </w:rPr>
              <w:t xml:space="preserve">2009</w:t>
            </w:r>
          </w:p>
        </w:tc>
        <w:tc>
          <w:tcPr/>
          <w:p>
            <w:pPr>
              <w:pStyle w:val="Compact"/>
              <w:jc w:val="left"/>
              <w:rPr>
                <w:sz w:val="16"/>
                <w:szCs w:val="16"/>
              </w:rPr>
            </w:pPr>
            <w:r>
              <w:rPr>
                <w:sz w:val="16"/>
                <w:szCs w:val="16"/>
              </w:rPr>
              <w:t xml:space="preserve">15,340</w:t>
            </w:r>
          </w:p>
        </w:tc>
        <w:tc>
          <w:tcPr/>
          <w:p>
            <w:pPr>
              <w:pStyle w:val="Compact"/>
              <w:jc w:val="left"/>
              <w:rPr>
                <w:sz w:val="16"/>
                <w:szCs w:val="16"/>
              </w:rPr>
            </w:pPr>
            <w:r>
              <w:rPr>
                <w:sz w:val="16"/>
                <w:szCs w:val="16"/>
              </w:rPr>
              <w:t xml:space="preserve">11.5</w:t>
            </w:r>
          </w:p>
        </w:tc>
      </w:tr>
      <w:tr>
        <w:trPr>
          <w:trHeight w:val="340" w:hRule="exact"/>
        </w:trPr>
        <w:tc>
          <w:tcPr/>
          <w:p>
            <w:pPr>
              <w:pStyle w:val="Compact"/>
              <w:jc w:val="left"/>
              <w:rPr>
                <w:sz w:val="16"/>
                <w:szCs w:val="16"/>
              </w:rPr>
            </w:pPr>
            <w:r>
              <w:rPr>
                <w:sz w:val="16"/>
                <w:szCs w:val="16"/>
              </w:rPr>
              <w:t xml:space="preserve">2010</w:t>
            </w:r>
          </w:p>
        </w:tc>
        <w:tc>
          <w:tcPr/>
          <w:p>
            <w:pPr>
              <w:pStyle w:val="Compact"/>
              <w:jc w:val="left"/>
              <w:rPr>
                <w:sz w:val="16"/>
                <w:szCs w:val="16"/>
              </w:rPr>
            </w:pPr>
            <w:r>
              <w:rPr>
                <w:sz w:val="16"/>
                <w:szCs w:val="16"/>
              </w:rPr>
              <w:t xml:space="preserve">15,322</w:t>
            </w:r>
          </w:p>
        </w:tc>
        <w:tc>
          <w:tcPr/>
          <w:p>
            <w:pPr>
              <w:pStyle w:val="Compact"/>
              <w:jc w:val="left"/>
              <w:rPr>
                <w:sz w:val="16"/>
                <w:szCs w:val="16"/>
              </w:rPr>
            </w:pPr>
            <w:r>
              <w:rPr>
                <w:sz w:val="16"/>
                <w:szCs w:val="16"/>
              </w:rPr>
              <w:t xml:space="preserve">15.5</w:t>
            </w:r>
          </w:p>
        </w:tc>
      </w:tr>
      <w:tr>
        <w:trPr>
          <w:trHeight w:val="340" w:hRule="exact"/>
        </w:trPr>
        <w:tc>
          <w:tcPr/>
          <w:p>
            <w:pPr>
              <w:pStyle w:val="Compact"/>
              <w:jc w:val="left"/>
              <w:rPr>
                <w:sz w:val="16"/>
                <w:szCs w:val="16"/>
              </w:rPr>
            </w:pPr>
            <w:r>
              <w:rPr>
                <w:sz w:val="16"/>
                <w:szCs w:val="16"/>
              </w:rPr>
              <w:t xml:space="preserve">2011</w:t>
            </w:r>
          </w:p>
        </w:tc>
        <w:tc>
          <w:tcPr/>
          <w:p>
            <w:pPr>
              <w:pStyle w:val="Compact"/>
              <w:jc w:val="left"/>
              <w:rPr>
                <w:sz w:val="16"/>
                <w:szCs w:val="16"/>
              </w:rPr>
            </w:pPr>
            <w:r>
              <w:rPr>
                <w:sz w:val="16"/>
                <w:szCs w:val="16"/>
              </w:rPr>
              <w:t xml:space="preserve">15,340</w:t>
            </w:r>
          </w:p>
        </w:tc>
        <w:tc>
          <w:tcPr/>
          <w:p>
            <w:pPr>
              <w:pStyle w:val="Compact"/>
              <w:jc w:val="left"/>
              <w:rPr>
                <w:sz w:val="16"/>
                <w:szCs w:val="16"/>
              </w:rPr>
            </w:pPr>
            <w:r>
              <w:rPr>
                <w:sz w:val="16"/>
                <w:szCs w:val="16"/>
              </w:rPr>
              <w:t xml:space="preserve">13.3</w:t>
            </w:r>
          </w:p>
        </w:tc>
      </w:tr>
      <w:tr>
        <w:trPr>
          <w:trHeight w:val="340" w:hRule="exact"/>
        </w:trPr>
        <w:tc>
          <w:tcPr/>
          <w:p>
            <w:pPr>
              <w:pStyle w:val="Compact"/>
              <w:jc w:val="left"/>
              <w:rPr>
                <w:sz w:val="16"/>
                <w:szCs w:val="16"/>
              </w:rPr>
            </w:pPr>
            <w:r>
              <w:rPr>
                <w:sz w:val="16"/>
                <w:szCs w:val="16"/>
              </w:rPr>
              <w:t xml:space="preserve">2013</w:t>
            </w:r>
          </w:p>
        </w:tc>
        <w:tc>
          <w:tcPr/>
          <w:p>
            <w:pPr>
              <w:pStyle w:val="Compact"/>
              <w:jc w:val="left"/>
              <w:rPr>
                <w:sz w:val="16"/>
                <w:szCs w:val="16"/>
              </w:rPr>
            </w:pPr>
            <w:r>
              <w:rPr>
                <w:sz w:val="16"/>
                <w:szCs w:val="16"/>
              </w:rPr>
              <w:t xml:space="preserve">15,339</w:t>
            </w:r>
          </w:p>
        </w:tc>
        <w:tc>
          <w:tcPr/>
          <w:p>
            <w:pPr>
              <w:pStyle w:val="Compact"/>
              <w:jc w:val="left"/>
              <w:rPr>
                <w:sz w:val="16"/>
                <w:szCs w:val="16"/>
              </w:rPr>
            </w:pPr>
            <w:r>
              <w:rPr>
                <w:sz w:val="16"/>
                <w:szCs w:val="16"/>
              </w:rPr>
              <w:t xml:space="preserve">14.2</w:t>
            </w:r>
          </w:p>
        </w:tc>
      </w:tr>
      <w:tr>
        <w:trPr>
          <w:trHeight w:val="340" w:hRule="exact"/>
        </w:trPr>
        <w:tc>
          <w:tcPr/>
          <w:p>
            <w:pPr>
              <w:pStyle w:val="Compact"/>
              <w:jc w:val="left"/>
              <w:rPr>
                <w:sz w:val="16"/>
                <w:szCs w:val="16"/>
              </w:rPr>
            </w:pPr>
            <w:r>
              <w:rPr>
                <w:sz w:val="16"/>
                <w:szCs w:val="16"/>
              </w:rPr>
              <w:t xml:space="preserve">2014</w:t>
            </w:r>
          </w:p>
        </w:tc>
        <w:tc>
          <w:tcPr/>
          <w:p>
            <w:pPr>
              <w:pStyle w:val="Compact"/>
              <w:jc w:val="left"/>
              <w:rPr>
                <w:sz w:val="16"/>
                <w:szCs w:val="16"/>
              </w:rPr>
            </w:pPr>
            <w:r>
              <w:rPr>
                <w:sz w:val="16"/>
                <w:szCs w:val="16"/>
              </w:rPr>
              <w:t xml:space="preserve">15,340</w:t>
            </w:r>
          </w:p>
        </w:tc>
        <w:tc>
          <w:tcPr/>
          <w:p>
            <w:pPr>
              <w:pStyle w:val="Compact"/>
              <w:jc w:val="left"/>
              <w:rPr>
                <w:sz w:val="16"/>
                <w:szCs w:val="16"/>
              </w:rPr>
            </w:pPr>
            <w:r>
              <w:rPr>
                <w:sz w:val="16"/>
                <w:szCs w:val="16"/>
              </w:rPr>
              <w:t xml:space="preserve">15.1</w:t>
            </w:r>
          </w:p>
        </w:tc>
      </w:tr>
    </w:tbl>
    <w:bookmarkEnd w:id="34"/>
    <w:bookmarkStart w:id="35" w:name="appendix-s4"/>
    <w:p>
      <w:pPr>
        <w:pStyle w:val="Heading2"/>
      </w:pPr>
      <w:r>
        <w:t xml:space="preserve">5.4 Appendix S4</w:t>
      </w:r>
    </w:p>
    <w:p>
      <w:pPr>
        <w:pStyle w:val="TableCaption"/>
      </w:pPr>
      <w:r>
        <w:t xml:space="preserve">Stand structure across the study perimeter, from the Vegetation Resources Inventory. n is cell-years. SD is the standard deviation of the landscape; SE is the standard error of the mean and is small by construction at this n, so it is not precision about any one cell. Skewness and kurtosis are the bias-corrected third and fourth standardised moments; kurtosis is excess, so 0 is Gaussian.</w:t>
      </w:r>
    </w:p>
    <w:tbl>
      <w:tblPr>
        <w:tblStyle w:val="Table"/>
        <w:tblLook w:firstRow="1" w:lastRow="0" w:firstColumn="0" w:lastColumn="0" w:noHBand="0" w:noVBand="0" w:val="0020"/>
        <w:tblCaption w:val="Stand structure across the study perimeter, from the Vegetation Resources Inventory. n is cell-years. SD is the standard deviation of the landscape; SE is the standard error of the mean and is small by construction at this n, so it is not precision about any one cell. Skewness and kurtosis are the bias-corrected third and fourth standardised moments; kurtosis is excess, so 0 is Gaussian."/>
        <w:tblW w:w="9354" w:type="dxa"/>
        <w:tblLayout w:type="fixed"/>
      </w:tblPr>
      <w:tblGrid>
        <w:gridCol w:w="3270"/>
        <w:gridCol w:w="727"/>
        <w:gridCol w:w="636"/>
        <w:gridCol w:w="636"/>
        <w:gridCol w:w="545"/>
        <w:gridCol w:w="636"/>
        <w:gridCol w:w="545"/>
        <w:gridCol w:w="727"/>
        <w:gridCol w:w="818"/>
        <w:gridCol w:w="814"/>
      </w:tblGrid>
      <w:tr>
        <w:trPr>
          <w:tblHeader w:val="on"/>
          <w:trHeight w:val="624" w:hRule="exact"/>
        </w:trPr>
        <w:tc>
          <w:tcPr/>
          <w:p>
            <w:pPr>
              <w:pStyle w:val="Compact"/>
              <w:jc w:val="left"/>
              <w:rPr>
                <w:sz w:val="16"/>
                <w:szCs w:val="16"/>
              </w:rPr>
            </w:pPr>
            <w:r>
              <w:rPr>
                <w:sz w:val="16"/>
                <w:szCs w:val="16"/>
              </w:rPr>
              <w:t xml:space="preserve">Attribute</w:t>
            </w:r>
          </w:p>
        </w:tc>
        <w:tc>
          <w:tcPr/>
          <w:p>
            <w:pPr>
              <w:pStyle w:val="Compact"/>
              <w:jc w:val="left"/>
              <w:rPr>
                <w:sz w:val="16"/>
                <w:szCs w:val="16"/>
              </w:rPr>
            </w:pPr>
            <w:r>
              <w:rPr>
                <w:sz w:val="16"/>
                <w:szCs w:val="16"/>
              </w:rPr>
              <w:t xml:space="preserve">n</w:t>
            </w:r>
          </w:p>
        </w:tc>
        <w:tc>
          <w:tcPr/>
          <w:p>
            <w:pPr>
              <w:pStyle w:val="Compact"/>
              <w:jc w:val="left"/>
              <w:rPr>
                <w:sz w:val="16"/>
                <w:szCs w:val="16"/>
              </w:rPr>
            </w:pPr>
            <w:r>
              <w:rPr>
                <w:sz w:val="16"/>
                <w:szCs w:val="16"/>
              </w:rPr>
              <w:t xml:space="preserve">Mean</w:t>
            </w:r>
          </w:p>
        </w:tc>
        <w:tc>
          <w:tcPr/>
          <w:p>
            <w:pPr>
              <w:pStyle w:val="Compact"/>
              <w:jc w:val="left"/>
              <w:rPr>
                <w:sz w:val="16"/>
                <w:szCs w:val="16"/>
              </w:rPr>
            </w:pPr>
            <w:r>
              <w:rPr>
                <w:sz w:val="16"/>
                <w:szCs w:val="16"/>
              </w:rPr>
              <w:t xml:space="preserve">SD</w:t>
            </w:r>
          </w:p>
        </w:tc>
        <w:tc>
          <w:tcPr/>
          <w:p>
            <w:pPr>
              <w:pStyle w:val="Compact"/>
              <w:jc w:val="left"/>
              <w:rPr>
                <w:sz w:val="16"/>
                <w:szCs w:val="16"/>
              </w:rPr>
            </w:pPr>
            <w:r>
              <w:rPr>
                <w:sz w:val="16"/>
                <w:szCs w:val="16"/>
              </w:rPr>
              <w:t xml:space="preserve">SE</w:t>
            </w:r>
          </w:p>
        </w:tc>
        <w:tc>
          <w:tcPr/>
          <w:p>
            <w:pPr>
              <w:pStyle w:val="Compact"/>
              <w:jc w:val="left"/>
              <w:rPr>
                <w:sz w:val="16"/>
                <w:szCs w:val="16"/>
              </w:rPr>
            </w:pPr>
            <w:r>
              <w:rPr>
                <w:sz w:val="16"/>
                <w:szCs w:val="16"/>
              </w:rPr>
              <w:t xml:space="preserve">Median</w:t>
            </w:r>
          </w:p>
        </w:tc>
        <w:tc>
          <w:tcPr/>
          <w:p>
            <w:pPr>
              <w:pStyle w:val="Compact"/>
              <w:jc w:val="left"/>
              <w:rPr>
                <w:sz w:val="16"/>
                <w:szCs w:val="16"/>
              </w:rPr>
            </w:pPr>
            <w:r>
              <w:rPr>
                <w:sz w:val="16"/>
                <w:szCs w:val="16"/>
              </w:rPr>
              <w:t xml:space="preserve">Min</w:t>
            </w:r>
          </w:p>
        </w:tc>
        <w:tc>
          <w:tcPr/>
          <w:p>
            <w:pPr>
              <w:pStyle w:val="Compact"/>
              <w:jc w:val="left"/>
              <w:rPr>
                <w:sz w:val="16"/>
                <w:szCs w:val="16"/>
              </w:rPr>
            </w:pPr>
            <w:r>
              <w:rPr>
                <w:sz w:val="16"/>
                <w:szCs w:val="16"/>
              </w:rPr>
              <w:t xml:space="preserve">Max</w:t>
            </w:r>
          </w:p>
        </w:tc>
        <w:tc>
          <w:tcPr/>
          <w:p>
            <w:pPr>
              <w:pStyle w:val="Compact"/>
              <w:jc w:val="left"/>
              <w:rPr>
                <w:sz w:val="16"/>
                <w:szCs w:val="16"/>
              </w:rPr>
            </w:pPr>
            <w:r>
              <w:rPr>
                <w:sz w:val="16"/>
                <w:szCs w:val="16"/>
              </w:rPr>
              <w:t xml:space="preserve">Skewness</w:t>
            </w:r>
          </w:p>
        </w:tc>
        <w:tc>
          <w:tcPr/>
          <w:p>
            <w:pPr>
              <w:pStyle w:val="Compact"/>
              <w:jc w:val="left"/>
              <w:rPr>
                <w:sz w:val="16"/>
                <w:szCs w:val="16"/>
              </w:rPr>
            </w:pPr>
            <w:r>
              <w:rPr>
                <w:sz w:val="16"/>
                <w:szCs w:val="16"/>
              </w:rPr>
              <w:t xml:space="preserve">Kurtosis</w:t>
            </w:r>
          </w:p>
        </w:tc>
      </w:tr>
      <w:tr>
        <w:trPr>
          <w:trHeight w:val="340" w:hRule="exact"/>
        </w:trPr>
        <w:tc>
          <w:tcPr/>
          <w:p>
            <w:pPr>
              <w:pStyle w:val="Compact"/>
              <w:jc w:val="left"/>
              <w:rPr>
                <w:sz w:val="16"/>
                <w:szCs w:val="16"/>
              </w:rPr>
            </w:pPr>
            <w:r>
              <w:rPr>
                <w:sz w:val="16"/>
                <w:szCs w:val="16"/>
              </w:rPr>
              <w:t xml:space="preserve">Stand basal area (m2/ha)</w:t>
            </w:r>
          </w:p>
        </w:tc>
        <w:tc>
          <w:tcPr/>
          <w:p>
            <w:pPr>
              <w:pStyle w:val="Compact"/>
              <w:jc w:val="left"/>
              <w:rPr>
                <w:sz w:val="16"/>
                <w:szCs w:val="16"/>
              </w:rPr>
            </w:pPr>
            <w:r>
              <w:rPr>
                <w:sz w:val="16"/>
                <w:szCs w:val="16"/>
              </w:rPr>
              <w:t xml:space="preserve">122,700</w:t>
            </w:r>
          </w:p>
        </w:tc>
        <w:tc>
          <w:tcPr/>
          <w:p>
            <w:pPr>
              <w:pStyle w:val="Compact"/>
              <w:jc w:val="left"/>
              <w:rPr>
                <w:sz w:val="16"/>
                <w:szCs w:val="16"/>
              </w:rPr>
            </w:pPr>
            <w:r>
              <w:rPr>
                <w:sz w:val="16"/>
                <w:szCs w:val="16"/>
              </w:rPr>
              <w:t xml:space="preserve">35.18</w:t>
            </w:r>
          </w:p>
        </w:tc>
        <w:tc>
          <w:tcPr/>
          <w:p>
            <w:pPr>
              <w:pStyle w:val="Compact"/>
              <w:jc w:val="left"/>
              <w:rPr>
                <w:sz w:val="16"/>
                <w:szCs w:val="16"/>
              </w:rPr>
            </w:pPr>
            <w:r>
              <w:rPr>
                <w:sz w:val="16"/>
                <w:szCs w:val="16"/>
              </w:rPr>
              <w:t xml:space="preserve">11.84</w:t>
            </w:r>
          </w:p>
        </w:tc>
        <w:tc>
          <w:tcPr/>
          <w:p>
            <w:pPr>
              <w:pStyle w:val="Compact"/>
              <w:jc w:val="left"/>
              <w:rPr>
                <w:sz w:val="16"/>
                <w:szCs w:val="16"/>
              </w:rPr>
            </w:pPr>
            <w:r>
              <w:rPr>
                <w:sz w:val="16"/>
                <w:szCs w:val="16"/>
              </w:rPr>
              <w:t xml:space="preserve">0.034</w:t>
            </w:r>
          </w:p>
        </w:tc>
        <w:tc>
          <w:tcPr/>
          <w:p>
            <w:pPr>
              <w:pStyle w:val="Compact"/>
              <w:jc w:val="left"/>
              <w:rPr>
                <w:sz w:val="16"/>
                <w:szCs w:val="16"/>
              </w:rPr>
            </w:pPr>
            <w:r>
              <w:rPr>
                <w:sz w:val="16"/>
                <w:szCs w:val="16"/>
              </w:rPr>
              <w:t xml:space="preserve">37.06</w:t>
            </w:r>
          </w:p>
        </w:tc>
        <w:tc>
          <w:tcPr/>
          <w:p>
            <w:pPr>
              <w:pStyle w:val="Compact"/>
              <w:jc w:val="left"/>
              <w:rPr>
                <w:sz w:val="16"/>
                <w:szCs w:val="16"/>
              </w:rPr>
            </w:pPr>
            <w:r>
              <w:rPr>
                <w:sz w:val="16"/>
                <w:szCs w:val="16"/>
              </w:rPr>
              <w:t xml:space="preserve">2.08</w:t>
            </w:r>
          </w:p>
        </w:tc>
        <w:tc>
          <w:tcPr/>
          <w:p>
            <w:pPr>
              <w:pStyle w:val="Compact"/>
              <w:jc w:val="left"/>
              <w:rPr>
                <w:sz w:val="16"/>
                <w:szCs w:val="16"/>
              </w:rPr>
            </w:pPr>
            <w:r>
              <w:rPr>
                <w:sz w:val="16"/>
                <w:szCs w:val="16"/>
              </w:rPr>
              <w:t xml:space="preserve">64.26</w:t>
            </w:r>
          </w:p>
        </w:tc>
        <w:tc>
          <w:tcPr/>
          <w:p>
            <w:pPr>
              <w:pStyle w:val="Compact"/>
              <w:jc w:val="left"/>
              <w:rPr>
                <w:sz w:val="16"/>
                <w:szCs w:val="16"/>
              </w:rPr>
            </w:pPr>
            <w:r>
              <w:rPr>
                <w:sz w:val="16"/>
                <w:szCs w:val="16"/>
              </w:rPr>
              <w:t xml:space="preserve">-0.77</w:t>
            </w:r>
          </w:p>
        </w:tc>
        <w:tc>
          <w:tcPr/>
          <w:p>
            <w:pPr>
              <w:pStyle w:val="Compact"/>
              <w:jc w:val="left"/>
              <w:rPr>
                <w:sz w:val="16"/>
                <w:szCs w:val="16"/>
              </w:rPr>
            </w:pPr>
            <w:r>
              <w:rPr>
                <w:sz w:val="16"/>
                <w:szCs w:val="16"/>
              </w:rPr>
              <w:t xml:space="preserve">+0.49</w:t>
            </w:r>
          </w:p>
        </w:tc>
      </w:tr>
      <w:tr>
        <w:trPr>
          <w:trHeight w:val="340" w:hRule="exact"/>
        </w:trPr>
        <w:tc>
          <w:tcPr/>
          <w:p>
            <w:pPr>
              <w:pStyle w:val="Compact"/>
              <w:jc w:val="left"/>
              <w:rPr>
                <w:sz w:val="16"/>
                <w:szCs w:val="16"/>
              </w:rPr>
            </w:pPr>
            <w:r>
              <w:rPr>
                <w:sz w:val="16"/>
                <w:szCs w:val="16"/>
              </w:rPr>
              <w:t xml:space="preserve">Crown closure (%)</w:t>
            </w:r>
          </w:p>
        </w:tc>
        <w:tc>
          <w:tcPr/>
          <w:p>
            <w:pPr>
              <w:pStyle w:val="Compact"/>
              <w:jc w:val="left"/>
              <w:rPr>
                <w:sz w:val="16"/>
                <w:szCs w:val="16"/>
              </w:rPr>
            </w:pPr>
            <w:r>
              <w:rPr>
                <w:sz w:val="16"/>
                <w:szCs w:val="16"/>
              </w:rPr>
              <w:t xml:space="preserve">122,700</w:t>
            </w:r>
          </w:p>
        </w:tc>
        <w:tc>
          <w:tcPr/>
          <w:p>
            <w:pPr>
              <w:pStyle w:val="Compact"/>
              <w:jc w:val="left"/>
              <w:rPr>
                <w:sz w:val="16"/>
                <w:szCs w:val="16"/>
              </w:rPr>
            </w:pPr>
            <w:r>
              <w:rPr>
                <w:sz w:val="16"/>
                <w:szCs w:val="16"/>
              </w:rPr>
              <w:t xml:space="preserve">45.32</w:t>
            </w:r>
          </w:p>
        </w:tc>
        <w:tc>
          <w:tcPr/>
          <w:p>
            <w:pPr>
              <w:pStyle w:val="Compact"/>
              <w:jc w:val="left"/>
              <w:rPr>
                <w:sz w:val="16"/>
                <w:szCs w:val="16"/>
              </w:rPr>
            </w:pPr>
            <w:r>
              <w:rPr>
                <w:sz w:val="16"/>
                <w:szCs w:val="16"/>
              </w:rPr>
              <w:t xml:space="preserve">13.55</w:t>
            </w:r>
          </w:p>
        </w:tc>
        <w:tc>
          <w:tcPr/>
          <w:p>
            <w:pPr>
              <w:pStyle w:val="Compact"/>
              <w:jc w:val="left"/>
              <w:rPr>
                <w:sz w:val="16"/>
                <w:szCs w:val="16"/>
              </w:rPr>
            </w:pPr>
            <w:r>
              <w:rPr>
                <w:sz w:val="16"/>
                <w:szCs w:val="16"/>
              </w:rPr>
              <w:t xml:space="preserve">0.039</w:t>
            </w:r>
          </w:p>
        </w:tc>
        <w:tc>
          <w:tcPr/>
          <w:p>
            <w:pPr>
              <w:pStyle w:val="Compact"/>
              <w:jc w:val="left"/>
              <w:rPr>
                <w:sz w:val="16"/>
                <w:szCs w:val="16"/>
              </w:rPr>
            </w:pPr>
            <w:r>
              <w:rPr>
                <w:sz w:val="16"/>
                <w:szCs w:val="16"/>
              </w:rPr>
              <w:t xml:space="preserve">48.00</w:t>
            </w:r>
          </w:p>
        </w:tc>
        <w:tc>
          <w:tcPr/>
          <w:p>
            <w:pPr>
              <w:pStyle w:val="Compact"/>
              <w:jc w:val="left"/>
              <w:rPr>
                <w:sz w:val="16"/>
                <w:szCs w:val="16"/>
              </w:rPr>
            </w:pPr>
            <w:r>
              <w:rPr>
                <w:sz w:val="16"/>
                <w:szCs w:val="16"/>
              </w:rPr>
              <w:t xml:space="preserve">4.00</w:t>
            </w:r>
          </w:p>
        </w:tc>
        <w:tc>
          <w:tcPr/>
          <w:p>
            <w:pPr>
              <w:pStyle w:val="Compact"/>
              <w:jc w:val="left"/>
              <w:rPr>
                <w:sz w:val="16"/>
                <w:szCs w:val="16"/>
              </w:rPr>
            </w:pPr>
            <w:r>
              <w:rPr>
                <w:sz w:val="16"/>
                <w:szCs w:val="16"/>
              </w:rPr>
              <w:t xml:space="preserve">60.00</w:t>
            </w:r>
          </w:p>
        </w:tc>
        <w:tc>
          <w:tcPr/>
          <w:p>
            <w:pPr>
              <w:pStyle w:val="Compact"/>
              <w:jc w:val="left"/>
              <w:rPr>
                <w:sz w:val="16"/>
                <w:szCs w:val="16"/>
              </w:rPr>
            </w:pPr>
            <w:r>
              <w:rPr>
                <w:sz w:val="16"/>
                <w:szCs w:val="16"/>
              </w:rPr>
              <w:t xml:space="preserve">-1.31</w:t>
            </w:r>
          </w:p>
        </w:tc>
        <w:tc>
          <w:tcPr/>
          <w:p>
            <w:pPr>
              <w:pStyle w:val="Compact"/>
              <w:jc w:val="left"/>
              <w:rPr>
                <w:sz w:val="16"/>
                <w:szCs w:val="16"/>
              </w:rPr>
            </w:pPr>
            <w:r>
              <w:rPr>
                <w:sz w:val="16"/>
                <w:szCs w:val="16"/>
              </w:rPr>
              <w:t xml:space="preserve">+1.29</w:t>
            </w:r>
          </w:p>
        </w:tc>
      </w:tr>
      <w:tr>
        <w:trPr>
          <w:trHeight w:val="340" w:hRule="exact"/>
        </w:trPr>
        <w:tc>
          <w:tcPr/>
          <w:p>
            <w:pPr>
              <w:pStyle w:val="Compact"/>
              <w:jc w:val="left"/>
              <w:rPr>
                <w:sz w:val="16"/>
                <w:szCs w:val="16"/>
              </w:rPr>
            </w:pPr>
            <w:r>
              <w:rPr>
                <w:sz w:val="16"/>
                <w:szCs w:val="16"/>
              </w:rPr>
              <w:t xml:space="preserve">Live stems (n/ha)</w:t>
            </w:r>
          </w:p>
        </w:tc>
        <w:tc>
          <w:tcPr/>
          <w:p>
            <w:pPr>
              <w:pStyle w:val="Compact"/>
              <w:jc w:val="left"/>
              <w:rPr>
                <w:sz w:val="16"/>
                <w:szCs w:val="16"/>
              </w:rPr>
            </w:pPr>
            <w:r>
              <w:rPr>
                <w:sz w:val="16"/>
                <w:szCs w:val="16"/>
              </w:rPr>
              <w:t xml:space="preserve">122,700</w:t>
            </w:r>
          </w:p>
        </w:tc>
        <w:tc>
          <w:tcPr/>
          <w:p>
            <w:pPr>
              <w:pStyle w:val="Compact"/>
              <w:jc w:val="left"/>
              <w:rPr>
                <w:sz w:val="16"/>
                <w:szCs w:val="16"/>
              </w:rPr>
            </w:pPr>
            <w:r>
              <w:rPr>
                <w:sz w:val="16"/>
                <w:szCs w:val="16"/>
              </w:rPr>
              <w:t xml:space="preserve">670.00</w:t>
            </w:r>
          </w:p>
        </w:tc>
        <w:tc>
          <w:tcPr/>
          <w:p>
            <w:pPr>
              <w:pStyle w:val="Compact"/>
              <w:jc w:val="left"/>
              <w:rPr>
                <w:sz w:val="16"/>
                <w:szCs w:val="16"/>
              </w:rPr>
            </w:pPr>
            <w:r>
              <w:rPr>
                <w:sz w:val="16"/>
                <w:szCs w:val="16"/>
              </w:rPr>
              <w:t xml:space="preserve">256.78</w:t>
            </w:r>
          </w:p>
        </w:tc>
        <w:tc>
          <w:tcPr/>
          <w:p>
            <w:pPr>
              <w:pStyle w:val="Compact"/>
              <w:jc w:val="left"/>
              <w:rPr>
                <w:sz w:val="16"/>
                <w:szCs w:val="16"/>
              </w:rPr>
            </w:pPr>
            <w:r>
              <w:rPr>
                <w:sz w:val="16"/>
                <w:szCs w:val="16"/>
              </w:rPr>
              <w:t xml:space="preserve">0.733</w:t>
            </w:r>
          </w:p>
        </w:tc>
        <w:tc>
          <w:tcPr/>
          <w:p>
            <w:pPr>
              <w:pStyle w:val="Compact"/>
              <w:jc w:val="left"/>
              <w:rPr>
                <w:sz w:val="16"/>
                <w:szCs w:val="16"/>
              </w:rPr>
            </w:pPr>
            <w:r>
              <w:rPr>
                <w:sz w:val="16"/>
                <w:szCs w:val="16"/>
              </w:rPr>
              <w:t xml:space="preserve">686.00</w:t>
            </w:r>
          </w:p>
        </w:tc>
        <w:tc>
          <w:tcPr/>
          <w:p>
            <w:pPr>
              <w:pStyle w:val="Compact"/>
              <w:jc w:val="left"/>
              <w:rPr>
                <w:sz w:val="16"/>
                <w:szCs w:val="16"/>
              </w:rPr>
            </w:pPr>
            <w:r>
              <w:rPr>
                <w:sz w:val="16"/>
                <w:szCs w:val="16"/>
              </w:rPr>
              <w:t xml:space="preserve">64.00</w:t>
            </w:r>
          </w:p>
        </w:tc>
        <w:tc>
          <w:tcPr/>
          <w:p>
            <w:pPr>
              <w:pStyle w:val="Compact"/>
              <w:jc w:val="left"/>
              <w:rPr>
                <w:sz w:val="16"/>
                <w:szCs w:val="16"/>
              </w:rPr>
            </w:pPr>
            <w:r>
              <w:rPr>
                <w:sz w:val="16"/>
                <w:szCs w:val="16"/>
              </w:rPr>
              <w:t xml:space="preserve">1614.00</w:t>
            </w:r>
          </w:p>
        </w:tc>
        <w:tc>
          <w:tcPr/>
          <w:p>
            <w:pPr>
              <w:pStyle w:val="Compact"/>
              <w:jc w:val="left"/>
              <w:rPr>
                <w:sz w:val="16"/>
                <w:szCs w:val="16"/>
              </w:rPr>
            </w:pPr>
            <w:r>
              <w:rPr>
                <w:sz w:val="16"/>
                <w:szCs w:val="16"/>
              </w:rPr>
              <w:t xml:space="preserve">+0.33</w:t>
            </w:r>
          </w:p>
        </w:tc>
        <w:tc>
          <w:tcPr/>
          <w:p>
            <w:pPr>
              <w:pStyle w:val="Compact"/>
              <w:jc w:val="left"/>
              <w:rPr>
                <w:sz w:val="16"/>
                <w:szCs w:val="16"/>
              </w:rPr>
            </w:pPr>
            <w:r>
              <w:rPr>
                <w:sz w:val="16"/>
                <w:szCs w:val="16"/>
              </w:rPr>
              <w:t xml:space="preserve">+1.22</w:t>
            </w:r>
          </w:p>
        </w:tc>
      </w:tr>
      <w:tr>
        <w:trPr>
          <w:trHeight w:val="340" w:hRule="exact"/>
        </w:trPr>
        <w:tc>
          <w:tcPr/>
          <w:p>
            <w:pPr>
              <w:pStyle w:val="Compact"/>
              <w:jc w:val="left"/>
              <w:rPr>
                <w:sz w:val="16"/>
                <w:szCs w:val="16"/>
              </w:rPr>
            </w:pPr>
            <w:r>
              <w:rPr>
                <w:sz w:val="16"/>
                <w:szCs w:val="16"/>
              </w:rPr>
              <w:t xml:space="preserve">Quadratic mean diameter (cm)</w:t>
            </w:r>
          </w:p>
        </w:tc>
        <w:tc>
          <w:tcPr/>
          <w:p>
            <w:pPr>
              <w:pStyle w:val="Compact"/>
              <w:jc w:val="left"/>
              <w:rPr>
                <w:sz w:val="16"/>
                <w:szCs w:val="16"/>
              </w:rPr>
            </w:pPr>
            <w:r>
              <w:rPr>
                <w:sz w:val="16"/>
                <w:szCs w:val="16"/>
              </w:rPr>
              <w:t xml:space="preserve">122,700</w:t>
            </w:r>
          </w:p>
        </w:tc>
        <w:tc>
          <w:tcPr/>
          <w:p>
            <w:pPr>
              <w:pStyle w:val="Compact"/>
              <w:jc w:val="left"/>
              <w:rPr>
                <w:sz w:val="16"/>
                <w:szCs w:val="16"/>
              </w:rPr>
            </w:pPr>
            <w:r>
              <w:rPr>
                <w:sz w:val="16"/>
                <w:szCs w:val="16"/>
              </w:rPr>
              <w:t xml:space="preserve">30.13</w:t>
            </w:r>
          </w:p>
        </w:tc>
        <w:tc>
          <w:tcPr/>
          <w:p>
            <w:pPr>
              <w:pStyle w:val="Compact"/>
              <w:jc w:val="left"/>
              <w:rPr>
                <w:sz w:val="16"/>
                <w:szCs w:val="16"/>
              </w:rPr>
            </w:pPr>
            <w:r>
              <w:rPr>
                <w:sz w:val="16"/>
                <w:szCs w:val="16"/>
              </w:rPr>
              <w:t xml:space="preserve">7.19</w:t>
            </w:r>
          </w:p>
        </w:tc>
        <w:tc>
          <w:tcPr/>
          <w:p>
            <w:pPr>
              <w:pStyle w:val="Compact"/>
              <w:jc w:val="left"/>
              <w:rPr>
                <w:sz w:val="16"/>
                <w:szCs w:val="16"/>
              </w:rPr>
            </w:pPr>
            <w:r>
              <w:rPr>
                <w:sz w:val="16"/>
                <w:szCs w:val="16"/>
              </w:rPr>
              <w:t xml:space="preserve">0.021</w:t>
            </w:r>
          </w:p>
        </w:tc>
        <w:tc>
          <w:tcPr/>
          <w:p>
            <w:pPr>
              <w:pStyle w:val="Compact"/>
              <w:jc w:val="left"/>
              <w:rPr>
                <w:sz w:val="16"/>
                <w:szCs w:val="16"/>
              </w:rPr>
            </w:pPr>
            <w:r>
              <w:rPr>
                <w:sz w:val="16"/>
                <w:szCs w:val="16"/>
              </w:rPr>
              <w:t xml:space="preserve">30.32</w:t>
            </w:r>
          </w:p>
        </w:tc>
        <w:tc>
          <w:tcPr/>
          <w:p>
            <w:pPr>
              <w:pStyle w:val="Compact"/>
              <w:jc w:val="left"/>
              <w:rPr>
                <w:sz w:val="16"/>
                <w:szCs w:val="16"/>
              </w:rPr>
            </w:pPr>
            <w:r>
              <w:rPr>
                <w:sz w:val="16"/>
                <w:szCs w:val="16"/>
              </w:rPr>
              <w:t xml:space="preserve">13.48</w:t>
            </w:r>
          </w:p>
        </w:tc>
        <w:tc>
          <w:tcPr/>
          <w:p>
            <w:pPr>
              <w:pStyle w:val="Compact"/>
              <w:jc w:val="left"/>
              <w:rPr>
                <w:sz w:val="16"/>
                <w:szCs w:val="16"/>
              </w:rPr>
            </w:pPr>
            <w:r>
              <w:rPr>
                <w:sz w:val="16"/>
                <w:szCs w:val="16"/>
              </w:rPr>
              <w:t xml:space="preserve">62.35</w:t>
            </w:r>
          </w:p>
        </w:tc>
        <w:tc>
          <w:tcPr/>
          <w:p>
            <w:pPr>
              <w:pStyle w:val="Compact"/>
              <w:jc w:val="left"/>
              <w:rPr>
                <w:sz w:val="16"/>
                <w:szCs w:val="16"/>
              </w:rPr>
            </w:pPr>
            <w:r>
              <w:rPr>
                <w:sz w:val="16"/>
                <w:szCs w:val="16"/>
              </w:rPr>
              <w:t xml:space="preserve">+0.54</w:t>
            </w:r>
          </w:p>
        </w:tc>
        <w:tc>
          <w:tcPr/>
          <w:p>
            <w:pPr>
              <w:pStyle w:val="Compact"/>
              <w:jc w:val="left"/>
              <w:rPr>
                <w:sz w:val="16"/>
                <w:szCs w:val="16"/>
              </w:rPr>
            </w:pPr>
            <w:r>
              <w:rPr>
                <w:sz w:val="16"/>
                <w:szCs w:val="16"/>
              </w:rPr>
              <w:t xml:space="preserve">+1.39</w:t>
            </w:r>
          </w:p>
        </w:tc>
      </w:tr>
      <w:tr>
        <w:trPr>
          <w:trHeight w:val="340" w:hRule="exact"/>
        </w:trPr>
        <w:tc>
          <w:tcPr/>
          <w:p>
            <w:pPr>
              <w:pStyle w:val="Compact"/>
              <w:jc w:val="left"/>
              <w:rPr>
                <w:sz w:val="16"/>
                <w:szCs w:val="16"/>
              </w:rPr>
            </w:pPr>
            <w:r>
              <w:rPr>
                <w:sz w:val="16"/>
                <w:szCs w:val="16"/>
              </w:rPr>
              <w:t xml:space="preserve">Stand age (years)</w:t>
            </w:r>
          </w:p>
        </w:tc>
        <w:tc>
          <w:tcPr/>
          <w:p>
            <w:pPr>
              <w:pStyle w:val="Compact"/>
              <w:jc w:val="left"/>
              <w:rPr>
                <w:sz w:val="16"/>
                <w:szCs w:val="16"/>
              </w:rPr>
            </w:pPr>
            <w:r>
              <w:rPr>
                <w:sz w:val="16"/>
                <w:szCs w:val="16"/>
              </w:rPr>
              <w:t xml:space="preserve">122,700</w:t>
            </w:r>
          </w:p>
        </w:tc>
        <w:tc>
          <w:tcPr/>
          <w:p>
            <w:pPr>
              <w:pStyle w:val="Compact"/>
              <w:jc w:val="left"/>
              <w:rPr>
                <w:sz w:val="16"/>
                <w:szCs w:val="16"/>
              </w:rPr>
            </w:pPr>
            <w:r>
              <w:rPr>
                <w:sz w:val="16"/>
                <w:szCs w:val="16"/>
              </w:rPr>
              <w:t xml:space="preserve">125.22</w:t>
            </w:r>
          </w:p>
        </w:tc>
        <w:tc>
          <w:tcPr/>
          <w:p>
            <w:pPr>
              <w:pStyle w:val="Compact"/>
              <w:jc w:val="left"/>
              <w:rPr>
                <w:sz w:val="16"/>
                <w:szCs w:val="16"/>
              </w:rPr>
            </w:pPr>
            <w:r>
              <w:rPr>
                <w:sz w:val="16"/>
                <w:szCs w:val="16"/>
              </w:rPr>
              <w:t xml:space="preserve">26.47</w:t>
            </w:r>
          </w:p>
        </w:tc>
        <w:tc>
          <w:tcPr/>
          <w:p>
            <w:pPr>
              <w:pStyle w:val="Compact"/>
              <w:jc w:val="left"/>
              <w:rPr>
                <w:sz w:val="16"/>
                <w:szCs w:val="16"/>
              </w:rPr>
            </w:pPr>
            <w:r>
              <w:rPr>
                <w:sz w:val="16"/>
                <w:szCs w:val="16"/>
              </w:rPr>
              <w:t xml:space="preserve">0.076</w:t>
            </w:r>
          </w:p>
        </w:tc>
        <w:tc>
          <w:tcPr/>
          <w:p>
            <w:pPr>
              <w:pStyle w:val="Compact"/>
              <w:jc w:val="left"/>
              <w:rPr>
                <w:sz w:val="16"/>
                <w:szCs w:val="16"/>
              </w:rPr>
            </w:pPr>
            <w:r>
              <w:rPr>
                <w:sz w:val="16"/>
                <w:szCs w:val="16"/>
              </w:rPr>
              <w:t xml:space="preserve">124.00</w:t>
            </w:r>
          </w:p>
        </w:tc>
        <w:tc>
          <w:tcPr/>
          <w:p>
            <w:pPr>
              <w:pStyle w:val="Compact"/>
              <w:jc w:val="left"/>
              <w:rPr>
                <w:sz w:val="16"/>
                <w:szCs w:val="16"/>
              </w:rPr>
            </w:pPr>
            <w:r>
              <w:rPr>
                <w:sz w:val="16"/>
                <w:szCs w:val="16"/>
              </w:rPr>
              <w:t xml:space="preserve">20.00</w:t>
            </w:r>
          </w:p>
        </w:tc>
        <w:tc>
          <w:tcPr/>
          <w:p>
            <w:pPr>
              <w:pStyle w:val="Compact"/>
              <w:jc w:val="left"/>
              <w:rPr>
                <w:sz w:val="16"/>
                <w:szCs w:val="16"/>
              </w:rPr>
            </w:pPr>
            <w:r>
              <w:rPr>
                <w:sz w:val="16"/>
                <w:szCs w:val="16"/>
              </w:rPr>
              <w:t xml:space="preserve">184.00</w:t>
            </w:r>
          </w:p>
        </w:tc>
        <w:tc>
          <w:tcPr/>
          <w:p>
            <w:pPr>
              <w:pStyle w:val="Compact"/>
              <w:jc w:val="left"/>
              <w:rPr>
                <w:sz w:val="16"/>
                <w:szCs w:val="16"/>
              </w:rPr>
            </w:pPr>
            <w:r>
              <w:rPr>
                <w:sz w:val="16"/>
                <w:szCs w:val="16"/>
              </w:rPr>
              <w:t xml:space="preserve">-1.39</w:t>
            </w:r>
          </w:p>
        </w:tc>
        <w:tc>
          <w:tcPr/>
          <w:p>
            <w:pPr>
              <w:pStyle w:val="Compact"/>
              <w:jc w:val="left"/>
              <w:rPr>
                <w:sz w:val="16"/>
                <w:szCs w:val="16"/>
              </w:rPr>
            </w:pPr>
            <w:r>
              <w:rPr>
                <w:sz w:val="16"/>
                <w:szCs w:val="16"/>
              </w:rPr>
              <w:t xml:space="preserve">+3.48</w:t>
            </w:r>
          </w:p>
        </w:tc>
      </w:tr>
      <w:tr>
        <w:trPr>
          <w:trHeight w:val="340" w:hRule="exact"/>
        </w:trPr>
        <w:tc>
          <w:tcPr/>
          <w:p>
            <w:pPr>
              <w:pStyle w:val="Compact"/>
              <w:jc w:val="left"/>
              <w:rPr>
                <w:sz w:val="16"/>
                <w:szCs w:val="16"/>
              </w:rPr>
            </w:pPr>
            <w:r>
              <w:rPr>
                <w:sz w:val="16"/>
                <w:szCs w:val="16"/>
              </w:rPr>
              <w:t xml:space="preserve">Stand height (m)</w:t>
            </w:r>
          </w:p>
        </w:tc>
        <w:tc>
          <w:tcPr/>
          <w:p>
            <w:pPr>
              <w:pStyle w:val="Compact"/>
              <w:jc w:val="left"/>
              <w:rPr>
                <w:sz w:val="16"/>
                <w:szCs w:val="16"/>
              </w:rPr>
            </w:pPr>
            <w:r>
              <w:rPr>
                <w:sz w:val="16"/>
                <w:szCs w:val="16"/>
              </w:rPr>
              <w:t xml:space="preserve">122,700</w:t>
            </w:r>
          </w:p>
        </w:tc>
        <w:tc>
          <w:tcPr/>
          <w:p>
            <w:pPr>
              <w:pStyle w:val="Compact"/>
              <w:jc w:val="left"/>
              <w:rPr>
                <w:sz w:val="16"/>
                <w:szCs w:val="16"/>
              </w:rPr>
            </w:pPr>
            <w:r>
              <w:rPr>
                <w:sz w:val="16"/>
                <w:szCs w:val="16"/>
              </w:rPr>
              <w:t xml:space="preserve">28.07</w:t>
            </w:r>
          </w:p>
        </w:tc>
        <w:tc>
          <w:tcPr/>
          <w:p>
            <w:pPr>
              <w:pStyle w:val="Compact"/>
              <w:jc w:val="left"/>
              <w:rPr>
                <w:sz w:val="16"/>
                <w:szCs w:val="16"/>
              </w:rPr>
            </w:pPr>
            <w:r>
              <w:rPr>
                <w:sz w:val="16"/>
                <w:szCs w:val="16"/>
              </w:rPr>
              <w:t xml:space="preserve">6.05</w:t>
            </w:r>
          </w:p>
        </w:tc>
        <w:tc>
          <w:tcPr/>
          <w:p>
            <w:pPr>
              <w:pStyle w:val="Compact"/>
              <w:jc w:val="left"/>
              <w:rPr>
                <w:sz w:val="16"/>
                <w:szCs w:val="16"/>
              </w:rPr>
            </w:pPr>
            <w:r>
              <w:rPr>
                <w:sz w:val="16"/>
                <w:szCs w:val="16"/>
              </w:rPr>
              <w:t xml:space="preserve">0.017</w:t>
            </w:r>
          </w:p>
        </w:tc>
        <w:tc>
          <w:tcPr/>
          <w:p>
            <w:pPr>
              <w:pStyle w:val="Compact"/>
              <w:jc w:val="left"/>
              <w:rPr>
                <w:sz w:val="16"/>
                <w:szCs w:val="16"/>
              </w:rPr>
            </w:pPr>
            <w:r>
              <w:rPr>
                <w:sz w:val="16"/>
                <w:szCs w:val="16"/>
              </w:rPr>
              <w:t xml:space="preserve">29.00</w:t>
            </w:r>
          </w:p>
        </w:tc>
        <w:tc>
          <w:tcPr/>
          <w:p>
            <w:pPr>
              <w:pStyle w:val="Compact"/>
              <w:jc w:val="left"/>
              <w:rPr>
                <w:sz w:val="16"/>
                <w:szCs w:val="16"/>
              </w:rPr>
            </w:pPr>
            <w:r>
              <w:rPr>
                <w:sz w:val="16"/>
                <w:szCs w:val="16"/>
              </w:rPr>
              <w:t xml:space="preserve">7.70</w:t>
            </w:r>
          </w:p>
        </w:tc>
        <w:tc>
          <w:tcPr/>
          <w:p>
            <w:pPr>
              <w:pStyle w:val="Compact"/>
              <w:jc w:val="left"/>
              <w:rPr>
                <w:sz w:val="16"/>
                <w:szCs w:val="16"/>
              </w:rPr>
            </w:pPr>
            <w:r>
              <w:rPr>
                <w:sz w:val="16"/>
                <w:szCs w:val="16"/>
              </w:rPr>
              <w:t xml:space="preserve">41.60</w:t>
            </w:r>
          </w:p>
        </w:tc>
        <w:tc>
          <w:tcPr/>
          <w:p>
            <w:pPr>
              <w:pStyle w:val="Compact"/>
              <w:jc w:val="left"/>
              <w:rPr>
                <w:sz w:val="16"/>
                <w:szCs w:val="16"/>
              </w:rPr>
            </w:pPr>
            <w:r>
              <w:rPr>
                <w:sz w:val="16"/>
                <w:szCs w:val="16"/>
              </w:rPr>
              <w:t xml:space="preserve">-0.70</w:t>
            </w:r>
          </w:p>
        </w:tc>
        <w:tc>
          <w:tcPr/>
          <w:p>
            <w:pPr>
              <w:pStyle w:val="Compact"/>
              <w:jc w:val="left"/>
              <w:rPr>
                <w:sz w:val="16"/>
                <w:szCs w:val="16"/>
              </w:rPr>
            </w:pPr>
            <w:r>
              <w:rPr>
                <w:sz w:val="16"/>
                <w:szCs w:val="16"/>
              </w:rPr>
              <w:t xml:space="preserve">+1.79</w:t>
            </w:r>
          </w:p>
        </w:tc>
      </w:tr>
      <w:tr>
        <w:trPr>
          <w:trHeight w:val="340" w:hRule="exact"/>
        </w:trPr>
        <w:tc>
          <w:tcPr/>
          <w:p>
            <w:pPr>
              <w:pStyle w:val="Compact"/>
              <w:jc w:val="left"/>
              <w:rPr>
                <w:sz w:val="16"/>
                <w:szCs w:val="16"/>
              </w:rPr>
            </w:pPr>
            <w:r>
              <w:rPr>
                <w:sz w:val="16"/>
                <w:szCs w:val="16"/>
              </w:rPr>
              <w:t xml:space="preserve">Standing volume (m3/ha)</w:t>
            </w:r>
          </w:p>
        </w:tc>
        <w:tc>
          <w:tcPr/>
          <w:p>
            <w:pPr>
              <w:pStyle w:val="Compact"/>
              <w:jc w:val="left"/>
              <w:rPr>
                <w:sz w:val="16"/>
                <w:szCs w:val="16"/>
              </w:rPr>
            </w:pPr>
            <w:r>
              <w:rPr>
                <w:sz w:val="16"/>
                <w:szCs w:val="16"/>
              </w:rPr>
              <w:t xml:space="preserve">122,700</w:t>
            </w:r>
          </w:p>
        </w:tc>
        <w:tc>
          <w:tcPr/>
          <w:p>
            <w:pPr>
              <w:pStyle w:val="Compact"/>
              <w:jc w:val="left"/>
              <w:rPr>
                <w:sz w:val="16"/>
                <w:szCs w:val="16"/>
              </w:rPr>
            </w:pPr>
            <w:r>
              <w:rPr>
                <w:sz w:val="16"/>
                <w:szCs w:val="16"/>
              </w:rPr>
              <w:t xml:space="preserve">283.40</w:t>
            </w:r>
          </w:p>
        </w:tc>
        <w:tc>
          <w:tcPr/>
          <w:p>
            <w:pPr>
              <w:pStyle w:val="Compact"/>
              <w:jc w:val="left"/>
              <w:rPr>
                <w:sz w:val="16"/>
                <w:szCs w:val="16"/>
              </w:rPr>
            </w:pPr>
            <w:r>
              <w:rPr>
                <w:sz w:val="16"/>
                <w:szCs w:val="16"/>
              </w:rPr>
              <w:t xml:space="preserve">129.22</w:t>
            </w:r>
          </w:p>
        </w:tc>
        <w:tc>
          <w:tcPr/>
          <w:p>
            <w:pPr>
              <w:pStyle w:val="Compact"/>
              <w:jc w:val="left"/>
              <w:rPr>
                <w:sz w:val="16"/>
                <w:szCs w:val="16"/>
              </w:rPr>
            </w:pPr>
            <w:r>
              <w:rPr>
                <w:sz w:val="16"/>
                <w:szCs w:val="16"/>
              </w:rPr>
              <w:t xml:space="preserve">0.369</w:t>
            </w:r>
          </w:p>
        </w:tc>
        <w:tc>
          <w:tcPr/>
          <w:p>
            <w:pPr>
              <w:pStyle w:val="Compact"/>
              <w:jc w:val="left"/>
              <w:rPr>
                <w:sz w:val="16"/>
                <w:szCs w:val="16"/>
              </w:rPr>
            </w:pPr>
            <w:r>
              <w:rPr>
                <w:sz w:val="16"/>
                <w:szCs w:val="16"/>
              </w:rPr>
              <w:t xml:space="preserve">292.90</w:t>
            </w:r>
          </w:p>
        </w:tc>
        <w:tc>
          <w:tcPr/>
          <w:p>
            <w:pPr>
              <w:pStyle w:val="Compact"/>
              <w:jc w:val="left"/>
              <w:rPr>
                <w:sz w:val="16"/>
                <w:szCs w:val="16"/>
              </w:rPr>
            </w:pPr>
            <w:r>
              <w:rPr>
                <w:sz w:val="16"/>
                <w:szCs w:val="16"/>
              </w:rPr>
              <w:t xml:space="preserve">0.90</w:t>
            </w:r>
          </w:p>
        </w:tc>
        <w:tc>
          <w:tcPr/>
          <w:p>
            <w:pPr>
              <w:pStyle w:val="Compact"/>
              <w:jc w:val="left"/>
              <w:rPr>
                <w:sz w:val="16"/>
                <w:szCs w:val="16"/>
              </w:rPr>
            </w:pPr>
            <w:r>
              <w:rPr>
                <w:sz w:val="16"/>
                <w:szCs w:val="16"/>
              </w:rPr>
              <w:t xml:space="preserve">620.32</w:t>
            </w:r>
          </w:p>
        </w:tc>
        <w:tc>
          <w:tcPr/>
          <w:p>
            <w:pPr>
              <w:pStyle w:val="Compact"/>
              <w:jc w:val="left"/>
              <w:rPr>
                <w:sz w:val="16"/>
                <w:szCs w:val="16"/>
              </w:rPr>
            </w:pPr>
            <w:r>
              <w:rPr>
                <w:sz w:val="16"/>
                <w:szCs w:val="16"/>
              </w:rPr>
              <w:t xml:space="preserve">+0.00</w:t>
            </w:r>
          </w:p>
        </w:tc>
        <w:tc>
          <w:tcPr/>
          <w:p>
            <w:pPr>
              <w:pStyle w:val="Compact"/>
              <w:jc w:val="left"/>
              <w:rPr>
                <w:sz w:val="16"/>
                <w:szCs w:val="16"/>
              </w:rPr>
            </w:pPr>
            <w:r>
              <w:rPr>
                <w:sz w:val="16"/>
                <w:szCs w:val="16"/>
              </w:rPr>
              <w:t xml:space="preserve">-0.02</w:t>
            </w:r>
          </w:p>
        </w:tc>
      </w:tr>
      <w:tr>
        <w:trPr>
          <w:trHeight w:val="340" w:hRule="exact"/>
        </w:trPr>
        <w:tc>
          <w:tcPr/>
          <w:p>
            <w:pPr>
              <w:pStyle w:val="Compact"/>
              <w:jc w:val="left"/>
              <w:rPr>
                <w:sz w:val="16"/>
                <w:szCs w:val="16"/>
              </w:rPr>
            </w:pPr>
            <w:r>
              <w:rPr>
                <w:sz w:val="16"/>
                <w:szCs w:val="16"/>
              </w:rPr>
              <w:t xml:space="preserve">Lodgepole pine cover (%)</w:t>
            </w:r>
          </w:p>
        </w:tc>
        <w:tc>
          <w:tcPr/>
          <w:p>
            <w:pPr>
              <w:pStyle w:val="Compact"/>
              <w:jc w:val="left"/>
              <w:rPr>
                <w:sz w:val="16"/>
                <w:szCs w:val="16"/>
              </w:rPr>
            </w:pPr>
            <w:r>
              <w:rPr>
                <w:sz w:val="16"/>
                <w:szCs w:val="16"/>
              </w:rPr>
              <w:t xml:space="preserve">122,700</w:t>
            </w:r>
          </w:p>
        </w:tc>
        <w:tc>
          <w:tcPr/>
          <w:p>
            <w:pPr>
              <w:pStyle w:val="Compact"/>
              <w:jc w:val="left"/>
              <w:rPr>
                <w:sz w:val="16"/>
                <w:szCs w:val="16"/>
              </w:rPr>
            </w:pPr>
            <w:r>
              <w:rPr>
                <w:sz w:val="16"/>
                <w:szCs w:val="16"/>
              </w:rPr>
              <w:t xml:space="preserve">17.36</w:t>
            </w:r>
          </w:p>
        </w:tc>
        <w:tc>
          <w:tcPr/>
          <w:p>
            <w:pPr>
              <w:pStyle w:val="Compact"/>
              <w:jc w:val="left"/>
              <w:rPr>
                <w:sz w:val="16"/>
                <w:szCs w:val="16"/>
              </w:rPr>
            </w:pPr>
            <w:r>
              <w:rPr>
                <w:sz w:val="16"/>
                <w:szCs w:val="16"/>
              </w:rPr>
              <w:t xml:space="preserve">22.82</w:t>
            </w:r>
          </w:p>
        </w:tc>
        <w:tc>
          <w:tcPr/>
          <w:p>
            <w:pPr>
              <w:pStyle w:val="Compact"/>
              <w:jc w:val="left"/>
              <w:rPr>
                <w:sz w:val="16"/>
                <w:szCs w:val="16"/>
              </w:rPr>
            </w:pPr>
            <w:r>
              <w:rPr>
                <w:sz w:val="16"/>
                <w:szCs w:val="16"/>
              </w:rPr>
              <w:t xml:space="preserve">0.065</w:t>
            </w:r>
          </w:p>
        </w:tc>
        <w:tc>
          <w:tcPr/>
          <w:p>
            <w:pPr>
              <w:pStyle w:val="Compact"/>
              <w:jc w:val="left"/>
              <w:rPr>
                <w:sz w:val="16"/>
                <w:szCs w:val="16"/>
              </w:rPr>
            </w:pPr>
            <w:r>
              <w:rPr>
                <w:sz w:val="16"/>
                <w:szCs w:val="16"/>
              </w:rPr>
              <w:t xml:space="preserve">10.00</w:t>
            </w:r>
          </w:p>
        </w:tc>
        <w:tc>
          <w:tcPr/>
          <w:p>
            <w:pPr>
              <w:pStyle w:val="Compact"/>
              <w:jc w:val="left"/>
              <w:rPr>
                <w:sz w:val="16"/>
                <w:szCs w:val="16"/>
              </w:rPr>
            </w:pPr>
            <w:r>
              <w:rPr>
                <w:sz w:val="16"/>
                <w:szCs w:val="16"/>
              </w:rPr>
              <w:t xml:space="preserve">0.00</w:t>
            </w:r>
          </w:p>
        </w:tc>
        <w:tc>
          <w:tcPr/>
          <w:p>
            <w:pPr>
              <w:pStyle w:val="Compact"/>
              <w:jc w:val="left"/>
              <w:rPr>
                <w:sz w:val="16"/>
                <w:szCs w:val="16"/>
              </w:rPr>
            </w:pPr>
            <w:r>
              <w:rPr>
                <w:sz w:val="16"/>
                <w:szCs w:val="16"/>
              </w:rPr>
              <w:t xml:space="preserve">100.00</w:t>
            </w:r>
          </w:p>
        </w:tc>
        <w:tc>
          <w:tcPr/>
          <w:p>
            <w:pPr>
              <w:pStyle w:val="Compact"/>
              <w:jc w:val="left"/>
              <w:rPr>
                <w:sz w:val="16"/>
                <w:szCs w:val="16"/>
              </w:rPr>
            </w:pPr>
            <w:r>
              <w:rPr>
                <w:sz w:val="16"/>
                <w:szCs w:val="16"/>
              </w:rPr>
              <w:t xml:space="preserve">+1.63</w:t>
            </w:r>
          </w:p>
        </w:tc>
        <w:tc>
          <w:tcPr/>
          <w:p>
            <w:pPr>
              <w:pStyle w:val="Compact"/>
              <w:jc w:val="left"/>
              <w:rPr>
                <w:sz w:val="16"/>
                <w:szCs w:val="16"/>
              </w:rPr>
            </w:pPr>
            <w:r>
              <w:rPr>
                <w:sz w:val="16"/>
                <w:szCs w:val="16"/>
              </w:rPr>
              <w:t xml:space="preserve">+2.09</w:t>
            </w:r>
          </w:p>
        </w:tc>
      </w:tr>
      <w:tr>
        <w:trPr>
          <w:trHeight w:val="340" w:hRule="exact"/>
        </w:trPr>
        <w:tc>
          <w:tcPr/>
          <w:p>
            <w:pPr>
              <w:pStyle w:val="Compact"/>
              <w:jc w:val="left"/>
              <w:rPr>
                <w:sz w:val="16"/>
                <w:szCs w:val="16"/>
              </w:rPr>
            </w:pPr>
            <w:r>
              <w:rPr>
                <w:sz w:val="16"/>
                <w:szCs w:val="16"/>
              </w:rPr>
              <w:t xml:space="preserve">Susceptible pine basal area (m2/ha)</w:t>
            </w:r>
          </w:p>
        </w:tc>
        <w:tc>
          <w:tcPr/>
          <w:p>
            <w:pPr>
              <w:pStyle w:val="Compact"/>
              <w:jc w:val="left"/>
              <w:rPr>
                <w:sz w:val="16"/>
                <w:szCs w:val="16"/>
              </w:rPr>
            </w:pPr>
            <w:r>
              <w:rPr>
                <w:sz w:val="16"/>
                <w:szCs w:val="16"/>
              </w:rPr>
              <w:t xml:space="preserve">122,700</w:t>
            </w:r>
          </w:p>
        </w:tc>
        <w:tc>
          <w:tcPr/>
          <w:p>
            <w:pPr>
              <w:pStyle w:val="Compact"/>
              <w:jc w:val="left"/>
              <w:rPr>
                <w:sz w:val="16"/>
                <w:szCs w:val="16"/>
              </w:rPr>
            </w:pPr>
            <w:r>
              <w:rPr>
                <w:sz w:val="16"/>
                <w:szCs w:val="16"/>
              </w:rPr>
              <w:t xml:space="preserve">5.45</w:t>
            </w:r>
          </w:p>
        </w:tc>
        <w:tc>
          <w:tcPr/>
          <w:p>
            <w:pPr>
              <w:pStyle w:val="Compact"/>
              <w:jc w:val="left"/>
              <w:rPr>
                <w:sz w:val="16"/>
                <w:szCs w:val="16"/>
              </w:rPr>
            </w:pPr>
            <w:r>
              <w:rPr>
                <w:sz w:val="16"/>
                <w:szCs w:val="16"/>
              </w:rPr>
              <w:t xml:space="preserve">7.03</w:t>
            </w:r>
          </w:p>
        </w:tc>
        <w:tc>
          <w:tcPr/>
          <w:p>
            <w:pPr>
              <w:pStyle w:val="Compact"/>
              <w:jc w:val="left"/>
              <w:rPr>
                <w:sz w:val="16"/>
                <w:szCs w:val="16"/>
              </w:rPr>
            </w:pPr>
            <w:r>
              <w:rPr>
                <w:sz w:val="16"/>
                <w:szCs w:val="16"/>
              </w:rPr>
              <w:t xml:space="preserve">0.020</w:t>
            </w:r>
          </w:p>
        </w:tc>
        <w:tc>
          <w:tcPr/>
          <w:p>
            <w:pPr>
              <w:pStyle w:val="Compact"/>
              <w:jc w:val="left"/>
              <w:rPr>
                <w:sz w:val="16"/>
                <w:szCs w:val="16"/>
              </w:rPr>
            </w:pPr>
            <w:r>
              <w:rPr>
                <w:sz w:val="16"/>
                <w:szCs w:val="16"/>
              </w:rPr>
              <w:t xml:space="preserve">3.24</w:t>
            </w:r>
          </w:p>
        </w:tc>
        <w:tc>
          <w:tcPr/>
          <w:p>
            <w:pPr>
              <w:pStyle w:val="Compact"/>
              <w:jc w:val="left"/>
              <w:rPr>
                <w:sz w:val="16"/>
                <w:szCs w:val="16"/>
              </w:rPr>
            </w:pPr>
            <w:r>
              <w:rPr>
                <w:sz w:val="16"/>
                <w:szCs w:val="16"/>
              </w:rPr>
              <w:t xml:space="preserve">0.00</w:t>
            </w:r>
          </w:p>
        </w:tc>
        <w:tc>
          <w:tcPr/>
          <w:p>
            <w:pPr>
              <w:pStyle w:val="Compact"/>
              <w:jc w:val="left"/>
              <w:rPr>
                <w:sz w:val="16"/>
                <w:szCs w:val="16"/>
              </w:rPr>
            </w:pPr>
            <w:r>
              <w:rPr>
                <w:sz w:val="16"/>
                <w:szCs w:val="16"/>
              </w:rPr>
              <w:t xml:space="preserve">31.67</w:t>
            </w:r>
          </w:p>
        </w:tc>
        <w:tc>
          <w:tcPr/>
          <w:p>
            <w:pPr>
              <w:pStyle w:val="Compact"/>
              <w:jc w:val="left"/>
              <w:rPr>
                <w:sz w:val="16"/>
                <w:szCs w:val="16"/>
              </w:rPr>
            </w:pPr>
            <w:r>
              <w:rPr>
                <w:sz w:val="16"/>
                <w:szCs w:val="16"/>
              </w:rPr>
              <w:t xml:space="preserve">+1.52</w:t>
            </w:r>
          </w:p>
        </w:tc>
        <w:tc>
          <w:tcPr/>
          <w:p>
            <w:pPr>
              <w:pStyle w:val="Compact"/>
              <w:jc w:val="left"/>
              <w:rPr>
                <w:sz w:val="16"/>
                <w:szCs w:val="16"/>
              </w:rPr>
            </w:pPr>
            <w:r>
              <w:rPr>
                <w:sz w:val="16"/>
                <w:szCs w:val="16"/>
              </w:rPr>
              <w:t xml:space="preserve">+1.86</w:t>
            </w:r>
          </w:p>
        </w:tc>
      </w:tr>
    </w:tbl>
    <w:bookmarkEnd w:id="35"/>
    <w:bookmarkStart w:id="36" w:name="appendix-s5"/>
    <w:p>
      <w:pPr>
        <w:pStyle w:val="Heading2"/>
      </w:pPr>
      <w:r>
        <w:t xml:space="preserve">5.5 Appendix S5</w:t>
      </w:r>
    </w:p>
    <w:p>
      <w:pPr>
        <w:pStyle w:val="TableCaption"/>
      </w:pPr>
      <w:r>
        <w:t xml:space="preserve">Moderate-to-high beetle disturbance by quadratic mean diameter class, on the balanced sample. The 25 cm boundary is the source-sink threshold of the species’ bionomics. Intervals are Wilson score intervals on the class proportion. Note that 30 m cells in a spreading outbreak are not independent, so the accompanying tests are anti-conservative.</w:t>
      </w:r>
    </w:p>
    <w:tbl>
      <w:tblPr>
        <w:tblStyle w:val="Table"/>
        <w:tblLook w:firstRow="1" w:lastRow="0" w:firstColumn="0" w:lastColumn="0" w:noHBand="0" w:noVBand="0" w:val="0020"/>
        <w:tblCaption w:val="Moderate-to-high beetle disturbance by quadratic mean diameter class, on the balanced sample. The 25 cm boundary is the source-sink threshold of the species’ bionomics. Intervals are Wilson score intervals on the class proportion. Note that 30 m cells in a spreading outbreak are not independent, so the accompanying tests are anti-conservative."/>
        <w:tblW w:w="9354" w:type="dxa"/>
        <w:tblLayout w:type="fixed"/>
      </w:tblPr>
      <w:tblGrid>
        <w:gridCol w:w="1871"/>
        <w:gridCol w:w="1871"/>
        <w:gridCol w:w="1871"/>
        <w:gridCol w:w="1871"/>
        <w:gridCol w:w="1870"/>
      </w:tblGrid>
      <w:tr>
        <w:trPr>
          <w:tblHeader w:val="on"/>
          <w:trHeight w:val="624" w:hRule="exact"/>
        </w:trPr>
        <w:tc>
          <w:tcPr/>
          <w:p>
            <w:pPr>
              <w:pStyle w:val="Compact"/>
              <w:jc w:val="left"/>
              <w:rPr>
                <w:sz w:val="16"/>
                <w:szCs w:val="16"/>
              </w:rPr>
            </w:pPr>
            <w:r>
              <w:rPr>
                <w:sz w:val="16"/>
                <w:szCs w:val="16"/>
              </w:rPr>
              <w:t xml:space="preserve">QMD class (cm)</w:t>
            </w:r>
          </w:p>
        </w:tc>
        <w:tc>
          <w:tcPr/>
          <w:p>
            <w:pPr>
              <w:pStyle w:val="Compact"/>
              <w:jc w:val="left"/>
              <w:rPr>
                <w:sz w:val="16"/>
                <w:szCs w:val="16"/>
              </w:rPr>
            </w:pPr>
            <w:r>
              <w:rPr>
                <w:sz w:val="16"/>
                <w:szCs w:val="16"/>
              </w:rPr>
              <w:t xml:space="preserve">n</w:t>
            </w:r>
          </w:p>
        </w:tc>
        <w:tc>
          <w:tcPr/>
          <w:p>
            <w:pPr>
              <w:pStyle w:val="Compact"/>
              <w:jc w:val="left"/>
              <w:rPr>
                <w:sz w:val="16"/>
                <w:szCs w:val="16"/>
              </w:rPr>
            </w:pPr>
            <w:r>
              <w:rPr>
                <w:sz w:val="16"/>
                <w:szCs w:val="16"/>
              </w:rPr>
              <w:t xml:space="preserve">Attacked</w:t>
            </w:r>
          </w:p>
        </w:tc>
        <w:tc>
          <w:tcPr/>
          <w:p>
            <w:pPr>
              <w:pStyle w:val="Compact"/>
              <w:jc w:val="left"/>
              <w:rPr>
                <w:sz w:val="16"/>
                <w:szCs w:val="16"/>
              </w:rPr>
            </w:pPr>
            <w:r>
              <w:rPr>
                <w:sz w:val="16"/>
                <w:szCs w:val="16"/>
              </w:rPr>
              <w:t xml:space="preserve">Attacked (%)</w:t>
            </w:r>
          </w:p>
        </w:tc>
        <w:tc>
          <w:tcPr/>
          <w:p>
            <w:pPr>
              <w:pStyle w:val="Compact"/>
              <w:jc w:val="left"/>
              <w:rPr>
                <w:sz w:val="16"/>
                <w:szCs w:val="16"/>
              </w:rPr>
            </w:pPr>
            <w:r>
              <w:rPr>
                <w:sz w:val="16"/>
                <w:szCs w:val="16"/>
              </w:rPr>
              <w:t xml:space="preserve">95% CI (%)</w:t>
            </w:r>
          </w:p>
        </w:tc>
      </w:tr>
      <w:tr>
        <w:trPr>
          <w:trHeight w:val="340" w:hRule="exact"/>
        </w:trPr>
        <w:tc>
          <w:tcPr/>
          <w:p>
            <w:pPr>
              <w:pStyle w:val="Compact"/>
              <w:jc w:val="left"/>
              <w:rPr>
                <w:sz w:val="16"/>
                <w:szCs w:val="16"/>
              </w:rPr>
            </w:pPr>
            <w:r>
              <w:rPr>
                <w:sz w:val="16"/>
                <w:szCs w:val="16"/>
              </w:rPr>
              <w:t xml:space="preserve">&lt;15</w:t>
            </w:r>
          </w:p>
        </w:tc>
        <w:tc>
          <w:tcPr/>
          <w:p>
            <w:pPr>
              <w:pStyle w:val="Compact"/>
              <w:jc w:val="left"/>
              <w:rPr>
                <w:sz w:val="16"/>
                <w:szCs w:val="16"/>
              </w:rPr>
            </w:pPr>
            <w:r>
              <w:rPr>
                <w:sz w:val="16"/>
                <w:szCs w:val="16"/>
              </w:rPr>
              <w:t xml:space="preserve">736</w:t>
            </w:r>
          </w:p>
        </w:tc>
        <w:tc>
          <w:tcPr/>
          <w:p>
            <w:pPr>
              <w:pStyle w:val="Compact"/>
              <w:jc w:val="left"/>
              <w:rPr>
                <w:sz w:val="16"/>
                <w:szCs w:val="16"/>
              </w:rPr>
            </w:pPr>
            <w:r>
              <w:rPr>
                <w:sz w:val="16"/>
                <w:szCs w:val="16"/>
              </w:rPr>
              <w:t xml:space="preserve">232</w:t>
            </w:r>
          </w:p>
        </w:tc>
        <w:tc>
          <w:tcPr/>
          <w:p>
            <w:pPr>
              <w:pStyle w:val="Compact"/>
              <w:jc w:val="left"/>
              <w:rPr>
                <w:sz w:val="16"/>
                <w:szCs w:val="16"/>
              </w:rPr>
            </w:pPr>
            <w:r>
              <w:rPr>
                <w:sz w:val="16"/>
                <w:szCs w:val="16"/>
              </w:rPr>
              <w:t xml:space="preserve">31.5</w:t>
            </w:r>
          </w:p>
        </w:tc>
        <w:tc>
          <w:tcPr/>
          <w:p>
            <w:pPr>
              <w:pStyle w:val="Compact"/>
              <w:jc w:val="left"/>
              <w:rPr>
                <w:sz w:val="16"/>
                <w:szCs w:val="16"/>
              </w:rPr>
            </w:pPr>
            <w:r>
              <w:rPr>
                <w:sz w:val="16"/>
                <w:szCs w:val="16"/>
              </w:rPr>
              <w:t xml:space="preserve">28.3-35.0</w:t>
            </w:r>
          </w:p>
        </w:tc>
      </w:tr>
      <w:tr>
        <w:trPr>
          <w:trHeight w:val="340" w:hRule="exact"/>
        </w:trPr>
        <w:tc>
          <w:tcPr/>
          <w:p>
            <w:pPr>
              <w:pStyle w:val="Compact"/>
              <w:jc w:val="left"/>
              <w:rPr>
                <w:sz w:val="16"/>
                <w:szCs w:val="16"/>
              </w:rPr>
            </w:pPr>
            <w:r>
              <w:rPr>
                <w:sz w:val="16"/>
                <w:szCs w:val="16"/>
              </w:rPr>
              <w:t xml:space="preserve">15-20</w:t>
            </w:r>
          </w:p>
        </w:tc>
        <w:tc>
          <w:tcPr/>
          <w:p>
            <w:pPr>
              <w:pStyle w:val="Compact"/>
              <w:jc w:val="left"/>
              <w:rPr>
                <w:sz w:val="16"/>
                <w:szCs w:val="16"/>
              </w:rPr>
            </w:pPr>
            <w:r>
              <w:rPr>
                <w:sz w:val="16"/>
                <w:szCs w:val="16"/>
              </w:rPr>
              <w:t xml:space="preserve">2,371</w:t>
            </w:r>
          </w:p>
        </w:tc>
        <w:tc>
          <w:tcPr/>
          <w:p>
            <w:pPr>
              <w:pStyle w:val="Compact"/>
              <w:jc w:val="left"/>
              <w:rPr>
                <w:sz w:val="16"/>
                <w:szCs w:val="16"/>
              </w:rPr>
            </w:pPr>
            <w:r>
              <w:rPr>
                <w:sz w:val="16"/>
                <w:szCs w:val="16"/>
              </w:rPr>
              <w:t xml:space="preserve">564</w:t>
            </w:r>
          </w:p>
        </w:tc>
        <w:tc>
          <w:tcPr/>
          <w:p>
            <w:pPr>
              <w:pStyle w:val="Compact"/>
              <w:jc w:val="left"/>
              <w:rPr>
                <w:sz w:val="16"/>
                <w:szCs w:val="16"/>
              </w:rPr>
            </w:pPr>
            <w:r>
              <w:rPr>
                <w:sz w:val="16"/>
                <w:szCs w:val="16"/>
              </w:rPr>
              <w:t xml:space="preserve">23.8</w:t>
            </w:r>
          </w:p>
        </w:tc>
        <w:tc>
          <w:tcPr/>
          <w:p>
            <w:pPr>
              <w:pStyle w:val="Compact"/>
              <w:jc w:val="left"/>
              <w:rPr>
                <w:sz w:val="16"/>
                <w:szCs w:val="16"/>
              </w:rPr>
            </w:pPr>
            <w:r>
              <w:rPr>
                <w:sz w:val="16"/>
                <w:szCs w:val="16"/>
              </w:rPr>
              <w:t xml:space="preserve">22.1-25.5</w:t>
            </w:r>
          </w:p>
        </w:tc>
      </w:tr>
      <w:tr>
        <w:trPr>
          <w:trHeight w:val="340" w:hRule="exact"/>
        </w:trPr>
        <w:tc>
          <w:tcPr/>
          <w:p>
            <w:pPr>
              <w:pStyle w:val="Compact"/>
              <w:jc w:val="left"/>
              <w:rPr>
                <w:sz w:val="16"/>
                <w:szCs w:val="16"/>
              </w:rPr>
            </w:pPr>
            <w:r>
              <w:rPr>
                <w:sz w:val="16"/>
                <w:szCs w:val="16"/>
              </w:rPr>
              <w:t xml:space="preserve">20-25</w:t>
            </w:r>
          </w:p>
        </w:tc>
        <w:tc>
          <w:tcPr/>
          <w:p>
            <w:pPr>
              <w:pStyle w:val="Compact"/>
              <w:jc w:val="left"/>
              <w:rPr>
                <w:sz w:val="16"/>
                <w:szCs w:val="16"/>
              </w:rPr>
            </w:pPr>
            <w:r>
              <w:rPr>
                <w:sz w:val="16"/>
                <w:szCs w:val="16"/>
              </w:rPr>
              <w:t xml:space="preserve">7,058</w:t>
            </w:r>
          </w:p>
        </w:tc>
        <w:tc>
          <w:tcPr/>
          <w:p>
            <w:pPr>
              <w:pStyle w:val="Compact"/>
              <w:jc w:val="left"/>
              <w:rPr>
                <w:sz w:val="16"/>
                <w:szCs w:val="16"/>
              </w:rPr>
            </w:pPr>
            <w:r>
              <w:rPr>
                <w:sz w:val="16"/>
                <w:szCs w:val="16"/>
              </w:rPr>
              <w:t xml:space="preserve">2,559</w:t>
            </w:r>
          </w:p>
        </w:tc>
        <w:tc>
          <w:tcPr/>
          <w:p>
            <w:pPr>
              <w:pStyle w:val="Compact"/>
              <w:jc w:val="left"/>
              <w:rPr>
                <w:sz w:val="16"/>
                <w:szCs w:val="16"/>
              </w:rPr>
            </w:pPr>
            <w:r>
              <w:rPr>
                <w:sz w:val="16"/>
                <w:szCs w:val="16"/>
              </w:rPr>
              <w:t xml:space="preserve">36.3</w:t>
            </w:r>
          </w:p>
        </w:tc>
        <w:tc>
          <w:tcPr/>
          <w:p>
            <w:pPr>
              <w:pStyle w:val="Compact"/>
              <w:jc w:val="left"/>
              <w:rPr>
                <w:sz w:val="16"/>
                <w:szCs w:val="16"/>
              </w:rPr>
            </w:pPr>
            <w:r>
              <w:rPr>
                <w:sz w:val="16"/>
                <w:szCs w:val="16"/>
              </w:rPr>
              <w:t xml:space="preserve">35.1-37.4</w:t>
            </w:r>
          </w:p>
        </w:tc>
      </w:tr>
      <w:tr>
        <w:trPr>
          <w:trHeight w:val="340" w:hRule="exact"/>
        </w:trPr>
        <w:tc>
          <w:tcPr/>
          <w:p>
            <w:pPr>
              <w:pStyle w:val="Compact"/>
              <w:jc w:val="left"/>
              <w:rPr>
                <w:sz w:val="16"/>
                <w:szCs w:val="16"/>
              </w:rPr>
            </w:pPr>
            <w:r>
              <w:rPr>
                <w:sz w:val="16"/>
                <w:szCs w:val="16"/>
              </w:rPr>
              <w:t xml:space="preserve">25-30</w:t>
            </w:r>
          </w:p>
        </w:tc>
        <w:tc>
          <w:tcPr/>
          <w:p>
            <w:pPr>
              <w:pStyle w:val="Compact"/>
              <w:jc w:val="left"/>
              <w:rPr>
                <w:sz w:val="16"/>
                <w:szCs w:val="16"/>
              </w:rPr>
            </w:pPr>
            <w:r>
              <w:rPr>
                <w:sz w:val="16"/>
                <w:szCs w:val="16"/>
              </w:rPr>
              <w:t xml:space="preserve">14,634</w:t>
            </w:r>
          </w:p>
        </w:tc>
        <w:tc>
          <w:tcPr/>
          <w:p>
            <w:pPr>
              <w:pStyle w:val="Compact"/>
              <w:jc w:val="left"/>
              <w:rPr>
                <w:sz w:val="16"/>
                <w:szCs w:val="16"/>
              </w:rPr>
            </w:pPr>
            <w:r>
              <w:rPr>
                <w:sz w:val="16"/>
                <w:szCs w:val="16"/>
              </w:rPr>
              <w:t xml:space="preserve">6,717</w:t>
            </w:r>
          </w:p>
        </w:tc>
        <w:tc>
          <w:tcPr/>
          <w:p>
            <w:pPr>
              <w:pStyle w:val="Compact"/>
              <w:jc w:val="left"/>
              <w:rPr>
                <w:sz w:val="16"/>
                <w:szCs w:val="16"/>
              </w:rPr>
            </w:pPr>
            <w:r>
              <w:rPr>
                <w:sz w:val="16"/>
                <w:szCs w:val="16"/>
              </w:rPr>
              <w:t xml:space="preserve">45.9</w:t>
            </w:r>
          </w:p>
        </w:tc>
        <w:tc>
          <w:tcPr/>
          <w:p>
            <w:pPr>
              <w:pStyle w:val="Compact"/>
              <w:jc w:val="left"/>
              <w:rPr>
                <w:sz w:val="16"/>
                <w:szCs w:val="16"/>
              </w:rPr>
            </w:pPr>
            <w:r>
              <w:rPr>
                <w:sz w:val="16"/>
                <w:szCs w:val="16"/>
              </w:rPr>
              <w:t xml:space="preserve">45.1-46.7</w:t>
            </w:r>
          </w:p>
        </w:tc>
      </w:tr>
      <w:tr>
        <w:trPr>
          <w:trHeight w:val="340" w:hRule="exact"/>
        </w:trPr>
        <w:tc>
          <w:tcPr/>
          <w:p>
            <w:pPr>
              <w:pStyle w:val="Compact"/>
              <w:jc w:val="left"/>
              <w:rPr>
                <w:sz w:val="16"/>
                <w:szCs w:val="16"/>
              </w:rPr>
            </w:pPr>
            <w:r>
              <w:rPr>
                <w:sz w:val="16"/>
                <w:szCs w:val="16"/>
              </w:rPr>
              <w:t xml:space="preserve">30-40</w:t>
            </w:r>
          </w:p>
        </w:tc>
        <w:tc>
          <w:tcPr/>
          <w:p>
            <w:pPr>
              <w:pStyle w:val="Compact"/>
              <w:jc w:val="left"/>
              <w:rPr>
                <w:sz w:val="16"/>
                <w:szCs w:val="16"/>
              </w:rPr>
            </w:pPr>
            <w:r>
              <w:rPr>
                <w:sz w:val="16"/>
                <w:szCs w:val="16"/>
              </w:rPr>
              <w:t xml:space="preserve">18,902</w:t>
            </w:r>
          </w:p>
        </w:tc>
        <w:tc>
          <w:tcPr/>
          <w:p>
            <w:pPr>
              <w:pStyle w:val="Compact"/>
              <w:jc w:val="left"/>
              <w:rPr>
                <w:sz w:val="16"/>
                <w:szCs w:val="16"/>
              </w:rPr>
            </w:pPr>
            <w:r>
              <w:rPr>
                <w:sz w:val="16"/>
                <w:szCs w:val="16"/>
              </w:rPr>
              <w:t xml:space="preserve">4,639</w:t>
            </w:r>
          </w:p>
        </w:tc>
        <w:tc>
          <w:tcPr/>
          <w:p>
            <w:pPr>
              <w:pStyle w:val="Compact"/>
              <w:jc w:val="left"/>
              <w:rPr>
                <w:sz w:val="16"/>
                <w:szCs w:val="16"/>
              </w:rPr>
            </w:pPr>
            <w:r>
              <w:rPr>
                <w:sz w:val="16"/>
                <w:szCs w:val="16"/>
              </w:rPr>
              <w:t xml:space="preserve">24.5</w:t>
            </w:r>
          </w:p>
        </w:tc>
        <w:tc>
          <w:tcPr/>
          <w:p>
            <w:pPr>
              <w:pStyle w:val="Compact"/>
              <w:jc w:val="left"/>
              <w:rPr>
                <w:sz w:val="16"/>
                <w:szCs w:val="16"/>
              </w:rPr>
            </w:pPr>
            <w:r>
              <w:rPr>
                <w:sz w:val="16"/>
                <w:szCs w:val="16"/>
              </w:rPr>
              <w:t xml:space="preserve">23.9-25.2</w:t>
            </w:r>
          </w:p>
        </w:tc>
      </w:tr>
      <w:tr>
        <w:trPr>
          <w:trHeight w:val="340" w:hRule="exact"/>
        </w:trPr>
        <w:tc>
          <w:tcPr/>
          <w:p>
            <w:pPr>
              <w:pStyle w:val="Compact"/>
              <w:jc w:val="left"/>
              <w:rPr>
                <w:sz w:val="16"/>
                <w:szCs w:val="16"/>
              </w:rPr>
            </w:pPr>
            <w:r>
              <w:rPr>
                <w:sz w:val="16"/>
                <w:szCs w:val="16"/>
              </w:rPr>
              <w:t xml:space="preserve">&gt;40</w:t>
            </w:r>
          </w:p>
        </w:tc>
        <w:tc>
          <w:tcPr/>
          <w:p>
            <w:pPr>
              <w:pStyle w:val="Compact"/>
              <w:jc w:val="left"/>
              <w:rPr>
                <w:sz w:val="16"/>
                <w:szCs w:val="16"/>
              </w:rPr>
            </w:pPr>
            <w:r>
              <w:rPr>
                <w:sz w:val="16"/>
                <w:szCs w:val="16"/>
              </w:rPr>
              <w:t xml:space="preserve">3,627</w:t>
            </w:r>
          </w:p>
        </w:tc>
        <w:tc>
          <w:tcPr/>
          <w:p>
            <w:pPr>
              <w:pStyle w:val="Compact"/>
              <w:jc w:val="left"/>
              <w:rPr>
                <w:sz w:val="16"/>
                <w:szCs w:val="16"/>
              </w:rPr>
            </w:pPr>
            <w:r>
              <w:rPr>
                <w:sz w:val="16"/>
                <w:szCs w:val="16"/>
              </w:rPr>
              <w:t xml:space="preserve">617</w:t>
            </w:r>
          </w:p>
        </w:tc>
        <w:tc>
          <w:tcPr/>
          <w:p>
            <w:pPr>
              <w:pStyle w:val="Compact"/>
              <w:jc w:val="left"/>
              <w:rPr>
                <w:sz w:val="16"/>
                <w:szCs w:val="16"/>
              </w:rPr>
            </w:pPr>
            <w:r>
              <w:rPr>
                <w:sz w:val="16"/>
                <w:szCs w:val="16"/>
              </w:rPr>
              <w:t xml:space="preserve">17.0</w:t>
            </w:r>
          </w:p>
        </w:tc>
        <w:tc>
          <w:tcPr/>
          <w:p>
            <w:pPr>
              <w:pStyle w:val="Compact"/>
              <w:jc w:val="left"/>
              <w:rPr>
                <w:sz w:val="16"/>
                <w:szCs w:val="16"/>
              </w:rPr>
            </w:pPr>
            <w:r>
              <w:rPr>
                <w:sz w:val="16"/>
                <w:szCs w:val="16"/>
              </w:rPr>
              <w:t xml:space="preserve">15.8-18.3</w:t>
            </w:r>
          </w:p>
        </w:tc>
      </w:tr>
    </w:tbl>
    <w:bookmarkEnd w:id="36"/>
    <w:bookmarkEnd w:id="37"/>
    <w:bookmarkStart w:id="68" w:name="references"/>
    <w:p>
      <w:pPr>
        <w:pStyle w:val="Heading1"/>
      </w:pPr>
      <w:r>
        <w:t xml:space="preserve">6. References</w:t>
      </w:r>
    </w:p>
    <w:bookmarkStart w:id="67" w:name="refs"/>
    <w:bookmarkStart w:id="39" w:name="ref-badger2014"/>
    <w:p>
      <w:pPr>
        <w:pStyle w:val="Bibliography"/>
      </w:pPr>
      <w:r>
        <w:t xml:space="preserve">Badger J, Frank H, Hahmann AN, and Giebel G. 2014.</w:t>
      </w:r>
      <w:r>
        <w:t xml:space="preserve"> </w:t>
      </w:r>
      <w:hyperlink r:id="rId38">
        <w:r>
          <w:rPr>
            <w:rStyle w:val="Hyperlink"/>
          </w:rPr>
          <w:t xml:space="preserve">Wind-climate estimation based on mesoscale and microscale modeling: Statistical–dynamical downscaling for wind energy applications</w:t>
        </w:r>
      </w:hyperlink>
      <w:r>
        <w:t xml:space="preserve">.</w:t>
      </w:r>
      <w:r>
        <w:t xml:space="preserve"> </w:t>
      </w:r>
      <w:r>
        <w:rPr>
          <w:i/>
          <w:iCs/>
        </w:rPr>
        <w:t xml:space="preserve">Journal of Applied Meteorology and Climatology</w:t>
      </w:r>
      <w:r>
        <w:t xml:space="preserve"> </w:t>
      </w:r>
      <w:r>
        <w:rPr>
          <w:b/>
          <w:bCs/>
        </w:rPr>
        <w:t xml:space="preserve">53</w:t>
      </w:r>
      <w:r>
        <w:t xml:space="preserve">: 1901–19.</w:t>
      </w:r>
    </w:p>
    <w:bookmarkEnd w:id="39"/>
    <w:bookmarkStart w:id="41" w:name="ref-bartos1989"/>
    <w:p>
      <w:pPr>
        <w:pStyle w:val="Bibliography"/>
      </w:pPr>
      <w:r>
        <w:t xml:space="preserve">Bartos DL and Amman GD. 1989.</w:t>
      </w:r>
      <w:r>
        <w:t xml:space="preserve"> </w:t>
      </w:r>
      <w:hyperlink r:id="rId40">
        <w:r>
          <w:rPr>
            <w:rStyle w:val="Hyperlink"/>
          </w:rPr>
          <w:t xml:space="preserve">Microclimate: An alternative to tree vigor as a basis for mountain pine beetle infestations</w:t>
        </w:r>
      </w:hyperlink>
      <w:r>
        <w:t xml:space="preserve">. Ogden, UT: U.S. Department of Agriculture, Forest Service, Intermountain Research Station.</w:t>
      </w:r>
    </w:p>
    <w:bookmarkEnd w:id="41"/>
    <w:bookmarkStart w:id="42" w:name="ref-carroll2004bionomics"/>
    <w:p>
      <w:pPr>
        <w:pStyle w:val="Bibliography"/>
      </w:pPr>
      <w:r>
        <w:t xml:space="preserve">Carroll AL and Safranyik L. 2004. The bionomics of the mountain pine beetle in lodgepole pine forests: Establishing a context. In: Shore TL, Brooks JE, Stone JE (Eds). Mountain pine beetle symposium: Challenges and solutions, october 30–31, 2003, kelowna, british columbia. Victoria, British Columbia:</w:t>
      </w:r>
      <w:r>
        <w:t xml:space="preserve"> </w:t>
      </w:r>
      <w:r>
        <w:t xml:space="preserve">Natural Resources Canada, Canadian Forest Service, Pacific Forestry Centre</w:t>
      </w:r>
      <w:r>
        <w:t xml:space="preserve">.</w:t>
      </w:r>
    </w:p>
    <w:bookmarkEnd w:id="42"/>
    <w:bookmarkStart w:id="44" w:name="ref-cartwright2018"/>
    <w:p>
      <w:pPr>
        <w:pStyle w:val="Bibliography"/>
      </w:pPr>
      <w:r>
        <w:t xml:space="preserve">Cartwright JM. 2018.</w:t>
      </w:r>
      <w:r>
        <w:t xml:space="preserve"> </w:t>
      </w:r>
      <w:hyperlink r:id="rId43">
        <w:r>
          <w:rPr>
            <w:rStyle w:val="Hyperlink"/>
          </w:rPr>
          <w:t xml:space="preserve">Landscape topoedaphic features create refugia from drought and insect disturbance in a lodgepole and whitebark pine forest</w:t>
        </w:r>
      </w:hyperlink>
      <w:r>
        <w:t xml:space="preserve">.</w:t>
      </w:r>
      <w:r>
        <w:t xml:space="preserve"> </w:t>
      </w:r>
      <w:r>
        <w:rPr>
          <w:i/>
          <w:iCs/>
        </w:rPr>
        <w:t xml:space="preserve">Forests</w:t>
      </w:r>
      <w:r>
        <w:t xml:space="preserve"> </w:t>
      </w:r>
      <w:r>
        <w:rPr>
          <w:b/>
          <w:bCs/>
        </w:rPr>
        <w:t xml:space="preserve">9</w:t>
      </w:r>
      <w:r>
        <w:t xml:space="preserve">: 715.</w:t>
      </w:r>
    </w:p>
    <w:bookmarkEnd w:id="44"/>
    <w:bookmarkStart w:id="46" w:name="ref-davis2023"/>
    <w:p>
      <w:pPr>
        <w:pStyle w:val="Bibliography"/>
      </w:pPr>
      <w:r>
        <w:t xml:space="preserve">Davis NN, Badger J, Hahmann AN,</w:t>
      </w:r>
      <w:r>
        <w:t xml:space="preserve"> </w:t>
      </w:r>
      <w:r>
        <w:rPr>
          <w:i/>
          <w:iCs/>
        </w:rPr>
        <w:t xml:space="preserve">et al.</w:t>
      </w:r>
      <w:r>
        <w:t xml:space="preserve"> 2023.</w:t>
      </w:r>
      <w:r>
        <w:t xml:space="preserve"> </w:t>
      </w:r>
      <w:hyperlink r:id="rId45">
        <w:r>
          <w:rPr>
            <w:rStyle w:val="Hyperlink"/>
          </w:rPr>
          <w:t xml:space="preserve">The</w:t>
        </w:r>
        <w:r>
          <w:rPr>
            <w:rStyle w:val="Hyperlink"/>
          </w:rPr>
          <w:t xml:space="preserve"> </w:t>
        </w:r>
        <w:r>
          <w:rPr>
            <w:rStyle w:val="Hyperlink"/>
          </w:rPr>
          <w:t xml:space="preserve">Global Wind Atlas</w:t>
        </w:r>
        <w:r>
          <w:rPr>
            <w:rStyle w:val="Hyperlink"/>
          </w:rPr>
          <w:t xml:space="preserve">: A high-resolution dataset of climatologies and associated web-based application</w:t>
        </w:r>
      </w:hyperlink>
      <w:r>
        <w:t xml:space="preserve">.</w:t>
      </w:r>
      <w:r>
        <w:t xml:space="preserve"> </w:t>
      </w:r>
      <w:r>
        <w:rPr>
          <w:i/>
          <w:iCs/>
        </w:rPr>
        <w:t xml:space="preserve">Bulletin of the American Meteorological Society</w:t>
      </w:r>
      <w:r>
        <w:t xml:space="preserve"> </w:t>
      </w:r>
      <w:r>
        <w:rPr>
          <w:b/>
          <w:bCs/>
        </w:rPr>
        <w:t xml:space="preserve">104</w:t>
      </w:r>
      <w:r>
        <w:t xml:space="preserve">: E1507–25.</w:t>
      </w:r>
    </w:p>
    <w:bookmarkEnd w:id="46"/>
    <w:bookmarkStart w:id="48" w:name="ref-jones2019"/>
    <w:p>
      <w:pPr>
        <w:pStyle w:val="Bibliography"/>
      </w:pPr>
      <w:r>
        <w:t xml:space="preserve">Jones KL, Shegelski VA, Marculis NG,</w:t>
      </w:r>
      <w:r>
        <w:t xml:space="preserve"> </w:t>
      </w:r>
      <w:r>
        <w:rPr>
          <w:i/>
          <w:iCs/>
        </w:rPr>
        <w:t xml:space="preserve">et al.</w:t>
      </w:r>
      <w:r>
        <w:t xml:space="preserve"> 2019.</w:t>
      </w:r>
      <w:r>
        <w:t xml:space="preserve"> </w:t>
      </w:r>
      <w:hyperlink r:id="rId47">
        <w:r>
          <w:rPr>
            <w:rStyle w:val="Hyperlink"/>
          </w:rPr>
          <w:t xml:space="preserve">Factors influencing dispersal by flight in bark beetles (</w:t>
        </w:r>
        <w:r>
          <w:rPr>
            <w:rStyle w:val="Hyperlink"/>
          </w:rPr>
          <w:t xml:space="preserve">Coleoptera</w:t>
        </w:r>
        <w:r>
          <w:rPr>
            <w:rStyle w:val="Hyperlink"/>
          </w:rPr>
          <w:t xml:space="preserve">:</w:t>
        </w:r>
        <w:r>
          <w:rPr>
            <w:rStyle w:val="Hyperlink"/>
          </w:rPr>
          <w:t xml:space="preserve"> </w:t>
        </w:r>
        <w:r>
          <w:rPr>
            <w:rStyle w:val="Hyperlink"/>
          </w:rPr>
          <w:t xml:space="preserve">Curculionidae</w:t>
        </w:r>
        <w:r>
          <w:rPr>
            <w:rStyle w:val="Hyperlink"/>
          </w:rPr>
          <w:t xml:space="preserve">:</w:t>
        </w:r>
        <w:r>
          <w:rPr>
            <w:rStyle w:val="Hyperlink"/>
          </w:rPr>
          <w:t xml:space="preserve"> </w:t>
        </w:r>
        <w:r>
          <w:rPr>
            <w:rStyle w:val="Hyperlink"/>
          </w:rPr>
          <w:t xml:space="preserve">Scolytinae</w:t>
        </w:r>
        <w:r>
          <w:rPr>
            <w:rStyle w:val="Hyperlink"/>
          </w:rPr>
          <w:t xml:space="preserve">): From genes to landscapes</w:t>
        </w:r>
      </w:hyperlink>
      <w:r>
        <w:t xml:space="preserve">.</w:t>
      </w:r>
      <w:r>
        <w:t xml:space="preserve"> </w:t>
      </w:r>
      <w:r>
        <w:rPr>
          <w:i/>
          <w:iCs/>
        </w:rPr>
        <w:t xml:space="preserve">Canadian Journal of Forest Research</w:t>
      </w:r>
      <w:r>
        <w:t xml:space="preserve"> </w:t>
      </w:r>
      <w:r>
        <w:rPr>
          <w:b/>
          <w:bCs/>
        </w:rPr>
        <w:t xml:space="preserve">49</w:t>
      </w:r>
      <w:r>
        <w:t xml:space="preserve">: 1024–41.</w:t>
      </w:r>
    </w:p>
    <w:bookmarkEnd w:id="48"/>
    <w:bookmarkStart w:id="50" w:name="ref-krawchuk2020"/>
    <w:p>
      <w:pPr>
        <w:pStyle w:val="Bibliography"/>
      </w:pPr>
      <w:r>
        <w:t xml:space="preserve">Krawchuk MA, Meigs GW, Cartwright JM,</w:t>
      </w:r>
      <w:r>
        <w:t xml:space="preserve"> </w:t>
      </w:r>
      <w:r>
        <w:rPr>
          <w:i/>
          <w:iCs/>
        </w:rPr>
        <w:t xml:space="preserve">et al.</w:t>
      </w:r>
      <w:r>
        <w:t xml:space="preserve"> 2020.</w:t>
      </w:r>
      <w:r>
        <w:t xml:space="preserve"> </w:t>
      </w:r>
      <w:hyperlink r:id="rId49">
        <w:r>
          <w:rPr>
            <w:rStyle w:val="Hyperlink"/>
          </w:rPr>
          <w:t xml:space="preserve">Disturbance refugia within mosaics of forest fire, drought, and insect outbreaks</w:t>
        </w:r>
      </w:hyperlink>
      <w:r>
        <w:t xml:space="preserve">.</w:t>
      </w:r>
      <w:r>
        <w:t xml:space="preserve"> </w:t>
      </w:r>
      <w:r>
        <w:rPr>
          <w:i/>
          <w:iCs/>
        </w:rPr>
        <w:t xml:space="preserve">Frontiers in Ecology and the Environment</w:t>
      </w:r>
      <w:r>
        <w:t xml:space="preserve"> </w:t>
      </w:r>
      <w:r>
        <w:rPr>
          <w:b/>
          <w:bCs/>
        </w:rPr>
        <w:t xml:space="preserve">18</w:t>
      </w:r>
      <w:r>
        <w:t xml:space="preserve">: 235–44.</w:t>
      </w:r>
    </w:p>
    <w:bookmarkEnd w:id="50"/>
    <w:bookmarkStart w:id="52" w:name="ref-liston2006"/>
    <w:p>
      <w:pPr>
        <w:pStyle w:val="Bibliography"/>
      </w:pPr>
      <w:r>
        <w:t xml:space="preserve">Liston GE and Elder K. 2006.</w:t>
      </w:r>
      <w:r>
        <w:t xml:space="preserve"> </w:t>
      </w:r>
      <w:hyperlink r:id="rId51">
        <w:r>
          <w:rPr>
            <w:rStyle w:val="Hyperlink"/>
          </w:rPr>
          <w:t xml:space="preserve">A meteorological distribution system for high-resolution terrestrial modeling (MicroMet)</w:t>
        </w:r>
      </w:hyperlink>
      <w:r>
        <w:t xml:space="preserve">.</w:t>
      </w:r>
      <w:r>
        <w:t xml:space="preserve"> </w:t>
      </w:r>
      <w:r>
        <w:rPr>
          <w:i/>
          <w:iCs/>
        </w:rPr>
        <w:t xml:space="preserve">Journal of Hydrometeorology</w:t>
      </w:r>
      <w:r>
        <w:t xml:space="preserve"> </w:t>
      </w:r>
      <w:r>
        <w:rPr>
          <w:b/>
          <w:bCs/>
        </w:rPr>
        <w:t xml:space="preserve">7</w:t>
      </w:r>
      <w:r>
        <w:t xml:space="preserve">: 217–34.</w:t>
      </w:r>
    </w:p>
    <w:bookmarkEnd w:id="52"/>
    <w:bookmarkStart w:id="54" w:name="ref-mccambridge1971"/>
    <w:p>
      <w:pPr>
        <w:pStyle w:val="Bibliography"/>
      </w:pPr>
      <w:r>
        <w:t xml:space="preserve">McCambridge WF. 1971.</w:t>
      </w:r>
      <w:r>
        <w:t xml:space="preserve"> </w:t>
      </w:r>
      <w:hyperlink r:id="rId53">
        <w:r>
          <w:rPr>
            <w:rStyle w:val="Hyperlink"/>
          </w:rPr>
          <w:t xml:space="preserve">Temperature limits of flight of the mountain pine beetle,</w:t>
        </w:r>
        <w:r>
          <w:rPr>
            <w:rStyle w:val="Hyperlink"/>
          </w:rPr>
          <w:t xml:space="preserve"> </w:t>
        </w:r>
        <w:r>
          <w:rPr>
            <w:rStyle w:val="Hyperlink"/>
          </w:rPr>
          <w:t xml:space="preserve">Dendroctonus ponderosae</w:t>
        </w:r>
      </w:hyperlink>
      <w:r>
        <w:t xml:space="preserve">.</w:t>
      </w:r>
      <w:r>
        <w:t xml:space="preserve"> </w:t>
      </w:r>
      <w:r>
        <w:rPr>
          <w:i/>
          <w:iCs/>
        </w:rPr>
        <w:t xml:space="preserve">Annals of the Entomological Society of America</w:t>
      </w:r>
      <w:r>
        <w:t xml:space="preserve"> </w:t>
      </w:r>
      <w:r>
        <w:rPr>
          <w:b/>
          <w:bCs/>
        </w:rPr>
        <w:t xml:space="preserve">64</w:t>
      </w:r>
      <w:r>
        <w:t xml:space="preserve">: 534–5.</w:t>
      </w:r>
    </w:p>
    <w:bookmarkEnd w:id="54"/>
    <w:bookmarkStart w:id="56" w:name="ref-mccune2002"/>
    <w:p>
      <w:pPr>
        <w:pStyle w:val="Bibliography"/>
      </w:pPr>
      <w:r>
        <w:t xml:space="preserve">McCune B and Keon D. 2002.</w:t>
      </w:r>
      <w:r>
        <w:t xml:space="preserve"> </w:t>
      </w:r>
      <w:hyperlink r:id="rId55">
        <w:r>
          <w:rPr>
            <w:rStyle w:val="Hyperlink"/>
          </w:rPr>
          <w:t xml:space="preserve">Equations for potential annual direct incident radiation and heat load</w:t>
        </w:r>
      </w:hyperlink>
      <w:r>
        <w:t xml:space="preserve">.</w:t>
      </w:r>
      <w:r>
        <w:t xml:space="preserve"> </w:t>
      </w:r>
      <w:r>
        <w:rPr>
          <w:i/>
          <w:iCs/>
        </w:rPr>
        <w:t xml:space="preserve">Journal of Vegetation Science</w:t>
      </w:r>
      <w:r>
        <w:t xml:space="preserve"> </w:t>
      </w:r>
      <w:r>
        <w:rPr>
          <w:b/>
          <w:bCs/>
        </w:rPr>
        <w:t xml:space="preserve">13</w:t>
      </w:r>
      <w:r>
        <w:t xml:space="preserve">: 603–6.</w:t>
      </w:r>
    </w:p>
    <w:bookmarkEnd w:id="56"/>
    <w:bookmarkStart w:id="58" w:name="ref-murphy2026"/>
    <w:p>
      <w:pPr>
        <w:pStyle w:val="Bibliography"/>
      </w:pPr>
      <w:r>
        <w:t xml:space="preserve">Murphy S, Leslie A, Wilson J, and Banks LK. 2026.</w:t>
      </w:r>
      <w:r>
        <w:t xml:space="preserve"> </w:t>
      </w:r>
      <w:hyperlink r:id="rId57">
        <w:r>
          <w:rPr>
            <w:rStyle w:val="Hyperlink"/>
          </w:rPr>
          <w:t xml:space="preserve">Spatial patterns of conifer regeneration following mountain pine beetle outbreak (</w:t>
        </w:r>
        <w:r>
          <w:rPr>
            <w:rStyle w:val="Hyperlink"/>
            <w:i/>
            <w:iCs/>
          </w:rPr>
          <w:t xml:space="preserve">Dendroctonus ponderosae</w:t>
        </w:r>
        <w:r>
          <w:rPr>
            <w:rStyle w:val="Hyperlink"/>
          </w:rPr>
          <w:t xml:space="preserve">) and mixed-severity wildfire: A point process model of disturbance interactions in the southern</w:t>
        </w:r>
        <w:r>
          <w:rPr>
            <w:rStyle w:val="Hyperlink"/>
          </w:rPr>
          <w:t xml:space="preserve"> </w:t>
        </w:r>
        <w:r>
          <w:rPr>
            <w:rStyle w:val="Hyperlink"/>
          </w:rPr>
          <w:t xml:space="preserve">Selkirk Mountains</w:t>
        </w:r>
        <w:r>
          <w:rPr>
            <w:rStyle w:val="Hyperlink"/>
          </w:rPr>
          <w:t xml:space="preserve">,</w:t>
        </w:r>
        <w:r>
          <w:rPr>
            <w:rStyle w:val="Hyperlink"/>
          </w:rPr>
          <w:t xml:space="preserve"> </w:t>
        </w:r>
        <w:r>
          <w:rPr>
            <w:rStyle w:val="Hyperlink"/>
          </w:rPr>
          <w:t xml:space="preserve">British Columbia</w:t>
        </w:r>
      </w:hyperlink>
      <w:r>
        <w:t xml:space="preserve">.</w:t>
      </w:r>
      <w:r>
        <w:t xml:space="preserve"> </w:t>
      </w:r>
      <w:r>
        <w:rPr>
          <w:i/>
          <w:iCs/>
        </w:rPr>
        <w:t xml:space="preserve">Forest Ecology and Management</w:t>
      </w:r>
      <w:r>
        <w:t xml:space="preserve"> </w:t>
      </w:r>
      <w:r>
        <w:rPr>
          <w:b/>
          <w:bCs/>
        </w:rPr>
        <w:t xml:space="preserve">618</w:t>
      </w:r>
      <w:r>
        <w:t xml:space="preserve">: 123985.</w:t>
      </w:r>
    </w:p>
    <w:bookmarkEnd w:id="58"/>
    <w:bookmarkStart w:id="60" w:name="ref-nrcan2017"/>
    <w:p>
      <w:pPr>
        <w:pStyle w:val="Bibliography"/>
      </w:pPr>
      <w:r>
        <w:t xml:space="preserve">Natural Resources Canada. 2017. High resolution digital elevation model (</w:t>
      </w:r>
      <w:r>
        <w:t xml:space="preserve">HRDEM</w:t>
      </w:r>
      <w:r>
        <w:t xml:space="preserve">) –</w:t>
      </w:r>
      <w:r>
        <w:t xml:space="preserve"> </w:t>
      </w:r>
      <w:r>
        <w:t xml:space="preserve">CanElevation</w:t>
      </w:r>
      <w:r>
        <w:t xml:space="preserve"> </w:t>
      </w:r>
      <w:r>
        <w:t xml:space="preserve">series.</w:t>
      </w:r>
      <w:r>
        <w:t xml:space="preserve"> </w:t>
      </w:r>
      <w:hyperlink r:id="rId59">
        <w:r>
          <w:rPr>
            <w:rStyle w:val="Hyperlink"/>
          </w:rPr>
          <w:t xml:space="preserve">https://open.canada.ca/data/en/dataset/957782bf-847c-4644-a757-e383c0057995</w:t>
        </w:r>
      </w:hyperlink>
      <w:r>
        <w:t xml:space="preserve">.</w:t>
      </w:r>
    </w:p>
    <w:bookmarkEnd w:id="60"/>
    <w:bookmarkStart w:id="62" w:name="ref-powell2014"/>
    <w:p>
      <w:pPr>
        <w:pStyle w:val="Bibliography"/>
      </w:pPr>
      <w:r>
        <w:t xml:space="preserve">Powell JA and Bentz BJ. 2014.</w:t>
      </w:r>
      <w:r>
        <w:t xml:space="preserve"> </w:t>
      </w:r>
      <w:hyperlink r:id="rId61">
        <w:r>
          <w:rPr>
            <w:rStyle w:val="Hyperlink"/>
          </w:rPr>
          <w:t xml:space="preserve">Phenology and density-dependent dispersal predict patterns of mountain pine beetle (</w:t>
        </w:r>
        <w:r>
          <w:rPr>
            <w:rStyle w:val="Hyperlink"/>
          </w:rPr>
          <w:t xml:space="preserve">Dendroctonus ponderosae</w:t>
        </w:r>
        <w:r>
          <w:rPr>
            <w:rStyle w:val="Hyperlink"/>
          </w:rPr>
          <w:t xml:space="preserve">) impact</w:t>
        </w:r>
      </w:hyperlink>
      <w:r>
        <w:t xml:space="preserve">.</w:t>
      </w:r>
      <w:r>
        <w:t xml:space="preserve"> </w:t>
      </w:r>
      <w:r>
        <w:rPr>
          <w:i/>
          <w:iCs/>
        </w:rPr>
        <w:t xml:space="preserve">Ecological Modelling</w:t>
      </w:r>
      <w:r>
        <w:t xml:space="preserve"> </w:t>
      </w:r>
      <w:r>
        <w:rPr>
          <w:b/>
          <w:bCs/>
        </w:rPr>
        <w:t xml:space="preserve">273</w:t>
      </w:r>
      <w:r>
        <w:t xml:space="preserve">: 173–85.</w:t>
      </w:r>
    </w:p>
    <w:bookmarkEnd w:id="62"/>
    <w:bookmarkStart w:id="63" w:name="ref-safranyik2006chap1"/>
    <w:p>
      <w:pPr>
        <w:pStyle w:val="Bibliography"/>
      </w:pPr>
      <w:r>
        <w:t xml:space="preserve">Safranyik L and Carroll AL. 2006. The biology and epidemiology of the mountain pine beetle in lodgepole pine forests. In: Safranyik L, Wilson B (Eds). The mountain pine beetle: A synthesis of biology, management, and impacts on lodgepole pine. Victoria, British Columbia:</w:t>
      </w:r>
      <w:r>
        <w:t xml:space="preserve"> </w:t>
      </w:r>
      <w:r>
        <w:t xml:space="preserve">Natural Resources Canada, Canadian Forest Service, Pacific Forestry Centre</w:t>
      </w:r>
      <w:r>
        <w:t xml:space="preserve">.</w:t>
      </w:r>
    </w:p>
    <w:bookmarkEnd w:id="63"/>
    <w:bookmarkStart w:id="65" w:name="ref-sambaraju2021"/>
    <w:p>
      <w:pPr>
        <w:pStyle w:val="Bibliography"/>
      </w:pPr>
      <w:r>
        <w:t xml:space="preserve">Sambaraju KR and Goodsman DW. 2021.</w:t>
      </w:r>
      <w:r>
        <w:t xml:space="preserve"> </w:t>
      </w:r>
      <w:hyperlink r:id="rId64">
        <w:r>
          <w:rPr>
            <w:rStyle w:val="Hyperlink"/>
          </w:rPr>
          <w:t xml:space="preserve">Mountain pine beetle: An example of a climate-driven eruptive insect impacting conifer forest ecosystems</w:t>
        </w:r>
      </w:hyperlink>
      <w:r>
        <w:t xml:space="preserve">.</w:t>
      </w:r>
      <w:r>
        <w:t xml:space="preserve"> </w:t>
      </w:r>
      <w:r>
        <w:rPr>
          <w:i/>
          <w:iCs/>
        </w:rPr>
        <w:t xml:space="preserve">CAB Reviews</w:t>
      </w:r>
      <w:r>
        <w:t xml:space="preserve"> </w:t>
      </w:r>
      <w:r>
        <w:rPr>
          <w:b/>
          <w:bCs/>
        </w:rPr>
        <w:t xml:space="preserve">16</w:t>
      </w:r>
      <w:r>
        <w:t xml:space="preserve">.</w:t>
      </w:r>
    </w:p>
    <w:bookmarkEnd w:id="65"/>
    <w:bookmarkStart w:id="66" w:name="ref-taylor2003"/>
    <w:p>
      <w:pPr>
        <w:pStyle w:val="Bibliography"/>
      </w:pPr>
      <w:r>
        <w:t xml:space="preserve">Taylor SW and Carroll AL. 2003. Disturbance, forest age, and mountain pine beetle outbreak dynamics in</w:t>
      </w:r>
      <w:r>
        <w:t xml:space="preserve"> </w:t>
      </w:r>
      <w:r>
        <w:t xml:space="preserve">BC</w:t>
      </w:r>
      <w:r>
        <w:t xml:space="preserve">: A historical perspective. Mountain pine beetle symposium: Challenges and solutions, october 30–31, 2003, kelowna, british columbia. Victoria, British Columbia: Natural Resources Canada, Canadian Forest Service, Pacific Forestry Centre.</w:t>
      </w:r>
    </w:p>
    <w:bookmarkEnd w:id="66"/>
    <w:bookmarkEnd w:id="67"/>
    <w:bookmarkEnd w:id="68"/>
    <w:sectPr w:rsidR="00D931AC" w:rsidSect="00B13028">
      <w:footerReference r:id="rId10" w:type="default"/>
      <w:footerReference r:id="rId9" w:type="first"/>
      <w:pgSz w:h="15840" w:w="12240"/>
      <w:pgMar w:bottom="1440" w:footer="720" w:gutter="0" w:header="720" w:left="1440" w:right="1440" w:top="1440"/>
      <w:lnNumType w:countBy="1" w:restart="continuous"/>
      <w:pgNumType w:start="1"/>
      <w:cols w:space="720"/>
      <w:titlePg/>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3D12A56B-797D-444E-9FC6-5B37C5DAC035}"/>
    <w:embedBold r:id="rId2" w:fontKey="{FD3CEDD6-86AB-1C46-8A15-8877C1686B07}"/>
    <w:embedItalic r:id="rId3" w:fontKey="{67E535DB-26F2-B642-AAD5-FDC80F2CF7B9}"/>
    <w:embedBoldItalic r:id="rId4" w:fontKey="{2115481C-3572-184B-8727-E08AEF27DA62}"/>
  </w:font>
  <w:font w:name="Courier New">
    <w:panose1 w:val="02070309020205020404"/>
    <w:charset w:val="00"/>
    <w:family w:val="modern"/>
    <w:pitch w:val="fixed"/>
    <w:sig w:usb0="E0002AFF" w:usb1="C0007843" w:usb2="00000009" w:usb3="00000000" w:csb0="000001FF" w:csb1="00000000"/>
    <w:embedRegular r:id="rId5" w:fontKey="{085026BB-CCCA-E54F-A560-AED7C1963D51}"/>
  </w:font>
  <w:font w:name="Wingdings">
    <w:panose1 w:val="05000000000000000000"/>
    <w:charset w:val="4D"/>
    <w:family w:val="decorative"/>
    <w:pitch w:val="variable"/>
    <w:sig w:usb0="00000003" w:usb1="00000000" w:usb2="00000000" w:usb3="00000000" w:csb0="80000001" w:csb1="00000000"/>
    <w:embedRegular r:id="rId6" w:fontKey="{F744E244-733C-6740-A164-0ABCEF59A7CF}"/>
  </w:font>
  <w:font w:name="Symbol">
    <w:panose1 w:val="05050102010706020507"/>
    <w:charset w:val="02"/>
    <w:family w:val="decorative"/>
    <w:pitch w:val="variable"/>
    <w:sig w:usb0="00000003" w:usb1="10000000" w:usb2="00000000" w:usb3="00000000" w:csb0="80000001" w:csb1="00000000"/>
    <w:embedRegular r:id="rId7" w:fontKey="{617BC16C-2D7B-C143-AA8A-DEB95EAE857B}"/>
  </w:font>
  <w:font w:name="Ubuntu">
    <w:panose1 w:val="020B0504030602030204"/>
    <w:charset w:val="00"/>
    <w:family w:val="swiss"/>
    <w:pitch w:val="variable"/>
    <w:sig w:usb0="E00002FF" w:usb1="5000205B" w:usb2="00000000" w:usb3="00000000" w:csb0="0000009F" w:csb1="00000000"/>
    <w:embedRegular r:id="rId8" w:fontKey="{2C682040-A827-BB49-872E-27E75C7C9302}"/>
  </w:font>
  <w:font w:name="Arial">
    <w:panose1 w:val="020B0604020202020204"/>
    <w:charset w:val="00"/>
    <w:family w:val="swiss"/>
    <w:pitch w:val="variable"/>
    <w:sig w:usb0="E0002EFF" w:usb1="C000785B" w:usb2="00000009" w:usb3="00000000" w:csb0="000001FF" w:csb1="00000000"/>
    <w:embedRegular r:id="rId9" w:fontKey="{62BD56F2-54D9-3244-A137-C7FEFFA6F835}"/>
    <w:embedBold r:id="rId10" w:fontKey="{7385F66A-610E-C84C-8011-3C49D62CC650}"/>
    <w:embedItalic r:id="rId11" w:fontKey="{7BBDF880-F20C-5549-927B-354C4781E948}"/>
  </w:font>
  <w:font w:name="Play">
    <w:altName w:val="Calibri"/>
    <w:panose1 w:val="020B0604020202020204"/>
    <w:charset w:val="00"/>
    <w:family w:val="auto"/>
    <w:pitch w:val="default"/>
  </w:font>
  <w:font w:name="Consolas">
    <w:panose1 w:val="020B0609020204030204"/>
    <w:charset w:val="00"/>
    <w:family w:val="modern"/>
    <w:pitch w:val="fixed"/>
    <w:sig w:usb0="E10002FF" w:usb1="4000FCFF" w:usb2="00000009" w:usb3="00000000" w:csb0="0000019F" w:csb1="00000000"/>
    <w:embedRegular r:id="rId14" w:fontKey="{26BD65CD-77BB-5D4C-AAB7-328BAC130273}"/>
    <w:embedBold r:id="rId15" w:fontKey="{B10BB92D-F0E2-8D46-9DED-867D0938013E}"/>
    <w:embedItalic r:id="rId16" w:fontKey="{36876C46-2E15-9F4D-A0F2-9FE2EAF64544}"/>
    <w:embedBoldItalic r:id="rId17" w:fontKey="{5F596E27-69FE-974C-B3F1-108E1B29AF87}"/>
  </w:font>
  <w:font w:name="Aptos Display">
    <w:panose1 w:val="020B0004020202020204"/>
    <w:charset w:val="00"/>
    <w:family w:val="swiss"/>
    <w:pitch w:val="variable"/>
    <w:sig w:usb0="20000287" w:usb1="00000003" w:usb2="00000000" w:usb3="00000000" w:csb0="0000019F" w:csb1="00000000"/>
    <w:embedRegular r:id="rId18" w:fontKey="{9E9871A1-0968-9547-B04A-5264525A2142}"/>
    <w:embedBold r:id="rId19" w:fontKey="{D6F14352-A8CE-2B4D-A104-F0CC6D16761A}"/>
  </w:font>
  <w:font w:name="Aptos">
    <w:panose1 w:val="020B0004020202020204"/>
    <w:charset w:val="00"/>
    <w:family w:val="swiss"/>
    <w:pitch w:val="variable"/>
    <w:sig w:usb0="20000287" w:usb1="00000003" w:usb2="00000000" w:usb3="00000000" w:csb0="0000019F" w:csb1="00000000"/>
    <w:embedRegular r:id="rId20" w:fontKey="{7BEA954E-5CCE-6F49-AACD-9B7B508ECA0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2CBF21" w14:textId="6D7FB1A0" w:rsidR="000B55EB" w:rsidRDefault="00000000">
    <w:pPr>
      <w:jc w:val="right"/>
    </w:pPr>
    <w:r>
      <w:fldChar w:fldCharType="begin"/>
    </w:r>
    <w:r>
      <w:instrText>PAGE</w:instrText>
    </w:r>
    <w:r>
      <w:fldChar w:fldCharType="separate"/>
    </w:r>
    <w:r w:rsidR="00B0410B">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B4B435" w14:textId="77777777" w:rsidR="000B55EB" w:rsidRDefault="000B55EB"/>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i="http://schemas.microsoft.com/office/word/2026/wordml/cei"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2536786"/>
    <w:multiLevelType w:val="multilevel"/>
    <w:tmpl w:val="81A64DDC"/>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
    <w:nsid w:val="036851CF"/>
    <w:multiLevelType w:val="hybridMultilevel"/>
    <w:tmpl w:val="AF2A710C"/>
    <w:lvl w:ilvl="0" w:tplc="0409000F">
      <w:start w:val="1"/>
      <w:numFmt w:val="decimal"/>
      <w:lvlText w:val="%1."/>
      <w:lvlJc w:val="left"/>
      <w:pPr>
        <w:ind w:hanging="360" w:left="360"/>
      </w:pPr>
      <w:rPr>
        <w:rFonts w:hint="default"/>
      </w:rPr>
    </w:lvl>
    <w:lvl w:ilvl="1" w:tentative="1" w:tplc="FFFFFFFF">
      <w:start w:val="1"/>
      <w:numFmt w:val="bullet"/>
      <w:lvlText w:val="o"/>
      <w:lvlJc w:val="left"/>
      <w:pPr>
        <w:ind w:hanging="360" w:left="1080"/>
      </w:pPr>
      <w:rPr>
        <w:rFonts w:ascii="Courier New" w:hAnsi="Courier New" w:hint="default"/>
      </w:rPr>
    </w:lvl>
    <w:lvl w:ilvl="2" w:tentative="1" w:tplc="FFFFFFFF">
      <w:start w:val="1"/>
      <w:numFmt w:val="bullet"/>
      <w:lvlText w:val=""/>
      <w:lvlJc w:val="left"/>
      <w:pPr>
        <w:ind w:hanging="360" w:left="1800"/>
      </w:pPr>
      <w:rPr>
        <w:rFonts w:ascii="Wingdings" w:hAnsi="Wingdings" w:hint="default"/>
      </w:rPr>
    </w:lvl>
    <w:lvl w:ilvl="3" w:tentative="1" w:tplc="FFFFFFFF">
      <w:start w:val="1"/>
      <w:numFmt w:val="bullet"/>
      <w:lvlText w:val=""/>
      <w:lvlJc w:val="left"/>
      <w:pPr>
        <w:ind w:hanging="360" w:left="2520"/>
      </w:pPr>
      <w:rPr>
        <w:rFonts w:ascii="Symbol" w:hAnsi="Symbol" w:hint="default"/>
      </w:rPr>
    </w:lvl>
    <w:lvl w:ilvl="4" w:tentative="1" w:tplc="FFFFFFFF">
      <w:start w:val="1"/>
      <w:numFmt w:val="bullet"/>
      <w:lvlText w:val="o"/>
      <w:lvlJc w:val="left"/>
      <w:pPr>
        <w:ind w:hanging="360" w:left="3240"/>
      </w:pPr>
      <w:rPr>
        <w:rFonts w:ascii="Courier New" w:hAnsi="Courier New" w:hint="default"/>
      </w:rPr>
    </w:lvl>
    <w:lvl w:ilvl="5" w:tentative="1" w:tplc="FFFFFFFF">
      <w:start w:val="1"/>
      <w:numFmt w:val="bullet"/>
      <w:lvlText w:val=""/>
      <w:lvlJc w:val="left"/>
      <w:pPr>
        <w:ind w:hanging="360" w:left="3960"/>
      </w:pPr>
      <w:rPr>
        <w:rFonts w:ascii="Wingdings" w:hAnsi="Wingdings" w:hint="default"/>
      </w:rPr>
    </w:lvl>
    <w:lvl w:ilvl="6" w:tentative="1" w:tplc="FFFFFFFF">
      <w:start w:val="1"/>
      <w:numFmt w:val="bullet"/>
      <w:lvlText w:val=""/>
      <w:lvlJc w:val="left"/>
      <w:pPr>
        <w:ind w:hanging="360" w:left="4680"/>
      </w:pPr>
      <w:rPr>
        <w:rFonts w:ascii="Symbol" w:hAnsi="Symbol" w:hint="default"/>
      </w:rPr>
    </w:lvl>
    <w:lvl w:ilvl="7" w:tentative="1" w:tplc="FFFFFFFF">
      <w:start w:val="1"/>
      <w:numFmt w:val="bullet"/>
      <w:lvlText w:val="o"/>
      <w:lvlJc w:val="left"/>
      <w:pPr>
        <w:ind w:hanging="360" w:left="5400"/>
      </w:pPr>
      <w:rPr>
        <w:rFonts w:ascii="Courier New" w:hAnsi="Courier New" w:hint="default"/>
      </w:rPr>
    </w:lvl>
    <w:lvl w:ilvl="8" w:tentative="1" w:tplc="FFFFFFFF">
      <w:start w:val="1"/>
      <w:numFmt w:val="bullet"/>
      <w:lvlText w:val=""/>
      <w:lvlJc w:val="left"/>
      <w:pPr>
        <w:ind w:hanging="360" w:left="6120"/>
      </w:pPr>
      <w:rPr>
        <w:rFonts w:ascii="Wingdings" w:hAnsi="Wingdings" w:hint="default"/>
      </w:rPr>
    </w:lvl>
  </w:abstractNum>
  <w:abstractNum w15:restartNumberingAfterBreak="0" w:abstractNumId="2">
    <w:nsid w:val="171A0667"/>
    <w:multiLevelType w:val="hybridMultilevel"/>
    <w:tmpl w:val="AB988C60"/>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
    <w:nsid w:val="1744454D"/>
    <w:multiLevelType w:val="multilevel"/>
    <w:tmpl w:val="BEA2E0AA"/>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4">
    <w:nsid w:val="1D5040A3"/>
    <w:multiLevelType w:val="multilevel"/>
    <w:tmpl w:val="E8DC037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5">
    <w:nsid w:val="29EA41D8"/>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6">
    <w:nsid w:val="2D7802DA"/>
    <w:multiLevelType w:val="multilevel"/>
    <w:tmpl w:val="0CC420B2"/>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7">
    <w:nsid w:val="2E5524F5"/>
    <w:multiLevelType w:val="multilevel"/>
    <w:tmpl w:val="244E3E70"/>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8">
    <w:nsid w:val="30FC0002"/>
    <w:multiLevelType w:val="hybridMultilevel"/>
    <w:tmpl w:val="007AAE82"/>
    <w:lvl w:ilvl="0" w:tplc="0409000F">
      <w:start w:val="1"/>
      <w:numFmt w:val="decimal"/>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9">
    <w:nsid w:val="44E96C8B"/>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0">
    <w:nsid w:val="485A5F5D"/>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1">
    <w:nsid w:val="49127D73"/>
    <w:multiLevelType w:val="multilevel"/>
    <w:tmpl w:val="1736CE22"/>
    <w:lvl w:ilvl="0">
      <w:start w:val="1"/>
      <w:numFmt w:val="bullet"/>
      <w:lvlText w:val=""/>
      <w:lvlJc w:val="left"/>
      <w:pPr>
        <w:ind w:hanging="360" w:left="720"/>
      </w:pPr>
      <w:rPr>
        <w:rFonts w:ascii="Symbol" w:hAnsi="Symbol" w:hint="default"/>
      </w:rPr>
    </w:lvl>
    <w:lvl w:ilvl="1">
      <w:start w:val="1"/>
      <w:numFmt w:val="decimal"/>
      <w:isLgl/>
      <w:lvlText w:val="%1.%2"/>
      <w:lvlJc w:val="left"/>
      <w:pPr>
        <w:ind w:hanging="360" w:left="720"/>
      </w:pPr>
      <w:rPr>
        <w:rFonts w:hint="default"/>
      </w:rPr>
    </w:lvl>
    <w:lvl w:ilvl="2">
      <w:start w:val="1"/>
      <w:numFmt w:val="decimal"/>
      <w:isLgl/>
      <w:lvlText w:val="%1.%2.%3"/>
      <w:lvlJc w:val="left"/>
      <w:pPr>
        <w:ind w:hanging="720" w:left="1080"/>
      </w:pPr>
      <w:rPr>
        <w:rFonts w:hint="default"/>
      </w:rPr>
    </w:lvl>
    <w:lvl w:ilvl="3">
      <w:start w:val="1"/>
      <w:numFmt w:val="decimal"/>
      <w:isLgl/>
      <w:lvlText w:val="%1.%2.%3.%4"/>
      <w:lvlJc w:val="left"/>
      <w:pPr>
        <w:ind w:hanging="720" w:left="1080"/>
      </w:pPr>
      <w:rPr>
        <w:rFonts w:hint="default"/>
      </w:rPr>
    </w:lvl>
    <w:lvl w:ilvl="4">
      <w:start w:val="1"/>
      <w:numFmt w:val="decimal"/>
      <w:isLgl/>
      <w:lvlText w:val="%1.%2.%3.%4.%5"/>
      <w:lvlJc w:val="left"/>
      <w:pPr>
        <w:ind w:hanging="1080" w:left="1440"/>
      </w:pPr>
      <w:rPr>
        <w:rFonts w:hint="default"/>
      </w:rPr>
    </w:lvl>
    <w:lvl w:ilvl="5">
      <w:start w:val="1"/>
      <w:numFmt w:val="decimal"/>
      <w:isLgl/>
      <w:lvlText w:val="%1.%2.%3.%4.%5.%6"/>
      <w:lvlJc w:val="left"/>
      <w:pPr>
        <w:ind w:hanging="1080" w:left="1440"/>
      </w:pPr>
      <w:rPr>
        <w:rFonts w:hint="default"/>
      </w:rPr>
    </w:lvl>
    <w:lvl w:ilvl="6">
      <w:start w:val="1"/>
      <w:numFmt w:val="decimal"/>
      <w:isLgl/>
      <w:lvlText w:val="%1.%2.%3.%4.%5.%6.%7"/>
      <w:lvlJc w:val="left"/>
      <w:pPr>
        <w:ind w:hanging="1440" w:left="1800"/>
      </w:pPr>
      <w:rPr>
        <w:rFonts w:hint="default"/>
      </w:rPr>
    </w:lvl>
    <w:lvl w:ilvl="7">
      <w:start w:val="1"/>
      <w:numFmt w:val="decimal"/>
      <w:isLgl/>
      <w:lvlText w:val="%1.%2.%3.%4.%5.%6.%7.%8"/>
      <w:lvlJc w:val="left"/>
      <w:pPr>
        <w:ind w:hanging="1440" w:left="1800"/>
      </w:pPr>
      <w:rPr>
        <w:rFonts w:hint="default"/>
      </w:rPr>
    </w:lvl>
    <w:lvl w:ilvl="8">
      <w:start w:val="1"/>
      <w:numFmt w:val="decimal"/>
      <w:isLgl/>
      <w:lvlText w:val="%1.%2.%3.%4.%5.%6.%7.%8.%9"/>
      <w:lvlJc w:val="left"/>
      <w:pPr>
        <w:ind w:hanging="1800" w:left="2160"/>
      </w:pPr>
      <w:rPr>
        <w:rFonts w:hint="default"/>
      </w:rPr>
    </w:lvl>
  </w:abstractNum>
  <w:abstractNum w15:restartNumberingAfterBreak="0" w:abstractNumId="12">
    <w:nsid w:val="4D0460AB"/>
    <w:multiLevelType w:val="multilevel"/>
    <w:tmpl w:val="8638B9EE"/>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15:restartNumberingAfterBreak="0" w:abstractNumId="13">
    <w:nsid w:val="5583452F"/>
    <w:multiLevelType w:val="hybridMultilevel"/>
    <w:tmpl w:val="099ABA20"/>
    <w:lvl w:ilvl="0" w:tplc="AF0AA18C">
      <w:start w:val="1"/>
      <w:numFmt w:val="decimal"/>
      <w:lvlText w:val="%1."/>
      <w:lvlJc w:val="left"/>
      <w:pPr>
        <w:ind w:hanging="360" w:left="420"/>
      </w:pPr>
      <w:rPr>
        <w:rFonts w:ascii="Times New Roman" w:cs="Times New Roman" w:hAnsi="Times New Roman" w:hint="default"/>
      </w:rPr>
    </w:lvl>
    <w:lvl w:ilvl="1" w:tentative="1" w:tplc="04090019">
      <w:start w:val="1"/>
      <w:numFmt w:val="lowerLetter"/>
      <w:lvlText w:val="%2."/>
      <w:lvlJc w:val="left"/>
      <w:pPr>
        <w:ind w:hanging="360" w:left="1140"/>
      </w:pPr>
    </w:lvl>
    <w:lvl w:ilvl="2" w:tentative="1" w:tplc="0409001B">
      <w:start w:val="1"/>
      <w:numFmt w:val="lowerRoman"/>
      <w:lvlText w:val="%3."/>
      <w:lvlJc w:val="right"/>
      <w:pPr>
        <w:ind w:hanging="180" w:left="1860"/>
      </w:pPr>
    </w:lvl>
    <w:lvl w:ilvl="3" w:tentative="1" w:tplc="0409000F">
      <w:start w:val="1"/>
      <w:numFmt w:val="decimal"/>
      <w:lvlText w:val="%4."/>
      <w:lvlJc w:val="left"/>
      <w:pPr>
        <w:ind w:hanging="360" w:left="2580"/>
      </w:pPr>
    </w:lvl>
    <w:lvl w:ilvl="4" w:tentative="1" w:tplc="04090019">
      <w:start w:val="1"/>
      <w:numFmt w:val="lowerLetter"/>
      <w:lvlText w:val="%5."/>
      <w:lvlJc w:val="left"/>
      <w:pPr>
        <w:ind w:hanging="360" w:left="3300"/>
      </w:pPr>
    </w:lvl>
    <w:lvl w:ilvl="5" w:tentative="1" w:tplc="0409001B">
      <w:start w:val="1"/>
      <w:numFmt w:val="lowerRoman"/>
      <w:lvlText w:val="%6."/>
      <w:lvlJc w:val="right"/>
      <w:pPr>
        <w:ind w:hanging="180" w:left="4020"/>
      </w:pPr>
    </w:lvl>
    <w:lvl w:ilvl="6" w:tentative="1" w:tplc="0409000F">
      <w:start w:val="1"/>
      <w:numFmt w:val="decimal"/>
      <w:lvlText w:val="%7."/>
      <w:lvlJc w:val="left"/>
      <w:pPr>
        <w:ind w:hanging="360" w:left="4740"/>
      </w:pPr>
    </w:lvl>
    <w:lvl w:ilvl="7" w:tentative="1" w:tplc="04090019">
      <w:start w:val="1"/>
      <w:numFmt w:val="lowerLetter"/>
      <w:lvlText w:val="%8."/>
      <w:lvlJc w:val="left"/>
      <w:pPr>
        <w:ind w:hanging="360" w:left="5460"/>
      </w:pPr>
    </w:lvl>
    <w:lvl w:ilvl="8" w:tentative="1" w:tplc="0409001B">
      <w:start w:val="1"/>
      <w:numFmt w:val="lowerRoman"/>
      <w:lvlText w:val="%9."/>
      <w:lvlJc w:val="right"/>
      <w:pPr>
        <w:ind w:hanging="180" w:left="6180"/>
      </w:pPr>
    </w:lvl>
  </w:abstractNum>
  <w:abstractNum w15:restartNumberingAfterBreak="0" w:abstractNumId="14">
    <w:nsid w:val="56942631"/>
    <w:multiLevelType w:val="multilevel"/>
    <w:tmpl w:val="D4041BCE"/>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5">
    <w:nsid w:val="59CB1727"/>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6">
    <w:nsid w:val="5AF76DFB"/>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7">
    <w:nsid w:val="5CAE3D11"/>
    <w:multiLevelType w:val="multilevel"/>
    <w:tmpl w:val="D038AA8E"/>
    <w:lvl w:ilvl="0">
      <w:start w:val="1"/>
      <w:numFmt w:val="decimal"/>
      <w:lvlText w:val="%1."/>
      <w:lvlJc w:val="left"/>
      <w:pPr>
        <w:ind w:hanging="360" w:left="720"/>
      </w:pPr>
      <w:rPr>
        <w:rFonts w:ascii="Ubuntu" w:cs="Ubuntu" w:eastAsia="Ubuntu" w:hAnsi="Ubuntu"/>
        <w:color w:val="465360"/>
        <w:sz w:val="21"/>
        <w:szCs w:val="21"/>
        <w:u w:val="none"/>
      </w:rPr>
    </w:lvl>
    <w:lvl w:ilvl="1">
      <w:start w:val="1"/>
      <w:numFmt w:val="lowerLetter"/>
      <w:lvlText w:val="%2."/>
      <w:lvlJc w:val="left"/>
      <w:pPr>
        <w:ind w:hanging="360" w:left="1440"/>
      </w:pPr>
      <w:rPr>
        <w:u w:val="none"/>
      </w:rPr>
    </w:lvl>
    <w:lvl w:ilvl="2">
      <w:start w:val="1"/>
      <w:numFmt w:val="lowerRoman"/>
      <w:lvlText w:val="%3."/>
      <w:lvlJc w:val="lef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lef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left"/>
      <w:pPr>
        <w:ind w:hanging="360" w:left="6480"/>
      </w:pPr>
      <w:rPr>
        <w:u w:val="none"/>
      </w:rPr>
    </w:lvl>
  </w:abstractNum>
  <w:abstractNum w15:restartNumberingAfterBreak="0" w:abstractNumId="18">
    <w:nsid w:val="613D3456"/>
    <w:multiLevelType w:val="hybridMultilevel"/>
    <w:tmpl w:val="0E88C840"/>
    <w:lvl w:ilvl="0" w:tplc="04090001">
      <w:start w:val="1"/>
      <w:numFmt w:val="bullet"/>
      <w:lvlText w:val=""/>
      <w:lvlJc w:val="left"/>
      <w:pPr>
        <w:ind w:hanging="360" w:left="360"/>
      </w:pPr>
      <w:rPr>
        <w:rFonts w:ascii="Symbol" w:hAnsi="Symbol" w:hint="default"/>
      </w:rPr>
    </w:lvl>
    <w:lvl w:ilvl="1" w:tentative="1" w:tplc="04090003">
      <w:start w:val="1"/>
      <w:numFmt w:val="bullet"/>
      <w:lvlText w:val="o"/>
      <w:lvlJc w:val="left"/>
      <w:pPr>
        <w:ind w:hanging="360" w:left="1080"/>
      </w:pPr>
      <w:rPr>
        <w:rFonts w:ascii="Courier New" w:hAnsi="Courier New" w:hint="default"/>
      </w:rPr>
    </w:lvl>
    <w:lvl w:ilvl="2" w:tentative="1" w:tplc="04090005">
      <w:start w:val="1"/>
      <w:numFmt w:val="bullet"/>
      <w:lvlText w:val=""/>
      <w:lvlJc w:val="left"/>
      <w:pPr>
        <w:ind w:hanging="360" w:left="1800"/>
      </w:pPr>
      <w:rPr>
        <w:rFonts w:ascii="Wingdings" w:hAnsi="Wingdings" w:hint="default"/>
      </w:rPr>
    </w:lvl>
    <w:lvl w:ilvl="3" w:tentative="1" w:tplc="04090001">
      <w:start w:val="1"/>
      <w:numFmt w:val="bullet"/>
      <w:lvlText w:val=""/>
      <w:lvlJc w:val="left"/>
      <w:pPr>
        <w:ind w:hanging="360" w:left="2520"/>
      </w:pPr>
      <w:rPr>
        <w:rFonts w:ascii="Symbol" w:hAnsi="Symbol" w:hint="default"/>
      </w:rPr>
    </w:lvl>
    <w:lvl w:ilvl="4" w:tentative="1" w:tplc="04090003">
      <w:start w:val="1"/>
      <w:numFmt w:val="bullet"/>
      <w:lvlText w:val="o"/>
      <w:lvlJc w:val="left"/>
      <w:pPr>
        <w:ind w:hanging="360" w:left="3240"/>
      </w:pPr>
      <w:rPr>
        <w:rFonts w:ascii="Courier New" w:hAnsi="Courier New" w:hint="default"/>
      </w:rPr>
    </w:lvl>
    <w:lvl w:ilvl="5" w:tentative="1" w:tplc="04090005">
      <w:start w:val="1"/>
      <w:numFmt w:val="bullet"/>
      <w:lvlText w:val=""/>
      <w:lvlJc w:val="left"/>
      <w:pPr>
        <w:ind w:hanging="360" w:left="3960"/>
      </w:pPr>
      <w:rPr>
        <w:rFonts w:ascii="Wingdings" w:hAnsi="Wingdings" w:hint="default"/>
      </w:rPr>
    </w:lvl>
    <w:lvl w:ilvl="6" w:tentative="1" w:tplc="04090001">
      <w:start w:val="1"/>
      <w:numFmt w:val="bullet"/>
      <w:lvlText w:val=""/>
      <w:lvlJc w:val="left"/>
      <w:pPr>
        <w:ind w:hanging="360" w:left="4680"/>
      </w:pPr>
      <w:rPr>
        <w:rFonts w:ascii="Symbol" w:hAnsi="Symbol" w:hint="default"/>
      </w:rPr>
    </w:lvl>
    <w:lvl w:ilvl="7" w:tentative="1" w:tplc="04090003">
      <w:start w:val="1"/>
      <w:numFmt w:val="bullet"/>
      <w:lvlText w:val="o"/>
      <w:lvlJc w:val="left"/>
      <w:pPr>
        <w:ind w:hanging="360" w:left="5400"/>
      </w:pPr>
      <w:rPr>
        <w:rFonts w:ascii="Courier New" w:hAnsi="Courier New" w:hint="default"/>
      </w:rPr>
    </w:lvl>
    <w:lvl w:ilvl="8" w:tentative="1" w:tplc="04090005">
      <w:start w:val="1"/>
      <w:numFmt w:val="bullet"/>
      <w:lvlText w:val=""/>
      <w:lvlJc w:val="left"/>
      <w:pPr>
        <w:ind w:hanging="360" w:left="6120"/>
      </w:pPr>
      <w:rPr>
        <w:rFonts w:ascii="Wingdings" w:hAnsi="Wingdings" w:hint="default"/>
      </w:rPr>
    </w:lvl>
  </w:abstractNum>
  <w:abstractNum w15:restartNumberingAfterBreak="0" w:abstractNumId="19">
    <w:nsid w:val="63F157A6"/>
    <w:multiLevelType w:val="multilevel"/>
    <w:tmpl w:val="90C4552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0">
    <w:nsid w:val="66CD1B99"/>
    <w:multiLevelType w:val="multilevel"/>
    <w:tmpl w:val="D2DCC01C"/>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21">
    <w:nsid w:val="6A0B63B6"/>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2">
    <w:nsid w:val="718F48A8"/>
    <w:multiLevelType w:val="hybridMultilevel"/>
    <w:tmpl w:val="F718D7FE"/>
    <w:lvl w:ilvl="0" w:tplc="70E0DDFE">
      <w:start w:val="1"/>
      <w:numFmt w:val="bullet"/>
      <w:lvlText w:val="-"/>
      <w:lvlJc w:val="left"/>
      <w:pPr>
        <w:ind w:hanging="360" w:left="720"/>
      </w:pPr>
      <w:rPr>
        <w:rFonts w:ascii="Arial" w:cs="Arial" w:eastAsia="Times New Roman" w:hAnsi="Aria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3">
    <w:nsid w:val="73FC48F6"/>
    <w:multiLevelType w:val="multilevel"/>
    <w:tmpl w:val="7C6CC4B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4">
    <w:nsid w:val="7D980FE5"/>
    <w:multiLevelType w:val="multilevel"/>
    <w:tmpl w:val="EDDA6E46"/>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065760883" w:numId="1">
    <w:abstractNumId w:val="12"/>
  </w:num>
  <w:num w16cid:durableId="1229654886" w:numId="2">
    <w:abstractNumId w:val="4"/>
  </w:num>
  <w:num w16cid:durableId="1780876995" w:numId="3">
    <w:abstractNumId w:val="14"/>
  </w:num>
  <w:num w16cid:durableId="974025194" w:numId="4">
    <w:abstractNumId w:val="20"/>
  </w:num>
  <w:num w16cid:durableId="559169265" w:numId="5">
    <w:abstractNumId w:val="3"/>
  </w:num>
  <w:num w16cid:durableId="749277374" w:numId="6">
    <w:abstractNumId w:val="6"/>
  </w:num>
  <w:num w16cid:durableId="1982688459" w:numId="7">
    <w:abstractNumId w:val="17"/>
  </w:num>
  <w:num w16cid:durableId="777025906" w:numId="8">
    <w:abstractNumId w:val="7"/>
  </w:num>
  <w:num w16cid:durableId="1683047266" w:numId="9">
    <w:abstractNumId w:val="24"/>
  </w:num>
  <w:num w16cid:durableId="1989626730" w:numId="10">
    <w:abstractNumId w:val="0"/>
  </w:num>
  <w:num w16cid:durableId="1157310178" w:numId="11">
    <w:abstractNumId w:val="13"/>
  </w:num>
  <w:num w16cid:durableId="2135756243" w:numId="12">
    <w:abstractNumId w:val="11"/>
  </w:num>
  <w:num w16cid:durableId="1483307824" w:numId="13">
    <w:abstractNumId w:val="22"/>
  </w:num>
  <w:num w16cid:durableId="666329526" w:numId="14">
    <w:abstractNumId w:val="1"/>
  </w:num>
  <w:num w16cid:durableId="361440534" w:numId="15">
    <w:abstractNumId w:val="16"/>
  </w:num>
  <w:num w16cid:durableId="760414313" w:numId="16">
    <w:abstractNumId w:val="19"/>
  </w:num>
  <w:num w16cid:durableId="2113938833" w:numId="17">
    <w:abstractNumId w:val="15"/>
  </w:num>
  <w:num w16cid:durableId="196820457" w:numId="18">
    <w:abstractNumId w:val="9"/>
  </w:num>
  <w:num w16cid:durableId="1028726134" w:numId="19">
    <w:abstractNumId w:val="18"/>
  </w:num>
  <w:num w16cid:durableId="192043067" w:numId="20">
    <w:abstractNumId w:val="5"/>
  </w:num>
  <w:num w16cid:durableId="910313393" w:numId="21">
    <w:abstractNumId w:val="2"/>
  </w:num>
  <w:num w16cid:durableId="329673323" w:numId="22">
    <w:abstractNumId w:val="10"/>
  </w:num>
  <w:num w16cid:durableId="569272857" w:numId="23">
    <w:abstractNumId w:val="8"/>
  </w:num>
  <w:num w16cid:durableId="1467820160" w:numId="24">
    <w:abstractNumId w:val="23"/>
  </w:num>
  <w:num w16cid:durableId="1134904917" w:numId="25">
    <w:abstractNumId w:val="2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70"/>
  <w:embedTrueTypeFonts/>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5EB"/>
    <w:rsid w:val="000306B5"/>
    <w:rsid w:val="00053DFE"/>
    <w:rsid w:val="000729AC"/>
    <w:rsid w:val="000A49A2"/>
    <w:rsid w:val="000B1FAD"/>
    <w:rsid w:val="000B55EB"/>
    <w:rsid w:val="000C794D"/>
    <w:rsid w:val="000D594F"/>
    <w:rsid w:val="000E1293"/>
    <w:rsid w:val="000E3232"/>
    <w:rsid w:val="000E5E44"/>
    <w:rsid w:val="000F4CBD"/>
    <w:rsid w:val="0011546F"/>
    <w:rsid w:val="001158BA"/>
    <w:rsid w:val="00144330"/>
    <w:rsid w:val="0015101F"/>
    <w:rsid w:val="001C0F05"/>
    <w:rsid w:val="001C3062"/>
    <w:rsid w:val="001C4B27"/>
    <w:rsid w:val="001E25AB"/>
    <w:rsid w:val="001E794E"/>
    <w:rsid w:val="00201298"/>
    <w:rsid w:val="00201ADC"/>
    <w:rsid w:val="00217880"/>
    <w:rsid w:val="00231BCB"/>
    <w:rsid w:val="0023705F"/>
    <w:rsid w:val="00242606"/>
    <w:rsid w:val="002442B9"/>
    <w:rsid w:val="0029044E"/>
    <w:rsid w:val="00292A06"/>
    <w:rsid w:val="002D7B74"/>
    <w:rsid w:val="003216E7"/>
    <w:rsid w:val="00341564"/>
    <w:rsid w:val="00344F3C"/>
    <w:rsid w:val="003532A2"/>
    <w:rsid w:val="0035418C"/>
    <w:rsid w:val="003675D9"/>
    <w:rsid w:val="00371E39"/>
    <w:rsid w:val="003B69D9"/>
    <w:rsid w:val="003D4BC8"/>
    <w:rsid w:val="003E6821"/>
    <w:rsid w:val="00405520"/>
    <w:rsid w:val="00430EE7"/>
    <w:rsid w:val="00450DA6"/>
    <w:rsid w:val="004549F2"/>
    <w:rsid w:val="00485F53"/>
    <w:rsid w:val="004905DB"/>
    <w:rsid w:val="00496DE6"/>
    <w:rsid w:val="004A28CE"/>
    <w:rsid w:val="004B658B"/>
    <w:rsid w:val="004C06D3"/>
    <w:rsid w:val="004D6A4E"/>
    <w:rsid w:val="004E0519"/>
    <w:rsid w:val="00507E9D"/>
    <w:rsid w:val="00521651"/>
    <w:rsid w:val="00530478"/>
    <w:rsid w:val="00561AB7"/>
    <w:rsid w:val="005711B7"/>
    <w:rsid w:val="005B0C1C"/>
    <w:rsid w:val="005B756B"/>
    <w:rsid w:val="005C5B96"/>
    <w:rsid w:val="005D34B2"/>
    <w:rsid w:val="005D7AAD"/>
    <w:rsid w:val="00640111"/>
    <w:rsid w:val="0064282A"/>
    <w:rsid w:val="00687C9F"/>
    <w:rsid w:val="00696889"/>
    <w:rsid w:val="006A4B09"/>
    <w:rsid w:val="006A6B8D"/>
    <w:rsid w:val="006A772F"/>
    <w:rsid w:val="006B1B94"/>
    <w:rsid w:val="006D03B6"/>
    <w:rsid w:val="006D2FFB"/>
    <w:rsid w:val="006E156A"/>
    <w:rsid w:val="006F3680"/>
    <w:rsid w:val="00701179"/>
    <w:rsid w:val="00704838"/>
    <w:rsid w:val="00704B8F"/>
    <w:rsid w:val="00711FAD"/>
    <w:rsid w:val="0071720C"/>
    <w:rsid w:val="00720328"/>
    <w:rsid w:val="00736B8E"/>
    <w:rsid w:val="00763A02"/>
    <w:rsid w:val="007863D3"/>
    <w:rsid w:val="00797A48"/>
    <w:rsid w:val="007E30C0"/>
    <w:rsid w:val="007F2E96"/>
    <w:rsid w:val="008167AF"/>
    <w:rsid w:val="00877D01"/>
    <w:rsid w:val="00877DF4"/>
    <w:rsid w:val="008B5DE4"/>
    <w:rsid w:val="008C5EC5"/>
    <w:rsid w:val="008D69EB"/>
    <w:rsid w:val="008E56ED"/>
    <w:rsid w:val="008F7A7E"/>
    <w:rsid w:val="00914584"/>
    <w:rsid w:val="009148E4"/>
    <w:rsid w:val="00942DA6"/>
    <w:rsid w:val="009442CE"/>
    <w:rsid w:val="0095148B"/>
    <w:rsid w:val="009571F8"/>
    <w:rsid w:val="0096550C"/>
    <w:rsid w:val="00967820"/>
    <w:rsid w:val="00967867"/>
    <w:rsid w:val="00996049"/>
    <w:rsid w:val="009B3B20"/>
    <w:rsid w:val="009C06AA"/>
    <w:rsid w:val="009C2A23"/>
    <w:rsid w:val="009C7401"/>
    <w:rsid w:val="00A022FE"/>
    <w:rsid w:val="00A06140"/>
    <w:rsid w:val="00A32FF7"/>
    <w:rsid w:val="00A4105A"/>
    <w:rsid w:val="00A52831"/>
    <w:rsid w:val="00A544C0"/>
    <w:rsid w:val="00A65F91"/>
    <w:rsid w:val="00A856B1"/>
    <w:rsid w:val="00A90027"/>
    <w:rsid w:val="00AA0BEB"/>
    <w:rsid w:val="00AD6A50"/>
    <w:rsid w:val="00AE1B7C"/>
    <w:rsid w:val="00AE32F6"/>
    <w:rsid w:val="00AE4A30"/>
    <w:rsid w:val="00B0410B"/>
    <w:rsid w:val="00B13028"/>
    <w:rsid w:val="00B210DB"/>
    <w:rsid w:val="00B216AA"/>
    <w:rsid w:val="00B40CC0"/>
    <w:rsid w:val="00B569FF"/>
    <w:rsid w:val="00B92A44"/>
    <w:rsid w:val="00BD1EA8"/>
    <w:rsid w:val="00C25662"/>
    <w:rsid w:val="00C639D2"/>
    <w:rsid w:val="00C73C02"/>
    <w:rsid w:val="00C914B4"/>
    <w:rsid w:val="00CA0A60"/>
    <w:rsid w:val="00CB42C7"/>
    <w:rsid w:val="00D009B1"/>
    <w:rsid w:val="00D14A85"/>
    <w:rsid w:val="00D61E09"/>
    <w:rsid w:val="00D62470"/>
    <w:rsid w:val="00D63120"/>
    <w:rsid w:val="00D84195"/>
    <w:rsid w:val="00D931AC"/>
    <w:rsid w:val="00DB25A4"/>
    <w:rsid w:val="00DD30A5"/>
    <w:rsid w:val="00DD73A2"/>
    <w:rsid w:val="00DE287C"/>
    <w:rsid w:val="00DE56D6"/>
    <w:rsid w:val="00DE7A55"/>
    <w:rsid w:val="00E1614C"/>
    <w:rsid w:val="00E22B89"/>
    <w:rsid w:val="00E4631A"/>
    <w:rsid w:val="00E471B5"/>
    <w:rsid w:val="00E53096"/>
    <w:rsid w:val="00E708C2"/>
    <w:rsid w:val="00E879FF"/>
    <w:rsid w:val="00E92FF7"/>
    <w:rsid w:val="00EB5B8D"/>
    <w:rsid w:val="00F023F5"/>
    <w:rsid w:val="00F06AE3"/>
    <w:rsid w:val="00F136A6"/>
    <w:rsid w:val="00F239CB"/>
    <w:rsid w:val="00F271E3"/>
    <w:rsid w:val="00F522CE"/>
    <w:rsid w:val="00FD0CA0"/>
    <w:rsid w:val="00FD5249"/>
    <w:rsid w:val="00FE15DB"/>
    <w:rsid w:val="00FE1AE2"/>
    <w:rsid w:val="00FE608E"/>
  </w:rsids>
  <w:themeFontLang w:val="en-CA"/>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Times New Roman" w:hAnsi="Times New Roman"/>
        <w:sz w:val="22"/>
        <w:szCs w:val="22"/>
        <w:lang w:bidi="ar-SA" w:eastAsia="en-US" w:val="en"/>
      </w:rPr>
    </w:rPrDefault>
    <w:pPrDefault>
      <w:pPr>
        <w:spacing w:after="180" w:before="180"/>
        <w:jc w:val="both"/>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0729AC"/>
    <w:pPr>
      <w:spacing w:line="360" w:lineRule="auto"/>
    </w:pPr>
    <w:rPr>
      <w:rFonts w:ascii="Arial" w:hAnsi="Arial"/>
    </w:rPr>
  </w:style>
  <w:style w:styleId="Heading1" w:type="paragraph">
    <w:name w:val="heading 1"/>
    <w:basedOn w:val="Normal"/>
    <w:next w:val="Normal"/>
    <w:link w:val="Heading1Char"/>
    <w:uiPriority w:val="9"/>
    <w:qFormat/>
    <w:rsid w:val="00242606"/>
    <w:pPr>
      <w:keepNext/>
      <w:keepLines/>
      <w:spacing w:after="80" w:before="360"/>
      <w:outlineLvl w:val="0"/>
    </w:pPr>
    <w:rPr>
      <w:rFonts w:ascii="Play" w:cs="Play" w:eastAsia="Play" w:hAnsi="Play"/>
      <w:b/>
      <w:sz w:val="28"/>
      <w:szCs w:val="40"/>
    </w:rPr>
  </w:style>
  <w:style w:styleId="Heading2" w:type="paragraph">
    <w:name w:val="heading 2"/>
    <w:basedOn w:val="Normal"/>
    <w:next w:val="Normal"/>
    <w:link w:val="Heading2Char"/>
    <w:uiPriority w:val="9"/>
    <w:unhideWhenUsed/>
    <w:qFormat/>
    <w:rsid w:val="00242606"/>
    <w:pPr>
      <w:keepNext/>
      <w:keepLines/>
      <w:spacing w:after="80" w:before="160"/>
      <w:outlineLvl w:val="1"/>
    </w:pPr>
    <w:rPr>
      <w:b/>
      <w:color w:themeColor="text1" w:val="000000"/>
      <w:sz w:val="26"/>
      <w:szCs w:val="28"/>
    </w:rPr>
  </w:style>
  <w:style w:styleId="Heading3" w:type="paragraph">
    <w:name w:val="heading 3"/>
    <w:basedOn w:val="Normal"/>
    <w:next w:val="Normal"/>
    <w:link w:val="Heading3Char"/>
    <w:uiPriority w:val="9"/>
    <w:unhideWhenUsed/>
    <w:qFormat/>
    <w:rsid w:val="00242606"/>
    <w:pPr>
      <w:keepNext/>
      <w:keepLines/>
      <w:spacing w:after="80" w:before="160"/>
      <w:outlineLvl w:val="2"/>
    </w:pPr>
    <w:rPr>
      <w:b/>
      <w:sz w:val="24"/>
      <w:szCs w:val="24"/>
    </w:rPr>
  </w:style>
  <w:style w:styleId="Heading4" w:type="paragraph">
    <w:name w:val="heading 4"/>
    <w:basedOn w:val="Normal"/>
    <w:next w:val="Normal"/>
    <w:link w:val="Heading4Char"/>
    <w:uiPriority w:val="9"/>
    <w:unhideWhenUsed/>
    <w:qFormat/>
    <w:pPr>
      <w:keepNext/>
      <w:keepLines/>
      <w:spacing w:after="120" w:before="80"/>
      <w:outlineLvl w:val="3"/>
    </w:pPr>
    <w:rPr>
      <w:i/>
      <w:color w:val="0F4761"/>
    </w:rPr>
  </w:style>
  <w:style w:styleId="Heading5" w:type="paragraph">
    <w:name w:val="heading 5"/>
    <w:basedOn w:val="Normal"/>
    <w:next w:val="Normal"/>
    <w:link w:val="Heading5Char"/>
    <w:uiPriority w:val="9"/>
    <w:unhideWhenUsed/>
    <w:qFormat/>
    <w:pPr>
      <w:keepNext/>
      <w:keepLines/>
      <w:spacing w:after="40" w:before="80"/>
      <w:outlineLvl w:val="4"/>
    </w:pPr>
    <w:rPr>
      <w:color w:val="0F4761"/>
    </w:rPr>
  </w:style>
  <w:style w:styleId="Heading6" w:type="paragraph">
    <w:name w:val="heading 6"/>
    <w:basedOn w:val="Normal"/>
    <w:next w:val="Normal"/>
    <w:link w:val="Heading6Char"/>
    <w:uiPriority w:val="9"/>
    <w:unhideWhenUsed/>
    <w:qFormat/>
    <w:pPr>
      <w:keepNext/>
      <w:keepLines/>
      <w:spacing w:after="0" w:before="40"/>
      <w:jc w:val="center"/>
      <w:outlineLvl w:val="5"/>
    </w:pPr>
    <w:rPr>
      <w:i/>
      <w:color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TableNormal0" w:type="table">
    <w:name w:val="TableNormal"/>
    <w:tblPr>
      <w:tblCellMar>
        <w:top w:type="dxa" w:w="0"/>
        <w:left w:type="dxa" w:w="0"/>
        <w:bottom w:type="dxa" w:w="0"/>
        <w:right w:type="dxa" w:w="0"/>
      </w:tblCellMar>
    </w:tblPr>
  </w:style>
  <w:style w:styleId="Title" w:type="paragraph">
    <w:name w:val="Title"/>
    <w:basedOn w:val="Normal"/>
    <w:next w:val="Normal"/>
    <w:link w:val="TitleChar"/>
    <w:uiPriority w:val="10"/>
    <w:qFormat/>
    <w:rsid w:val="00242606"/>
    <w:pPr>
      <w:spacing w:after="80"/>
      <w:jc w:val="center"/>
    </w:pPr>
    <w:rPr>
      <w:rFonts w:cs="Play" w:eastAsia="Play"/>
      <w:b/>
      <w:sz w:val="28"/>
      <w:szCs w:val="56"/>
    </w:rPr>
  </w:style>
  <w:style w:styleId="BodyText" w:type="paragraph">
    <w:name w:val="Body Text"/>
    <w:basedOn w:val="Normal"/>
    <w:qFormat/>
    <w:rsid w:val="00B92A44"/>
  </w:style>
  <w:style w:customStyle="1" w:styleId="FirstParagraph" w:type="paragraph">
    <w:name w:val="First Paragraph"/>
    <w:basedOn w:val="BodyText"/>
    <w:next w:val="BodyText"/>
    <w:qFormat/>
  </w:style>
  <w:style w:customStyle="1" w:styleId="Compact" w:type="paragraph">
    <w:name w:val="Compact"/>
    <w:basedOn w:val="BodyText"/>
    <w:qFormat/>
    <w:rsid w:val="00B92A44"/>
    <w:pPr>
      <w:spacing w:after="36" w:before="36" w:line="240" w:lineRule="auto"/>
    </w:pPr>
    <w:rPr>
      <w:sz w:val="20"/>
    </w:rPr>
  </w:style>
  <w:style w:customStyle="1" w:styleId="TitleChar" w:type="character">
    <w:name w:val="Title Char"/>
    <w:basedOn w:val="DefaultParagraphFont"/>
    <w:link w:val="Title"/>
    <w:uiPriority w:val="10"/>
    <w:rsid w:val="00242606"/>
    <w:rPr>
      <w:rFonts w:ascii="Arial" w:cs="Play" w:eastAsia="Play" w:hAnsi="Arial"/>
      <w:b/>
      <w:sz w:val="28"/>
      <w:szCs w:val="56"/>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Normal"/>
    <w:next w:val="BodyText"/>
    <w:qFormat/>
    <w:rsid w:val="000729AC"/>
    <w:pPr>
      <w:spacing w:after="0" w:before="0"/>
      <w:jc w:val="left"/>
    </w:pPr>
    <w:rPr>
      <w:rFonts w:cs="Arial"/>
      <w:bCs/>
      <w:sz w:val="21"/>
      <w:szCs w:val="21"/>
    </w:rPr>
  </w:style>
  <w:style w:styleId="Date" w:type="paragraph">
    <w:name w:val="Date"/>
    <w:next w:val="BodyText"/>
    <w:qFormat/>
    <w:rsid w:val="000729AC"/>
    <w:pPr>
      <w:keepNext/>
      <w:keepLines/>
      <w:jc w:val="left"/>
    </w:pPr>
    <w:rPr>
      <w:rFonts w:ascii="Arial" w:hAnsi="Arial"/>
      <w:sz w:val="20"/>
    </w:rPr>
  </w:style>
  <w:style w:customStyle="1" w:styleId="AbstractTitle" w:type="paragraph">
    <w:name w:val="Abstract Title"/>
    <w:basedOn w:val="Normal"/>
    <w:next w:val="Abstract"/>
    <w:qFormat/>
    <w:rsid w:val="005D7AAD"/>
    <w:pPr>
      <w:keepNext/>
      <w:keepLines/>
      <w:spacing w:after="0" w:before="0"/>
      <w:jc w:val="left"/>
    </w:pPr>
    <w:rPr>
      <w:i/>
      <w:sz w:val="21"/>
      <w:szCs w:val="20"/>
    </w:rPr>
  </w:style>
  <w:style w:customStyle="1" w:styleId="Abstract" w:type="paragraph">
    <w:name w:val="Abstract"/>
    <w:basedOn w:val="Normal"/>
    <w:next w:val="BodyText"/>
    <w:qFormat/>
    <w:rsid w:val="00701179"/>
    <w:pPr>
      <w:keepNext/>
      <w:keepLines/>
      <w:spacing w:after="300" w:before="100"/>
    </w:pPr>
    <w:rPr>
      <w:sz w:val="20"/>
      <w:szCs w:val="20"/>
    </w:rPr>
  </w:style>
  <w:style w:styleId="Bibliography" w:type="paragraph">
    <w:name w:val="Bibliography"/>
    <w:basedOn w:val="Normal"/>
    <w:qFormat/>
    <w:rsid w:val="00201298"/>
    <w:pPr>
      <w:spacing w:line="240" w:lineRule="auto"/>
      <w:ind w:hanging="720" w:left="720"/>
      <w:jc w:val="left"/>
    </w:pPr>
  </w:style>
  <w:style w:customStyle="1" w:styleId="Heading1Char" w:type="character">
    <w:name w:val="Heading 1 Char"/>
    <w:basedOn w:val="DefaultParagraphFont"/>
    <w:link w:val="Heading1"/>
    <w:uiPriority w:val="9"/>
    <w:rsid w:val="00242606"/>
    <w:rPr>
      <w:rFonts w:ascii="Play" w:cs="Play" w:eastAsia="Play" w:hAnsi="Play"/>
      <w:b/>
      <w:sz w:val="28"/>
      <w:szCs w:val="40"/>
    </w:rPr>
  </w:style>
  <w:style w:customStyle="1" w:styleId="Heading2Char" w:type="character">
    <w:name w:val="Heading 2 Char"/>
    <w:basedOn w:val="DefaultParagraphFont"/>
    <w:link w:val="Heading2"/>
    <w:uiPriority w:val="9"/>
    <w:rsid w:val="00242606"/>
    <w:rPr>
      <w:rFonts w:ascii="Arial" w:hAnsi="Arial"/>
      <w:b/>
      <w:color w:themeColor="text1" w:val="000000"/>
      <w:sz w:val="26"/>
      <w:szCs w:val="28"/>
    </w:rPr>
  </w:style>
  <w:style w:customStyle="1" w:styleId="Heading3Char" w:type="character">
    <w:name w:val="Heading 3 Char"/>
    <w:basedOn w:val="DefaultParagraphFont"/>
    <w:link w:val="Heading3"/>
    <w:uiPriority w:val="9"/>
    <w:rsid w:val="00242606"/>
    <w:rPr>
      <w:rFonts w:ascii="Arial" w:hAnsi="Arial"/>
      <w:b/>
      <w:sz w:val="24"/>
      <w:szCs w:val="24"/>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rPr>
      <w:sz w:val="16"/>
      <w:szCs w:val="16"/>
      <w:lang w:val="en-CA"/>
    </w:rPr>
    <w:tblPr>
      <w:tblInd w:type="dxa" w:w="0"/>
      <w:tblCellMar>
        <w:top w:type="dxa" w:w="0"/>
        <w:left w:type="dxa" w:w="108"/>
        <w:bottom w:type="dxa" w:w="0"/>
        <w:right w:type="dxa" w:w="108"/>
      </w:tblCellMar>
    </w:tblPr>
    <w:trPr>
      <w:trHeight w:hRule="atLeast" w:val="3402"/>
    </w:trPr>
    <w:tblStylePr w:type="firstRow">
      <w:tblPr>
        <w:jc w:val="left"/>
      </w:tblPr>
      <w:trPr>
        <w:trHeight w:hRule="atLeast" w:val="680"/>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sid w:val="00B92A44"/>
    <w:pPr>
      <w:spacing w:after="120" w:line="240" w:lineRule="auto"/>
      <w:jc w:val="left"/>
    </w:pPr>
    <w:rPr>
      <w:i/>
      <w:sz w:val="20"/>
    </w:rPr>
  </w:style>
  <w:style w:customStyle="1" w:styleId="TableCaption" w:type="paragraph">
    <w:name w:val="Table Caption"/>
    <w:basedOn w:val="Caption"/>
    <w:rsid w:val="00B92A44"/>
    <w:pPr>
      <w:jc w:val="left"/>
      <w:keepNext/>
    </w:pPr>
    <w:rPr>
      <w:sz w:val="20"/>
      <w:szCs w:val="20"/>
    </w:rPr>
  </w:style>
  <w:style w:customStyle="1" w:styleId="ImageCaption" w:type="paragraph">
    <w:name w:val="Image Caption"/>
    <w:basedOn w:val="Caption"/>
    <w:rsid w:val="00B92A44"/>
    <w:pPr>
      <w:jc w:val="left"/>
      <w:spacing w:after="0" w:before="60"/>
    </w:pPr>
    <w:rPr>
      <w:sz w:val="20"/>
      <w:szCs w:val="20"/>
    </w:rPr>
  </w:style>
  <w:style w:customStyle="1" w:styleId="Figure" w:type="paragraph">
    <w:name w:val="Figure"/>
    <w:basedOn w:val="Normal"/>
    <w:rsid w:val="00242606"/>
  </w:style>
  <w:style w:customStyle="1" w:styleId="CaptionedFigure" w:type="paragraph">
    <w:name w:val="Captioned Figure"/>
    <w:basedOn w:val="Figure"/>
    <w:pPr>
      <w:keepNext/>
    </w:pPr>
  </w:style>
  <w:style w:customStyle="1" w:styleId="CaptionChar" w:type="character">
    <w:name w:val="Caption Char"/>
    <w:basedOn w:val="DefaultParagraphFont"/>
    <w:link w:val="Caption"/>
    <w:rsid w:val="00B92A44"/>
    <w:rPr>
      <w:rFonts w:ascii="Arial" w:hAnsi="Arial"/>
      <w:i/>
      <w:sz w:val="20"/>
    </w:rPr>
  </w:style>
  <w:style w:customStyle="1" w:styleId="VerbatimChar" w:type="character">
    <w:name w:val="Verbatim Char"/>
    <w:basedOn w:val="CaptionChar"/>
    <w:link w:val="SourceCode"/>
    <w:rPr>
      <w:rFonts w:ascii="Consolas" w:hAnsi="Consolas"/>
      <w:i/>
      <w:sz w:val="14"/>
      <w:szCs w:val="14"/>
    </w:rPr>
  </w:style>
  <w:style w:customStyle="1" w:styleId="SectionNumber" w:type="character">
    <w:name w:val="Section Number"/>
    <w:basedOn w:val="CaptionChar"/>
    <w:rPr>
      <w:rFonts w:ascii="Arial" w:hAnsi="Arial"/>
      <w:i/>
      <w:sz w:val="18"/>
    </w:rPr>
  </w:style>
  <w:style w:styleId="FootnoteReference" w:type="character">
    <w:name w:val="footnote reference"/>
    <w:basedOn w:val="CaptionChar"/>
    <w:rsid w:val="00242606"/>
    <w:rPr>
      <w:rFonts w:ascii="Arial" w:hAnsi="Arial"/>
      <w:i/>
      <w:sz w:val="18"/>
      <w:vertAlign w:val="superscript"/>
    </w:rPr>
  </w:style>
  <w:style w:styleId="Hyperlink" w:type="character">
    <w:name w:val="Hyperlink"/>
    <w:basedOn w:val="CaptionChar"/>
    <w:uiPriority w:val="99"/>
    <w:rPr>
      <w:rFonts w:ascii="Arial" w:hAnsi="Arial"/>
      <w:i/>
      <w:color w:themeColor="accent1" w:val="156082"/>
      <w:sz w:val="18"/>
    </w:rPr>
  </w:style>
  <w:style w:styleId="TOCHeading" w:type="paragraph">
    <w:name w:val="TOC Heading"/>
    <w:basedOn w:val="Heading1"/>
    <w:next w:val="BodyText"/>
    <w:uiPriority w:val="39"/>
    <w:unhideWhenUsed/>
    <w:qFormat/>
    <w:pPr>
      <w:spacing w:before="240" w:line="259" w:lineRule="auto"/>
      <w:outlineLvl w:val="9"/>
    </w:pPr>
  </w:style>
  <w:style w:customStyle="1" w:styleId="SourceCode" w:type="paragraph">
    <w:name w:val="Source Code"/>
    <w:basedOn w:val="Normal"/>
    <w:link w:val="VerbatimChar"/>
    <w:pPr>
      <w:shd w:color="auto" w:fill="F8F8F8" w:val="clear"/>
      <w:wordWrap w:val="0"/>
      <w:spacing w:after="0" w:before="0" w:line="240" w:lineRule="auto"/>
      <w:contextualSpacing/>
      <w:jc w:val="left"/>
    </w:pPr>
    <w:rPr>
      <w:sz w:val="14"/>
      <w:szCs w:val="14"/>
    </w:rPr>
  </w:style>
  <w:style w:customStyle="1" w:styleId="KeywordTok" w:type="character">
    <w:name w:val="KeywordTok"/>
    <w:basedOn w:val="VerbatimChar"/>
    <w:rPr>
      <w:rFonts w:ascii="Consolas" w:hAnsi="Consolas"/>
      <w:b/>
      <w:i/>
      <w:color w:val="204A87"/>
      <w:sz w:val="14"/>
      <w:szCs w:val="14"/>
      <w:shd w:color="auto" w:fill="F8F8F8" w:val="clear"/>
    </w:rPr>
  </w:style>
  <w:style w:customStyle="1" w:styleId="DataTypeTok" w:type="character">
    <w:name w:val="DataTypeTok"/>
    <w:basedOn w:val="VerbatimChar"/>
    <w:rPr>
      <w:rFonts w:ascii="Consolas" w:hAnsi="Consolas"/>
      <w:i/>
      <w:color w:val="204A87"/>
      <w:sz w:val="14"/>
      <w:szCs w:val="14"/>
      <w:shd w:color="auto" w:fill="F8F8F8" w:val="clear"/>
    </w:rPr>
  </w:style>
  <w:style w:customStyle="1" w:styleId="DecValTok" w:type="character">
    <w:name w:val="DecValTok"/>
    <w:basedOn w:val="VerbatimChar"/>
    <w:rPr>
      <w:rFonts w:ascii="Consolas" w:hAnsi="Consolas"/>
      <w:i/>
      <w:color w:val="0000CF"/>
      <w:sz w:val="14"/>
      <w:szCs w:val="14"/>
      <w:shd w:color="auto" w:fill="F8F8F8" w:val="clear"/>
    </w:rPr>
  </w:style>
  <w:style w:customStyle="1" w:styleId="BaseNTok" w:type="character">
    <w:name w:val="BaseNTok"/>
    <w:basedOn w:val="VerbatimChar"/>
    <w:rPr>
      <w:rFonts w:ascii="Consolas" w:hAnsi="Consolas"/>
      <w:i/>
      <w:color w:val="0000CF"/>
      <w:sz w:val="14"/>
      <w:szCs w:val="14"/>
      <w:shd w:color="auto" w:fill="F8F8F8" w:val="clear"/>
    </w:rPr>
  </w:style>
  <w:style w:customStyle="1" w:styleId="FloatTok" w:type="character">
    <w:name w:val="FloatTok"/>
    <w:basedOn w:val="VerbatimChar"/>
    <w:rPr>
      <w:rFonts w:ascii="Consolas" w:hAnsi="Consolas"/>
      <w:i/>
      <w:color w:val="0000CF"/>
      <w:sz w:val="14"/>
      <w:szCs w:val="14"/>
      <w:shd w:color="auto" w:fill="F8F8F8" w:val="clear"/>
    </w:rPr>
  </w:style>
  <w:style w:customStyle="1" w:styleId="ConstantTok" w:type="character">
    <w:name w:val="ConstantTok"/>
    <w:basedOn w:val="VerbatimChar"/>
    <w:rPr>
      <w:rFonts w:ascii="Consolas" w:hAnsi="Consolas"/>
      <w:i/>
      <w:color w:val="8F5902"/>
      <w:sz w:val="14"/>
      <w:szCs w:val="14"/>
      <w:shd w:color="auto" w:fill="F8F8F8" w:val="clear"/>
    </w:rPr>
  </w:style>
  <w:style w:customStyle="1" w:styleId="CharTok" w:type="character">
    <w:name w:val="CharTok"/>
    <w:basedOn w:val="VerbatimChar"/>
    <w:rPr>
      <w:rFonts w:ascii="Consolas" w:hAnsi="Consolas"/>
      <w:i/>
      <w:color w:val="4E9A06"/>
      <w:sz w:val="14"/>
      <w:szCs w:val="14"/>
      <w:shd w:color="auto" w:fill="F8F8F8" w:val="clear"/>
    </w:rPr>
  </w:style>
  <w:style w:customStyle="1" w:styleId="SpecialCharTok" w:type="character">
    <w:name w:val="SpecialCharTok"/>
    <w:basedOn w:val="VerbatimChar"/>
    <w:rPr>
      <w:rFonts w:ascii="Consolas" w:hAnsi="Consolas"/>
      <w:b/>
      <w:i/>
      <w:color w:val="CE5C00"/>
      <w:sz w:val="14"/>
      <w:szCs w:val="14"/>
      <w:shd w:color="auto" w:fill="F8F8F8" w:val="clear"/>
    </w:rPr>
  </w:style>
  <w:style w:customStyle="1" w:styleId="StringTok" w:type="character">
    <w:name w:val="StringTok"/>
    <w:basedOn w:val="VerbatimChar"/>
    <w:rPr>
      <w:rFonts w:ascii="Consolas" w:hAnsi="Consolas"/>
      <w:i/>
      <w:color w:val="4E9A06"/>
      <w:sz w:val="14"/>
      <w:szCs w:val="14"/>
      <w:shd w:color="auto" w:fill="F8F8F8" w:val="clear"/>
    </w:rPr>
  </w:style>
  <w:style w:customStyle="1" w:styleId="VerbatimStringTok" w:type="character">
    <w:name w:val="VerbatimStringTok"/>
    <w:basedOn w:val="VerbatimChar"/>
    <w:rPr>
      <w:rFonts w:ascii="Consolas" w:hAnsi="Consolas"/>
      <w:i/>
      <w:color w:val="4E9A06"/>
      <w:sz w:val="14"/>
      <w:szCs w:val="14"/>
      <w:shd w:color="auto" w:fill="F8F8F8" w:val="clear"/>
    </w:rPr>
  </w:style>
  <w:style w:customStyle="1" w:styleId="SpecialStringTok" w:type="character">
    <w:name w:val="SpecialStringTok"/>
    <w:basedOn w:val="VerbatimChar"/>
    <w:rPr>
      <w:rFonts w:ascii="Consolas" w:hAnsi="Consolas"/>
      <w:i/>
      <w:color w:val="4E9A06"/>
      <w:sz w:val="14"/>
      <w:szCs w:val="14"/>
      <w:shd w:color="auto" w:fill="F8F8F8" w:val="clear"/>
    </w:rPr>
  </w:style>
  <w:style w:customStyle="1" w:styleId="ImportTok" w:type="character">
    <w:name w:val="ImportTok"/>
    <w:basedOn w:val="VerbatimChar"/>
    <w:rPr>
      <w:rFonts w:ascii="Consolas" w:hAnsi="Consolas"/>
      <w:i/>
      <w:sz w:val="14"/>
      <w:szCs w:val="14"/>
      <w:shd w:color="auto" w:fill="F8F8F8" w:val="clear"/>
    </w:rPr>
  </w:style>
  <w:style w:customStyle="1" w:styleId="CommentTok" w:type="character">
    <w:name w:val="CommentTok"/>
    <w:basedOn w:val="VerbatimChar"/>
    <w:rPr>
      <w:rFonts w:ascii="Consolas" w:hAnsi="Consolas"/>
      <w:i w:val="0"/>
      <w:color w:val="8F5902"/>
      <w:sz w:val="14"/>
      <w:szCs w:val="14"/>
      <w:shd w:color="auto" w:fill="F8F8F8" w:val="clear"/>
    </w:rPr>
  </w:style>
  <w:style w:customStyle="1" w:styleId="DocumentationTok" w:type="character">
    <w:name w:val="DocumentationTok"/>
    <w:basedOn w:val="VerbatimChar"/>
    <w:rPr>
      <w:rFonts w:ascii="Consolas" w:hAnsi="Consolas"/>
      <w:b/>
      <w:i w:val="0"/>
      <w:color w:val="8F5902"/>
      <w:sz w:val="14"/>
      <w:szCs w:val="14"/>
      <w:shd w:color="auto" w:fill="F8F8F8" w:val="clear"/>
    </w:rPr>
  </w:style>
  <w:style w:customStyle="1" w:styleId="AnnotationTok" w:type="character">
    <w:name w:val="AnnotationTok"/>
    <w:basedOn w:val="VerbatimChar"/>
    <w:rPr>
      <w:rFonts w:ascii="Consolas" w:hAnsi="Consolas"/>
      <w:b/>
      <w:i w:val="0"/>
      <w:color w:val="8F5902"/>
      <w:sz w:val="14"/>
      <w:szCs w:val="14"/>
      <w:shd w:color="auto" w:fill="F8F8F8" w:val="clear"/>
    </w:rPr>
  </w:style>
  <w:style w:customStyle="1" w:styleId="CommentVarTok" w:type="character">
    <w:name w:val="CommentVarTok"/>
    <w:basedOn w:val="VerbatimChar"/>
    <w:rPr>
      <w:rFonts w:ascii="Consolas" w:hAnsi="Consolas"/>
      <w:b/>
      <w:i w:val="0"/>
      <w:color w:val="8F5902"/>
      <w:sz w:val="14"/>
      <w:szCs w:val="14"/>
      <w:shd w:color="auto" w:fill="F8F8F8" w:val="clear"/>
    </w:rPr>
  </w:style>
  <w:style w:customStyle="1" w:styleId="OtherTok" w:type="character">
    <w:name w:val="OtherTok"/>
    <w:basedOn w:val="VerbatimChar"/>
    <w:rPr>
      <w:rFonts w:ascii="Consolas" w:hAnsi="Consolas"/>
      <w:i/>
      <w:color w:val="8F5902"/>
      <w:sz w:val="14"/>
      <w:szCs w:val="14"/>
      <w:shd w:color="auto" w:fill="F8F8F8" w:val="clear"/>
    </w:rPr>
  </w:style>
  <w:style w:customStyle="1" w:styleId="FunctionTok" w:type="character">
    <w:name w:val="FunctionTok"/>
    <w:basedOn w:val="VerbatimChar"/>
    <w:rPr>
      <w:rFonts w:ascii="Consolas" w:hAnsi="Consolas"/>
      <w:b/>
      <w:i/>
      <w:color w:val="204A87"/>
      <w:sz w:val="14"/>
      <w:szCs w:val="14"/>
      <w:shd w:color="auto" w:fill="F8F8F8" w:val="clear"/>
    </w:rPr>
  </w:style>
  <w:style w:customStyle="1" w:styleId="VariableTok" w:type="character">
    <w:name w:val="VariableTok"/>
    <w:basedOn w:val="VerbatimChar"/>
    <w:rPr>
      <w:rFonts w:ascii="Consolas" w:hAnsi="Consolas"/>
      <w:i/>
      <w:color w:val="000000"/>
      <w:sz w:val="14"/>
      <w:szCs w:val="14"/>
      <w:shd w:color="auto" w:fill="F8F8F8" w:val="clear"/>
    </w:rPr>
  </w:style>
  <w:style w:customStyle="1" w:styleId="ControlFlowTok" w:type="character">
    <w:name w:val="ControlFlowTok"/>
    <w:basedOn w:val="VerbatimChar"/>
    <w:rPr>
      <w:rFonts w:ascii="Consolas" w:hAnsi="Consolas"/>
      <w:b/>
      <w:i/>
      <w:color w:val="204A87"/>
      <w:sz w:val="14"/>
      <w:szCs w:val="14"/>
      <w:shd w:color="auto" w:fill="F8F8F8" w:val="clear"/>
    </w:rPr>
  </w:style>
  <w:style w:customStyle="1" w:styleId="OperatorTok" w:type="character">
    <w:name w:val="OperatorTok"/>
    <w:basedOn w:val="VerbatimChar"/>
    <w:rPr>
      <w:rFonts w:ascii="Consolas" w:hAnsi="Consolas"/>
      <w:b/>
      <w:i/>
      <w:color w:val="CE5C00"/>
      <w:sz w:val="14"/>
      <w:szCs w:val="14"/>
      <w:shd w:color="auto" w:fill="F8F8F8" w:val="clear"/>
    </w:rPr>
  </w:style>
  <w:style w:customStyle="1" w:styleId="BuiltInTok" w:type="character">
    <w:name w:val="BuiltInTok"/>
    <w:basedOn w:val="VerbatimChar"/>
    <w:rPr>
      <w:rFonts w:ascii="Consolas" w:hAnsi="Consolas"/>
      <w:i/>
      <w:sz w:val="14"/>
      <w:szCs w:val="14"/>
      <w:shd w:color="auto" w:fill="F8F8F8" w:val="clear"/>
    </w:rPr>
  </w:style>
  <w:style w:customStyle="1" w:styleId="ExtensionTok" w:type="character">
    <w:name w:val="ExtensionTok"/>
    <w:basedOn w:val="VerbatimChar"/>
    <w:rPr>
      <w:rFonts w:ascii="Consolas" w:hAnsi="Consolas"/>
      <w:i/>
      <w:sz w:val="14"/>
      <w:szCs w:val="14"/>
      <w:shd w:color="auto" w:fill="F8F8F8" w:val="clear"/>
    </w:rPr>
  </w:style>
  <w:style w:customStyle="1" w:styleId="PreprocessorTok" w:type="character">
    <w:name w:val="PreprocessorTok"/>
    <w:basedOn w:val="VerbatimChar"/>
    <w:rPr>
      <w:rFonts w:ascii="Consolas" w:hAnsi="Consolas"/>
      <w:i w:val="0"/>
      <w:color w:val="8F5902"/>
      <w:sz w:val="14"/>
      <w:szCs w:val="14"/>
      <w:shd w:color="auto" w:fill="F8F8F8" w:val="clear"/>
    </w:rPr>
  </w:style>
  <w:style w:customStyle="1" w:styleId="AttributeTok" w:type="character">
    <w:name w:val="AttributeTok"/>
    <w:basedOn w:val="VerbatimChar"/>
    <w:rPr>
      <w:rFonts w:ascii="Consolas" w:hAnsi="Consolas"/>
      <w:i/>
      <w:color w:val="204A87"/>
      <w:sz w:val="14"/>
      <w:szCs w:val="14"/>
      <w:shd w:color="auto" w:fill="F8F8F8" w:val="clear"/>
    </w:rPr>
  </w:style>
  <w:style w:customStyle="1" w:styleId="RegionMarkerTok" w:type="character">
    <w:name w:val="RegionMarkerTok"/>
    <w:basedOn w:val="VerbatimChar"/>
    <w:rPr>
      <w:rFonts w:ascii="Consolas" w:hAnsi="Consolas"/>
      <w:i/>
      <w:sz w:val="14"/>
      <w:szCs w:val="14"/>
      <w:shd w:color="auto" w:fill="F8F8F8" w:val="clear"/>
    </w:rPr>
  </w:style>
  <w:style w:customStyle="1" w:styleId="InformationTok" w:type="character">
    <w:name w:val="InformationTok"/>
    <w:basedOn w:val="VerbatimChar"/>
    <w:rPr>
      <w:rFonts w:ascii="Consolas" w:hAnsi="Consolas"/>
      <w:b/>
      <w:i w:val="0"/>
      <w:color w:val="8F5902"/>
      <w:sz w:val="14"/>
      <w:szCs w:val="14"/>
      <w:shd w:color="auto" w:fill="F8F8F8" w:val="clear"/>
    </w:rPr>
  </w:style>
  <w:style w:customStyle="1" w:styleId="WarningTok" w:type="character">
    <w:name w:val="WarningTok"/>
    <w:basedOn w:val="VerbatimChar"/>
    <w:rPr>
      <w:rFonts w:ascii="Consolas" w:hAnsi="Consolas"/>
      <w:b/>
      <w:i w:val="0"/>
      <w:color w:val="8F5902"/>
      <w:sz w:val="14"/>
      <w:szCs w:val="14"/>
      <w:shd w:color="auto" w:fill="F8F8F8" w:val="clear"/>
    </w:rPr>
  </w:style>
  <w:style w:customStyle="1" w:styleId="AlertTok" w:type="character">
    <w:name w:val="AlertTok"/>
    <w:basedOn w:val="VerbatimChar"/>
    <w:rPr>
      <w:rFonts w:ascii="Consolas" w:hAnsi="Consolas"/>
      <w:i/>
      <w:color w:val="EF2929"/>
      <w:sz w:val="14"/>
      <w:szCs w:val="14"/>
      <w:shd w:color="auto" w:fill="F8F8F8" w:val="clear"/>
    </w:rPr>
  </w:style>
  <w:style w:customStyle="1" w:styleId="ErrorTok" w:type="character">
    <w:name w:val="ErrorTok"/>
    <w:basedOn w:val="VerbatimChar"/>
    <w:rPr>
      <w:rFonts w:ascii="Consolas" w:hAnsi="Consolas"/>
      <w:b/>
      <w:i/>
      <w:color w:val="A40000"/>
      <w:sz w:val="14"/>
      <w:szCs w:val="14"/>
      <w:shd w:color="auto" w:fill="F8F8F8" w:val="clear"/>
    </w:rPr>
  </w:style>
  <w:style w:customStyle="1" w:styleId="NormalTok" w:type="character">
    <w:name w:val="NormalTok"/>
    <w:basedOn w:val="VerbatimChar"/>
    <w:rPr>
      <w:rFonts w:ascii="Consolas" w:hAnsi="Consolas"/>
      <w:i/>
      <w:sz w:val="14"/>
      <w:szCs w:val="14"/>
      <w:shd w:color="auto" w:fill="F8F8F8" w:val="clear"/>
    </w:rPr>
  </w:style>
  <w:style w:styleId="TOC2" w:type="paragraph">
    <w:name w:val="toc 2"/>
    <w:basedOn w:val="Normal"/>
    <w:next w:val="Normal"/>
    <w:autoRedefine/>
    <w:uiPriority w:val="39"/>
    <w:rsid w:val="001D239F"/>
    <w:pPr>
      <w:spacing w:after="0"/>
    </w:pPr>
    <w:rPr>
      <w:b/>
      <w:bCs/>
      <w:smallCaps/>
    </w:rPr>
  </w:style>
  <w:style w:styleId="TOC3" w:type="paragraph">
    <w:name w:val="toc 3"/>
    <w:basedOn w:val="Normal"/>
    <w:next w:val="Normal"/>
    <w:autoRedefine/>
    <w:uiPriority w:val="39"/>
    <w:rsid w:val="001D239F"/>
    <w:pPr>
      <w:spacing w:after="0"/>
    </w:pPr>
    <w:rPr>
      <w:smallCaps/>
    </w:rPr>
  </w:style>
  <w:style w:styleId="TOC1" w:type="paragraph">
    <w:name w:val="toc 1"/>
    <w:basedOn w:val="Normal"/>
    <w:next w:val="Normal"/>
    <w:autoRedefine/>
    <w:rsid w:val="001D239F"/>
    <w:pPr>
      <w:spacing w:after="360" w:before="360"/>
    </w:pPr>
    <w:rPr>
      <w:b/>
      <w:bCs/>
      <w:caps/>
      <w:u w:val="single"/>
    </w:rPr>
  </w:style>
  <w:style w:styleId="TOC4" w:type="paragraph">
    <w:name w:val="toc 4"/>
    <w:basedOn w:val="Normal"/>
    <w:next w:val="Normal"/>
    <w:autoRedefine/>
    <w:uiPriority w:val="39"/>
    <w:rsid w:val="001D239F"/>
    <w:pPr>
      <w:spacing w:after="0"/>
    </w:pPr>
  </w:style>
  <w:style w:styleId="TOC5" w:type="paragraph">
    <w:name w:val="toc 5"/>
    <w:basedOn w:val="Normal"/>
    <w:next w:val="Normal"/>
    <w:autoRedefine/>
    <w:uiPriority w:val="39"/>
    <w:rsid w:val="001D239F"/>
    <w:pPr>
      <w:spacing w:after="0"/>
    </w:pPr>
  </w:style>
  <w:style w:styleId="TOC6" w:type="paragraph">
    <w:name w:val="toc 6"/>
    <w:basedOn w:val="Normal"/>
    <w:next w:val="Normal"/>
    <w:autoRedefine/>
    <w:rsid w:val="001D239F"/>
    <w:pPr>
      <w:spacing w:after="0"/>
    </w:pPr>
  </w:style>
  <w:style w:styleId="TOC7" w:type="paragraph">
    <w:name w:val="toc 7"/>
    <w:basedOn w:val="Normal"/>
    <w:next w:val="Normal"/>
    <w:autoRedefine/>
    <w:rsid w:val="001D239F"/>
    <w:pPr>
      <w:spacing w:after="0"/>
    </w:pPr>
  </w:style>
  <w:style w:styleId="TOC8" w:type="paragraph">
    <w:name w:val="toc 8"/>
    <w:basedOn w:val="Normal"/>
    <w:next w:val="Normal"/>
    <w:autoRedefine/>
    <w:rsid w:val="001D239F"/>
    <w:pPr>
      <w:spacing w:after="0"/>
    </w:pPr>
  </w:style>
  <w:style w:styleId="TOC9" w:type="paragraph">
    <w:name w:val="toc 9"/>
    <w:basedOn w:val="Normal"/>
    <w:next w:val="Normal"/>
    <w:autoRedefine/>
    <w:rsid w:val="001D239F"/>
    <w:pPr>
      <w:spacing w:after="0"/>
    </w:pPr>
  </w:style>
  <w:style w:styleId="Subtitle" w:type="paragraph">
    <w:name w:val="Subtitle"/>
    <w:basedOn w:val="Normal"/>
    <w:next w:val="Normal"/>
    <w:link w:val="SubtitleChar"/>
    <w:uiPriority w:val="11"/>
    <w:qFormat/>
    <w:pPr>
      <w:spacing w:after="80"/>
      <w:jc w:val="center"/>
    </w:pPr>
    <w:rPr>
      <w:rFonts w:ascii="Play" w:cs="Play" w:eastAsia="Play" w:hAnsi="Play"/>
      <w:sz w:val="28"/>
      <w:szCs w:val="28"/>
    </w:rPr>
  </w:style>
  <w:style w:customStyle="1" w:styleId="a" w:type="table">
    <w:basedOn w:val="TableNormal"/>
    <w:tblPr>
      <w:tblStyleRowBandSize w:val="1"/>
      <w:tblStyleColBandSize w:val="1"/>
    </w:tblPr>
    <w:tblStylePr w:type="firstRow">
      <w:tblPr/>
      <w:tcPr>
        <w:tcBorders>
          <w:bottom w:val="nil"/>
        </w:tcBorders>
        <w:vAlign w:val="bottom"/>
      </w:tcPr>
    </w:tblStylePr>
  </w:style>
  <w:style w:customStyle="1" w:styleId="a0" w:type="table">
    <w:basedOn w:val="TableNormal"/>
    <w:tblPr>
      <w:tblStyleRowBandSize w:val="1"/>
      <w:tblStyleColBandSize w:val="1"/>
    </w:tblPr>
    <w:tblStylePr w:type="firstRow">
      <w:tblPr/>
      <w:tcPr>
        <w:tcBorders>
          <w:bottom w:val="nil"/>
        </w:tcBorders>
        <w:vAlign w:val="bottom"/>
      </w:tcPr>
    </w:tblStylePr>
  </w:style>
  <w:style w:customStyle="1" w:styleId="a1" w:type="table">
    <w:basedOn w:val="TableNormal"/>
    <w:tblPr>
      <w:tblStyleRowBandSize w:val="1"/>
      <w:tblStyleColBandSize w:val="1"/>
    </w:tblPr>
    <w:tblStylePr w:type="firstRow">
      <w:tblPr/>
      <w:tcPr>
        <w:tcBorders>
          <w:bottom w:val="nil"/>
        </w:tcBorders>
        <w:vAlign w:val="bottom"/>
      </w:tcPr>
    </w:tblStylePr>
  </w:style>
  <w:style w:customStyle="1" w:styleId="a2" w:type="table">
    <w:basedOn w:val="TableNormal"/>
    <w:tblPr>
      <w:tblStyleRowBandSize w:val="1"/>
      <w:tblStyleColBandSize w:val="1"/>
      <w:tblCellMar>
        <w:top w:type="dxa" w:w="100"/>
        <w:left w:type="dxa" w:w="100"/>
        <w:bottom w:type="dxa" w:w="100"/>
        <w:right w:type="dxa" w:w="100"/>
      </w:tblCellMar>
    </w:tblPr>
  </w:style>
  <w:style w:customStyle="1" w:styleId="a3" w:type="table">
    <w:basedOn w:val="TableNormal"/>
    <w:tblPr>
      <w:tblStyleRowBandSize w:val="1"/>
      <w:tblStyleColBandSize w:val="1"/>
      <w:tblCellMar>
        <w:top w:type="dxa" w:w="100"/>
        <w:left w:type="dxa" w:w="100"/>
        <w:bottom w:type="dxa" w:w="100"/>
        <w:right w:type="dxa" w:w="100"/>
      </w:tblCellMar>
    </w:tblPr>
  </w:style>
  <w:style w:customStyle="1" w:styleId="a4" w:type="table">
    <w:basedOn w:val="TableNormal"/>
    <w:tblPr>
      <w:tblStyleRowBandSize w:val="1"/>
      <w:tblStyleColBandSize w:val="1"/>
      <w:tblCellMar>
        <w:top w:type="dxa" w:w="100"/>
        <w:left w:type="dxa" w:w="100"/>
        <w:bottom w:type="dxa" w:w="100"/>
        <w:right w:type="dxa" w:w="100"/>
      </w:tblCellMar>
    </w:tblPr>
  </w:style>
  <w:style w:customStyle="1" w:styleId="a5" w:type="table">
    <w:basedOn w:val="TableNormal"/>
    <w:tblPr>
      <w:tblStyleRowBandSize w:val="1"/>
      <w:tblStyleColBandSize w:val="1"/>
      <w:tblCellMar>
        <w:top w:type="dxa" w:w="100"/>
        <w:left w:type="dxa" w:w="100"/>
        <w:bottom w:type="dxa" w:w="100"/>
        <w:right w:type="dxa" w:w="100"/>
      </w:tblCellMar>
    </w:tblPr>
  </w:style>
  <w:style w:customStyle="1" w:styleId="a6" w:type="table">
    <w:basedOn w:val="TableNormal"/>
    <w:tblPr>
      <w:tblStyleRowBandSize w:val="1"/>
      <w:tblStyleColBandSize w:val="1"/>
      <w:tblCellMar>
        <w:top w:type="dxa" w:w="100"/>
        <w:left w:type="dxa" w:w="100"/>
        <w:bottom w:type="dxa" w:w="100"/>
        <w:right w:type="dxa" w:w="100"/>
      </w:tblCellMar>
    </w:tblPr>
  </w:style>
  <w:style w:styleId="TOAHeading" w:type="paragraph">
    <w:name w:val="toa heading"/>
    <w:basedOn w:val="Normal"/>
    <w:next w:val="Normal"/>
    <w:rsid w:val="00AD6A50"/>
    <w:pPr>
      <w:spacing w:after="60" w:before="60"/>
      <w:jc w:val="center"/>
    </w:pPr>
    <w:rPr>
      <w:rFonts w:asciiTheme="majorHAnsi" w:cstheme="majorBidi" w:eastAsiaTheme="majorEastAsia" w:hAnsiTheme="majorHAnsi"/>
      <w:b/>
      <w:bCs/>
      <w:sz w:val="21"/>
      <w:szCs w:val="24"/>
      <w:lang w:eastAsia="zh-CN" w:val="en-US"/>
    </w:rPr>
  </w:style>
  <w:style w:styleId="Strong" w:type="character">
    <w:name w:val="Strong"/>
    <w:basedOn w:val="DefaultParagraphFont"/>
    <w:uiPriority w:val="22"/>
    <w:qFormat/>
    <w:rsid w:val="00DE287C"/>
    <w:rPr>
      <w:b/>
      <w:bCs/>
    </w:rPr>
  </w:style>
  <w:style w:styleId="ListParagraph" w:type="paragraph">
    <w:name w:val="List Paragraph"/>
    <w:basedOn w:val="Normal"/>
    <w:uiPriority w:val="34"/>
    <w:qFormat/>
    <w:rsid w:val="00701179"/>
    <w:pPr>
      <w:ind w:left="720"/>
      <w:contextualSpacing/>
    </w:pPr>
  </w:style>
  <w:style w:styleId="Quote" w:type="paragraph">
    <w:name w:val="Quote"/>
    <w:basedOn w:val="Normal"/>
    <w:next w:val="Normal"/>
    <w:link w:val="QuoteChar"/>
    <w:uiPriority w:val="29"/>
    <w:qFormat/>
    <w:rsid w:val="00201ADC"/>
    <w:pPr>
      <w:spacing w:after="160" w:before="200"/>
      <w:ind w:left="864" w:right="864"/>
      <w:jc w:val="center"/>
    </w:pPr>
    <w:rPr>
      <w:i/>
      <w:iCs/>
      <w:color w:themeColor="text1" w:themeTint="BF" w:val="404040"/>
    </w:rPr>
  </w:style>
  <w:style w:customStyle="1" w:styleId="QuoteChar" w:type="character">
    <w:name w:val="Quote Char"/>
    <w:basedOn w:val="DefaultParagraphFont"/>
    <w:link w:val="Quote"/>
    <w:uiPriority w:val="29"/>
    <w:rsid w:val="00201ADC"/>
    <w:rPr>
      <w:i/>
      <w:iCs/>
      <w:color w:themeColor="text1" w:themeTint="BF" w:val="404040"/>
    </w:rPr>
  </w:style>
  <w:style w:styleId="NoSpacing" w:type="paragraph">
    <w:name w:val="No Spacing"/>
    <w:uiPriority w:val="1"/>
    <w:qFormat/>
    <w:rsid w:val="00201ADC"/>
    <w:pPr>
      <w:spacing w:after="0" w:before="0" w:line="360" w:lineRule="auto"/>
    </w:pPr>
    <w:rPr>
      <w:rFonts w:ascii="Arial" w:hAnsi="Arial"/>
    </w:rPr>
  </w:style>
  <w:style w:styleId="NormalWeb" w:type="paragraph">
    <w:name w:val="Normal (Web)"/>
    <w:basedOn w:val="Normal"/>
    <w:uiPriority w:val="99"/>
    <w:unhideWhenUsed/>
    <w:rsid w:val="00D84195"/>
    <w:pPr>
      <w:spacing w:after="100" w:afterAutospacing="1" w:before="100" w:beforeAutospacing="1"/>
      <w:jc w:val="left"/>
    </w:pPr>
    <w:rPr>
      <w:sz w:val="24"/>
      <w:szCs w:val="24"/>
      <w:lang w:val="en-CA"/>
    </w:rPr>
  </w:style>
  <w:style w:styleId="Emphasis" w:type="character">
    <w:name w:val="Emphasis"/>
    <w:basedOn w:val="DefaultParagraphFont"/>
    <w:uiPriority w:val="20"/>
    <w:qFormat/>
    <w:rsid w:val="005B0C1C"/>
    <w:rPr>
      <w:i/>
      <w:iCs/>
    </w:rPr>
  </w:style>
  <w:style w:styleId="LineNumber" w:type="character">
    <w:name w:val="line number"/>
    <w:basedOn w:val="DefaultParagraphFont"/>
    <w:uiPriority w:val="99"/>
    <w:semiHidden/>
    <w:unhideWhenUsed/>
    <w:rsid w:val="00B13028"/>
  </w:style>
  <w:style w:styleId="BookTitle" w:type="character">
    <w:name w:val="Book Title"/>
    <w:basedOn w:val="DefaultParagraphFont"/>
    <w:uiPriority w:val="33"/>
    <w:qFormat/>
    <w:rsid w:val="0014433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2.xml" Type="http://schemas.openxmlformats.org/officeDocument/2006/relationships/footer" /><Relationship Id="rId10" Target="footer1.xml" Type="http://schemas.openxmlformats.org/officeDocument/2006/relationships/footer"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hyperlink" Id="rId49" Target="https://doi.org/10.1002/fee.2190" TargetMode="External" /><Relationship Type="http://schemas.openxmlformats.org/officeDocument/2006/relationships/hyperlink" Id="rId61" Target="https://doi.org/10.1016/j.ecolmodel.2013.10.034" TargetMode="External" /><Relationship Type="http://schemas.openxmlformats.org/officeDocument/2006/relationships/hyperlink" Id="rId57" Target="https://doi.org/10.1016/j.foreco.2026.123985" TargetMode="External" /><Relationship Type="http://schemas.openxmlformats.org/officeDocument/2006/relationships/hyperlink" Id="rId64" Target="https://doi.org/10.1079/PAVSNNR202116018" TargetMode="External" /><Relationship Type="http://schemas.openxmlformats.org/officeDocument/2006/relationships/hyperlink" Id="rId53" Target="https://doi.org/10.1093/aesa/64.2.534" TargetMode="External" /><Relationship Type="http://schemas.openxmlformats.org/officeDocument/2006/relationships/hyperlink" Id="rId55" Target="https://doi.org/10.1111/j.1654-1103.2002.tb02087.x" TargetMode="External" /><Relationship Type="http://schemas.openxmlformats.org/officeDocument/2006/relationships/hyperlink" Id="rId47" Target="https://doi.org/10.1139/cjfr-2018-0304" TargetMode="External" /><Relationship Type="http://schemas.openxmlformats.org/officeDocument/2006/relationships/hyperlink" Id="rId45" Target="https://doi.org/10.1175/BAMS-D-21-0075.1" TargetMode="External" /><Relationship Type="http://schemas.openxmlformats.org/officeDocument/2006/relationships/hyperlink" Id="rId38" Target="https://doi.org/10.1175/JAMC-D-13-0147.1" TargetMode="External" /><Relationship Type="http://schemas.openxmlformats.org/officeDocument/2006/relationships/hyperlink" Id="rId51" Target="https://doi.org/10.1175/JHM486.1" TargetMode="External" /><Relationship Type="http://schemas.openxmlformats.org/officeDocument/2006/relationships/hyperlink" Id="rId40" Target="https://doi.org/10.2737/int-rp-400" TargetMode="External" /><Relationship Type="http://schemas.openxmlformats.org/officeDocument/2006/relationships/hyperlink" Id="rId43" Target="https://doi.org/10.3390/f9110715" TargetMode="External" /><Relationship Type="http://schemas.openxmlformats.org/officeDocument/2006/relationships/hyperlink" Id="rId59" Target="https://open.canada.ca/data/en/dataset/957782bf-847c-4644-a757-e383c0057995" TargetMode="External"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notes.xml.rels><?xml version="1.0" encoding="UTF-8"?><Relationships xmlns="http://schemas.openxmlformats.org/package/2006/relationships"><Relationship Type="http://schemas.openxmlformats.org/officeDocument/2006/relationships/hyperlink" Id="rId49" Target="https://doi.org/10.1002/fee.2190" TargetMode="External" /><Relationship Type="http://schemas.openxmlformats.org/officeDocument/2006/relationships/hyperlink" Id="rId61" Target="https://doi.org/10.1016/j.ecolmodel.2013.10.034" TargetMode="External" /><Relationship Type="http://schemas.openxmlformats.org/officeDocument/2006/relationships/hyperlink" Id="rId57" Target="https://doi.org/10.1016/j.foreco.2026.123985" TargetMode="External" /><Relationship Type="http://schemas.openxmlformats.org/officeDocument/2006/relationships/hyperlink" Id="rId64" Target="https://doi.org/10.1079/PAVSNNR202116018" TargetMode="External" /><Relationship Type="http://schemas.openxmlformats.org/officeDocument/2006/relationships/hyperlink" Id="rId53" Target="https://doi.org/10.1093/aesa/64.2.534" TargetMode="External" /><Relationship Type="http://schemas.openxmlformats.org/officeDocument/2006/relationships/hyperlink" Id="rId55" Target="https://doi.org/10.1111/j.1654-1103.2002.tb02087.x" TargetMode="External" /><Relationship Type="http://schemas.openxmlformats.org/officeDocument/2006/relationships/hyperlink" Id="rId47" Target="https://doi.org/10.1139/cjfr-2018-0304" TargetMode="External" /><Relationship Type="http://schemas.openxmlformats.org/officeDocument/2006/relationships/hyperlink" Id="rId45" Target="https://doi.org/10.1175/BAMS-D-21-0075.1" TargetMode="External" /><Relationship Type="http://schemas.openxmlformats.org/officeDocument/2006/relationships/hyperlink" Id="rId38" Target="https://doi.org/10.1175/JAMC-D-13-0147.1" TargetMode="External" /><Relationship Type="http://schemas.openxmlformats.org/officeDocument/2006/relationships/hyperlink" Id="rId51" Target="https://doi.org/10.1175/JHM486.1" TargetMode="External" /><Relationship Type="http://schemas.openxmlformats.org/officeDocument/2006/relationships/hyperlink" Id="rId40" Target="https://doi.org/10.2737/int-rp-400" TargetMode="External" /><Relationship Type="http://schemas.openxmlformats.org/officeDocument/2006/relationships/hyperlink" Id="rId43" Target="https://doi.org/10.3390/f9110715" TargetMode="External" /><Relationship Type="http://schemas.openxmlformats.org/officeDocument/2006/relationships/hyperlink" Id="rId59" Target="https://open.canada.ca/data/en/dataset/957782bf-847c-4644-a757-e383c005799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37</Pages>
  <Words>13130</Words>
  <Characters>74841</Characters>
  <Application>Microsoft Office Word</Application>
  <DocSecurity>0</DocSecurity>
  <Lines>623</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Testing the wind disruption hypothesis for beetle refugia</dc:title>
  <dc:creator>Seamus Murphy</dc:creator>
  <cp:keywords>Beetle refugia, Mountain pine beetle, Stand density, Geomorphometry, Wind exposure, Pheromone disruption</cp:keywords>
  <dcterms:created xsi:type="dcterms:W3CDTF">2026-08-28T02:54:20Z</dcterms:created>
  <dcterms:modified xsi:type="dcterms:W3CDTF">2026-08-28T02:54:20Z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authors">
    <vt:lpwstr/>
  </property>
  <property fmtid="{D5CDD505-2E9C-101B-9397-08002B2CF9AE}" pid="4" name="biblio-config">
    <vt:lpwstr>True</vt:lpwstr>
  </property>
  <property fmtid="{D5CDD505-2E9C-101B-9397-08002B2CF9AE}" pid="5" name="bibliography">
    <vt:lpwstr>../04.references/references-beetle.bib</vt:lpwstr>
  </property>
  <property fmtid="{D5CDD505-2E9C-101B-9397-08002B2CF9AE}" pid="6" name="by-author">
    <vt:lpwstr/>
  </property>
  <property fmtid="{D5CDD505-2E9C-101B-9397-08002B2CF9AE}" pid="7" name="csl">
    <vt:lpwstr>../04.references/frontiers-in-ecology-and-the-environment.csl</vt:lpwstr>
  </property>
  <property fmtid="{D5CDD505-2E9C-101B-9397-08002B2CF9AE}" pid="8" name="date">
    <vt:lpwstr>2026-08-27</vt:lpwstr>
  </property>
  <property fmtid="{D5CDD505-2E9C-101B-9397-08002B2CF9AE}" pid="9" name="editor">
    <vt:lpwstr>visual</vt:lpwstr>
  </property>
  <property fmtid="{D5CDD505-2E9C-101B-9397-08002B2CF9AE}" pid="10" name="execute">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toc-title">
    <vt:lpwstr>Table of contents</vt:lpwstr>
  </property>
</Properties>
</file>