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0.png" ContentType="image/png"/>
  <Override PartName="/word/media/rId27.png" ContentType="image/png"/>
  <Override PartName="/word/media/rId2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2026-08-27</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&lt; 0.001) and -0.041 for standing</w:t>
      </w:r>
      <w:r>
        <w:t xml:space="preserve"> </w:t>
      </w:r>
      <w:r>
        <w:t xml:space="preserve">volume (p &lt; 0.001),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 on its surrogate: growing-season</w:t>
      </w:r>
      <w:r>
        <w:t xml:space="preserve"> </w:t>
      </w:r>
      <w:r>
        <w:t xml:space="preserve">radiation did not survive selection, and northness, which correlates</w:t>
      </w:r>
      <w:r>
        <w:t xml:space="preserve"> </w:t>
      </w:r>
      <w:r>
        <w:t xml:space="preserve">-0.834 with it, is +0.382, so shaded ground</w:t>
      </w:r>
      <w:r>
        <w:t xml:space="preserve"> </w:t>
      </w:r>
      <w:r>
        <w:t xml:space="preserve">carries more attack.</w:t>
      </w:r>
    </w:p>
    <w:p>
      <w:pPr>
        <w:pStyle w:val="BodyText"/>
      </w:pPr>
      <w:r>
        <w:t xml:space="preserve">Temporal resolution decided the outcome. With one map a year, the same wind field, covariates</w:t>
      </w:r>
      <w:r>
        <w:t xml:space="preserve"> </w:t>
      </w:r>
      <w:r>
        <w:t xml:space="preserve">and threshold gave +0.031 (p = 0.036),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without changing its</w:t>
      </w:r>
      <w:r>
        <w:t xml:space="preserve"> </w:t>
      </w:r>
      <w:r>
        <w:t xml:space="preserve">sign, and previous-year pressure left valley depth at 0.50 of its value</w:t>
      </w:r>
      <w:r>
        <w:t xml:space="preserve"> </w:t>
      </w:r>
      <w:r>
        <w:t xml:space="preserve">while mid-slope position moved to 1.32. A wind test aggregated to the year answers a different question from the one</w:t>
      </w:r>
      <w:r>
        <w:t xml:space="preserve"> </w:t>
      </w:r>
      <w:r>
        <w:t xml:space="preserve">the mechanism poses, and answers it wrongly.</w:t>
      </w:r>
    </w:p>
    <w:bookmarkEnd w:id="20"/>
    <w:bookmarkStart w:id="22"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(Taylor and Carroll 2003; Sambaraju and Goodsman 2021)</w:t>
      </w:r>
      <w:r>
        <w:t xml:space="preserve">. Where a landscape is not killed uniformly the surviving</w:t>
      </w:r>
      <w:r>
        <w:t xml:space="preserve"> </w:t>
      </w:r>
      <w:r>
        <w:t xml:space="preserve">patches shape what the forest becomes, and one framework for them is disturbance refugia,</w:t>
      </w:r>
      <w:r>
        <w:t xml:space="preserve"> </w:t>
      </w:r>
      <w:r>
        <w:t xml:space="preserve">places buffered from disturbance over time</w:t>
      </w:r>
      <w:r>
        <w:t xml:space="preserve"> </w:t>
      </w:r>
      <w:r>
        <w:t xml:space="preserve">(Krawchuk et al. 2020)</w:t>
      </w:r>
      <w:r>
        <w:t xml:space="preserve">. Explaining refugia rather than</w:t>
      </w:r>
      <w:r>
        <w:t xml:space="preserve"> </w:t>
      </w:r>
      <w:r>
        <w:t xml:space="preserve">merely locating them requires mechanistic links to landscape drivers such as terrain, soil</w:t>
      </w:r>
      <w:r>
        <w:t xml:space="preserve"> </w:t>
      </w:r>
      <w:r>
        <w:t xml:space="preserve">and 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Three mechanisms, two of them terrain, and none fitted spatially:</w:t>
      </w:r>
      <w:r>
        <w:t xml:space="preserve"> </w:t>
      </w:r>
      <w:r>
        <w:t xml:space="preserve">of the studies our screen retained, only a companion study on this landscape enters a wind</w:t>
      </w:r>
      <w:r>
        <w:t xml:space="preserve"> </w:t>
      </w:r>
      <w:r>
        <w:t xml:space="preserve">term, and its response is conifer regeneration rather than attack</w:t>
      </w:r>
      <w:r>
        <w:t xml:space="preserve"> </w:t>
      </w:r>
      <w:r>
        <w:t xml:space="preserve">(Murphy et al. 2026)</w:t>
      </w:r>
      <w:r>
        <w:t xml:space="preserve">.</w:t>
      </w:r>
    </w:p>
    <w:p>
      <w:pPr>
        <w:pStyle w:val="BodyText"/>
      </w:pPr>
      <w:r>
        <w:t xml:space="preserve">The wind half is a claim about canopy, not open air.</w:t>
      </w:r>
      <w:r>
        <w:t xml:space="preserve"> </w:t>
      </w:r>
      <w:r>
        <w:t xml:space="preserve">Cartwright (2018)</w:t>
      </w:r>
      <w:r>
        <w:t xml:space="preserve">, the one retained study</w:t>
      </w:r>
      <w:r>
        <w:t xml:space="preserve"> </w:t>
      </w:r>
      <w:r>
        <w:t xml:space="preserve">designed to model insect-refugium controls, found them in stands of low basal area:</w:t>
      </w:r>
      <w:r>
        <w:t xml:space="preserve"> </w:t>
      </w:r>
      <w:r>
        <w:t xml:space="preserve">“thinner</w:t>
      </w:r>
      <w:r>
        <w:t xml:space="preserve"> </w:t>
      </w:r>
      <w:r>
        <w:t xml:space="preserve">stands also increase wind penetration, helping to disperse beetle pheromones and disrupt</w:t>
      </w:r>
      <w:r>
        <w:t xml:space="preserve"> </w:t>
      </w:r>
      <w:r>
        <w:t xml:space="preserve">chemical communications needed to coordinate attacks.”</w:t>
      </w:r>
      <w:r>
        <w:t xml:space="preserve"> </w:t>
      </w:r>
      <w:r>
        <w:t xml:space="preserve">Powell and Bentz (2014)</w:t>
      </w:r>
      <w:r>
        <w:t xml:space="preserve"> </w:t>
      </w:r>
      <w:r>
        <w:t xml:space="preserve">state the converse as the</w:t>
      </w:r>
      <w:r>
        <w:t xml:space="preserve"> </w:t>
      </w:r>
      <w:r>
        <w:t xml:space="preserve">condition for outbreak:</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is thermally gated at 19 to 41 degrees C, most</w:t>
      </w:r>
      <w:r>
        <w:t xml:space="preserve"> </w:t>
      </w:r>
      <w:r>
        <w:t xml:space="preserve">of it between 22 and 32, and</w:t>
      </w:r>
      <w:r>
        <w:t xml:space="preserve"> </w:t>
      </w:r>
      <w:r>
        <w:t xml:space="preserve">“most flights occur on bright sunny days, and peak flight is in</w:t>
      </w:r>
      <w:r>
        <w:t xml:space="preserve"> </w:t>
      </w:r>
      <w:r>
        <w:t xml:space="preserve">the early to mid afternoon”</w:t>
      </w:r>
      <w:r>
        <w:t xml:space="preserve"> </w:t>
      </w:r>
      <w:r>
        <w:t xml:space="preserve">(McCambridge 1971; Safranyik and Carroll 2006)</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named</w:t>
      </w:r>
      <w:r>
        <w:t xml:space="preserve"> </w:t>
      </w:r>
      <w:r>
        <w:t xml:space="preserve">as one triad rather than as alternatives, stand density affecting</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and Carroll 2006)</w:t>
      </w:r>
      <w:r>
        <w:t xml:space="preserve">, an argument</w:t>
      </w:r>
      <w:r>
        <w:t xml:space="preserve"> </w:t>
      </w:r>
      <w:r>
        <w:t xml:space="preserve">Bartos and Amman (1989)</w:t>
      </w:r>
      <w:r>
        <w:t xml:space="preserve"> </w:t>
      </w:r>
      <w:r>
        <w:t xml:space="preserve">put in their title as</w:t>
      </w:r>
      <w:r>
        <w:t xml:space="preserve"> </w:t>
      </w:r>
      <w:r>
        <w:t xml:space="preserve">microclimate against tree vigour. Cool sites also push the beetle toward a two-year cycle</w:t>
      </w:r>
      <w:r>
        <w:t xml:space="preserve"> </w:t>
      </w:r>
      <w:r>
        <w:t xml:space="preserve">(Sambaraju and Goodsman 2021)</w:t>
      </w:r>
      <w:r>
        <w:t xml:space="preserve">, so shading and vigour predict the same sign by independent routes.</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et al. 2014; Davis et al. 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with the MicroMet</w:t>
      </w:r>
      <w:r>
        <w:t xml:space="preserve"> </w:t>
      </w:r>
      <w:r>
        <w:t xml:space="preserve">model</w:t>
      </w:r>
      <w:r>
        <w:t xml:space="preserve"> </w:t>
      </w:r>
      <w:r>
        <w:t xml:space="preserve">(Liston and Elder 2006)</w:t>
      </w:r>
      <w:r>
        <w:t xml:space="preserve">, and test the response at Landsat’s own 16-day repeat rather than annually.</w:t>
      </w:r>
    </w:p>
    <w:p>
      <w:pPr>
        <w:pStyle w:val="BodyText"/>
      </w:pPr>
      <w:hyperlink w:anchor="tbl-hypotheses">
        <w:r>
          <w:rPr>
            <w:rStyle w:val="Hyperlink"/>
          </w:rPr>
          <w:t xml:space="preserve">Table 1</w:t>
        </w:r>
      </w:hyperlink>
      <w:r>
        <w:t xml:space="preserve"> </w:t>
      </w:r>
      <w:r>
        <w:t xml:space="preserve">gives the direction expected of each attribute and the reasoning behind it.</w:t>
      </w:r>
      <w:r>
        <w:t xml:space="preserve"> </w:t>
      </w:r>
      <w:r>
        <w:t xml:space="preserve">The objectives were to test whether stand density predicts moderate-to-high disturbance as the</w:t>
      </w:r>
      <w:r>
        <w:t xml:space="preserve"> </w:t>
      </w:r>
      <w:r>
        <w:t xml:space="preserve">pheromone mechanism requires, whether topographic shading predicts it against the microclimate</w:t>
      </w:r>
      <w:r>
        <w:t xml:space="preserve"> </w:t>
      </w:r>
      <w:r>
        <w:t xml:space="preserve">and adaptive-seasonality arguments, whether terrain shape predicts it independently of density</w:t>
      </w:r>
      <w:r>
        <w:t xml:space="preserve"> </w:t>
      </w:r>
      <w:r>
        <w:t xml:space="preserve">and radiation, whether the density effect is conditional on wind, and how much the answer</w:t>
      </w:r>
      <w:r>
        <w:t xml:space="preserve"> </w:t>
      </w:r>
      <w:r>
        <w:t xml:space="preserve">depends on temporal resolution.</w:t>
      </w:r>
    </w:p>
    <w:tbl>
      <w:tblPr>
        <w:tblStyle w:val="Table"/>
        <w:tblW w:type="pct" w:w="5000"/>
        <w:tblLayout w:type="fixed"/>
        <w:tblLook w:firstRow="0" w:lastRow="0" w:firstColumn="0" w:lastColumn="0" w:noHBand="0" w:noVBand="0" w:val="0000"/>
      </w:tblPr>
      <w:tblGrid>
        <w:gridCol w:w="7920"/>
      </w:tblGrid>
      <w:tr>
        <w:tc>
          <w:tcPr/>
          <w:bookmarkStart w:id="21"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1"/>
          <w:p/>
        </w:tc>
      </w:tr>
    </w:tbl>
    <w:bookmarkEnd w:id="22"/>
    <w:bookmarkStart w:id="43" w:name="materials"/>
    <w:p>
      <w:pPr>
        <w:pStyle w:val="Heading1"/>
      </w:pPr>
      <w:r>
        <w:t xml:space="preserve">2. Materials</w:t>
      </w:r>
    </w:p>
    <w:bookmarkStart w:id="31" w:name="study-area"/>
    <w:p>
      <w:pPr>
        <w:pStyle w:val="Heading2"/>
      </w:pPr>
      <w:r>
        <w:t xml:space="preserve">2.1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6" w:name="fig-study-area"/>
          <w:p>
            <w:pPr>
              <w:pStyle w:val="Compact"/>
              <w:jc w:val="center"/>
            </w:pPr>
            <w:r>
              <w:drawing>
                <wp:inline>
                  <wp:extent cx="5943600" cy="3037840"/>
                  <wp:effectExtent b="0" l="0" r="0" t="0"/>
                  <wp:docPr descr="" title="" id="24" name="Picture"/>
                  <a:graphic>
                    <a:graphicData uri="http://schemas.openxmlformats.org/drawingml/2006/picture">
                      <pic:pic>
                        <pic:nvPicPr>
                          <pic:cNvPr descr="beetle-topography-wind-study-short_files/figure-docx/fig-study-area-1.png" id="25" name="Picture"/>
                          <pic:cNvPicPr>
                            <a:picLocks noChangeArrowheads="1" noChangeAspect="1"/>
                          </pic:cNvPicPr>
                        </pic:nvPicPr>
                        <pic:blipFill>
                          <a:blip r:embed="rId23"/>
                          <a:stretch>
                            <a:fillRect/>
                          </a:stretch>
                        </pic:blipFill>
                        <pic:spPr bwMode="auto">
                          <a:xfrm>
                            <a:off x="0" y="0"/>
                            <a:ext cx="5943600" cy="3037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over the British Columbia Freshwater Atlas, with Kootenay Lake and the Kootenay River to the east. (a) Elevation, with the 2015 Mt Midgeley burn that anchors the perimeter outlined in red. (b) Terrain ruggedness index. (c) Stand basal area from the Vegetation Resources Inventory, the density term the pheromone-disruption mechanism runs through. The study perimeter is the grey outline and contours are at 250 m. All panels share one extent, projection and scale, so the north arrow, scale bar and representative fraction are drawn once, on (a); the representative fraction holds at a printed panel width of 66 mm. Coordinates are EPSG:3153, NAD83(CSRS) / BC Albers.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layers"/>
          <w:p>
            <w:pPr>
              <w:pStyle w:val="Compact"/>
              <w:jc w:val="center"/>
            </w:pPr>
            <w:r>
              <w:drawing>
                <wp:inline>
                  <wp:extent cx="5943600" cy="4094480"/>
                  <wp:effectExtent b="0" l="0" r="0" t="0"/>
                  <wp:docPr descr="" title="" id="28" name="Picture"/>
                  <a:graphic>
                    <a:graphicData uri="http://schemas.openxmlformats.org/drawingml/2006/picture">
                      <pic:pic>
                        <pic:nvPicPr>
                          <pic:cNvPr descr="beetle-topography-wind-study-short_files/figure-docx/fig-layers-1.png" id="29" name="Picture"/>
                          <pic:cNvPicPr>
                            <a:picLocks noChangeArrowheads="1" noChangeAspect="1"/>
                          </pic:cNvPicPr>
                        </pic:nvPicPr>
                        <pic:blipFill>
                          <a:blip r:embed="rId27"/>
                          <a:stretch>
                            <a:fillRect/>
                          </a:stretch>
                        </pic:blipFill>
                        <pic:spPr bwMode="auto">
                          <a:xfrm>
                            <a:off x="0" y="0"/>
                            <a:ext cx="5943600" cy="4094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predictor surfaces, over the same base map and extent as Figure 1, with the 2015 burn outlined in red. (a) flight-window direct radiation, the thermal gate on flight; (b) growing-season direct radiation, the shading pathway; (c) the MicroMet wind weighting factor at the prevailing bearing; (d) terrain ruggedness; (e) stand basal area; (f) quadratic mean diameter, whose 25 cm source-sink threshold falls near the midpoint of the scale. Contours are omitted so the surfaces read cleanly. Coordinates are EPSG:3153; scale and orientation are as Figure 1.</w:t>
            </w:r>
          </w:p>
          <w:bookmarkEnd w:id="30"/>
        </w:tc>
      </w:tr>
    </w:tbl>
    <w:bookmarkEnd w:id="31"/>
    <w:bookmarkStart w:id="33"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32" w:name="tbl-prevalence"/>
          <w:p>
            <w:pPr>
              <w:jc w:val="center"/>
            </w:pPr>
            <w:pPr>
              <w:jc w:val="start"/>
              <w:spacing w:before="200"/>
              <w:pStyle w:val="ImageCaption"/>
            </w:pPr>
            <w:r>
              <w:t xml:space="preserve">Table 2: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32"/>
          <w:p/>
        </w:tc>
      </w:tr>
    </w:tbl>
    <w:bookmarkEnd w:id="33"/>
    <w:bookmarkStart w:id="35"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4" w:name="tbl-vri"/>
          <w:p>
            <w:pPr>
              <w:jc w:val="center"/>
            </w:pPr>
            <w:pPr>
              <w:jc w:val="start"/>
              <w:spacing w:before="200"/>
              <w:pStyle w:val="ImageCaption"/>
            </w:pPr>
            <w:r>
              <w:t xml:space="preserve">Table 3: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4"/>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5"/>
    <w:bookmarkStart w:id="36"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sees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and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and Carroll 2006)</w:t>
      </w:r>
      <w:r>
        <w:t xml:space="preserve">. Aspect enters as its northward and</w:t>
      </w:r>
      <w:r>
        <w:t xml:space="preserve"> </w:t>
      </w:r>
      <w:r>
        <w:t xml:space="preserve">eastward components with the heat load index of</w:t>
      </w:r>
      <w:r>
        <w:t xml:space="preserve"> </w:t>
      </w:r>
      <w:r>
        <w:t xml:space="preserve">McCune and Keon (2002)</w:t>
      </w:r>
      <w:r>
        <w:t xml:space="preserve">.</w:t>
      </w:r>
    </w:p>
    <w:p>
      <w:pPr>
        <w:pStyle w:val="BodyText"/>
      </w:pPr>
      <w:r>
        <w:t xml:space="preserve">One distinction matters. The strongest aspect statements in</w:t>
      </w:r>
      <w:r>
        <w:t xml:space="preserve"> </w:t>
      </w:r>
      <w:r>
        <w:t xml:space="preserve">Safranyik and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6"/>
    <w:bookmarkStart w:id="41"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and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and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7"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7"/>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8"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8"/>
    </w:p>
    <w:p>
      <w:pPr>
        <w:pStyle w:val="FirstParagraph"/>
      </w:pPr>
      <w:r>
        <w:t xml:space="preserve">giving the terrain-modified speed</w:t>
      </w:r>
    </w:p>
    <w:p>
      <w:pPr>
        <w:pStyle w:val="BodyText"/>
      </w:pPr>
      <w:bookmarkStart w:id="39"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9"/>
    </w:p>
    <w:p>
      <w:pPr>
        <w:pStyle w:val="FirstParagraph"/>
      </w:pPr>
      <w:r>
        <w:t xml:space="preserve">and a diversion of the wind direction of</w:t>
      </w:r>
    </w:p>
    <w:p>
      <w:pPr>
        <w:pStyle w:val="BodyText"/>
      </w:pPr>
      <w:bookmarkStart w:id="40"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40"/>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+0.153 with the</w:t>
      </w:r>
      <w:r>
        <w:t xml:space="preserve"> </w:t>
      </w:r>
      <w:r>
        <w:t xml:space="preserve">windward-leeward index and +0.124 with flight</w:t>
      </w:r>
      <w:r>
        <w:t xml:space="preserve"> </w:t>
      </w:r>
      <w:r>
        <w:t xml:space="preserve">radiation. Its strongest association is with elevation,</w:t>
      </w:r>
      <w:r>
        <w:t xml:space="preserve"> </w:t>
      </w:r>
      <w:r>
        <w:t xml:space="preserve">+0.326.</w:t>
      </w:r>
    </w:p>
    <w:bookmarkEnd w:id="41"/>
    <w:bookmarkStart w:id="42" w:name="flight-window-wind"/>
    <w:p>
      <w:pPr>
        <w:pStyle w:val="Heading2"/>
      </w:pPr>
      <w:r>
        <w:t xml:space="preserve">2.6 Flight-window wind</w:t>
      </w:r>
    </w:p>
    <w:p>
      <w:pPr>
        <w:pStyle w:val="FirstParagraph"/>
      </w:pPr>
      <w:r>
        <w:t xml:space="preserve">Station wind is Environment and Climate Change Canada hourly records, reduced only at the</w:t>
      </w:r>
      <w:r>
        <w:t xml:space="preserve"> </w:t>
      </w:r>
      <w:r>
        <w:t xml:space="preserve">last step into monthly means for June, July and August and four flight-window metrics for</w:t>
      </w:r>
      <w:r>
        <w:t xml:space="preserve"> </w:t>
      </w:r>
      <w:r>
        <w:t xml:space="preserve">1 July to 15 August: mean speed, the 95th percentile, and the fractions of hours below</w:t>
      </w:r>
      <w:r>
        <w:t xml:space="preserve"> </w:t>
      </w:r>
      <w:r>
        <w:t xml:space="preserve">5 km h and above 15 km h.</w:t>
      </w:r>
    </w:p>
    <w:p>
      <w:pPr>
        <w:pStyle w:val="BodyText"/>
      </w:pPr>
      <w:r>
        <w:t xml:space="preserve">Hourly resolution buys metrics, not observations. With an annual response every hourly</w:t>
      </w:r>
      <w:r>
        <w:t xml:space="preserve"> </w:t>
      </w:r>
      <w:r>
        <w:t xml:space="preserve">reading collapses into one of 8 values per metric, so a wind main effect is</w:t>
      </w:r>
      <w:r>
        <w:t xml:space="preserve"> </w:t>
      </w:r>
      <w:r>
        <w:t xml:space="preserve">identified only across years and its standard error should not be believed alone. Stand</w:t>
      </w:r>
      <w:r>
        <w:t xml:space="preserve"> </w:t>
      </w:r>
      <w:r>
        <w:t xml:space="preserve">density varies cell to cell; a season’s wind does not. That asymmetry is why the annual</w:t>
      </w:r>
      <w:r>
        <w:t xml:space="preserve"> </w:t>
      </w:r>
      <w:r>
        <w:t xml:space="preserve">models report an interaction rather than a main effect, and why the response was rebuilt at</w:t>
      </w:r>
      <w:r>
        <w:t xml:space="preserve"> </w:t>
      </w:r>
      <w:r>
        <w:t xml:space="preserve">16 days.</w:t>
      </w:r>
    </w:p>
    <w:bookmarkEnd w:id="42"/>
    <w:bookmarkEnd w:id="43"/>
    <w:bookmarkStart w:id="47" w:name="methods"/>
    <w:p>
      <w:pPr>
        <w:pStyle w:val="Heading1"/>
      </w:pPr>
      <w:r>
        <w:t xml:space="preserve">3. Methods</w:t>
      </w:r>
    </w:p>
    <w:bookmarkStart w:id="44"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End w:id="44"/>
    <w:bookmarkStart w:id="46"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5"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5"/>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46"/>
    <w:bookmarkEnd w:id="47"/>
    <w:bookmarkStart w:id="59"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48" w:name="tbl-aic"/>
          <w:p>
            <w:pPr>
              <w:jc w:val="center"/>
            </w:pPr>
            <w:pPr>
              <w:jc w:val="start"/>
              <w:spacing w:before="200"/>
              <w:pStyle w:val="ImageCaption"/>
            </w:pPr>
            <w:r>
              <w:t xml:space="preserve">Table 4: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m3"/>
          <w:p>
            <w:pPr>
              <w:jc w:val="center"/>
            </w:pPr>
            <w:pPr>
              <w:jc w:val="start"/>
              <w:spacing w:before="200"/>
              <w:pStyle w:val="ImageCaption"/>
            </w:pPr>
            <w:r>
              <w:t xml:space="preserve">Table 5: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716"/>
              <w:gridCol w:w="909"/>
              <w:gridCol w:w="780"/>
              <w:gridCol w:w="909"/>
              <w:gridCol w:w="1040"/>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-18.35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23.19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12.37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11.89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-8.58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4.69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-2.21</w:t>
                  </w:r>
                </w:p>
              </w:tc>
              <w:tc>
                <w:tcPr/>
                <w:p>
                  <w:pPr>
                    <w:pStyle w:val="Compact"/>
                    <w:jc w:val="left"/>
                    <w:rPr>
                      <w:sz w:val="16"/>
                      <w:szCs w:val="16"/>
                    </w:rPr>
                  </w:pPr>
                  <w:r>
                    <w:rPr>
                      <w:sz w:val="16"/>
                      <w:szCs w:val="16"/>
                    </w:rPr>
                    <w:t xml:space="preserve">0.027</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1.77</w:t>
                  </w:r>
                </w:p>
              </w:tc>
              <w:tc>
                <w:tcPr/>
                <w:p>
                  <w:pPr>
                    <w:pStyle w:val="Compact"/>
                    <w:jc w:val="left"/>
                    <w:rPr>
                      <w:sz w:val="16"/>
                      <w:szCs w:val="16"/>
                    </w:rPr>
                  </w:pPr>
                  <w:r>
                    <w:rPr>
                      <w:sz w:val="16"/>
                      <w:szCs w:val="16"/>
                    </w:rPr>
                    <w:t xml:space="preserve">0.076</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-3.04</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-1.54</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-2.07</w:t>
                  </w:r>
                </w:p>
              </w:tc>
              <w:tc>
                <w:tcPr/>
                <w:p>
                  <w:pPr>
                    <w:pStyle w:val="Compact"/>
                    <w:jc w:val="left"/>
                    <w:rPr>
                      <w:sz w:val="16"/>
                      <w:szCs w:val="16"/>
                    </w:rPr>
                  </w:pPr>
                  <w:r>
                    <w:rPr>
                      <w:sz w:val="16"/>
                      <w:szCs w:val="16"/>
                    </w:rPr>
                    <w:t xml:space="preserve">0.038</w:t>
                  </w:r>
                </w:p>
              </w:tc>
            </w:tr>
            <w:tr>
              <w:trPr>
                <w:trHeight w:val="340" w:hRule="exact"/>
              </w:trPr>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-0.12</w:t>
                  </w:r>
                </w:p>
              </w:tc>
              <w:tc>
                <w:tcPr/>
                <w:p>
                  <w:pPr>
                    <w:pStyle w:val="Compact"/>
                    <w:jc w:val="left"/>
                    <w:rPr>
                      <w:sz w:val="16"/>
                      <w:szCs w:val="16"/>
                    </w:rPr>
                  </w:pPr>
                  <w:r>
                    <w:rPr>
                      <w:sz w:val="16"/>
                      <w:szCs w:val="16"/>
                    </w:rPr>
                    <w:t xml:space="preserve">0.905</w:t>
                  </w:r>
                </w:p>
              </w:tc>
            </w:tr>
          </w:tbl>
          <w:bookmarkEnd w:id="49"/>
          <w:p/>
        </w:tc>
      </w:tr>
    </w:tbl>
    <w:p>
      <w:pPr>
        <w:pStyle w:val="BodyText"/>
      </w:pPr>
      <w:r>
        <w:t xml:space="preserve">Every pathway earns its place: AIC falls 498 when stand density</w:t>
      </w:r>
      <w:r>
        <w:t xml:space="preserve"> </w:t>
      </w:r>
      <w:r>
        <w:t xml:space="preserve">enters, 744 more with terrain and flight radiation, and</w:t>
      </w:r>
      <w:r>
        <w:t xml:space="preserve"> </w:t>
      </w:r>
      <w:r>
        <w:t xml:space="preserve">1,065 more with the interactions (</w:t>
      </w:r>
      <w:hyperlink w:anchor="tbl-aic">
        <w:r>
          <w:rPr>
            <w:rStyle w:val="Hyperlink"/>
          </w:rPr>
          <w:t xml:space="preserve">Table 4</w:t>
        </w:r>
      </w:hyperlink>
      <w:r>
        <w:t xml:space="preserve">).</w:t>
      </w:r>
    </w:p>
    <w:p>
      <w:pPr>
        <w:pStyle w:val="BodyText"/>
      </w:pPr>
      <w:r>
        <w:t xml:space="preserve">Stand density is supported in one of its three measures. Standing volume carries</w:t>
      </w:r>
      <w:r>
        <w:t xml:space="preserve"> </w:t>
      </w:r>
      <w:r>
        <w:t xml:space="preserve">+0.381 log-odds per standard deviation, stem count</w:t>
      </w:r>
      <w:r>
        <w:t xml:space="preserve"> </w:t>
      </w:r>
      <w:r>
        <w:t xml:space="preserve">-0.099, and crown closure -0.183</w:t>
      </w:r>
      <w:r>
        <w:t xml:space="preserve"> </w:t>
      </w:r>
      <w:r>
        <w:t xml:space="preserve">(p &lt; 0.001). The last two are negative, so as main effects the three</w:t>
      </w:r>
      <w:r>
        <w:t xml:space="preserve"> </w:t>
      </w:r>
      <w:r>
        <w:t xml:space="preserve">density measures disagree in sign and only standing volume points the way the mechanism</w:t>
      </w:r>
      <w:r>
        <w:t xml:space="preserve"> </w:t>
      </w:r>
      <w:r>
        <w:t xml:space="preserve">predicts.</w:t>
      </w:r>
      <w:r>
        <w:t xml:space="preserve"> </w:t>
      </w:r>
      <w:r>
        <w:t xml:space="preserve">Total basal area did not survive selection, its univariate discrimination being</w:t>
      </w:r>
      <w:r>
        <w:t xml:space="preserve"> </w:t>
      </w:r>
      <w:r>
        <w:t xml:space="preserve">0.516. What predicts attack is standing wood</w:t>
      </w:r>
      <w:r>
        <w:t xml:space="preserve"> </w:t>
      </w:r>
      <w:r>
        <w:t xml:space="preserve">in large stems, not how many stems there are.</w:t>
      </w:r>
    </w:p>
    <w:p>
      <w:pPr>
        <w:pStyle w:val="BodyText"/>
      </w:pPr>
      <w:r>
        <w:t xml:space="preserve">Radiation enters once. Flight-window direct radiation carries +0.487,</w:t>
      </w:r>
      <w:r>
        <w:t xml:space="preserve"> </w:t>
      </w:r>
      <w:r>
        <w:t xml:space="preserve">which is the thermal gate on flight. Growing-season radiation did not survive selection, so</w:t>
      </w:r>
      <w:r>
        <w:t xml:space="preserve"> </w:t>
      </w:r>
      <w:r>
        <w:t xml:space="preserve">the shading pathway is carried by northness, with which it correlates</w:t>
      </w:r>
      <w:r>
        <w:t xml:space="preserve"> </w:t>
      </w:r>
      <w:r>
        <w:t xml:space="preserve">-0.834. Northness is +0.382: shaded,</w:t>
      </w:r>
      <w:r>
        <w:t xml:space="preserve"> </w:t>
      </w:r>
      <w:r>
        <w:t xml:space="preserve">north-facing ground carries more attack, against the prediction.</w:t>
      </w:r>
    </w:p>
    <w:p>
      <w:pPr>
        <w:pStyle w:val="BodyText"/>
      </w:pPr>
      <w:r>
        <w:t xml:space="preserve">Terrain predicts attack independently of both. The windward-leeward index is</w:t>
      </w:r>
      <w:r>
        <w:t xml:space="preserve"> </w:t>
      </w:r>
      <w:r>
        <w:t xml:space="preserve">+0.358 and elevation +0.329, while ruggedness is -0.036</w:t>
      </w:r>
      <w:r>
        <w:t xml:space="preserve"> </w:t>
      </w:r>
      <w:r>
        <w:t xml:space="preserve">and not distinguishable from zero (p = 0.124), the vector ruggedness measure agreeing</w:t>
      </w:r>
      <w:r>
        <w:t xml:space="preserve"> </w:t>
      </w:r>
      <w:r>
        <w:t xml:space="preserve">in sign at -0.043.</w:t>
      </w:r>
      <w:r>
        <w:t xml:space="preserve"> </w:t>
      </w:r>
      <w:r>
        <w:t xml:space="preserve">Ruggedness takes the opposite sign to the parent study’s, whose response is seedling</w:t>
      </w:r>
      <w:r>
        <w:t xml:space="preserve"> </w:t>
      </w:r>
      <w:r>
        <w:t xml:space="preserve">establishment rather than attack</w:t>
      </w:r>
      <w:r>
        <w:t xml:space="preserve"> </w:t>
      </w:r>
      <w:r>
        <w:t xml:space="preserve">(Murphy et al. 2026)</w:t>
      </w:r>
      <w:r>
        <w:t xml:space="preserve">.</w:t>
      </w:r>
    </w:p>
    <w:p>
      <w:pPr>
        <w:pStyle w:val="BodyText"/>
      </w:pPr>
      <w:r>
        <w:t xml:space="preserve">Fitted without flight-window radiation, stand density interacts with terrain exposure at</w:t>
      </w:r>
      <w:r>
        <w:t xml:space="preserve"> </w:t>
      </w:r>
      <w:r>
        <w:t xml:space="preserve">+0.311, which reads as a wind result pointing the wrong way. With radiation in the</w:t>
      </w:r>
      <w:r>
        <w:t xml:space="preserve"> </w:t>
      </w:r>
      <w:r>
        <w:t xml:space="preserve">model that interaction is +0.221 (p &lt; 0.001) and density interacts with</w:t>
      </w:r>
      <w:r>
        <w:t xml:space="preserve"> </w:t>
      </w:r>
      <w:r>
        <w:t xml:space="preserve">radiation at -0.144.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3" w:name="fig-interaction"/>
          <w:p>
            <w:pPr>
              <w:pStyle w:val="Compact"/>
              <w:jc w:val="center"/>
            </w:pPr>
            <w:r>
              <w:drawing>
                <wp:inline>
                  <wp:extent cx="5943600" cy="3962400"/>
                  <wp:effectExtent b="0" l="0" r="0" t="0"/>
                  <wp:docPr descr="" title="" id="51" name="Picture"/>
                  <a:graphic>
                    <a:graphicData uri="http://schemas.openxmlformats.org/drawingml/2006/picture">
                      <pic:pic>
                        <pic:nvPicPr>
                          <pic:cNvPr descr="beetle-topography-wind-study-short_files/figure-docx/fig-interaction-1.png" id="52" name="Picture"/>
                          <pic:cNvPicPr>
                            <a:picLocks noChangeArrowheads="1" noChangeAspect="1"/>
                          </pic:cNvPicPr>
                        </pic:nvPicPr>
                        <pic:blipFill>
                          <a:blip r:embed="rId50"/>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53"/>
        </w:tc>
      </w:tr>
    </w:tbl>
    <w:bookmarkStart w:id="55" w:name="sec-micromet-result"/>
    <w:p>
      <w:pPr>
        <w:pStyle w:val="Heading2"/>
      </w:pPr>
      <w:r>
        <w:t xml:space="preserve">4.1 Wind as a measurement</w:t>
      </w:r>
    </w:p>
    <w:tbl>
      <w:tblPr>
        <w:tblStyle w:val="Table"/>
        <w:tblW w:type="pct" w:w="5000"/>
        <w:tblLayout w:type="fixed"/>
        <w:tblLook w:firstRow="0" w:lastRow="0" w:firstColumn="0" w:lastColumn="0" w:noHBand="0" w:noVBand="0" w:val="0000"/>
      </w:tblPr>
      <w:tblGrid>
        <w:gridCol w:w="7920"/>
      </w:tblGrid>
      <w:tr>
        <w:tc>
          <w:tcPr/>
          <w:bookmarkStart w:id="54" w:name="tbl-micromet-model"/>
          <w:p>
            <w:pPr>
              <w:jc w:val="center"/>
            </w:pPr>
            <w:pPr>
              <w:jc w:val="start"/>
              <w:spacing w:before="200"/>
              <w:pStyle w:val="ImageCaption"/>
            </w:pPr>
            <w:r>
              <w:t xml:space="preserve">Table 6: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688"/>
              <w:gridCol w:w="4409"/>
              <w:gridCol w:w="753"/>
              <w:gridCol w:w="645"/>
              <w:gridCol w:w="85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-0.09</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MicroMet flight-window wind (km/h)</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Live stems x MicroMet flight-window wind</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2.09</w:t>
                  </w:r>
                </w:p>
              </w:tc>
              <w:tc>
                <w:tcPr/>
                <w:p>
                  <w:pPr>
                    <w:pStyle w:val="Compact"/>
                    <w:jc w:val="left"/>
                    <w:rPr>
                      <w:sz w:val="16"/>
                      <w:szCs w:val="16"/>
                    </w:rPr>
                  </w:pPr>
                  <w:r>
                    <w:rPr>
                      <w:sz w:val="16"/>
                      <w:szCs w:val="16"/>
                    </w:rPr>
                    <w:t xml:space="preserve">0.036</w:t>
                  </w:r>
                </w:p>
              </w:tc>
            </w:tr>
          </w:tbl>
          <w:bookmarkEnd w:id="54"/>
          <w:p/>
        </w:tc>
      </w:tr>
    </w:tbl>
    <w:p>
      <w:pPr>
        <w:pStyle w:val="BodyText"/>
      </w:pPr>
      <w:r>
        <w:t xml:space="preserve">This section reports the same wind field at the annual resolution the study first used, and</w:t>
      </w:r>
      <w:r>
        <w:t xml:space="preserve"> </w:t>
      </w:r>
      <w:r>
        <w:t xml:space="preserve">it is retained because the contrast with the 16-day models is the paper’s methodological</w:t>
      </w:r>
      <w:r>
        <w:t xml:space="preserve"> </w:t>
      </w:r>
      <w:r>
        <w:t xml:space="preserve">result.</w:t>
      </w:r>
    </w:p>
    <w:p>
      <w:pPr>
        <w:pStyle w:val="BodyText"/>
      </w:pPr>
      <w:r>
        <w:t xml:space="preserve">The terrain-resolved field carries +0.467 log-odds per standard deviation</w:t>
      </w:r>
      <w:r>
        <w:t xml:space="preserve"> </w:t>
      </w:r>
      <w:r>
        <w:t xml:space="preserve">(z = 28.44, p &lt; 0.001) when the response is one map per year. Windier ground</w:t>
      </w:r>
      <w:r>
        <w:t xml:space="preserve"> </w:t>
      </w:r>
      <w:r>
        <w:t xml:space="preserve">carries more moderate-to-high disturbance. The interaction the mechanism turns on is</w:t>
      </w:r>
      <w:r>
        <w:t xml:space="preserve"> </w:t>
      </w:r>
      <w:r>
        <w:t xml:space="preserve">+0.031 (z = 2.09, p = 0.036),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-0.094 and -0.041.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55"/>
    <w:bookmarkStart w:id="56"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+0.873 and</w:t>
      </w:r>
      <w:r>
        <w:t xml:space="preserve"> </w:t>
      </w:r>
      <w:r>
        <w:t xml:space="preserve">+0.950, raising discrimination from 0.799 to</w:t>
      </w:r>
      <w:r>
        <w:t xml:space="preserve"> </w:t>
      </w:r>
      <w:r>
        <w:t xml:space="preserve">0.888.</w:t>
      </w:r>
    </w:p>
    <w:p>
      <w:pPr>
        <w:pStyle w:val="BodyText"/>
      </w:pPr>
      <w:r>
        <w:t xml:space="preserve">Which environmental terms survive is the informative part. Ruggedness keeps 0.61</w:t>
      </w:r>
      <w:r>
        <w:t xml:space="preserve"> </w:t>
      </w:r>
      <w:r>
        <w:t xml:space="preserve">of its value, a term describing a condition a cell has whether or not the beetle was there.</w:t>
      </w:r>
      <w:r>
        <w:t xml:space="preserve"> </w:t>
      </w:r>
      <w:r>
        <w:t xml:space="preserve">The landform terms are not stable: valley depth keeps 0.50 while mid-slope</w:t>
      </w:r>
      <w:r>
        <w:t xml:space="preserve"> </w:t>
      </w:r>
      <w:r>
        <w:t xml:space="preserve">position moves to 1.32,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 one level up.</w:t>
      </w:r>
    </w:p>
    <w:bookmarkEnd w:id="56"/>
    <w:bookmarkStart w:id="58"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7" w:name="tbl-qmd"/>
          <w:p>
            <w:pPr>
              <w:jc w:val="center"/>
            </w:pPr>
            <w:pPr>
              <w:jc w:val="start"/>
              <w:spacing w:before="200"/>
              <w:pStyle w:val="ImageCaption"/>
            </w:pPr>
            <w:r>
              <w:t xml:space="preserve">Table 7: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57"/>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7</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-18.35).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2271.7 on 5 degrees of</w:t>
      </w:r>
      <w:r>
        <w:t xml:space="preserve"> </w:t>
      </w:r>
      <w:r>
        <w:t xml:space="preserve">freedom, p &lt; 0.001, with Cramer’s V = 0.219. The step</w:t>
      </w:r>
      <w:r>
        <w:t xml:space="preserve"> </w:t>
      </w:r>
      <w:r>
        <w:t xml:space="preserve">across the 25 cm source-sink boundary specifically, from the 20 to 25 class to the 25 to 30</w:t>
      </w:r>
      <w:r>
        <w:t xml:space="preserve"> </w:t>
      </w:r>
      <w:r>
        <w:t xml:space="preserve">class, is +9.6 percentage points, 95 per cent confidence</w:t>
      </w:r>
      <w:r>
        <w:t xml:space="preserve"> </w:t>
      </w:r>
      <w:r>
        <w:t xml:space="preserve">interval 8.3 to 11.0, p</w:t>
      </w:r>
      <w:r>
        <w:t xml:space="preserve"> </w:t>
      </w:r>
      <w:r>
        <w:t xml:space="preserve">&lt; 0.001. With 47,328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8"/>
    <w:bookmarkEnd w:id="59"/>
    <w:bookmarkStart w:id="65" w:name="discussion"/>
    <w:p>
      <w:pPr>
        <w:pStyle w:val="Heading1"/>
      </w:pPr>
      <w:r>
        <w:t xml:space="preserve">5. Discussion</w:t>
      </w:r>
    </w:p>
    <w:bookmarkStart w:id="60"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&lt; 0.001, while density by</w:t>
      </w:r>
      <w:r>
        <w:t xml:space="preserve"> </w:t>
      </w:r>
      <w:r>
        <w:t xml:space="preserve">radiation appears at -0.144. About a third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0"/>
    <w:bookmarkStart w:id="61" w:name="what-survives"/>
    <w:p>
      <w:pPr>
        <w:pStyle w:val="Heading2"/>
      </w:pPr>
      <w:r>
        <w:t xml:space="preserve">5.2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and Safranyik (2004)</w:t>
      </w:r>
      <w:r>
        <w:t xml:space="preserve">, and falls away on both sides.</w:t>
      </w:r>
    </w:p>
    <w:p>
      <w:pPr>
        <w:pStyle w:val="BodyText"/>
      </w:pPr>
      <w:r>
        <w:t xml:space="preserve">Topographic shading does not hold, and it fails on a surrogate rather than on the surface</w:t>
      </w:r>
      <w:r>
        <w:t xml:space="preserve"> </w:t>
      </w:r>
      <w:r>
        <w:t xml:space="preserve">the mechanism names. Growing-season radiation did not survive variable selection, so the</w:t>
      </w:r>
      <w:r>
        <w:t xml:space="preserve"> </w:t>
      </w:r>
      <w:r>
        <w:t xml:space="preserve">pathway is carried by northness, which correlates -0.834</w:t>
      </w:r>
      <w:r>
        <w:t xml:space="preserve"> </w:t>
      </w:r>
      <w:r>
        <w:t xml:space="preserve">with it. Northness is +0.382, so shaded ground carries more attack where the</w:t>
      </w:r>
      <w:r>
        <w:t xml:space="preserve"> </w:t>
      </w:r>
      <w:r>
        <w:t xml:space="preserve">mechanism requires less. Northness tests aspect, and aspect carries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1"/>
    <w:bookmarkStart w:id="62" w:name="the-wind-claim"/>
    <w:p>
      <w:pPr>
        <w:pStyle w:val="Heading2"/>
      </w:pPr>
      <w:r>
        <w:t xml:space="preserve">5.3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at p &lt; 0.001 and p &lt; 0.001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2"/>
    <w:bookmarkStart w:id="63"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3"/>
    <w:bookmarkStart w:id="64" w:name="what-stays-confounded"/>
    <w:p>
      <w:pPr>
        <w:pStyle w:val="Heading2"/>
      </w:pPr>
      <w:r>
        <w:t xml:space="preserve">5.5 What stays confounded</w:t>
      </w:r>
    </w:p>
    <w:p>
      <w:pPr>
        <w:pStyle w:val="FirstParagraph"/>
      </w:pPr>
      <w:r>
        <w:t xml:space="preserve">Elevation is among the largest terms in the model, +0.329, and elevation is not</w:t>
      </w:r>
      <w:r>
        <w:t xml:space="preserve"> </w:t>
      </w:r>
      <w:r>
        <w:t xml:space="preserve">one 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4"/>
    <w:bookmarkEnd w:id="65"/>
    <w:bookmarkStart w:id="66"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or stem count, which run the other way as main effects, and</w:t>
      </w:r>
      <w:r>
        <w:t xml:space="preserve"> </w:t>
      </w:r>
      <w:r>
        <w:t xml:space="preserve">large-diameter host holds as a threshold at 25 to 30 cm rather than as a slope, at the</w:t>
      </w:r>
      <w:r>
        <w:t xml:space="preserve"> </w:t>
      </w:r>
      <w:r>
        <w:t xml:space="preserve">source-sink boundary of</w:t>
      </w:r>
      <w:r>
        <w:t xml:space="preserve"> </w:t>
      </w:r>
      <w:r>
        <w:t xml:space="preserve">Carroll and Safranyik (2004)</w:t>
      </w:r>
      <w:r>
        <w:t xml:space="preserve">. Topographic shading does not hold, and it</w:t>
      </w:r>
      <w:r>
        <w:t xml:space="preserve"> </w:t>
      </w:r>
      <w:r>
        <w:t xml:space="preserve">fails on a surrogate: growing-season radiation did not survive selection, so the pathway is</w:t>
      </w:r>
      <w:r>
        <w:t xml:space="preserve"> </w:t>
      </w:r>
      <w:r>
        <w:t xml:space="preserve">carried by northness, +0.382, which correlates</w:t>
      </w:r>
      <w:r>
        <w:t xml:space="preserve"> </w:t>
      </w:r>
      <w:r>
        <w:t xml:space="preserve">-0.834 with it.</w:t>
      </w:r>
    </w:p>
    <w:p>
      <w:pPr>
        <w:pStyle w:val="BodyText"/>
      </w:pPr>
      <w:r>
        <w:t xml:space="preserve">The methodological finding is the more transferable one, and it has three parts. A terrain</w:t>
      </w:r>
      <w:r>
        <w:t xml:space="preserve"> </w:t>
      </w:r>
      <w:r>
        <w:t xml:space="preserve">index is partly an insolation measurement: entering flight-window radiation cut the density</w:t>
      </w:r>
      <w:r>
        <w:t xml:space="preserve"> </w:t>
      </w:r>
      <w:r>
        <w:t xml:space="preserve">by terrain-exposure interaction from +0.311 to +0.221, leaving the sign</w:t>
      </w:r>
      <w:r>
        <w:t xml:space="preserve"> </w:t>
      </w:r>
      <w:r>
        <w:t xml:space="preserve">unchanged. A landform variable in a spreading outbreak records the outbreak’s own history:</w:t>
      </w:r>
      <w:r>
        <w:t xml:space="preserve"> </w:t>
      </w:r>
      <w:r>
        <w:t xml:space="preserve">entering previous-year pressure left valley depth at 0.50 of its value</w:t>
      </w:r>
      <w:r>
        <w:t xml:space="preserve"> </w:t>
      </w:r>
      <w:r>
        <w:t xml:space="preserve">while mid-slope position moved to 1.32, against 0.61 for</w:t>
      </w:r>
      <w:r>
        <w:t xml:space="preserve"> </w:t>
      </w:r>
      <w:r>
        <w:t xml:space="preserve">ruggedness. And an annual response cannot test a mechanism that operates over weeks: the</w:t>
      </w:r>
      <w:r>
        <w:t xml:space="preserve"> </w:t>
      </w:r>
      <w:r>
        <w:t xml:space="preserve">same wind field, covariates and threshold gave +0.031 at annual resolution against</w:t>
      </w:r>
      <w:r>
        <w:t xml:space="preserve"> </w:t>
      </w:r>
      <w:r>
        <w:t xml:space="preserve">-0.094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66"/>
    <w:bookmarkStart w:id="67"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-0.599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the pathway is carried by northness, which correlates</w:t>
      </w:r>
      <w:r>
        <w:t xml:space="preserve"> </w:t>
      </w:r>
      <w:r>
        <w:t xml:space="preserve">-0.834 with it. Northness tests aspect, aspect carries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-0.015,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Total basal area discriminates below chance,</w:t>
      </w:r>
      <w:r>
        <w:t xml:space="preserve"> </w:t>
      </w:r>
      <w:r>
        <w:t xml:space="preserve">0.516, most likely for this reason.</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67"/>
    <w:bookmarkStart w:id="68"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68"/>
    <w:bookmarkStart w:id="69" w:name="conflict-of-interest"/>
    <w:p>
      <w:pPr>
        <w:pStyle w:val="Heading1"/>
      </w:pPr>
      <w:r>
        <w:t xml:space="preserve">9. Conflict of interest</w:t>
      </w:r>
    </w:p>
    <w:p>
      <w:pPr>
        <w:pStyle w:val="FirstParagraph"/>
      </w:pPr>
      <w:r>
        <w:t xml:space="preserve">The author declares no conflict of interest.</w:t>
      </w:r>
    </w:p>
    <w:bookmarkEnd w:id="69"/>
    <w:bookmarkStart w:id="70"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0"/>
    <w:bookmarkStart w:id="71"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1"/>
    <w:bookmarkStart w:id="73"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2">
        <w:r>
          <w:rPr>
            <w:rStyle w:val="Hyperlink"/>
          </w:rPr>
          <w:t xml:space="preserve">https://github.com/seamusrobertmurphy/beetle-topography-and-wind-study</w:t>
        </w:r>
      </w:hyperlink>
      <w:r>
        <w:t xml:space="preserve">.</w:t>
      </w:r>
    </w:p>
    <w:bookmarkEnd w:id="73"/>
    <w:bookmarkStart w:id="74" w:name="figure-legends"/>
    <w:p>
      <w:pPr>
        <w:pStyle w:val="Heading1"/>
      </w:pPr>
      <w:r>
        <w:t xml:space="preserve">13. Figure legends</w:t>
      </w:r>
    </w:p>
    <w:p>
      <w:pPr>
        <w:pStyle w:val="FirstParagraph"/>
      </w:pPr>
      <w:r>
        <w:rPr>
          <w:b/>
          <w:bCs/>
        </w:rPr>
        <w:t xml:space="preserve">Figure 1.</w:t>
      </w:r>
      <w:r>
        <w:t xml:space="preserve"> </w:t>
      </w:r>
      <w:r>
        <w:t xml:space="preserve">The study area, all panels EPSG:3153 at 30 m, with the 2015 Mt Midgeley</w:t>
      </w:r>
      <w:r>
        <w:t xml:space="preserve"> </w:t>
      </w:r>
      <w:r>
        <w:t xml:space="preserve">burn outlined in red and Kootenay Lake and the Kootenay River from the British Columbia</w:t>
      </w:r>
      <w:r>
        <w:t xml:space="preserve"> </w:t>
      </w:r>
      <w:r>
        <w:t xml:space="preserve">Freshwater Atlas. (a) elevation; (b) terrain ruggedness index; (c) stand basal area from</w:t>
      </w:r>
      <w:r>
        <w:t xml:space="preserve"> </w:t>
      </w:r>
      <w:r>
        <w:t xml:space="preserve">the Vegetation Resources Inventory.</w:t>
      </w:r>
    </w:p>
    <w:p>
      <w:pPr>
        <w:pStyle w:val="BodyText"/>
      </w:pPr>
      <w:r>
        <w:rPr>
          <w:b/>
          <w:bCs/>
        </w:rPr>
        <w:t xml:space="preserve">Figure 2.</w:t>
      </w:r>
      <w:r>
        <w:t xml:space="preserve"> </w:t>
      </w:r>
      <w:r>
        <w:t xml:space="preserve">The predictor surfaces, all EPSG:3153 at 30 m. (a) flight-window direct</w:t>
      </w:r>
      <w:r>
        <w:t xml:space="preserve"> </w:t>
      </w:r>
      <w:r>
        <w:t xml:space="preserve">radiation; (b) growing-season direct radiation; (c) the MicroMet wind weighting factor at</w:t>
      </w:r>
      <w:r>
        <w:t xml:space="preserve"> </w:t>
      </w:r>
      <w:r>
        <w:t xml:space="preserve">the prevailing bearing; (d) terrain ruggedness; (e) stand basal area; (f) quadratic mean</w:t>
      </w:r>
      <w:r>
        <w:t xml:space="preserve"> </w:t>
      </w:r>
      <w:r>
        <w:t xml:space="preserve">diameter.</w:t>
      </w:r>
    </w:p>
    <w:p>
      <w:pPr>
        <w:pStyle w:val="BodyText"/>
      </w:pPr>
      <w:r>
        <w:rPr>
          <w:b/>
          <w:bCs/>
        </w:rPr>
        <w:t xml:space="preserve">Figure 3.</w:t>
      </w:r>
      <w:r>
        <w:t xml:space="preserve"> </w:t>
      </w:r>
      <w:r>
        <w:t xml:space="preserve">The refugia mechanism as fitted. (a) Predicted probability of</w:t>
      </w:r>
      <w:r>
        <w:t xml:space="preserve"> </w:t>
      </w:r>
      <w:r>
        <w:t xml:space="preserve">moderate-to-high disturbance against terrain-resolved epoch wind, at the 10th and 90th</w:t>
      </w:r>
      <w:r>
        <w:t xml:space="preserve"> </w:t>
      </w:r>
      <w:r>
        <w:t xml:space="preserve">percentiles of stem density, all other terms held at their means. (b) The same for</w:t>
      </w:r>
      <w:r>
        <w:t xml:space="preserve"> </w:t>
      </w:r>
      <w:r>
        <w:t xml:space="preserve">standing volume. (c) Coefficients of the 16-day model, with and without the within-season</w:t>
      </w:r>
      <w:r>
        <w:t xml:space="preserve"> </w:t>
      </w:r>
      <w:r>
        <w:t xml:space="preserve">spread term. (d) Epoch prevalence against epoch mean wind, one point per epoch.</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e1071_1.7-17     ggspatial_1.1.10 tidyterra_1.1.0  patchwork_1.3.2 </w:t>
      </w:r>
      <w:r>
        <w:br/>
      </w:r>
      <w:r>
        <w:rPr>
          <w:rStyle w:val="VerbatimChar"/>
        </w:rPr>
        <w:t xml:space="preserve"> [5] ranger_0.18.0    car_3.1-5        carData_3.0-6    mgcv_1.9-4      </w:t>
      </w:r>
      <w:r>
        <w:br/>
      </w:r>
      <w:r>
        <w:rPr>
          <w:rStyle w:val="VerbatimChar"/>
        </w:rPr>
        <w:t xml:space="preserve"> [9] nlme_3.1-168     knitr_1.51       ggplot2_4.0.2    tidyr_1.3.2     </w:t>
      </w:r>
      <w:r>
        <w:br/>
      </w:r>
      <w:r>
        <w:rPr>
          <w:rStyle w:val="VerbatimChar"/>
        </w:rPr>
        <w:t xml:space="preserve">[13]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4"/>
    <w:bookmarkStart w:id="105" w:name="references"/>
    <w:p>
      <w:pPr>
        <w:pStyle w:val="Heading1"/>
      </w:pPr>
      <w:r>
        <w:t xml:space="preserve">14. References</w:t>
      </w:r>
    </w:p>
    <w:bookmarkStart w:id="104" w:name="refs"/>
    <w:bookmarkStart w:id="76"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75">
        <w:r>
          <w:rPr>
            <w:rStyle w:val="Hyperlink"/>
          </w:rPr>
          <w:t xml:space="preserve">https://doi.org/10.1175/JAMC-D-13-0147.1</w:t>
        </w:r>
      </w:hyperlink>
    </w:p>
    <w:bookmarkEnd w:id="76"/>
    <w:bookmarkStart w:id="78" w:name="ref-bartos1989"/>
    <w:p>
      <w:pPr>
        <w:pStyle w:val="Bibliography"/>
      </w:pPr>
      <w:r>
        <w:t xml:space="preserve">Bartos DL, Amman GD (1989)</w:t>
      </w:r>
      <w:r>
        <w:t xml:space="preserve"> </w:t>
      </w:r>
      <w:hyperlink r:id="rId77">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78"/>
    <w:bookmarkStart w:id="79"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79"/>
    <w:bookmarkStart w:id="81"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80">
        <w:r>
          <w:rPr>
            <w:rStyle w:val="Hyperlink"/>
          </w:rPr>
          <w:t xml:space="preserve">https://doi.org/10.3390/f9110715</w:t>
        </w:r>
      </w:hyperlink>
    </w:p>
    <w:bookmarkEnd w:id="81"/>
    <w:bookmarkStart w:id="83"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82">
        <w:r>
          <w:rPr>
            <w:rStyle w:val="Hyperlink"/>
          </w:rPr>
          <w:t xml:space="preserve">https://doi.org/10.1175/BAMS-D-21-0075.1</w:t>
        </w:r>
      </w:hyperlink>
    </w:p>
    <w:bookmarkEnd w:id="83"/>
    <w:bookmarkStart w:id="85"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84">
        <w:r>
          <w:rPr>
            <w:rStyle w:val="Hyperlink"/>
          </w:rPr>
          <w:t xml:space="preserve">https://doi.org/10.1139/cjfr-2018-0304</w:t>
        </w:r>
      </w:hyperlink>
    </w:p>
    <w:bookmarkEnd w:id="85"/>
    <w:bookmarkStart w:id="87"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86">
        <w:r>
          <w:rPr>
            <w:rStyle w:val="Hyperlink"/>
          </w:rPr>
          <w:t xml:space="preserve">https://doi.org/10.1002/fee.2190</w:t>
        </w:r>
      </w:hyperlink>
    </w:p>
    <w:bookmarkEnd w:id="87"/>
    <w:bookmarkStart w:id="89" w:name="ref-liston2006"/>
    <w:p>
      <w:pPr>
        <w:pStyle w:val="Bibliography"/>
      </w:pPr>
      <w:r>
        <w:t xml:space="preserve">Liston GE, Elder K (2006) A meteorological distribution system for high-resolution terrestrial modeling (MicroMet). Journal of Hydrometeorology 7:217–234.</w:t>
      </w:r>
      <w:r>
        <w:t xml:space="preserve"> </w:t>
      </w:r>
      <w:hyperlink r:id="rId88">
        <w:r>
          <w:rPr>
            <w:rStyle w:val="Hyperlink"/>
          </w:rPr>
          <w:t xml:space="preserve">https://doi.org/10.1175/JHM486.1</w:t>
        </w:r>
      </w:hyperlink>
    </w:p>
    <w:bookmarkEnd w:id="89"/>
    <w:bookmarkStart w:id="91"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90">
        <w:r>
          <w:rPr>
            <w:rStyle w:val="Hyperlink"/>
          </w:rPr>
          <w:t xml:space="preserve">https://doi.org/10.1093/aesa/64.2.534</w:t>
        </w:r>
      </w:hyperlink>
    </w:p>
    <w:bookmarkEnd w:id="91"/>
    <w:bookmarkStart w:id="93" w:name="ref-mccune2002"/>
    <w:p>
      <w:pPr>
        <w:pStyle w:val="Bibliography"/>
      </w:pPr>
      <w:r>
        <w:t xml:space="preserve">McCune B, Keon D (2002) Equations for potential annual direct incident radiation and heat load. Journal of Vegetation Science 13:603–606.</w:t>
      </w:r>
      <w:r>
        <w:t xml:space="preserve"> </w:t>
      </w:r>
      <w:hyperlink r:id="rId92">
        <w:r>
          <w:rPr>
            <w:rStyle w:val="Hyperlink"/>
          </w:rPr>
          <w:t xml:space="preserve">https://doi.org/10.1111/j.1654-1103.2002.tb02087.x</w:t>
        </w:r>
      </w:hyperlink>
    </w:p>
    <w:bookmarkEnd w:id="93"/>
    <w:bookmarkStart w:id="95"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94">
        <w:r>
          <w:rPr>
            <w:rStyle w:val="Hyperlink"/>
          </w:rPr>
          <w:t xml:space="preserve">https://doi.org/10.1016/j.foreco.2026.123985</w:t>
        </w:r>
      </w:hyperlink>
    </w:p>
    <w:bookmarkEnd w:id="95"/>
    <w:bookmarkStart w:id="97"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96">
        <w:r>
          <w:rPr>
            <w:rStyle w:val="Hyperlink"/>
          </w:rPr>
          <w:t xml:space="preserve">https://open.canada.ca/data/en/dataset/957782bf-847c-4644-a757-e383c0057995</w:t>
        </w:r>
      </w:hyperlink>
    </w:p>
    <w:bookmarkEnd w:id="97"/>
    <w:bookmarkStart w:id="99"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98">
        <w:r>
          <w:rPr>
            <w:rStyle w:val="Hyperlink"/>
          </w:rPr>
          <w:t xml:space="preserve">https://doi.org/10.1016/j.ecolmodel.2013.10.034</w:t>
        </w:r>
      </w:hyperlink>
    </w:p>
    <w:bookmarkEnd w:id="99"/>
    <w:bookmarkStart w:id="100"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00"/>
    <w:bookmarkStart w:id="102"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01">
        <w:r>
          <w:rPr>
            <w:rStyle w:val="Hyperlink"/>
          </w:rPr>
          <w:t xml:space="preserve">https://doi.org/10.1079/PAVSNNR202116018</w:t>
        </w:r>
      </w:hyperlink>
    </w:p>
    <w:bookmarkEnd w:id="102"/>
    <w:bookmarkStart w:id="103"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103"/>
    <w:bookmarkEnd w:id="104"/>
    <w:bookmarkEnd w:id="105"/>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hyperlink" Id="rId86" Target="https://doi.org/10.1002/fee.2190" TargetMode="External" /><Relationship Type="http://schemas.openxmlformats.org/officeDocument/2006/relationships/hyperlink" Id="rId98" Target="https://doi.org/10.1016/j.ecolmodel.2013.10.034" TargetMode="External" /><Relationship Type="http://schemas.openxmlformats.org/officeDocument/2006/relationships/hyperlink" Id="rId94" Target="https://doi.org/10.1016/j.foreco.2026.123985" TargetMode="External" /><Relationship Type="http://schemas.openxmlformats.org/officeDocument/2006/relationships/hyperlink" Id="rId101" Target="https://doi.org/10.1079/PAVSNNR202116018" TargetMode="External" /><Relationship Type="http://schemas.openxmlformats.org/officeDocument/2006/relationships/hyperlink" Id="rId90" Target="https://doi.org/10.1093/aesa/64.2.534" TargetMode="External" /><Relationship Type="http://schemas.openxmlformats.org/officeDocument/2006/relationships/hyperlink" Id="rId92" Target="https://doi.org/10.1111/j.1654-1103.2002.tb02087.x" TargetMode="External" /><Relationship Type="http://schemas.openxmlformats.org/officeDocument/2006/relationships/hyperlink" Id="rId84" Target="https://doi.org/10.1139/cjfr-2018-0304" TargetMode="External" /><Relationship Type="http://schemas.openxmlformats.org/officeDocument/2006/relationships/hyperlink" Id="rId82" Target="https://doi.org/10.1175/BAMS-D-21-0075.1" TargetMode="External" /><Relationship Type="http://schemas.openxmlformats.org/officeDocument/2006/relationships/hyperlink" Id="rId75" Target="https://doi.org/10.1175/JAMC-D-13-0147.1" TargetMode="External" /><Relationship Type="http://schemas.openxmlformats.org/officeDocument/2006/relationships/hyperlink" Id="rId88" Target="https://doi.org/10.1175/JHM486.1" TargetMode="External" /><Relationship Type="http://schemas.openxmlformats.org/officeDocument/2006/relationships/hyperlink" Id="rId77" Target="https://doi.org/10.2737/int-rp-400" TargetMode="External" /><Relationship Type="http://schemas.openxmlformats.org/officeDocument/2006/relationships/hyperlink" Id="rId80" Target="https://doi.org/10.3390/f9110715" TargetMode="External" /><Relationship Type="http://schemas.openxmlformats.org/officeDocument/2006/relationships/hyperlink" Id="rId72" Target="https://github.com/seamusrobertmurphy/beetle-topography-and-wind-study" TargetMode="External" /><Relationship Type="http://schemas.openxmlformats.org/officeDocument/2006/relationships/hyperlink" Id="rId96"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86" Target="https://doi.org/10.1002/fee.2190" TargetMode="External" /><Relationship Type="http://schemas.openxmlformats.org/officeDocument/2006/relationships/hyperlink" Id="rId98" Target="https://doi.org/10.1016/j.ecolmodel.2013.10.034" TargetMode="External" /><Relationship Type="http://schemas.openxmlformats.org/officeDocument/2006/relationships/hyperlink" Id="rId94" Target="https://doi.org/10.1016/j.foreco.2026.123985" TargetMode="External" /><Relationship Type="http://schemas.openxmlformats.org/officeDocument/2006/relationships/hyperlink" Id="rId101" Target="https://doi.org/10.1079/PAVSNNR202116018" TargetMode="External" /><Relationship Type="http://schemas.openxmlformats.org/officeDocument/2006/relationships/hyperlink" Id="rId90" Target="https://doi.org/10.1093/aesa/64.2.534" TargetMode="External" /><Relationship Type="http://schemas.openxmlformats.org/officeDocument/2006/relationships/hyperlink" Id="rId92" Target="https://doi.org/10.1111/j.1654-1103.2002.tb02087.x" TargetMode="External" /><Relationship Type="http://schemas.openxmlformats.org/officeDocument/2006/relationships/hyperlink" Id="rId84" Target="https://doi.org/10.1139/cjfr-2018-0304" TargetMode="External" /><Relationship Type="http://schemas.openxmlformats.org/officeDocument/2006/relationships/hyperlink" Id="rId82" Target="https://doi.org/10.1175/BAMS-D-21-0075.1" TargetMode="External" /><Relationship Type="http://schemas.openxmlformats.org/officeDocument/2006/relationships/hyperlink" Id="rId75" Target="https://doi.org/10.1175/JAMC-D-13-0147.1" TargetMode="External" /><Relationship Type="http://schemas.openxmlformats.org/officeDocument/2006/relationships/hyperlink" Id="rId88" Target="https://doi.org/10.1175/JHM486.1" TargetMode="External" /><Relationship Type="http://schemas.openxmlformats.org/officeDocument/2006/relationships/hyperlink" Id="rId77" Target="https://doi.org/10.2737/int-rp-400" TargetMode="External" /><Relationship Type="http://schemas.openxmlformats.org/officeDocument/2006/relationships/hyperlink" Id="rId80" Target="https://doi.org/10.3390/f9110715" TargetMode="External" /><Relationship Type="http://schemas.openxmlformats.org/officeDocument/2006/relationships/hyperlink" Id="rId72" Target="https://github.com/seamusrobertmurphy/beetle-topography-and-wind-study" TargetMode="External" /><Relationship Type="http://schemas.openxmlformats.org/officeDocument/2006/relationships/hyperlink" Id="rId96"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dcterms:created xsi:type="dcterms:W3CDTF">2026-08-28T02:53:36Z</dcterms:created>
  <dcterms:modified xsi:type="dcterms:W3CDTF">2026-08-28T02:53:36Z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