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51.png" ContentType="image/png"/>
  <Override PartName="/word/media/rId2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tbl>
      <w:tblPr>
        <w:tblStyle w:val="Table"/>
        <w:tblW w:type="pct" w:w="5000"/>
        <w:tblLayout w:type="fixed"/>
        <w:tblLook w:firstRow="0" w:lastRow="0" w:firstColumn="0" w:lastColumn="0" w:noHBand="0" w:noVBand="0" w:val="0000"/>
      </w:tblPr>
      <w:tblGrid>
        <w:gridCol w:w="7920"/>
      </w:tblGrid>
      <w:tr>
        <w:tc>
          <w:tcPr/>
          <w:bookmarkStart w:id="20" w:name="tbl-inventory"/>
          <w:p>
            <w:pPr>
              <w:jc w:val="center"/>
            </w:pPr>
            <w:pPr>
              <w:jc w:val="start"/>
              <w:spacing w:before="200"/>
              <w:pStyle w:val="ImageCaption"/>
            </w:pPr>
            <w:r>
              <w:t xml:space="preserve">Table 1: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22"/>
              <w:gridCol w:w="1781"/>
              <w:gridCol w:w="2424"/>
              <w:gridCol w:w="1060"/>
              <w:gridCol w:w="1174"/>
              <w:gridCol w:w="1060"/>
              <w:gridCol w:w="833"/>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60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122700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71127 cell-epochs</w:t>
                  </w:r>
                </w:p>
              </w:tc>
            </w:tr>
          </w:tbl>
          <w:bookmarkEnd w:id="20"/>
          <w:p/>
        </w:tc>
      </w:tr>
    </w:tbl>
    <w:bookmarkStart w:id="21"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&lt; 0.05),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 survive carry the forest’s</w:t>
      </w:r>
      <w:r>
        <w:t xml:space="preserve"> </w:t>
      </w:r>
      <w:r>
        <w:t xml:space="preserve">structure and seed into whatever comes next, and those patches have a name: disturbance</w:t>
      </w:r>
      <w:r>
        <w:t xml:space="preserve"> </w:t>
      </w:r>
      <w:r>
        <w:t xml:space="preserve">refugia, places buffered from disturbance over time</w:t>
      </w:r>
      <w:r>
        <w:t xml:space="preserve"> </w:t>
      </w:r>
      <w:r>
        <w:t xml:space="preserve">(Krawchuk et al., 2020)</w:t>
      </w:r>
      <w:r>
        <w:t xml:space="preserve">. Finding a refugium is</w:t>
      </w:r>
      <w:r>
        <w:t xml:space="preserve"> </w:t>
      </w:r>
      <w:r>
        <w:t xml:space="preserve">not the same as explaining one. Explanation needs a mechanism that ties survival to</w:t>
      </w:r>
      <w:r>
        <w:t xml:space="preserve"> </w:t>
      </w:r>
      <w:r>
        <w:t xml:space="preserve">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We treat these as three testable hypotheses. Under H1, topographic shading reduces attack</w:t>
      </w:r>
      <w:r>
        <w:t xml:space="preserve"> </w:t>
      </w:r>
      <w:r>
        <w:t xml:space="preserve">by relieving water stress on cool ground. Under H2, low host density reduces attack by</w:t>
      </w:r>
      <w:r>
        <w:t xml:space="preserve"> </w:t>
      </w:r>
      <w:r>
        <w:t xml:space="preserve">admitting the wind that disperses the aggregation pheromone. Under H3, a scarcity of</w:t>
      </w:r>
      <w:r>
        <w:t xml:space="preserve"> </w:t>
      </w:r>
      <w:r>
        <w:t xml:space="preserve">large-diameter hosts reduces attack by limiting brood production. Two of the three act</w:t>
      </w:r>
      <w:r>
        <w:t xml:space="preserve"> </w:t>
      </w:r>
      <w:r>
        <w:t xml:space="preserve">through terrain, and none has been fitted to a map.</w:t>
      </w:r>
      <w:r>
        <w:t xml:space="preserve"> </w:t>
      </w:r>
      <w:r>
        <w:t xml:space="preserve">Of the studies our screen retained, one enters a wind term at all, and it is a companion</w:t>
      </w:r>
      <w:r>
        <w:t xml:space="preserve"> </w:t>
      </w:r>
      <w:r>
        <w:t xml:space="preserve">study on this same landscape whose response is conifer regeneration rather than beetle</w:t>
      </w:r>
      <w:r>
        <w:t xml:space="preserve"> </w:t>
      </w:r>
      <w:r>
        <w:t xml:space="preserve">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and mostly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&amp;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How far the insect travels decides what a wind variable can be measured over, and the</w:t>
      </w:r>
      <w:r>
        <w:t xml:space="preserve"> </w:t>
      </w:r>
      <w:r>
        <w:t xml:space="preserve">distances are larger than a within-stand argument implies.</w:t>
      </w:r>
      <w:r>
        <w:t xml:space="preserve"> </w:t>
      </w:r>
      <w:r>
        <w:t xml:space="preserve">Jackson, Straussfogel, Lindgren, Mitchell, &amp; Murphy (2008)</w:t>
      </w:r>
      <w:r>
        <w:t xml:space="preserve"> </w:t>
      </w:r>
      <w:r>
        <w:t xml:space="preserve">tracked mountain</w:t>
      </w:r>
      <w:r>
        <w:t xml:space="preserve"> </w:t>
      </w:r>
      <w:r>
        <w:t xml:space="preserve">pine beetle on weather radar during the 2005 emergence in central British Columbia and</w:t>
      </w:r>
      <w:r>
        <w:t xml:space="preserve"> </w:t>
      </w:r>
      <w:r>
        <w:t xml:space="preserve">confirmed the returns by towing a capture net behind an aircraft through the volume the</w:t>
      </w:r>
      <w:r>
        <w:t xml:space="preserve"> </w:t>
      </w:r>
      <w:r>
        <w:t xml:space="preserve">radar was watching. They found beetles</w:t>
      </w:r>
      <w:r>
        <w:t xml:space="preserve"> </w:t>
      </w:r>
      <w:r>
        <w:t xml:space="preserve">“at altitudes up to more than 800 m above the forest</w:t>
      </w:r>
      <w:r>
        <w:t xml:space="preserve"> </w:t>
      </w:r>
      <w:r>
        <w:t xml:space="preserve">canopy”</w:t>
      </w:r>
      <w:r>
        <w:t xml:space="preserve">, estimated that those in flight above the canopy</w:t>
      </w:r>
      <w:r>
        <w:t xml:space="preserve"> </w:t>
      </w:r>
      <w:r>
        <w:t xml:space="preserve">“may move 30–110</w:t>
      </w:r>
      <w:r>
        <w:t xml:space="preserve"> </w:t>
      </w:r>
      <w:r>
        <w:t xml:space="preserve">km</w:t>
      </w:r>
      <m:oMath>
        <m:r>
          <m:rPr>
            <m:sty m:val="p"/>
          </m:rPr>
          <m:t>⋅</m:t>
        </m:r>
      </m:oMath>
      <w:r>
        <w:t xml:space="preserve">day</w:t>
      </w:r>
      <m:oMath>
        <m:sSup>
          <m:e>
            <m:r>
              <m:t>​</m:t>
            </m:r>
          </m:e>
          <m:sup>
            <m:r>
              <m:rPr>
                <m:sty m:val="p"/>
              </m:rPr>
              <m:t>−</m:t>
            </m:r>
            <m:r>
              <m:t>1</m:t>
            </m:r>
          </m:sup>
        </m:sSup>
      </m:oMath>
      <w:r>
        <w:t xml:space="preserve">”</w:t>
      </w:r>
      <w:r>
        <w:t xml:space="preserve">, and put the instantaneous density at a mean of 4950 and a maximum of</w:t>
      </w:r>
      <w:r>
        <w:t xml:space="preserve"> </w:t>
      </w:r>
      <w:r>
        <w:t xml:space="preserve">18,600 beetles per hectare.</w:t>
      </w:r>
      <w:r>
        <w:t xml:space="preserve"> </w:t>
      </w:r>
      <w:r>
        <w:t xml:space="preserve">Ainslie &amp; Jackson (2010)</w:t>
      </w:r>
      <w:r>
        <w:t xml:space="preserve"> </w:t>
      </w:r>
      <w:r>
        <w:t xml:space="preserve">reproduced that above-canopy dispersion with an</w:t>
      </w:r>
      <w:r>
        <w:t xml:space="preserve"> </w:t>
      </w:r>
      <w:r>
        <w:t xml:space="preserve">atmospheric dispersion model driven by the same radar. An insect carried in the lower</w:t>
      </w:r>
      <w:r>
        <w:t xml:space="preserve"> </w:t>
      </w:r>
      <w:r>
        <w:t xml:space="preserve">atmosphere at those heights meets the weather of the whole period. It does not meet the</w:t>
      </w:r>
      <w:r>
        <w:t xml:space="preserve"> </w:t>
      </w:r>
      <w:r>
        <w:t xml:space="preserve">breeze inside one stand during the few hours it happens to leave the bark. The wind variable</w:t>
      </w:r>
      <w:r>
        <w:t xml:space="preserve"> </w:t>
      </w:r>
      <w:r>
        <w:t xml:space="preserve">in this study is named and measured accordingly.</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&amp; Elder, 2006)</w:t>
      </w:r>
      <w:r>
        <w:t xml:space="preserve">, and test the response at Landsat’s own 16-day repeat rather than annually.</w:t>
      </w:r>
    </w:p>
    <w:p>
      <w:pPr>
        <w:pStyle w:val="BodyText"/>
      </w:pPr>
      <w:hyperlink w:anchor="tbl-hypotheses">
        <w:r>
          <w:rPr>
            <w:rStyle w:val="Hyperlink"/>
          </w:rPr>
          <w:t xml:space="preserve">Table 2</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 And how much of the answer depends on the interval the</w:t>
      </w:r>
      <w:r>
        <w:t xml:space="preserve"> </w:t>
      </w:r>
      <w:r>
        <w:t xml:space="preserve">response is measured over?</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2: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4" w:name="materials"/>
    <w:p>
      <w:pPr>
        <w:pStyle w:val="Heading1"/>
      </w:pPr>
      <w:r>
        <w:t xml:space="preserve">2. Materials</w:t>
      </w:r>
    </w:p>
    <w:bookmarkStart w:id="28"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7" w:name="fig-study-area"/>
          <w:p>
            <w:pPr>
              <w:pStyle w:val="Compact"/>
              <w:jc w:val="center"/>
            </w:pPr>
            <w:r>
              <w:drawing>
                <wp:inline>
                  <wp:extent cx="5943600" cy="6656832"/>
                  <wp:effectExtent b="0" l="0" r="0" t="0"/>
                  <wp:docPr descr="" title="" id="25" name="Picture"/>
                  <a:graphic>
                    <a:graphicData uri="http://schemas.openxmlformats.org/drawingml/2006/picture">
                      <pic:pic>
                        <pic:nvPicPr>
                          <pic:cNvPr descr="beetle-topography-wind-study-short_files/figure-docx/fig-study-area-1.png" id="26" name="Picture"/>
                          <pic:cNvPicPr>
                            <a:picLocks noChangeArrowheads="1" noChangeAspect="1"/>
                          </pic:cNvPicPr>
                        </pic:nvPicPr>
                        <pic:blipFill>
                          <a:blip r:embed="rId24"/>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7"/>
        </w:tc>
      </w:tr>
    </w:tbl>
    <w:bookmarkEnd w:id="28"/>
    <w:bookmarkStart w:id="30"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29"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29"/>
          <w:p/>
        </w:tc>
      </w:tr>
    </w:tbl>
    <w:bookmarkEnd w:id="30"/>
    <w:bookmarkStart w:id="32"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1"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1"/>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2"/>
    <w:bookmarkStart w:id="33"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3"/>
    <w:bookmarkStart w:id="38"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4"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4"/>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5"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5"/>
    </w:p>
    <w:p>
      <w:pPr>
        <w:pStyle w:val="FirstParagraph"/>
      </w:pPr>
      <w:r>
        <w:t xml:space="preserve">giving the terrain-modified speed</w:t>
      </w:r>
    </w:p>
    <w:p>
      <w:pPr>
        <w:pStyle w:val="BodyText"/>
      </w:pPr>
      <w:bookmarkStart w:id="36"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6"/>
    </w:p>
    <w:p>
      <w:pPr>
        <w:pStyle w:val="FirstParagraph"/>
      </w:pPr>
      <w:r>
        <w:t xml:space="preserve">and a diversion of the wind direction of</w:t>
      </w:r>
    </w:p>
    <w:p>
      <w:pPr>
        <w:pStyle w:val="BodyText"/>
      </w:pPr>
      <w:bookmarkStart w:id="37"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7"/>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38"/>
    <w:bookmarkStart w:id="43"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It is worth noting what the same figure</w:t>
      </w:r>
      <w:r>
        <w:t xml:space="preserve"> </w:t>
      </w:r>
      <w:r>
        <w:t xml:space="preserve">shows about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 and no</w:t>
      </w:r>
      <w:r>
        <w:t xml:space="preserve"> </w:t>
      </w:r>
      <w:r>
        <w:t xml:space="preserve">annual summary can express.</w:t>
      </w:r>
    </w:p>
    <w:p>
      <w:pPr>
        <w:pStyle w:val="BodyText"/>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readings buy detail, not independent observations. With one map a year, every hour</w:t>
      </w:r>
      <w:r>
        <w:t xml:space="preserve"> </w:t>
      </w:r>
      <w:r>
        <w:t xml:space="preserve">of wind collapses into one of 8 numbers per metric, so the model has only</w:t>
      </w:r>
      <w:r>
        <w:t xml:space="preserve"> </w:t>
      </w:r>
      <w:r>
        <w:t xml:space="preserve">8 distinct wind values to work with and a wind coefficient rests on those</w:t>
      </w:r>
      <w:r>
        <w:t xml:space="preserve"> </w:t>
      </w:r>
      <w:r>
        <w:t xml:space="preserve">alone. Its standard error will look small and should not be believed.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tbl>
      <w:tblPr>
        <w:tblStyle w:val="Table"/>
        <w:tblW w:type="pct" w:w="5000"/>
        <w:tblLayout w:type="fixed"/>
        <w:tblLook w:firstRow="0" w:lastRow="0" w:firstColumn="0" w:lastColumn="0" w:noHBand="0" w:noVBand="0" w:val="0000"/>
      </w:tblPr>
      <w:tblGrid>
        <w:gridCol w:w="7920"/>
      </w:tblGrid>
      <w:tr>
        <w:tc>
          <w:tcPr/>
          <w:bookmarkStart w:id="42" w:name="fig-flight-window"/>
          <w:p>
            <w:pPr>
              <w:pStyle w:val="Compact"/>
              <w:jc w:val="center"/>
            </w:pPr>
            <w:r>
              <w:drawing>
                <wp:inline>
                  <wp:extent cx="5943600" cy="4913376"/>
                  <wp:effectExtent b="0" l="0" r="0" t="0"/>
                  <wp:docPr descr="" title="" id="40" name="Picture"/>
                  <a:graphic>
                    <a:graphicData uri="http://schemas.openxmlformats.org/drawingml/2006/picture">
                      <pic:pic>
                        <pic:nvPicPr>
                          <pic:cNvPr descr="beetle-topography-wind-study-short_files/figure-docx/fig-flight-window-1.png" id="41" name="Picture"/>
                          <pic:cNvPicPr>
                            <a:picLocks noChangeArrowheads="1" noChangeAspect="1"/>
                          </pic:cNvPicPr>
                        </pic:nvPicPr>
                        <pic:blipFill>
                          <a:blip r:embed="rId39"/>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2"/>
        </w:tc>
      </w:tr>
    </w:tbl>
    <w:bookmarkEnd w:id="43"/>
    <w:bookmarkEnd w:id="44"/>
    <w:bookmarkStart w:id="48" w:name="methods"/>
    <w:p>
      <w:pPr>
        <w:pStyle w:val="Heading1"/>
      </w:pPr>
      <w:r>
        <w:t xml:space="preserve">3. Methods</w:t>
      </w:r>
    </w:p>
    <w:bookmarkStart w:id="45"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5"/>
    <w:bookmarkStart w:id="47"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6"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6"/>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7"/>
    <w:bookmarkEnd w:id="48"/>
    <w:bookmarkStart w:id="60"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9"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50"/>
          <w:p/>
        </w:tc>
      </w:tr>
    </w:tbl>
    <w:p>
      <w:pPr>
        <w:pStyle w:val="BodyText"/>
      </w:pPr>
      <w:r>
        <w:t xml:space="preserve">Every pathway earned its place. AIC fell 498 when stand density</w:t>
      </w:r>
      <w:r>
        <w:t xml:space="preserve"> </w:t>
      </w:r>
      <w:r>
        <w:t xml:space="preserve">entered, 744 more with terrain and flight radiation, and</w:t>
      </w:r>
      <w:r>
        <w:t xml:space="preserve"> </w:t>
      </w:r>
      <w:r>
        <w:t xml:space="preserve">1,065 more with the interactions (</w:t>
      </w:r>
      <w:hyperlink w:anchor="tbl-aic">
        <w:r>
          <w:rPr>
            <w:rStyle w:val="Hyperlink"/>
          </w:rPr>
          <w:t xml:space="preserve">Table 5</w:t>
        </w:r>
      </w:hyperlink>
      <w:r>
        <w:t xml:space="preserve">).</w:t>
      </w:r>
    </w:p>
    <w:p>
      <w:pPr>
        <w:pStyle w:val="BodyText"/>
      </w:pPr>
      <w:r>
        <w:t xml:space="preserve">The three measures of stand density did not agree. Standing volume carried</w:t>
      </w:r>
      <w:r>
        <w:t xml:space="preserve"> </w:t>
      </w:r>
      <w:r>
        <w:t xml:space="preserve">+0.381 log-odds per standard deviation, an odds ratio of</w:t>
      </w:r>
      <w:r>
        <w:t xml:space="preserve"> </w:t>
      </w:r>
      <w:r>
        <w:t xml:space="preserve">1.464, so a stand one standard deviation above the mean in</w:t>
      </w:r>
      <w:r>
        <w:t xml:space="preserve"> </w:t>
      </w:r>
      <w:r>
        <w:t xml:space="preserve">standing wood had 46.4 per cent higher odds of</w:t>
      </w:r>
      <w:r>
        <w:t xml:space="preserve"> </w:t>
      </w:r>
      <w:r>
        <w:t xml:space="preserve">moderate-to-high disturbance (p &lt; 0.001). Live stems per hectare</w:t>
      </w:r>
      <w:r>
        <w:t xml:space="preserve"> </w:t>
      </w:r>
      <w:r>
        <w:t xml:space="preserve">carried -0.099 (p &lt; 0.001) and crown closure</w:t>
      </w:r>
      <w:r>
        <w:t xml:space="preserve"> </w:t>
      </w:r>
      <w:r>
        <w:t xml:space="preserve">-0.183 (p &lt; 0.001), both in the opposite direction. The last two are negative, so as main effects the three</w:t>
      </w:r>
      <w:r>
        <w:t xml:space="preserve"> </w:t>
      </w:r>
      <w:r>
        <w:t xml:space="preserve">density measures disagree in sign. Only standing volume rises with attack, which is the</w:t>
      </w:r>
      <w:r>
        <w:t xml:space="preserve"> </w:t>
      </w:r>
      <w:r>
        <w:t xml:space="preserve">direction a plume-holding canopy implies.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We entered radiation once. Flight-window direct radiation carried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We found that terrain predicted attack independently of both. The windward-leeward index was</w:t>
      </w:r>
      <w:r>
        <w:t xml:space="preserve"> </w:t>
      </w:r>
      <w:r>
        <w:t xml:space="preserve">+0.358 and elevation +0.329, while ruggedness is -0.036</w:t>
      </w:r>
      <w:r>
        <w:t xml:space="preserve"> </w:t>
      </w:r>
      <w:r>
        <w:t xml:space="preserve">and not distinguishable from zero (p = 0.12),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4" w:name="fig-interaction"/>
          <w:p>
            <w:pPr>
              <w:pStyle w:val="Compact"/>
              <w:jc w:val="center"/>
            </w:pPr>
            <w:r>
              <w:drawing>
                <wp:inline>
                  <wp:extent cx="5943600" cy="3962400"/>
                  <wp:effectExtent b="0" l="0" r="0" t="0"/>
                  <wp:docPr descr="" title="" id="52" name="Picture"/>
                  <a:graphic>
                    <a:graphicData uri="http://schemas.openxmlformats.org/drawingml/2006/picture">
                      <pic:pic>
                        <pic:nvPicPr>
                          <pic:cNvPr descr="beetle-topography-wind-study-short_files/figure-docx/fig-interaction-1.png" id="53" name="Picture"/>
                          <pic:cNvPicPr>
                            <a:picLocks noChangeArrowheads="1" noChangeAspect="1"/>
                          </pic:cNvPicPr>
                        </pic:nvPicPr>
                        <pic:blipFill>
                          <a:blip r:embed="rId5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4"/>
        </w:tc>
      </w:tr>
    </w:tbl>
    <w:bookmarkStart w:id="56"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5" w:name="tbl-micromet-model"/>
          <w:p>
            <w:pPr>
              <w:jc w:val="center"/>
            </w:pPr>
            <w:pPr>
              <w:jc w:val="start"/>
              <w:spacing w:before="200"/>
              <w:pStyle w:val="ImageCaption"/>
            </w:pPr>
            <w:r>
              <w:t xml:space="preserve">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5"/>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sixteen days, the same wind field, the same covariates and the same classification</w:t>
      </w:r>
      <w:r>
        <w:t xml:space="preserve"> </w:t>
      </w:r>
      <w:r>
        <w:t xml:space="preserve">threshold gave -0.094 for stem density (p &lt; 0.001) and</w:t>
      </w:r>
      <w:r>
        <w:t xml:space="preserve"> </w:t>
      </w:r>
      <w:r>
        <w:t xml:space="preserve">-0.041 for standing volume (p &lt; 0.001). Expressed as odds, each standard</w:t>
      </w:r>
      <w:r>
        <w:t xml:space="preserve"> </w:t>
      </w:r>
      <w:r>
        <w:t xml:space="preserve">deviation of the epoch wind regime multiplied the contribution of stem density by</w:t>
      </w:r>
      <w:r>
        <w:t xml:space="preserve"> </w:t>
      </w:r>
      <w:r>
        <w:t xml:space="preserve">0.910, a reduction of 9.0 per cent. Notably, nothing</w:t>
      </w:r>
      <w:r>
        <w:t xml:space="preserve"> </w:t>
      </w:r>
      <w:r>
        <w:t xml:space="preserve">about the landscape or the wind product changed between the two specifications.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Notably, which environmental terms survived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8</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End w:id="60"/>
    <w:bookmarkStart w:id="66" w:name="discussion"/>
    <w:p>
      <w:pPr>
        <w:pStyle w:val="Heading1"/>
      </w:pPr>
      <w:r>
        <w:t xml:space="preserve">5. Discussion</w:t>
      </w:r>
    </w:p>
    <w:bookmarkStart w:id="61"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1"/>
    <w:bookmarkStart w:id="62" w:name="what-survives"/>
    <w:p>
      <w:pPr>
        <w:pStyle w:val="Heading2"/>
      </w:pPr>
      <w:r>
        <w:t xml:space="preserve">5.2 What survives</w:t>
      </w:r>
    </w:p>
    <w:p>
      <w:pPr>
        <w:pStyle w:val="FirstParagraph"/>
      </w:pPr>
      <w:r>
        <w:t xml:space="preserve">In this study we tested the three mechanisms</w:t>
      </w:r>
      <w:r>
        <w:t xml:space="preserve"> </w:t>
      </w:r>
      <w:r>
        <w:t xml:space="preserve">Krawchuk et al. (2020)</w:t>
      </w:r>
      <w:r>
        <w:t xml:space="preserve"> </w:t>
      </w:r>
      <w:r>
        <w:t xml:space="preserve">propose for refugia from mountain</w:t>
      </w:r>
      <w:r>
        <w:t xml:space="preserve"> </w:t>
      </w:r>
      <w:r>
        <w:t xml:space="preserve">pine beetle, using a response measured at the sixteen-day cadence the sensor and the insect</w:t>
      </w:r>
      <w:r>
        <w:t xml:space="preserve"> </w:t>
      </w:r>
      <w:r>
        <w:t xml:space="preserve">share. Our results offered partial support. H2, low host density admitting the wind that</w:t>
      </w:r>
      <w:r>
        <w:t xml:space="preserve"> </w:t>
      </w:r>
      <w:r>
        <w:t xml:space="preserve">disperses the aggregation pheromone, was supported, and in the conditional form the mechanism</w:t>
      </w:r>
      <w:r>
        <w:t xml:space="preserve"> </w:t>
      </w:r>
      <w:r>
        <w:t xml:space="preserve">specifies rather than as a main effect. H3, a scarcity of large-diameter hosts, was supported</w:t>
      </w:r>
      <w:r>
        <w:t xml:space="preserve"> </w:t>
      </w:r>
      <w:r>
        <w:t xml:space="preserve">as a threshold rather than as a gradient. H1, topographic shading, was not supported, and the</w:t>
      </w:r>
      <w:r>
        <w:t xml:space="preserve"> </w:t>
      </w:r>
      <w:r>
        <w:t xml:space="preserve">term that rejects it is the least secure in the study.</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Topographic shading does not hold, and it fails on a stand-in rather than on the quantity</w:t>
      </w:r>
      <w:r>
        <w:t xml:space="preserve"> </w:t>
      </w:r>
      <w:r>
        <w:t xml:space="preserve">the mechanism actually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2"/>
    <w:bookmarkStart w:id="63"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3"/>
    <w:bookmarkStart w:id="64"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4"/>
    <w:bookmarkStart w:id="65"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5"/>
    <w:bookmarkEnd w:id="66"/>
    <w:bookmarkStart w:id="67"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&amp;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travels further than the ecological one, and it has three parts.</w:t>
      </w:r>
    </w:p>
    <w:p>
      <w:pPr>
        <w:pStyle w:val="BodyText"/>
      </w:pPr>
      <w:r>
        <w:t xml:space="preserve">First, a terrain index is partly a measurement of sunlight. Adding flight-window radiation</w:t>
      </w:r>
      <w:r>
        <w:t xml:space="preserve"> </w:t>
      </w:r>
      <w:r>
        <w:t xml:space="preserve">to the model, we found it cut the density by terrain-exposure interaction from +0.311 to</w:t>
      </w:r>
      <w:r>
        <w:t xml:space="preserve"> </w:t>
      </w:r>
      <w:r>
        <w:t xml:space="preserve">+0.221, without changing its sign.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Third, an annual response cannot test a mechanism</w:t>
      </w:r>
      <w:r>
        <w:t xml:space="preserve"> </w:t>
      </w:r>
      <w:r>
        <w:t xml:space="preserve">that operates over weeks. The same wind field, the same covariates and the same threshold</w:t>
      </w:r>
      <w:r>
        <w:t xml:space="preserve"> </w:t>
      </w:r>
      <w:r>
        <w:t xml:space="preserve">gave +0.031 at annual resolution and -0.094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7"/>
    <w:bookmarkStart w:id="68"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8"/>
    <w:bookmarkStart w:id="69"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9"/>
    <w:bookmarkStart w:id="70" w:name="conflict-of-interest"/>
    <w:p>
      <w:pPr>
        <w:pStyle w:val="Heading1"/>
      </w:pPr>
      <w:r>
        <w:t xml:space="preserve">9. Conflict of interest</w:t>
      </w:r>
    </w:p>
    <w:p>
      <w:pPr>
        <w:pStyle w:val="FirstParagraph"/>
      </w:pPr>
      <w:r>
        <w:t xml:space="preserve">The author declares no conflict of interest.</w:t>
      </w:r>
    </w:p>
    <w:bookmarkEnd w:id="70"/>
    <w:bookmarkStart w:id="71"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1"/>
    <w:bookmarkStart w:id="72"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2"/>
    <w:bookmarkStart w:id="74"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3">
        <w:r>
          <w:rPr>
            <w:rStyle w:val="Hyperlink"/>
          </w:rPr>
          <w:t xml:space="preserve">https://github.com/seamusrobertmurphy/beetle-topography-and-wind-study</w:t>
        </w:r>
      </w:hyperlink>
      <w:r>
        <w:t xml:space="preserve">.</w:t>
      </w:r>
    </w:p>
    <w:bookmarkEnd w:id="74"/>
    <w:bookmarkStart w:id="75"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5"/>
    <w:bookmarkStart w:id="116" w:name="references"/>
    <w:p>
      <w:pPr>
        <w:pStyle w:val="Heading1"/>
      </w:pPr>
      <w:r>
        <w:t xml:space="preserve">14. References</w:t>
      </w:r>
    </w:p>
    <w:bookmarkStart w:id="115" w:name="refs"/>
    <w:bookmarkStart w:id="77"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76">
        <w:r>
          <w:rPr>
            <w:rStyle w:val="Hyperlink"/>
          </w:rPr>
          <w:t xml:space="preserve">https://doi.org/10.1007/s10453-010-9176-9</w:t>
        </w:r>
      </w:hyperlink>
    </w:p>
    <w:bookmarkEnd w:id="77"/>
    <w:bookmarkStart w:id="79"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78">
        <w:r>
          <w:rPr>
            <w:rStyle w:val="Hyperlink"/>
          </w:rPr>
          <w:t xml:space="preserve">https://doi.org/10.1175/JAMC-D-13-0147.1</w:t>
        </w:r>
      </w:hyperlink>
    </w:p>
    <w:bookmarkEnd w:id="79"/>
    <w:bookmarkStart w:id="81"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0">
        <w:r>
          <w:rPr>
            <w:rStyle w:val="Hyperlink"/>
          </w:rPr>
          <w:t xml:space="preserve">https://doi.org/10.2737/int-rp-400</w:t>
        </w:r>
      </w:hyperlink>
    </w:p>
    <w:bookmarkEnd w:id="81"/>
    <w:bookmarkStart w:id="82"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 october 30–31, 2003, kelowna, 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2"/>
    <w:bookmarkStart w:id="84"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3">
        <w:r>
          <w:rPr>
            <w:rStyle w:val="Hyperlink"/>
          </w:rPr>
          <w:t xml:space="preserve">https://doi.org/10.3390/f9110715</w:t>
        </w:r>
      </w:hyperlink>
    </w:p>
    <w:bookmarkEnd w:id="84"/>
    <w:bookmarkStart w:id="86"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5">
        <w:r>
          <w:rPr>
            <w:rStyle w:val="Hyperlink"/>
          </w:rPr>
          <w:t xml:space="preserve">https://doi.org/10.1111/jen.13262</w:t>
        </w:r>
      </w:hyperlink>
    </w:p>
    <w:bookmarkEnd w:id="86"/>
    <w:bookmarkStart w:id="88"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87">
        <w:r>
          <w:rPr>
            <w:rStyle w:val="Hyperlink"/>
          </w:rPr>
          <w:t xml:space="preserve">https://doi.org/10.1175/BAMS-D-21-0075.1</w:t>
        </w:r>
      </w:hyperlink>
    </w:p>
    <w:bookmarkEnd w:id="88"/>
    <w:bookmarkStart w:id="90"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89">
        <w:r>
          <w:rPr>
            <w:rStyle w:val="Hyperlink"/>
          </w:rPr>
          <w:t xml:space="preserve">https://doi.org/10.1111/j.1439-0418.1972.tb01745.x</w:t>
        </w:r>
      </w:hyperlink>
    </w:p>
    <w:bookmarkEnd w:id="90"/>
    <w:bookmarkStart w:id="92"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1">
        <w:r>
          <w:rPr>
            <w:rStyle w:val="Hyperlink"/>
          </w:rPr>
          <w:t xml:space="preserve">https://doi.org/10.1007/s00442-022-05129-4</w:t>
        </w:r>
      </w:hyperlink>
    </w:p>
    <w:bookmarkEnd w:id="92"/>
    <w:bookmarkStart w:id="94"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3">
        <w:r>
          <w:rPr>
            <w:rStyle w:val="Hyperlink"/>
          </w:rPr>
          <w:t xml:space="preserve">https://doi.org/10.1139/X08-066</w:t>
        </w:r>
      </w:hyperlink>
    </w:p>
    <w:bookmarkEnd w:id="94"/>
    <w:bookmarkStart w:id="96"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5">
        <w:r>
          <w:rPr>
            <w:rStyle w:val="Hyperlink"/>
          </w:rPr>
          <w:t xml:space="preserve">https://doi.org/10.1139/cjfr-2018-0304</w:t>
        </w:r>
      </w:hyperlink>
    </w:p>
    <w:bookmarkEnd w:id="96"/>
    <w:bookmarkStart w:id="98"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97">
        <w:r>
          <w:rPr>
            <w:rStyle w:val="Hyperlink"/>
          </w:rPr>
          <w:t xml:space="preserve">https://doi.org/10.1002/fee.2190</w:t>
        </w:r>
      </w:hyperlink>
    </w:p>
    <w:bookmarkEnd w:id="98"/>
    <w:bookmarkStart w:id="100"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99">
        <w:r>
          <w:rPr>
            <w:rStyle w:val="Hyperlink"/>
          </w:rPr>
          <w:t xml:space="preserve">https://doi.org/10.1175/JHM486.1</w:t>
        </w:r>
      </w:hyperlink>
    </w:p>
    <w:bookmarkEnd w:id="100"/>
    <w:bookmarkStart w:id="102"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1">
        <w:r>
          <w:rPr>
            <w:rStyle w:val="Hyperlink"/>
          </w:rPr>
          <w:t xml:space="preserve">https://doi.org/10.1093/aesa/64.2.534</w:t>
        </w:r>
      </w:hyperlink>
    </w:p>
    <w:bookmarkEnd w:id="102"/>
    <w:bookmarkStart w:id="104"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3">
        <w:r>
          <w:rPr>
            <w:rStyle w:val="Hyperlink"/>
          </w:rPr>
          <w:t xml:space="preserve">https://doi.org/10.1111/j.1654-1103.2002.tb02087.x</w:t>
        </w:r>
      </w:hyperlink>
    </w:p>
    <w:bookmarkEnd w:id="104"/>
    <w:bookmarkStart w:id="106"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5">
        <w:r>
          <w:rPr>
            <w:rStyle w:val="Hyperlink"/>
          </w:rPr>
          <w:t xml:space="preserve">https://doi.org/10.1016/j.foreco.2026.123985</w:t>
        </w:r>
      </w:hyperlink>
    </w:p>
    <w:bookmarkEnd w:id="106"/>
    <w:bookmarkStart w:id="108"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07">
        <w:r>
          <w:rPr>
            <w:rStyle w:val="Hyperlink"/>
          </w:rPr>
          <w:t xml:space="preserve">https://open.canada.ca/data/en/dataset/957782bf-847c-4644-a757-e383c0057995</w:t>
        </w:r>
      </w:hyperlink>
    </w:p>
    <w:bookmarkEnd w:id="108"/>
    <w:bookmarkStart w:id="110"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09">
        <w:r>
          <w:rPr>
            <w:rStyle w:val="Hyperlink"/>
          </w:rPr>
          <w:t xml:space="preserve">https://doi.org/10.1016/j.ecolmodel.2013.10.034</w:t>
        </w:r>
      </w:hyperlink>
    </w:p>
    <w:bookmarkEnd w:id="110"/>
    <w:bookmarkStart w:id="111"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1"/>
    <w:bookmarkStart w:id="113"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2">
        <w:r>
          <w:rPr>
            <w:rStyle w:val="Hyperlink"/>
          </w:rPr>
          <w:t xml:space="preserve">https://doi.org/10.1079/PAVSNNR202116018</w:t>
        </w:r>
      </w:hyperlink>
    </w:p>
    <w:bookmarkEnd w:id="113"/>
    <w:bookmarkStart w:id="114"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 october 30–31, 2003, kelowna, british columbia</w:t>
      </w:r>
      <w:r>
        <w:t xml:space="preserve"> </w:t>
      </w:r>
      <w:r>
        <w:t xml:space="preserve">(pp. 41–51). Victoria, British Columbia: Natural Resources Canada, Canadian Forest Service, Pacific Forestry Centre.</w:t>
      </w:r>
    </w:p>
    <w:bookmarkEnd w:id="114"/>
    <w:bookmarkEnd w:id="115"/>
    <w:bookmarkEnd w:id="116"/>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hyperlink" Id="rId97" Target="https://doi.org/10.1002/fee.2190" TargetMode="External" /><Relationship Type="http://schemas.openxmlformats.org/officeDocument/2006/relationships/hyperlink" Id="rId91" Target="https://doi.org/10.1007/s00442-022-05129-4" TargetMode="External" /><Relationship Type="http://schemas.openxmlformats.org/officeDocument/2006/relationships/hyperlink" Id="rId76" Target="https://doi.org/10.1007/s10453-010-9176-9" TargetMode="External" /><Relationship Type="http://schemas.openxmlformats.org/officeDocument/2006/relationships/hyperlink" Id="rId109" Target="https://doi.org/10.1016/j.ecolmodel.2013.10.034" TargetMode="External" /><Relationship Type="http://schemas.openxmlformats.org/officeDocument/2006/relationships/hyperlink" Id="rId105" Target="https://doi.org/10.1016/j.foreco.2026.123985" TargetMode="External" /><Relationship Type="http://schemas.openxmlformats.org/officeDocument/2006/relationships/hyperlink" Id="rId112" Target="https://doi.org/10.1079/PAVSNNR202116018" TargetMode="External" /><Relationship Type="http://schemas.openxmlformats.org/officeDocument/2006/relationships/hyperlink" Id="rId101" Target="https://doi.org/10.1093/aesa/64.2.534" TargetMode="External" /><Relationship Type="http://schemas.openxmlformats.org/officeDocument/2006/relationships/hyperlink" Id="rId89" Target="https://doi.org/10.1111/j.1439-0418.1972.tb01745.x" TargetMode="External" /><Relationship Type="http://schemas.openxmlformats.org/officeDocument/2006/relationships/hyperlink" Id="rId103" Target="https://doi.org/10.1111/j.1654-1103.2002.tb02087.x" TargetMode="External" /><Relationship Type="http://schemas.openxmlformats.org/officeDocument/2006/relationships/hyperlink" Id="rId85" Target="https://doi.org/10.1111/jen.13262" TargetMode="External" /><Relationship Type="http://schemas.openxmlformats.org/officeDocument/2006/relationships/hyperlink" Id="rId93" Target="https://doi.org/10.1139/X08-066" TargetMode="External" /><Relationship Type="http://schemas.openxmlformats.org/officeDocument/2006/relationships/hyperlink" Id="rId95" Target="https://doi.org/10.1139/cjfr-2018-0304" TargetMode="External" /><Relationship Type="http://schemas.openxmlformats.org/officeDocument/2006/relationships/hyperlink" Id="rId87" Target="https://doi.org/10.1175/BAMS-D-21-0075.1" TargetMode="External" /><Relationship Type="http://schemas.openxmlformats.org/officeDocument/2006/relationships/hyperlink" Id="rId78" Target="https://doi.org/10.1175/JAMC-D-13-0147.1" TargetMode="External" /><Relationship Type="http://schemas.openxmlformats.org/officeDocument/2006/relationships/hyperlink" Id="rId99" Target="https://doi.org/10.1175/JHM486.1" TargetMode="External" /><Relationship Type="http://schemas.openxmlformats.org/officeDocument/2006/relationships/hyperlink" Id="rId80" Target="https://doi.org/10.2737/int-rp-400" TargetMode="External" /><Relationship Type="http://schemas.openxmlformats.org/officeDocument/2006/relationships/hyperlink" Id="rId83" Target="https://doi.org/10.3390/f9110715" TargetMode="External" /><Relationship Type="http://schemas.openxmlformats.org/officeDocument/2006/relationships/hyperlink" Id="rId73" Target="https://github.com/seamusrobertmurphy/beetle-topography-and-wind-study" TargetMode="External" /><Relationship Type="http://schemas.openxmlformats.org/officeDocument/2006/relationships/hyperlink" Id="rId107"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7" Target="https://doi.org/10.1002/fee.2190" TargetMode="External" /><Relationship Type="http://schemas.openxmlformats.org/officeDocument/2006/relationships/hyperlink" Id="rId91" Target="https://doi.org/10.1007/s00442-022-05129-4" TargetMode="External" /><Relationship Type="http://schemas.openxmlformats.org/officeDocument/2006/relationships/hyperlink" Id="rId76" Target="https://doi.org/10.1007/s10453-010-9176-9" TargetMode="External" /><Relationship Type="http://schemas.openxmlformats.org/officeDocument/2006/relationships/hyperlink" Id="rId109" Target="https://doi.org/10.1016/j.ecolmodel.2013.10.034" TargetMode="External" /><Relationship Type="http://schemas.openxmlformats.org/officeDocument/2006/relationships/hyperlink" Id="rId105" Target="https://doi.org/10.1016/j.foreco.2026.123985" TargetMode="External" /><Relationship Type="http://schemas.openxmlformats.org/officeDocument/2006/relationships/hyperlink" Id="rId112" Target="https://doi.org/10.1079/PAVSNNR202116018" TargetMode="External" /><Relationship Type="http://schemas.openxmlformats.org/officeDocument/2006/relationships/hyperlink" Id="rId101" Target="https://doi.org/10.1093/aesa/64.2.534" TargetMode="External" /><Relationship Type="http://schemas.openxmlformats.org/officeDocument/2006/relationships/hyperlink" Id="rId89" Target="https://doi.org/10.1111/j.1439-0418.1972.tb01745.x" TargetMode="External" /><Relationship Type="http://schemas.openxmlformats.org/officeDocument/2006/relationships/hyperlink" Id="rId103" Target="https://doi.org/10.1111/j.1654-1103.2002.tb02087.x" TargetMode="External" /><Relationship Type="http://schemas.openxmlformats.org/officeDocument/2006/relationships/hyperlink" Id="rId85" Target="https://doi.org/10.1111/jen.13262" TargetMode="External" /><Relationship Type="http://schemas.openxmlformats.org/officeDocument/2006/relationships/hyperlink" Id="rId93" Target="https://doi.org/10.1139/X08-066" TargetMode="External" /><Relationship Type="http://schemas.openxmlformats.org/officeDocument/2006/relationships/hyperlink" Id="rId95" Target="https://doi.org/10.1139/cjfr-2018-0304" TargetMode="External" /><Relationship Type="http://schemas.openxmlformats.org/officeDocument/2006/relationships/hyperlink" Id="rId87" Target="https://doi.org/10.1175/BAMS-D-21-0075.1" TargetMode="External" /><Relationship Type="http://schemas.openxmlformats.org/officeDocument/2006/relationships/hyperlink" Id="rId78" Target="https://doi.org/10.1175/JAMC-D-13-0147.1" TargetMode="External" /><Relationship Type="http://schemas.openxmlformats.org/officeDocument/2006/relationships/hyperlink" Id="rId99" Target="https://doi.org/10.1175/JHM486.1" TargetMode="External" /><Relationship Type="http://schemas.openxmlformats.org/officeDocument/2006/relationships/hyperlink" Id="rId80" Target="https://doi.org/10.2737/int-rp-400" TargetMode="External" /><Relationship Type="http://schemas.openxmlformats.org/officeDocument/2006/relationships/hyperlink" Id="rId83" Target="https://doi.org/10.3390/f9110715" TargetMode="External" /><Relationship Type="http://schemas.openxmlformats.org/officeDocument/2006/relationships/hyperlink" Id="rId73" Target="https://github.com/seamusrobertmurphy/beetle-topography-and-wind-study" TargetMode="External" /><Relationship Type="http://schemas.openxmlformats.org/officeDocument/2006/relationships/hyperlink" Id="rId107"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2026-08-29T02:04:59Z</dcterms:created>
  <dcterms:modified xsi:type="dcterms:W3CDTF">2026-08-29T02:04:59Z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