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9.png" ContentType="image/png"/>
  <Override PartName="/word/media/rId51.png" ContentType="image/png"/>
  <Override PartName="/word/media/rId24.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Testing the wind disruption hypothesis for beetle refugia</w:t>
      </w:r>
    </w:p>
    <w:p>
      <w:pPr>
        <w:pStyle w:val="Subtitle"/>
      </w:pPr>
      <w:r>
        <w:t xml:space="preserve">Stand density, terrain shape and flight-window wind as competing controls on mountain pine beetle attack (Dendroctonus ponderosae) in the Selkirk Mountains of British Columbia</w:t>
      </w:r>
    </w:p>
    <w:p>
      <w:pPr>
        <w:pStyle w:val="Author"/>
      </w:pPr>
      <w:r>
        <w:t xml:space="preserve">Seamus Murphy</w:t>
      </w:r>
    </w:p>
    <w:p>
      <w:pPr>
        <w:pStyle w:val="Date"/>
      </w:pPr>
      <w:r>
        <w:t xml:space="preserve">2026-08-28</w:t>
      </w:r>
    </w:p>
    <w:tbl>
      <w:tblPr>
        <w:tblStyle w:val="Table"/>
        <w:tblW w:type="pct" w:w="5000"/>
        <w:tblLayout w:type="fixed"/>
        <w:tblLook w:firstRow="0" w:lastRow="0" w:firstColumn="0" w:lastColumn="0" w:noHBand="0" w:noVBand="0" w:val="0000"/>
      </w:tblPr>
      <w:tblGrid>
        <w:gridCol w:w="7920"/>
      </w:tblGrid>
      <w:tr>
        <w:tc>
          <w:tcPr/>
          <w:bookmarkStart w:id="20" w:name="tbl-inventory"/>
          <w:p>
            <w:pPr>
              <w:jc w:val="center"/>
            </w:pPr>
            <w:pPr>
              <w:jc w:val="start"/>
              <w:spacing w:before="200"/>
              <w:pStyle w:val="ImageCaption"/>
            </w:pPr>
            <w:r>
              <w:t xml:space="preserve">Table 1: The datasets this study combines, with the structure and resolution of each. Every count is read from the files at render time. Spatial resolution is the grid the variable is analysed on; temporal resolution is the interval at which it varies. Note that the response varies every 16 days, the inventory once a year and the terrain not at all, which is the asymmetry the wind analysis turns on.</w:t>
            </w:r>
          </w:p>
          <w:tbl>
            <w:tblPr>
              <w:tblStyle w:val="Table"/>
              <w:tblLook w:firstRow="1" w:lastRow="0" w:firstColumn="0" w:lastColumn="0" w:noHBand="0" w:noVBand="0" w:val="0020"/>
              <w:tblW w:w="9354" w:type="dxa"/>
              <w:tblLayout w:type="fixed"/>
            </w:tblPr>
            <w:tblGrid>
              <w:gridCol w:w="1022"/>
              <w:gridCol w:w="1781"/>
              <w:gridCol w:w="2424"/>
              <w:gridCol w:w="1060"/>
              <w:gridCol w:w="1174"/>
              <w:gridCol w:w="1060"/>
              <w:gridCol w:w="833"/>
            </w:tblGrid>
            <w:tr>
              <w:trPr>
                <w:tblHeader w:val="on"/>
                <w:trHeight w:val="624" w:hRule="exact"/>
              </w:trPr>
              <w:tc>
                <w:tcPr/>
                <w:p>
                  <w:pPr>
                    <w:pStyle w:val="Compact"/>
                    <w:jc w:val="left"/>
                    <w:rPr>
                      <w:sz w:val="16"/>
                      <w:szCs w:val="16"/>
                    </w:rPr>
                  </w:pPr>
                  <w:r>
                    <w:rPr>
                      <w:sz w:val="16"/>
                      <w:szCs w:val="16"/>
                    </w:rPr>
                    <w:t xml:space="preserve">Dataset</w:t>
                  </w:r>
                </w:p>
              </w:tc>
              <w:tc>
                <w:tcPr/>
                <w:p>
                  <w:pPr>
                    <w:pStyle w:val="Compact"/>
                    <w:jc w:val="left"/>
                    <w:rPr>
                      <w:sz w:val="16"/>
                      <w:szCs w:val="16"/>
                    </w:rPr>
                  </w:pPr>
                  <w:r>
                    <w:rPr>
                      <w:sz w:val="16"/>
                      <w:szCs w:val="16"/>
                    </w:rPr>
                    <w:t xml:space="preserve">Source</w:t>
                  </w:r>
                </w:p>
              </w:tc>
              <w:tc>
                <w:tcPr/>
                <w:p>
                  <w:pPr>
                    <w:pStyle w:val="Compact"/>
                    <w:jc w:val="left"/>
                    <w:rPr>
                      <w:sz w:val="16"/>
                      <w:szCs w:val="16"/>
                    </w:rPr>
                  </w:pPr>
                  <w:r>
                    <w:rPr>
                      <w:sz w:val="16"/>
                      <w:szCs w:val="16"/>
                    </w:rPr>
                    <w:t xml:space="preserve">Variables</w:t>
                  </w:r>
                </w:p>
              </w:tc>
              <w:tc>
                <w:tcPr/>
                <w:p>
                  <w:pPr>
                    <w:pStyle w:val="Compact"/>
                    <w:jc w:val="left"/>
                    <w:rPr>
                      <w:sz w:val="16"/>
                      <w:szCs w:val="16"/>
                    </w:rPr>
                  </w:pPr>
                  <w:r>
                    <w:rPr>
                      <w:sz w:val="16"/>
                      <w:szCs w:val="16"/>
                    </w:rPr>
                    <w:t xml:space="preserve">Spatial resolution</w:t>
                  </w:r>
                </w:p>
              </w:tc>
              <w:tc>
                <w:tcPr/>
                <w:p>
                  <w:pPr>
                    <w:pStyle w:val="Compact"/>
                    <w:jc w:val="left"/>
                    <w:rPr>
                      <w:sz w:val="16"/>
                      <w:szCs w:val="16"/>
                    </w:rPr>
                  </w:pPr>
                  <w:r>
                    <w:rPr>
                      <w:sz w:val="16"/>
                      <w:szCs w:val="16"/>
                    </w:rPr>
                    <w:t xml:space="preserve">Temporal resolution</w:t>
                  </w:r>
                </w:p>
              </w:tc>
              <w:tc>
                <w:tcPr/>
                <w:p>
                  <w:pPr>
                    <w:pStyle w:val="Compact"/>
                    <w:jc w:val="left"/>
                    <w:rPr>
                      <w:sz w:val="16"/>
                      <w:szCs w:val="16"/>
                    </w:rPr>
                  </w:pPr>
                  <w:r>
                    <w:rPr>
                      <w:sz w:val="16"/>
                      <w:szCs w:val="16"/>
                    </w:rPr>
                    <w:t xml:space="preserve">Period</w:t>
                  </w:r>
                </w:p>
              </w:tc>
              <w:tc>
                <w:tcPr/>
                <w:p>
                  <w:pPr>
                    <w:pStyle w:val="Compact"/>
                    <w:jc w:val="left"/>
                    <w:rPr>
                      <w:sz w:val="16"/>
                      <w:szCs w:val="16"/>
                    </w:rPr>
                  </w:pPr>
                  <w:r>
                    <w:rPr>
                      <w:sz w:val="16"/>
                      <w:szCs w:val="16"/>
                    </w:rPr>
                    <w:t xml:space="preserve">n</w:t>
                  </w:r>
                </w:p>
              </w:tc>
            </w:tr>
            <w:tr>
              <w:trPr>
                <w:trHeight w:val="340" w:hRule="exact"/>
              </w:trPr>
              <w:tc>
                <w:tcPr/>
                <w:p>
                  <w:pPr>
                    <w:pStyle w:val="Compact"/>
                    <w:jc w:val="left"/>
                    <w:rPr>
                      <w:sz w:val="16"/>
                      <w:szCs w:val="16"/>
                    </w:rPr>
                  </w:pPr>
                  <w:r>
                    <w:rPr>
                      <w:sz w:val="16"/>
                      <w:szCs w:val="16"/>
                    </w:rPr>
                    <w:t xml:space="preserve">Beetle disturbance, annual</w:t>
                  </w:r>
                </w:p>
              </w:tc>
              <w:tc>
                <w:tcPr/>
                <w:p>
                  <w:pPr>
                    <w:pStyle w:val="Compact"/>
                    <w:jc w:val="left"/>
                    <w:rPr>
                      <w:sz w:val="16"/>
                      <w:szCs w:val="16"/>
                    </w:rPr>
                  </w:pPr>
                  <w:r>
                    <w:rPr>
                      <w:sz w:val="16"/>
                      <w:szCs w:val="16"/>
                    </w:rPr>
                    <w:t xml:space="preserve">Landsat 5 and 8 Collection 2 Level-2</w:t>
                  </w:r>
                </w:p>
              </w:tc>
              <w:tc>
                <w:tcPr/>
                <w:p>
                  <w:pPr>
                    <w:pStyle w:val="Compact"/>
                    <w:jc w:val="left"/>
                    <w:rPr>
                      <w:sz w:val="16"/>
                      <w:szCs w:val="16"/>
                    </w:rPr>
                  </w:pPr>
                  <w:r>
                    <w:rPr>
                      <w:sz w:val="16"/>
                      <w:szCs w:val="16"/>
                    </w:rPr>
                    <w:t xml:space="preserve">Moderate-to-high disturbance, binary, from NDMI</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 year</w:t>
                  </w:r>
                </w:p>
              </w:tc>
              <w:tc>
                <w:tcPr/>
                <w:p>
                  <w:pPr>
                    <w:pStyle w:val="Compact"/>
                    <w:jc w:val="left"/>
                    <w:rPr>
                      <w:sz w:val="16"/>
                      <w:szCs w:val="16"/>
                    </w:rPr>
                  </w:pPr>
                  <w:r>
                    <w:rPr>
                      <w:sz w:val="16"/>
                      <w:szCs w:val="16"/>
                    </w:rPr>
                    <w:t xml:space="preserve">2005-2014, excluding 2012</w:t>
                  </w:r>
                </w:p>
              </w:tc>
              <w:tc>
                <w:tcPr/>
                <w:p>
                  <w:pPr>
                    <w:pStyle w:val="Compact"/>
                    <w:jc w:val="left"/>
                    <w:rPr>
                      <w:sz w:val="16"/>
                      <w:szCs w:val="16"/>
                    </w:rPr>
                  </w:pPr>
                  <w:r>
                    <w:rPr>
                      <w:sz w:val="16"/>
                      <w:szCs w:val="16"/>
                    </w:rPr>
                    <w:t xml:space="preserve">8 years</w:t>
                  </w:r>
                </w:p>
              </w:tc>
            </w:tr>
            <w:tr>
              <w:trPr>
                <w:trHeight w:val="340" w:hRule="exact"/>
              </w:trPr>
              <w:tc>
                <w:tcPr/>
                <w:p>
                  <w:pPr>
                    <w:pStyle w:val="Compact"/>
                    <w:jc w:val="left"/>
                    <w:rPr>
                      <w:sz w:val="16"/>
                      <w:szCs w:val="16"/>
                    </w:rPr>
                  </w:pPr>
                  <w:r>
                    <w:rPr>
                      <w:sz w:val="16"/>
                      <w:szCs w:val="16"/>
                    </w:rPr>
                    <w:t xml:space="preserve">Beetle disturbance, 16-day</w:t>
                  </w:r>
                </w:p>
              </w:tc>
              <w:tc>
                <w:tcPr/>
                <w:p>
                  <w:pPr>
                    <w:pStyle w:val="Compact"/>
                    <w:jc w:val="left"/>
                    <w:rPr>
                      <w:sz w:val="16"/>
                      <w:szCs w:val="16"/>
                    </w:rPr>
                  </w:pPr>
                  <w:r>
                    <w:rPr>
                      <w:sz w:val="16"/>
                      <w:szCs w:val="16"/>
                    </w:rPr>
                    <w:t xml:space="preserve">Landsat 5 and 8 Collection 2 Level-2</w:t>
                  </w:r>
                </w:p>
              </w:tc>
              <w:tc>
                <w:tcPr/>
                <w:p>
                  <w:pPr>
                    <w:pStyle w:val="Compact"/>
                    <w:jc w:val="left"/>
                    <w:rPr>
                      <w:sz w:val="16"/>
                      <w:szCs w:val="16"/>
                    </w:rPr>
                  </w:pPr>
                  <w:r>
                    <w:rPr>
                      <w:sz w:val="16"/>
                      <w:szCs w:val="16"/>
                    </w:rPr>
                    <w:t xml:space="preserve">Moderate-to-high disturbance, binary, from NDMI</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16 days, the sensor’s repeat</w:t>
                  </w:r>
                </w:p>
              </w:tc>
              <w:tc>
                <w:tcPr/>
                <w:p>
                  <w:pPr>
                    <w:pStyle w:val="Compact"/>
                    <w:jc w:val="left"/>
                    <w:rPr>
                      <w:sz w:val="16"/>
                      <w:szCs w:val="16"/>
                    </w:rPr>
                  </w:pPr>
                  <w:r>
                    <w:rPr>
                      <w:sz w:val="16"/>
                      <w:szCs w:val="16"/>
                    </w:rPr>
                    <w:t xml:space="preserve">2006-2014</w:t>
                  </w:r>
                </w:p>
              </w:tc>
              <w:tc>
                <w:tcPr/>
                <w:p>
                  <w:pPr>
                    <w:pStyle w:val="Compact"/>
                    <w:jc w:val="left"/>
                    <w:rPr>
                      <w:sz w:val="16"/>
                      <w:szCs w:val="16"/>
                    </w:rPr>
                  </w:pPr>
                  <w:r>
                    <w:rPr>
                      <w:sz w:val="16"/>
                      <w:szCs w:val="16"/>
                    </w:rPr>
                    <w:t xml:space="preserve">60 epochs</w:t>
                  </w:r>
                </w:p>
              </w:tc>
            </w:tr>
            <w:tr>
              <w:trPr>
                <w:trHeight w:val="340" w:hRule="exact"/>
              </w:trPr>
              <w:tc>
                <w:tcPr/>
                <w:p>
                  <w:pPr>
                    <w:pStyle w:val="Compact"/>
                    <w:jc w:val="left"/>
                    <w:rPr>
                      <w:sz w:val="16"/>
                      <w:szCs w:val="16"/>
                    </w:rPr>
                  </w:pPr>
                  <w:r>
                    <w:rPr>
                      <w:sz w:val="16"/>
                      <w:szCs w:val="16"/>
                    </w:rPr>
                    <w:t xml:space="preserve">Stand structure</w:t>
                  </w:r>
                </w:p>
              </w:tc>
              <w:tc>
                <w:tcPr/>
                <w:p>
                  <w:pPr>
                    <w:pStyle w:val="Compact"/>
                    <w:jc w:val="left"/>
                    <w:rPr>
                      <w:sz w:val="16"/>
                      <w:szCs w:val="16"/>
                    </w:rPr>
                  </w:pPr>
                  <w:r>
                    <w:rPr>
                      <w:sz w:val="16"/>
                      <w:szCs w:val="16"/>
                    </w:rPr>
                    <w:t xml:space="preserve">VRI Historical, BC Data Catalogue</w:t>
                  </w:r>
                </w:p>
              </w:tc>
              <w:tc>
                <w:tcPr/>
                <w:p>
                  <w:pPr>
                    <w:pStyle w:val="Compact"/>
                    <w:jc w:val="left"/>
                    <w:rPr>
                      <w:sz w:val="16"/>
                      <w:szCs w:val="16"/>
                    </w:rPr>
                  </w:pPr>
                  <w:r>
                    <w:rPr>
                      <w:sz w:val="16"/>
                      <w:szCs w:val="16"/>
                    </w:rPr>
                    <w:t xml:space="preserve">Basal area, volume, stems, quadratic mean diameter, age, height</w:t>
                  </w:r>
                </w:p>
              </w:tc>
              <w:tc>
                <w:tcPr/>
                <w:p>
                  <w:pPr>
                    <w:pStyle w:val="Compact"/>
                    <w:jc w:val="left"/>
                    <w:rPr>
                      <w:sz w:val="16"/>
                      <w:szCs w:val="16"/>
                    </w:rPr>
                  </w:pPr>
                  <w:r>
                    <w:rPr>
                      <w:sz w:val="16"/>
                      <w:szCs w:val="16"/>
                    </w:rPr>
                    <w:t xml:space="preserve">Polygon, rasterised to 30 m</w:t>
                  </w:r>
                </w:p>
              </w:tc>
              <w:tc>
                <w:tcPr/>
                <w:p>
                  <w:pPr>
                    <w:pStyle w:val="Compact"/>
                    <w:jc w:val="left"/>
                    <w:rPr>
                      <w:sz w:val="16"/>
                      <w:szCs w:val="16"/>
                    </w:rPr>
                  </w:pPr>
                  <w:r>
                    <w:rPr>
                      <w:sz w:val="16"/>
                      <w:szCs w:val="16"/>
                    </w:rPr>
                    <w:t xml:space="preserve">1 year, projected to each year</w:t>
                  </w:r>
                </w:p>
              </w:tc>
              <w:tc>
                <w:tcPr/>
                <w:p>
                  <w:pPr>
                    <w:pStyle w:val="Compact"/>
                    <w:jc w:val="left"/>
                    <w:rPr>
                      <w:sz w:val="16"/>
                      <w:szCs w:val="16"/>
                    </w:rPr>
                  </w:pPr>
                  <w:r>
                    <w:rPr>
                      <w:sz w:val="16"/>
                      <w:szCs w:val="16"/>
                    </w:rPr>
                    <w:t xml:space="preserve">2005-2014</w:t>
                  </w:r>
                </w:p>
              </w:tc>
              <w:tc>
                <w:tcPr/>
                <w:p>
                  <w:pPr>
                    <w:pStyle w:val="Compact"/>
                    <w:jc w:val="left"/>
                    <w:rPr>
                      <w:sz w:val="16"/>
                      <w:szCs w:val="16"/>
                    </w:rPr>
                  </w:pPr>
                  <w:r>
                    <w:rPr>
                      <w:sz w:val="16"/>
                      <w:szCs w:val="16"/>
                    </w:rPr>
                    <w:t xml:space="preserve">9 snapshots</w:t>
                  </w:r>
                </w:p>
              </w:tc>
            </w:tr>
            <w:tr>
              <w:trPr>
                <w:trHeight w:val="340" w:hRule="exact"/>
              </w:trPr>
              <w:tc>
                <w:tcPr/>
                <w:p>
                  <w:pPr>
                    <w:pStyle w:val="Compact"/>
                    <w:jc w:val="left"/>
                    <w:rPr>
                      <w:sz w:val="16"/>
                      <w:szCs w:val="16"/>
                    </w:rPr>
                  </w:pPr>
                  <w:r>
                    <w:rPr>
                      <w:sz w:val="16"/>
                      <w:szCs w:val="16"/>
                    </w:rPr>
                    <w:t xml:space="preserve">Terrain</w:t>
                  </w:r>
                </w:p>
              </w:tc>
              <w:tc>
                <w:tcPr/>
                <w:p>
                  <w:pPr>
                    <w:pStyle w:val="Compact"/>
                    <w:jc w:val="left"/>
                    <w:rPr>
                      <w:sz w:val="16"/>
                      <w:szCs w:val="16"/>
                    </w:rPr>
                  </w:pPr>
                  <w:r>
                    <w:rPr>
                      <w:sz w:val="16"/>
                      <w:szCs w:val="16"/>
                    </w:rPr>
                    <w:t xml:space="preserve">NRCan High Resolution DEM, indices by SAGA GIS</w:t>
                  </w:r>
                </w:p>
              </w:tc>
              <w:tc>
                <w:tcPr/>
                <w:p>
                  <w:pPr>
                    <w:pStyle w:val="Compact"/>
                    <w:jc w:val="left"/>
                    <w:rPr>
                      <w:sz w:val="16"/>
                      <w:szCs w:val="16"/>
                    </w:rPr>
                  </w:pPr>
                  <w:r>
                    <w:rPr>
                      <w:sz w:val="16"/>
                      <w:szCs w:val="16"/>
                    </w:rPr>
                    <w:t xml:space="preserve">29 geomorphometric surfaces incl. radiation, exposure, landform</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Static</w:t>
                  </w:r>
                </w:p>
              </w:tc>
              <w:tc>
                <w:tcPr/>
                <w:p>
                  <w:pPr>
                    <w:pStyle w:val="Compact"/>
                    <w:jc w:val="left"/>
                    <w:rPr>
                      <w:sz w:val="16"/>
                      <w:szCs w:val="16"/>
                    </w:rPr>
                  </w:pPr>
                  <w:r>
                    <w:rPr>
                      <w:sz w:val="16"/>
                      <w:szCs w:val="16"/>
                    </w:rPr>
                    <w:t xml:space="preserve">n/a</w:t>
                  </w:r>
                </w:p>
              </w:tc>
              <w:tc>
                <w:tcPr/>
                <w:p>
                  <w:pPr>
                    <w:pStyle w:val="Compact"/>
                    <w:jc w:val="left"/>
                    <w:rPr>
                      <w:sz w:val="16"/>
                      <w:szCs w:val="16"/>
                    </w:rPr>
                  </w:pPr>
                  <w:r>
                    <w:rPr>
                      <w:sz w:val="16"/>
                      <w:szCs w:val="16"/>
                    </w:rPr>
                    <w:t xml:space="preserve">29 surfaces</w:t>
                  </w:r>
                </w:p>
              </w:tc>
            </w:tr>
            <w:tr>
              <w:trPr>
                <w:trHeight w:val="340" w:hRule="exact"/>
              </w:trPr>
              <w:tc>
                <w:tcPr/>
                <w:p>
                  <w:pPr>
                    <w:pStyle w:val="Compact"/>
                    <w:jc w:val="left"/>
                    <w:rPr>
                      <w:sz w:val="16"/>
                      <w:szCs w:val="16"/>
                    </w:rPr>
                  </w:pPr>
                  <w:r>
                    <w:rPr>
                      <w:sz w:val="16"/>
                      <w:szCs w:val="16"/>
                    </w:rPr>
                    <w:t xml:space="preserve">Station wind</w:t>
                  </w:r>
                </w:p>
              </w:tc>
              <w:tc>
                <w:tcPr/>
                <w:p>
                  <w:pPr>
                    <w:pStyle w:val="Compact"/>
                    <w:jc w:val="left"/>
                    <w:rPr>
                      <w:sz w:val="16"/>
                      <w:szCs w:val="16"/>
                    </w:rPr>
                  </w:pPr>
                  <w:r>
                    <w:rPr>
                      <w:sz w:val="16"/>
                      <w:szCs w:val="16"/>
                    </w:rPr>
                    <w:t xml:space="preserve">Environment and Climate Change Canada</w:t>
                  </w:r>
                </w:p>
              </w:tc>
              <w:tc>
                <w:tcPr/>
                <w:p>
                  <w:pPr>
                    <w:pStyle w:val="Compact"/>
                    <w:jc w:val="left"/>
                    <w:rPr>
                      <w:sz w:val="16"/>
                      <w:szCs w:val="16"/>
                    </w:rPr>
                  </w:pPr>
                  <w:r>
                    <w:rPr>
                      <w:sz w:val="16"/>
                      <w:szCs w:val="16"/>
                    </w:rPr>
                    <w:t xml:space="preserve">Speed and direction</w:t>
                  </w:r>
                </w:p>
              </w:tc>
              <w:tc>
                <w:tcPr/>
                <w:p>
                  <w:pPr>
                    <w:pStyle w:val="Compact"/>
                    <w:jc w:val="left"/>
                    <w:rPr>
                      <w:sz w:val="16"/>
                      <w:szCs w:val="16"/>
                    </w:rPr>
                  </w:pPr>
                  <w:r>
                    <w:rPr>
                      <w:sz w:val="16"/>
                      <w:szCs w:val="16"/>
                    </w:rPr>
                    <w:t xml:space="preserve">4 to 7 valley stations</w:t>
                  </w:r>
                </w:p>
              </w:tc>
              <w:tc>
                <w:tcPr/>
                <w:p>
                  <w:pPr>
                    <w:pStyle w:val="Compact"/>
                    <w:jc w:val="left"/>
                    <w:rPr>
                      <w:sz w:val="16"/>
                      <w:szCs w:val="16"/>
                    </w:rPr>
                  </w:pPr>
                  <w:r>
                    <w:rPr>
                      <w:sz w:val="16"/>
                      <w:szCs w:val="16"/>
                    </w:rPr>
                    <w:t xml:space="preserve">1 hour</w:t>
                  </w:r>
                </w:p>
              </w:tc>
              <w:tc>
                <w:tcPr/>
                <w:p>
                  <w:pPr>
                    <w:pStyle w:val="Compact"/>
                    <w:jc w:val="left"/>
                    <w:rPr>
                      <w:sz w:val="16"/>
                      <w:szCs w:val="16"/>
                    </w:rPr>
                  </w:pPr>
                  <w:r>
                    <w:rPr>
                      <w:sz w:val="16"/>
                      <w:szCs w:val="16"/>
                    </w:rPr>
                    <w:t xml:space="preserve">2005-2014, May to September</w:t>
                  </w:r>
                </w:p>
              </w:tc>
              <w:tc>
                <w:tcPr/>
                <w:p>
                  <w:pPr>
                    <w:pStyle w:val="Compact"/>
                    <w:jc w:val="left"/>
                    <w:rPr>
                      <w:sz w:val="16"/>
                      <w:szCs w:val="16"/>
                    </w:rPr>
                  </w:pPr>
                  <w:r>
                    <w:rPr>
                      <w:sz w:val="16"/>
                      <w:szCs w:val="16"/>
                    </w:rPr>
                    <w:t xml:space="preserve">236079 hourly records</w:t>
                  </w:r>
                </w:p>
              </w:tc>
            </w:tr>
            <w:tr>
              <w:trPr>
                <w:trHeight w:val="340" w:hRule="exact"/>
              </w:trPr>
              <w:tc>
                <w:tcPr/>
                <w:p>
                  <w:pPr>
                    <w:pStyle w:val="Compact"/>
                    <w:jc w:val="left"/>
                    <w:rPr>
                      <w:sz w:val="16"/>
                      <w:szCs w:val="16"/>
                    </w:rPr>
                  </w:pPr>
                  <w:r>
                    <w:rPr>
                      <w:sz w:val="16"/>
                      <w:szCs w:val="16"/>
                    </w:rPr>
                    <w:t xml:space="preserve">Terrain-resolved wind</w:t>
                  </w:r>
                </w:p>
              </w:tc>
              <w:tc>
                <w:tcPr/>
                <w:p>
                  <w:pPr>
                    <w:pStyle w:val="Compact"/>
                    <w:jc w:val="left"/>
                    <w:rPr>
                      <w:sz w:val="16"/>
                      <w:szCs w:val="16"/>
                    </w:rPr>
                  </w:pPr>
                  <w:r>
                    <w:rPr>
                      <w:sz w:val="16"/>
                      <w:szCs w:val="16"/>
                    </w:rPr>
                    <w:t xml:space="preserve">MicroMet over the DEM, driven by station wind</w:t>
                  </w:r>
                </w:p>
              </w:tc>
              <w:tc>
                <w:tcPr/>
                <w:p>
                  <w:pPr>
                    <w:pStyle w:val="Compact"/>
                    <w:jc w:val="left"/>
                    <w:rPr>
                      <w:sz w:val="16"/>
                      <w:szCs w:val="16"/>
                    </w:rPr>
                  </w:pPr>
                  <w:r>
                    <w:rPr>
                      <w:sz w:val="16"/>
                      <w:szCs w:val="16"/>
                    </w:rPr>
                    <w:t xml:space="preserve">Weighting factor, modified speed, diverted direction</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16 days, and 1 year</w:t>
                  </w:r>
                </w:p>
              </w:tc>
              <w:tc>
                <w:tcPr/>
                <w:p>
                  <w:pPr>
                    <w:pStyle w:val="Compact"/>
                    <w:jc w:val="left"/>
                    <w:rPr>
                      <w:sz w:val="16"/>
                      <w:szCs w:val="16"/>
                    </w:rPr>
                  </w:pPr>
                  <w:r>
                    <w:rPr>
                      <w:sz w:val="16"/>
                      <w:szCs w:val="16"/>
                    </w:rPr>
                    <w:t xml:space="preserve">2005-2014</w:t>
                  </w:r>
                </w:p>
              </w:tc>
              <w:tc>
                <w:tcPr/>
                <w:p>
                  <w:pPr>
                    <w:pStyle w:val="Compact"/>
                    <w:jc w:val="left"/>
                    <w:rPr>
                      <w:sz w:val="16"/>
                      <w:szCs w:val="16"/>
                    </w:rPr>
                  </w:pPr>
                  <w:r>
                    <w:rPr>
                      <w:sz w:val="16"/>
                      <w:szCs w:val="16"/>
                    </w:rPr>
                    <w:t xml:space="preserve">16 direction bins</w:t>
                  </w:r>
                </w:p>
              </w:tc>
            </w:tr>
            <w:tr>
              <w:trPr>
                <w:trHeight w:val="340" w:hRule="exact"/>
              </w:trPr>
              <w:tc>
                <w:tcPr/>
                <w:p>
                  <w:pPr>
                    <w:pStyle w:val="Compact"/>
                    <w:jc w:val="left"/>
                    <w:rPr>
                      <w:sz w:val="16"/>
                      <w:szCs w:val="16"/>
                    </w:rPr>
                  </w:pPr>
                  <w:r>
                    <w:rPr>
                      <w:sz w:val="16"/>
                      <w:szCs w:val="16"/>
                    </w:rPr>
                    <w:t xml:space="preserve">Modelling table, annual</w:t>
                  </w:r>
                </w:p>
              </w:tc>
              <w:tc>
                <w:tcPr/>
                <w:p>
                  <w:pPr>
                    <w:pStyle w:val="Compact"/>
                    <w:jc w:val="left"/>
                    <w:rPr>
                      <w:sz w:val="16"/>
                      <w:szCs w:val="16"/>
                    </w:rPr>
                  </w:pPr>
                  <w:r>
                    <w:rPr>
                      <w:sz w:val="16"/>
                      <w:szCs w:val="16"/>
                    </w:rPr>
                    <w:t xml:space="preserve">Assembled by 38-assemble-model-data.R</w:t>
                  </w:r>
                </w:p>
              </w:tc>
              <w:tc>
                <w:tcPr/>
                <w:p>
                  <w:pPr>
                    <w:pStyle w:val="Compact"/>
                    <w:jc w:val="left"/>
                    <w:rPr>
                      <w:sz w:val="16"/>
                      <w:szCs w:val="16"/>
                    </w:rPr>
                  </w:pPr>
                  <w:r>
                    <w:rPr>
                      <w:sz w:val="16"/>
                      <w:szCs w:val="16"/>
                    </w:rPr>
                    <w:t xml:space="preserve">Response and every covariate, one row per cell-year</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 year</w:t>
                  </w:r>
                </w:p>
              </w:tc>
              <w:tc>
                <w:tcPr/>
                <w:p>
                  <w:pPr>
                    <w:pStyle w:val="Compact"/>
                    <w:jc w:val="left"/>
                    <w:rPr>
                      <w:sz w:val="16"/>
                      <w:szCs w:val="16"/>
                    </w:rPr>
                  </w:pPr>
                  <w:r>
                    <w:rPr>
                      <w:sz w:val="16"/>
                      <w:szCs w:val="16"/>
                    </w:rPr>
                    <w:t xml:space="preserve">2005-2014, excluding 2012</w:t>
                  </w:r>
                </w:p>
              </w:tc>
              <w:tc>
                <w:tcPr/>
                <w:p>
                  <w:pPr>
                    <w:pStyle w:val="Compact"/>
                    <w:jc w:val="left"/>
                    <w:rPr>
                      <w:sz w:val="16"/>
                      <w:szCs w:val="16"/>
                    </w:rPr>
                  </w:pPr>
                  <w:r>
                    <w:rPr>
                      <w:sz w:val="16"/>
                      <w:szCs w:val="16"/>
                    </w:rPr>
                    <w:t xml:space="preserve">122700 cell-years</w:t>
                  </w:r>
                </w:p>
              </w:tc>
            </w:tr>
            <w:tr>
              <w:trPr>
                <w:trHeight w:val="340" w:hRule="exact"/>
              </w:trPr>
              <w:tc>
                <w:tcPr/>
                <w:p>
                  <w:pPr>
                    <w:pStyle w:val="Compact"/>
                    <w:jc w:val="left"/>
                    <w:rPr>
                      <w:sz w:val="16"/>
                      <w:szCs w:val="16"/>
                    </w:rPr>
                  </w:pPr>
                  <w:r>
                    <w:rPr>
                      <w:sz w:val="16"/>
                      <w:szCs w:val="16"/>
                    </w:rPr>
                    <w:t xml:space="preserve">Modelling table, 16-day</w:t>
                  </w:r>
                </w:p>
              </w:tc>
              <w:tc>
                <w:tcPr/>
                <w:p>
                  <w:pPr>
                    <w:pStyle w:val="Compact"/>
                    <w:jc w:val="left"/>
                    <w:rPr>
                      <w:sz w:val="16"/>
                      <w:szCs w:val="16"/>
                    </w:rPr>
                  </w:pPr>
                  <w:r>
                    <w:rPr>
                      <w:sz w:val="16"/>
                      <w:szCs w:val="16"/>
                    </w:rPr>
                    <w:t xml:space="preserve">Assembled by 45-epoch-model-data.R</w:t>
                  </w:r>
                </w:p>
              </w:tc>
              <w:tc>
                <w:tcPr/>
                <w:p>
                  <w:pPr>
                    <w:pStyle w:val="Compact"/>
                    <w:jc w:val="left"/>
                    <w:rPr>
                      <w:sz w:val="16"/>
                      <w:szCs w:val="16"/>
                    </w:rPr>
                  </w:pPr>
                  <w:r>
                    <w:rPr>
                      <w:sz w:val="16"/>
                      <w:szCs w:val="16"/>
                    </w:rPr>
                    <w:t xml:space="preserve">Response and every covariate, one row per cell-epoch</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16 days</w:t>
                  </w:r>
                </w:p>
              </w:tc>
              <w:tc>
                <w:tcPr/>
                <w:p>
                  <w:pPr>
                    <w:pStyle w:val="Compact"/>
                    <w:jc w:val="left"/>
                    <w:rPr>
                      <w:sz w:val="16"/>
                      <w:szCs w:val="16"/>
                    </w:rPr>
                  </w:pPr>
                  <w:r>
                    <w:rPr>
                      <w:sz w:val="16"/>
                      <w:szCs w:val="16"/>
                    </w:rPr>
                    <w:t xml:space="preserve">2006-2014</w:t>
                  </w:r>
                </w:p>
              </w:tc>
              <w:tc>
                <w:tcPr/>
                <w:p>
                  <w:pPr>
                    <w:pStyle w:val="Compact"/>
                    <w:jc w:val="left"/>
                    <w:rPr>
                      <w:sz w:val="16"/>
                      <w:szCs w:val="16"/>
                    </w:rPr>
                  </w:pPr>
                  <w:r>
                    <w:rPr>
                      <w:sz w:val="16"/>
                      <w:szCs w:val="16"/>
                    </w:rPr>
                    <w:t xml:space="preserve">71127 cell-epochs</w:t>
                  </w:r>
                </w:p>
              </w:tc>
            </w:tr>
          </w:tbl>
          <w:bookmarkEnd w:id="20"/>
          <w:p/>
        </w:tc>
      </w:tr>
    </w:tbl>
    <w:bookmarkStart w:id="21" w:name="abstract"/>
    <w:p>
      <w:pPr>
        <w:pStyle w:val="Heading1"/>
      </w:pPr>
      <w:r>
        <w:t xml:space="preserve">Abstract</w:t>
      </w:r>
    </w:p>
    <w:p>
      <w:pPr>
        <w:pStyle w:val="FirstParagraph"/>
      </w:pPr>
      <w:r>
        <w:t xml:space="preserve">Refugia from mountain pine beetle (</w:t>
      </w:r>
      <w:r>
        <w:rPr>
          <w:i/>
          <w:iCs/>
        </w:rPr>
        <w:t xml:space="preserve">Dendroctonus ponderosae</w:t>
      </w:r>
      <w:r>
        <w:t xml:space="preserve"> </w:t>
      </w:r>
      <w:r>
        <w:t xml:space="preserve">Hopkins) are hypothesised to</w:t>
      </w:r>
      <w:r>
        <w:t xml:space="preserve"> </w:t>
      </w:r>
      <w:r>
        <w:t xml:space="preserve">form where stands are thin enough for wind to disrupt the pheromone plume coordinating mass</w:t>
      </w:r>
      <w:r>
        <w:t xml:space="preserve"> </w:t>
      </w:r>
      <w:r>
        <w:t xml:space="preserve">attack. The hypothesis names topographic shading, low host density and few large-diameter</w:t>
      </w:r>
      <w:r>
        <w:t xml:space="preserve"> </w:t>
      </w:r>
      <w:r>
        <w:t xml:space="preserve">hosts, and none has been fitted. We tested all three over 5,573 ha of the Selkirk</w:t>
      </w:r>
      <w:r>
        <w:t xml:space="preserve"> </w:t>
      </w:r>
      <w:r>
        <w:t xml:space="preserve">Mountains, British Columbia, at 30 m across 914 m of relief, using Landsat</w:t>
      </w:r>
      <w:r>
        <w:t xml:space="preserve"> </w:t>
      </w:r>
      <w:r>
        <w:t xml:space="preserve">at its 16-day repeat: 59 epochs across 8 outbreak years,</w:t>
      </w:r>
      <w:r>
        <w:t xml:space="preserve"> </w:t>
      </w:r>
      <w:r>
        <w:t xml:space="preserve">66,302 cell-epochs. Predictors were inventory stand structure,</w:t>
      </w:r>
      <w:r>
        <w:t xml:space="preserve"> </w:t>
      </w:r>
      <w:r>
        <w:t xml:space="preserve">29 geomorphometric surfaces, solar radiation computed separately for the</w:t>
      </w:r>
      <w:r>
        <w:t xml:space="preserve"> </w:t>
      </w:r>
      <w:r>
        <w:t xml:space="preserve">flight window and the growing season, and a terrain-resolved wind field from the MicroMet</w:t>
      </w:r>
      <w:r>
        <w:t xml:space="preserve"> </w:t>
      </w:r>
      <w:r>
        <w:t xml:space="preserve">model driven by hourly station data for each epoch’s own sixteen days.</w:t>
      </w:r>
    </w:p>
    <w:p>
      <w:pPr>
        <w:pStyle w:val="BodyText"/>
      </w:pPr>
      <w:r>
        <w:t xml:space="preserve">The wind-disruption mechanism was supported. Stand density interacted negatively with wind,</w:t>
      </w:r>
      <w:r>
        <w:t xml:space="preserve"> </w:t>
      </w:r>
      <w:r>
        <w:t xml:space="preserve">-0.049 for stem density (p &lt; 0.001) and -0.017 for standing</w:t>
      </w:r>
      <w:r>
        <w:t xml:space="preserve"> </w:t>
      </w:r>
      <w:r>
        <w:t xml:space="preserve">volume (p &lt; 0.05), and both survived a within-season spread term carrying</w:t>
      </w:r>
      <w:r>
        <w:t xml:space="preserve"> </w:t>
      </w:r>
      <w:r>
        <w:t xml:space="preserve">+0.704. Host held through standing volume, +0.206,</w:t>
      </w:r>
      <w:r>
        <w:t xml:space="preserve"> </w:t>
      </w:r>
      <w:r>
        <w:t xml:space="preserve">and attack peaked at</w:t>
      </w:r>
      <w:r>
        <w:t xml:space="preserve"> </w:t>
      </w:r>
      <w:r>
        <w:t xml:space="preserve">45.9 per cent at 25 to 30 cm</w:t>
      </w:r>
      <w:r>
        <w:t xml:space="preserve"> </w:t>
      </w:r>
      <w:r>
        <w:t xml:space="preserve">diameter, the source-sink threshold. Topographic shading failed on its surrogate: growing-season</w:t>
      </w:r>
      <w:r>
        <w:t xml:space="preserve"> </w:t>
      </w:r>
      <w:r>
        <w:t xml:space="preserve">radiation did not survive selection, and northness, which correlates</w:t>
      </w:r>
      <w:r>
        <w:t xml:space="preserve"> </w:t>
      </w:r>
      <w:r>
        <w:t xml:space="preserve">-0.824 with it, is +0.320, so shaded ground</w:t>
      </w:r>
      <w:r>
        <w:t xml:space="preserve"> </w:t>
      </w:r>
      <w:r>
        <w:t xml:space="preserve">carries more attack.</w:t>
      </w:r>
    </w:p>
    <w:p>
      <w:pPr>
        <w:pStyle w:val="BodyText"/>
      </w:pPr>
      <w:r>
        <w:t xml:space="preserve">Temporal resolution decided the outcome. With one map a year, the same wind field, covariates</w:t>
      </w:r>
      <w:r>
        <w:t xml:space="preserve"> </w:t>
      </w:r>
      <w:r>
        <w:t xml:space="preserve">and threshold gave +0.127 (p &lt; 0.001), the opposite sign. Two further</w:t>
      </w:r>
      <w:r>
        <w:t xml:space="preserve"> </w:t>
      </w:r>
      <w:r>
        <w:t xml:space="preserve">specification tests showed why proxies mislead here: flight-window radiation cut the density</w:t>
      </w:r>
      <w:r>
        <w:t xml:space="preserve"> </w:t>
      </w:r>
      <w:r>
        <w:t xml:space="preserve">by terrain-exposure interaction from +0.045 to -0.050 without changing its</w:t>
      </w:r>
      <w:r>
        <w:t xml:space="preserve"> </w:t>
      </w:r>
      <w:r>
        <w:t xml:space="preserve">sign, and previous-year pressure left valley depth at 0.29 of its value</w:t>
      </w:r>
      <w:r>
        <w:t xml:space="preserve"> </w:t>
      </w:r>
      <w:r>
        <w:t xml:space="preserve">while mid-slope position moved to 1.27. A wind test aggregated to the year answers a different question from the one</w:t>
      </w:r>
      <w:r>
        <w:t xml:space="preserve"> </w:t>
      </w:r>
      <w:r>
        <w:t xml:space="preserve">the mechanism poses, and answers it wrongly.</w:t>
      </w:r>
    </w:p>
    <w:bookmarkEnd w:id="21"/>
    <w:bookmarkStart w:id="23" w:name="introduction"/>
    <w:p>
      <w:pPr>
        <w:pStyle w:val="Heading1"/>
      </w:pPr>
      <w:r>
        <w:t xml:space="preserve">1. Introduction</w:t>
      </w:r>
    </w:p>
    <w:p>
      <w:pPr>
        <w:pStyle w:val="FirstParagraph"/>
      </w:pPr>
      <w:r>
        <w:t xml:space="preserve">Mountain pine beetle (</w:t>
      </w:r>
      <w:r>
        <w:rPr>
          <w:i/>
          <w:iCs/>
        </w:rPr>
        <w:t xml:space="preserve">Dendroctonus ponderosae</w:t>
      </w:r>
      <w:r>
        <w:t xml:space="preserve"> </w:t>
      </w:r>
      <w:r>
        <w:t xml:space="preserve">Hopkins) has killed more lodgepole pine</w:t>
      </w:r>
      <w:r>
        <w:t xml:space="preserve"> </w:t>
      </w:r>
      <w:r>
        <w:t xml:space="preserve">(</w:t>
      </w:r>
      <w:r>
        <w:rPr>
          <w:i/>
          <w:iCs/>
        </w:rPr>
        <w:t xml:space="preserve">Pinus contorta</w:t>
      </w:r>
      <w:r>
        <w:t xml:space="preserve"> </w:t>
      </w:r>
      <w:r>
        <w:t xml:space="preserve">Douglas ex Loudon) in British Columbia than any other agent on record</w:t>
      </w:r>
      <w:r>
        <w:t xml:space="preserve"> </w:t>
      </w:r>
      <w:r>
        <w:t xml:space="preserve">(Sambaraju &amp; Goodsman, 2021; Taylor &amp; Carroll, 2003)</w:t>
      </w:r>
      <w:r>
        <w:t xml:space="preserve">. An outbreak never kills a landscape evenly. The patches that survive carry the forest’s</w:t>
      </w:r>
      <w:r>
        <w:t xml:space="preserve"> </w:t>
      </w:r>
      <w:r>
        <w:t xml:space="preserve">structure and seed into whatever comes next, and those patches have a name: disturbance</w:t>
      </w:r>
      <w:r>
        <w:t xml:space="preserve"> </w:t>
      </w:r>
      <w:r>
        <w:t xml:space="preserve">refugia, places buffered from disturbance over time</w:t>
      </w:r>
      <w:r>
        <w:t xml:space="preserve"> </w:t>
      </w:r>
      <w:r>
        <w:t xml:space="preserve">(Krawchuk et al., 2020)</w:t>
      </w:r>
      <w:r>
        <w:t xml:space="preserve">. Finding a refugium is</w:t>
      </w:r>
      <w:r>
        <w:t xml:space="preserve"> </w:t>
      </w:r>
      <w:r>
        <w:t xml:space="preserve">not the same as explaining one. Explanation needs a mechanism that ties survival to</w:t>
      </w:r>
      <w:r>
        <w:t xml:space="preserve"> </w:t>
      </w:r>
      <w:r>
        <w:t xml:space="preserve">something measurable on the ground, such as terrain, soil or the structure of the stand</w:t>
      </w:r>
      <w:r>
        <w:t xml:space="preserve"> </w:t>
      </w:r>
      <w:r>
        <w:t xml:space="preserve">itself</w:t>
      </w:r>
      <w:r>
        <w:t xml:space="preserve"> </w:t>
      </w:r>
      <w:r>
        <w:t xml:space="preserve">(Cartwright, 2018)</w:t>
      </w:r>
      <w:r>
        <w:t xml:space="preserve">.</w:t>
      </w:r>
    </w:p>
    <w:p>
      <w:pPr>
        <w:pStyle w:val="BodyText"/>
      </w:pPr>
      <w:r>
        <w:t xml:space="preserve">Krawchuk et al. (2020)</w:t>
      </w:r>
      <w:r>
        <w:t xml:space="preserve"> </w:t>
      </w:r>
      <w:r>
        <w:t xml:space="preserve">proposed such a mechanism: refugia could occur</w:t>
      </w:r>
      <w:r>
        <w:t xml:space="preserve"> </w:t>
      </w:r>
      <w:r>
        <w:t xml:space="preserve">“in areas with cooler</w:t>
      </w:r>
      <w:r>
        <w:t xml:space="preserve"> </w:t>
      </w:r>
      <w:r>
        <w:t xml:space="preserve">temperatures (eg from topographic shading) that protect trees from water stress; in areas</w:t>
      </w:r>
      <w:r>
        <w:t xml:space="preserve"> </w:t>
      </w:r>
      <w:r>
        <w:t xml:space="preserve">with lower host density, allowing for greater wind disruption of beetle pheromone</w:t>
      </w:r>
      <w:r>
        <w:t xml:space="preserve"> </w:t>
      </w:r>
      <w:r>
        <w:t xml:space="preserve">communication and more vigorous tree growth and chemical defenses; and in areas with fewer</w:t>
      </w:r>
      <w:r>
        <w:t xml:space="preserve"> </w:t>
      </w:r>
      <w:r>
        <w:t xml:space="preserve">large-diameter host trees”</w:t>
      </w:r>
      <w:r>
        <w:t xml:space="preserve">. We treat these as three testable hypotheses. Under H1, topographic shading reduces attack</w:t>
      </w:r>
      <w:r>
        <w:t xml:space="preserve"> </w:t>
      </w:r>
      <w:r>
        <w:t xml:space="preserve">by relieving water stress on cool ground. Under H2, low host density reduces attack by</w:t>
      </w:r>
      <w:r>
        <w:t xml:space="preserve"> </w:t>
      </w:r>
      <w:r>
        <w:t xml:space="preserve">admitting the wind that disperses the aggregation pheromone. Under H3, a scarcity of</w:t>
      </w:r>
      <w:r>
        <w:t xml:space="preserve"> </w:t>
      </w:r>
      <w:r>
        <w:t xml:space="preserve">large-diameter hosts reduces attack by limiting brood production. Two of the three act</w:t>
      </w:r>
      <w:r>
        <w:t xml:space="preserve"> </w:t>
      </w:r>
      <w:r>
        <w:t xml:space="preserve">through terrain, and none has been fitted to a map.</w:t>
      </w:r>
      <w:r>
        <w:t xml:space="preserve"> </w:t>
      </w:r>
      <w:r>
        <w:t xml:space="preserve">Of the studies our screen retained, one enters a wind term at all, and it is a companion</w:t>
      </w:r>
      <w:r>
        <w:t xml:space="preserve"> </w:t>
      </w:r>
      <w:r>
        <w:t xml:space="preserve">study on this same landscape whose response is conifer regeneration rather than beetle</w:t>
      </w:r>
      <w:r>
        <w:t xml:space="preserve"> </w:t>
      </w:r>
      <w:r>
        <w:t xml:space="preserve">attack</w:t>
      </w:r>
      <w:r>
        <w:t xml:space="preserve"> </w:t>
      </w:r>
      <w:r>
        <w:t xml:space="preserve">(Murphy, Leslie, Wilson, &amp; Banks, 2026)</w:t>
      </w:r>
      <w:r>
        <w:t xml:space="preserve">.</w:t>
      </w:r>
    </w:p>
    <w:p>
      <w:pPr>
        <w:pStyle w:val="BodyText"/>
      </w:pPr>
      <w:r>
        <w:t xml:space="preserve">The wind half is a claim about canopy, not open air.</w:t>
      </w:r>
      <w:r>
        <w:t xml:space="preserve"> </w:t>
      </w:r>
      <w:r>
        <w:t xml:space="preserve">Cartwright (2018)</w:t>
      </w:r>
      <w:r>
        <w:t xml:space="preserve"> </w:t>
      </w:r>
      <w:r>
        <w:t xml:space="preserve">is the one retained study designed</w:t>
      </w:r>
      <w:r>
        <w:t xml:space="preserve"> </w:t>
      </w:r>
      <w:r>
        <w:t xml:space="preserve">to model what controls an insect refugium, and it located refugia in stands of low basal</w:t>
      </w:r>
      <w:r>
        <w:t xml:space="preserve"> </w:t>
      </w:r>
      <w:r>
        <w:t xml:space="preserve">area, reasoning that</w:t>
      </w:r>
      <w:r>
        <w:t xml:space="preserve"> </w:t>
      </w:r>
      <w:r>
        <w:t xml:space="preserve">“thinner stands also increase wind penetration, helping to disperse</w:t>
      </w:r>
      <w:r>
        <w:t xml:space="preserve"> </w:t>
      </w:r>
      <w:r>
        <w:t xml:space="preserve">beetle pheromones and disrupt chemical communications needed to coordinate attacks.”</w:t>
      </w:r>
      <w:r>
        <w:t xml:space="preserve"> </w:t>
      </w:r>
      <w:r>
        <w:t xml:space="preserve">Powell &amp; Bentz (2014)</w:t>
      </w:r>
      <w:r>
        <w:t xml:space="preserve"> </w:t>
      </w:r>
      <w:r>
        <w:t xml:space="preserve">state the converse as the</w:t>
      </w:r>
      <w:r>
        <w:t xml:space="preserve"> </w:t>
      </w:r>
      <w:r>
        <w:t xml:space="preserve">condition for outbreak:</w:t>
      </w:r>
      <w:r>
        <w:t xml:space="preserve"> </w:t>
      </w:r>
      <w:r>
        <w:t xml:space="preserve">“higher local host density, which minimizes pheromone plume</w:t>
      </w:r>
      <w:r>
        <w:t xml:space="preserve"> </w:t>
      </w:r>
      <w:r>
        <w:t xml:space="preserve">dispersion, reduces wind, and promotes successful switching to nearby hosts, positively</w:t>
      </w:r>
      <w:r>
        <w:t xml:space="preserve"> </w:t>
      </w:r>
      <w:r>
        <w:t xml:space="preserve">influences outbreak propensity.”</w:t>
      </w:r>
      <w:r>
        <w:t xml:space="preserve"> </w:t>
      </w:r>
      <w:r>
        <w:t xml:space="preserve">A model that controls stand density out and then reads a</w:t>
      </w:r>
      <w:r>
        <w:t xml:space="preserve"> </w:t>
      </w:r>
      <w:r>
        <w:t xml:space="preserve">terrain coefficient as a wind effect has removed the pathway it set out to test.</w:t>
      </w:r>
    </w:p>
    <w:p>
      <w:pPr>
        <w:pStyle w:val="BodyText"/>
      </w:pPr>
      <w:r>
        <w:t xml:space="preserve">Terrain acts through more than airflow. Flight has a temperature window: the beetle flies</w:t>
      </w:r>
      <w:r>
        <w:t xml:space="preserve"> </w:t>
      </w:r>
      <w:r>
        <w:t xml:space="preserve">between 19 and 41 degrees C, and mostly between 22 and 32, and</w:t>
      </w:r>
      <w:r>
        <w:t xml:space="preserve"> </w:t>
      </w:r>
      <w:r>
        <w:t xml:space="preserve">“most flights occur on bright sunny days, and peak flight is in</w:t>
      </w:r>
      <w:r>
        <w:t xml:space="preserve"> </w:t>
      </w:r>
      <w:r>
        <w:t xml:space="preserve">the early to mid afternoon”</w:t>
      </w:r>
      <w:r>
        <w:t xml:space="preserve"> </w:t>
      </w:r>
      <w:r>
        <w:t xml:space="preserve">(McCambridge, 1971; Safranyik &amp; Carroll, 2006)</w:t>
      </w:r>
      <w:r>
        <w:t xml:space="preserve">. Radiation during the</w:t>
      </w:r>
      <w:r>
        <w:t xml:space="preserve"> </w:t>
      </w:r>
      <w:r>
        <w:t xml:space="preserve">flight window is therefore a different quantity from radiation across the season, and the</w:t>
      </w:r>
      <w:r>
        <w:t xml:space="preserve"> </w:t>
      </w:r>
      <w:r>
        <w:t xml:space="preserve">season quantity is the one the shading pathway concerns. Light, temperature and wind are not</w:t>
      </w:r>
      <w:r>
        <w:t xml:space="preserve"> </w:t>
      </w:r>
      <w:r>
        <w:t xml:space="preserve">competing explanations but one bundle. Stand density governs</w:t>
      </w:r>
      <w:r>
        <w:t xml:space="preserve"> </w:t>
      </w:r>
      <w:r>
        <w:t xml:space="preserve">“tree vigour and within-stand</w:t>
      </w:r>
      <w:r>
        <w:t xml:space="preserve"> </w:t>
      </w:r>
      <w:r>
        <w:t xml:space="preserve">microclimate, which in turn influence success of bark beetle dispersal, host selection, attack</w:t>
      </w:r>
      <w:r>
        <w:t xml:space="preserve"> </w:t>
      </w:r>
      <w:r>
        <w:t xml:space="preserve">or brood development”</w:t>
      </w:r>
      <w:r>
        <w:t xml:space="preserve"> </w:t>
      </w:r>
      <w:r>
        <w:t xml:space="preserve">(Safranyik &amp; Carroll, 2006)</w:t>
      </w:r>
      <w:r>
        <w:t xml:space="preserve">;</w:t>
      </w:r>
      <w:r>
        <w:t xml:space="preserve"> </w:t>
      </w:r>
      <w:r>
        <w:t xml:space="preserve">Bartos &amp; Amman (1989)</w:t>
      </w:r>
      <w:r>
        <w:t xml:space="preserve"> </w:t>
      </w:r>
      <w:r>
        <w:t xml:space="preserve">set the two halves of that bundle</w:t>
      </w:r>
      <w:r>
        <w:t xml:space="preserve"> </w:t>
      </w:r>
      <w:r>
        <w:t xml:space="preserve">against each other in their own title, microclimate against tree vigour. A third route leads</w:t>
      </w:r>
      <w:r>
        <w:t xml:space="preserve"> </w:t>
      </w:r>
      <w:r>
        <w:t xml:space="preserve">to the same place. Cool sites slow development enough to push the beetle onto a two-year</w:t>
      </w:r>
      <w:r>
        <w:t xml:space="preserve"> </w:t>
      </w:r>
      <w:r>
        <w:t xml:space="preserve">cycle</w:t>
      </w:r>
      <w:r>
        <w:t xml:space="preserve"> </w:t>
      </w:r>
      <w:r>
        <w:t xml:space="preserve">(Sambaraju &amp; Goodsman, 2021)</w:t>
      </w:r>
      <w:r>
        <w:t xml:space="preserve">. So shade and vigour both predict less attack on cool ground, by</w:t>
      </w:r>
      <w:r>
        <w:t xml:space="preserve"> </w:t>
      </w:r>
      <w:r>
        <w:t xml:space="preserve">routes this design cannot separate.</w:t>
      </w:r>
    </w:p>
    <w:p>
      <w:pPr>
        <w:pStyle w:val="BodyText"/>
      </w:pPr>
      <w:r>
        <w:t xml:space="preserve">Two further constraints decide what a wind term can be measured over, and both are</w:t>
      </w:r>
      <w:r>
        <w:t xml:space="preserve"> </w:t>
      </w:r>
      <w:r>
        <w:t xml:space="preserve">temporal rather than spatial. The first is the day.</w:t>
      </w:r>
      <w:r>
        <w:t xml:space="preserve"> </w:t>
      </w:r>
      <w:r>
        <w:t xml:space="preserve">Gray, Billings, Gara, &amp; Johnsey (1972)</w:t>
      </w:r>
      <w:r>
        <w:t xml:space="preserve"> </w:t>
      </w:r>
      <w:r>
        <w:t xml:space="preserve">recorded emergence in</w:t>
      </w:r>
      <w:r>
        <w:t xml:space="preserve"> </w:t>
      </w:r>
      <w:r>
        <w:rPr>
          <w:i/>
          <w:iCs/>
        </w:rPr>
        <w:t xml:space="preserve">D. ponderosae</w:t>
      </w:r>
      <w:r>
        <w:t xml:space="preserve"> </w:t>
      </w:r>
      <w:r>
        <w:t xml:space="preserve">against ambient temperature and found that on days whose maximum stayed</w:t>
      </w:r>
      <w:r>
        <w:t xml:space="preserve"> </w:t>
      </w:r>
      <w:r>
        <w:t xml:space="preserve">within optimal limits, emergence</w:t>
      </w:r>
      <w:r>
        <w:t xml:space="preserve"> </w:t>
      </w:r>
      <w:r>
        <w:t xml:space="preserve">“began when temperatures rose above 20’ C, then increased</w:t>
      </w:r>
      <w:r>
        <w:t xml:space="preserve"> </w:t>
      </w:r>
      <w:r>
        <w:t xml:space="preserve">in the morning hours with increasing temperatures, and ceased in the afternoon at about the</w:t>
      </w:r>
      <w:r>
        <w:t xml:space="preserve"> </w:t>
      </w:r>
      <w:r>
        <w:t xml:space="preserve">same threshold temperature”</w:t>
      </w:r>
      <w:r>
        <w:t xml:space="preserve">, with</w:t>
      </w:r>
      <w:r>
        <w:t xml:space="preserve"> </w:t>
      </w:r>
      <w:r>
        <w:t xml:space="preserve">“Peak emergence occurred between 11 a. m. and 2 p. m.</w:t>
      </w:r>
      <w:r>
        <w:t xml:space="preserve"> </w:t>
      </w:r>
      <w:r>
        <w:t xml:space="preserve">when 61 percent (232 out of 379) of the beetles were collected”</w:t>
      </w:r>
      <w:r>
        <w:t xml:space="preserve">. They also record</w:t>
      </w:r>
      <w:r>
        <w:t xml:space="preserve"> </w:t>
      </w:r>
      <w:r>
        <w:t xml:space="preserve">“the</w:t>
      </w:r>
      <w:r>
        <w:t xml:space="preserve"> </w:t>
      </w:r>
      <w:r>
        <w:t xml:space="preserve">sharp decline in activity which occurred when ambient temperatures exceeded 30’ C”</w:t>
      </w:r>
      <w:r>
        <w:t xml:space="preserve">. Flight</w:t>
      </w:r>
      <w:r>
        <w:t xml:space="preserve"> </w:t>
      </w:r>
      <w:r>
        <w:t xml:space="preserve">is therefore gated at both ends and confined to a few hours, and a daily or monthly mean</w:t>
      </w:r>
      <w:r>
        <w:t xml:space="preserve"> </w:t>
      </w:r>
      <w:r>
        <w:t xml:space="preserve">wind speed averages across hours in which no beetle is flying.</w:t>
      </w:r>
    </w:p>
    <w:p>
      <w:pPr>
        <w:pStyle w:val="BodyText"/>
      </w:pPr>
      <w:r>
        <w:t xml:space="preserve">The second is the season, and it is a population constraint rather than an individual one.</w:t>
      </w:r>
      <w:r>
        <w:t xml:space="preserve"> </w:t>
      </w:r>
      <w:r>
        <w:t xml:space="preserve">Mass attack is a threshold phenomenon:</w:t>
      </w:r>
      <w:r>
        <w:t xml:space="preserve"> </w:t>
      </w:r>
      <w:r>
        <w:t xml:space="preserve">Howe, Raffa, Aukema, Gratton, &amp; Carroll (2022)</w:t>
      </w:r>
      <w:r>
        <w:t xml:space="preserve"> </w:t>
      </w:r>
      <w:r>
        <w:t xml:space="preserve">conclude that</w:t>
      </w:r>
      <w:r>
        <w:t xml:space="preserve"> </w:t>
      </w:r>
      <w:r>
        <w:t xml:space="preserve">“a combination of</w:t>
      </w:r>
      <w:r>
        <w:t xml:space="preserve"> </w:t>
      </w:r>
      <w:r>
        <w:t xml:space="preserve">stand-level spatial aggregation, behavioral shifts, and higher quality of attainable hosts</w:t>
      </w:r>
      <w:r>
        <w:t xml:space="preserve"> </w:t>
      </w:r>
      <w:r>
        <w:t xml:space="preserve">defines a critical threshold beyond which continual population growth becomes</w:t>
      </w:r>
      <w:r>
        <w:t xml:space="preserve"> </w:t>
      </w:r>
      <w:r>
        <w:t xml:space="preserve">self-driving”</w:t>
      </w:r>
      <w:r>
        <w:t xml:space="preserve">, and</w:t>
      </w:r>
      <w:r>
        <w:t xml:space="preserve"> </w:t>
      </w:r>
      <w:r>
        <w:t xml:space="preserve">Cooke, MacQuarrie, &amp; Carroll (2025)</w:t>
      </w:r>
      <w:r>
        <w:t xml:space="preserve"> </w:t>
      </w:r>
      <w:r>
        <w:t xml:space="preserve">define the irruption threshold as</w:t>
      </w:r>
      <w:r>
        <w:t xml:space="preserve"> </w:t>
      </w:r>
      <w:r>
        <w:t xml:space="preserve">“the population density at</w:t>
      </w:r>
      <w:r>
        <w:t xml:space="preserve"> </w:t>
      </w:r>
      <w:r>
        <w:t xml:space="preserve">which endemic populations may transition towards the epidemic state”</w:t>
      </w:r>
      <w:r>
        <w:t xml:space="preserve">.</w:t>
      </w:r>
      <w:r>
        <w:t xml:space="preserve"> </w:t>
      </w:r>
      <w:r>
        <w:t xml:space="preserve">Carroll &amp; Safranyik (2004)</w:t>
      </w:r>
      <w:r>
        <w:t xml:space="preserve"> </w:t>
      </w:r>
      <w:r>
        <w:t xml:space="preserve">place the same argument on the thermal side, requiring</w:t>
      </w:r>
      <w:r>
        <w:t xml:space="preserve"> </w:t>
      </w:r>
      <w:r>
        <w:t xml:space="preserve">“thermal environments conducive to</w:t>
      </w:r>
      <w:r>
        <w:t xml:space="preserve"> </w:t>
      </w:r>
      <w:r>
        <w:t xml:space="preserve">overwintering survival and with sufficient heat accumulation to maintain a synchronous</w:t>
      </w:r>
      <w:r>
        <w:t xml:space="preserve"> </w:t>
      </w:r>
      <w:r>
        <w:t xml:space="preserve">univoltine life cycle”</w:t>
      </w:r>
      <w:r>
        <w:t xml:space="preserve">. Two things follow for this design. Attack in one year is not</w:t>
      </w:r>
      <w:r>
        <w:t xml:space="preserve"> </w:t>
      </w:r>
      <w:r>
        <w:t xml:space="preserve">independent of attack in the year before, which is why previous-year and neighbourhood</w:t>
      </w:r>
      <w:r>
        <w:t xml:space="preserve"> </w:t>
      </w:r>
      <w:r>
        <w:t xml:space="preserve">pressure enter the models. And an environmental variable that acts on this system acts by</w:t>
      </w:r>
      <w:r>
        <w:t xml:space="preserve"> </w:t>
      </w:r>
      <w:r>
        <w:t xml:space="preserve">regulating that threshold rather than by adding to attack:</w:t>
      </w:r>
      <w:r>
        <w:t xml:space="preserve"> </w:t>
      </w:r>
      <w:r>
        <w:t xml:space="preserve">Cooke et al. (2025)</w:t>
      </w:r>
      <w:r>
        <w:t xml:space="preserve"> </w:t>
      </w:r>
      <w:r>
        <w:t xml:space="preserve">report that</w:t>
      </w:r>
      <w:r>
        <w:t xml:space="preserve"> </w:t>
      </w:r>
      <w:r>
        <w:t xml:space="preserve">“in every</w:t>
      </w:r>
      <w:r>
        <w:t xml:space="preserve"> </w:t>
      </w:r>
      <w:r>
        <w:t xml:space="preserve">study where an Allee effect was demonstrated, investigators also identified at least one</w:t>
      </w:r>
      <w:r>
        <w:t xml:space="preserve"> </w:t>
      </w:r>
      <w:r>
        <w:t xml:space="preserve">extrinsic environmental factor (e.g., winter weather, summer drought, microclimatic effect)</w:t>
      </w:r>
      <w:r>
        <w:t xml:space="preserve"> </w:t>
      </w:r>
      <w:r>
        <w:t xml:space="preserve">that was regulating its strength”</w:t>
      </w:r>
      <w:r>
        <w:t xml:space="preserve">. A wind effect on mass attack is therefore expected as an</w:t>
      </w:r>
      <w:r>
        <w:t xml:space="preserve"> </w:t>
      </w:r>
      <w:r>
        <w:t xml:space="preserve">interaction with host density, which is what this study fits, and not as a main effect.</w:t>
      </w:r>
    </w:p>
    <w:p>
      <w:pPr>
        <w:pStyle w:val="BodyText"/>
      </w:pPr>
      <w:r>
        <w:t xml:space="preserve">No product reports the wind the hypothesis concerns, an instantaneous below-canopy speed at</w:t>
      </w:r>
      <w:r>
        <w:t xml:space="preserve"> </w:t>
      </w:r>
      <w:r>
        <w:t xml:space="preserve">flight height during the flight period. Gridded climatologies report a long-run mean at 10 m</w:t>
      </w:r>
      <w:r>
        <w:t xml:space="preserve"> </w:t>
      </w:r>
      <w:r>
        <w:t xml:space="preserve">over open ground and are downscaled over a digital elevation model, making them partly a</w:t>
      </w:r>
      <w:r>
        <w:t xml:space="preserve"> </w:t>
      </w:r>
      <w:r>
        <w:t xml:space="preserve">transform of the terrain offered alongside them</w:t>
      </w:r>
      <w:r>
        <w:t xml:space="preserve"> </w:t>
      </w:r>
      <w:r>
        <w:t xml:space="preserve">(Badger, Frank, Hahmann, &amp; Giebel, 2014; Davis et al., 2023)</w:t>
      </w:r>
      <w:r>
        <w:t xml:space="preserve">. Nor does the</w:t>
      </w:r>
      <w:r>
        <w:t xml:space="preserve"> </w:t>
      </w:r>
      <w:r>
        <w:t xml:space="preserve">literature state the interval over which wind should be summarised. We therefore take wind</w:t>
      </w:r>
      <w:r>
        <w:t xml:space="preserve"> </w:t>
      </w:r>
      <w:r>
        <w:t xml:space="preserve">from station observations of each 16-day period, modify it over the terrain with the MicroMet</w:t>
      </w:r>
      <w:r>
        <w:t xml:space="preserve"> </w:t>
      </w:r>
      <w:r>
        <w:t xml:space="preserve">model</w:t>
      </w:r>
      <w:r>
        <w:t xml:space="preserve"> </w:t>
      </w:r>
      <w:r>
        <w:t xml:space="preserve">(Liston &amp; Elder, 2006)</w:t>
      </w:r>
      <w:r>
        <w:t xml:space="preserve">, and test the response at Landsat’s own 16-day repeat rather than annually.</w:t>
      </w:r>
    </w:p>
    <w:p>
      <w:pPr>
        <w:pStyle w:val="BodyText"/>
      </w:pPr>
      <w:hyperlink w:anchor="tbl-hypotheses">
        <w:r>
          <w:rPr>
            <w:rStyle w:val="Hyperlink"/>
          </w:rPr>
          <w:t xml:space="preserve">Table 2</w:t>
        </w:r>
      </w:hyperlink>
      <w:r>
        <w:t xml:space="preserve"> </w:t>
      </w:r>
      <w:r>
        <w:t xml:space="preserve">gives the direction expected of each attribute and the reasoning behind it.</w:t>
      </w:r>
      <w:r>
        <w:t xml:space="preserve"> </w:t>
      </w:r>
      <w:r>
        <w:t xml:space="preserve">This study asks five questions. Does stand density predict moderate-to-high disturbance, as</w:t>
      </w:r>
      <w:r>
        <w:t xml:space="preserve"> </w:t>
      </w:r>
      <w:r>
        <w:t xml:space="preserve">the pheromone mechanism requires? Does topographic shading predict it, against the competing</w:t>
      </w:r>
      <w:r>
        <w:t xml:space="preserve"> </w:t>
      </w:r>
      <w:r>
        <w:t xml:space="preserve">microclimate and adaptive-seasonality arguments? Does terrain shape predict it once density</w:t>
      </w:r>
      <w:r>
        <w:t xml:space="preserve"> </w:t>
      </w:r>
      <w:r>
        <w:t xml:space="preserve">and radiation are already in the model? Is the density effect conditional on wind, which is</w:t>
      </w:r>
      <w:r>
        <w:t xml:space="preserve"> </w:t>
      </w:r>
      <w:r>
        <w:t xml:space="preserve">the form the mechanism actually takes? And how much of the answer depends on the interval the</w:t>
      </w:r>
      <w:r>
        <w:t xml:space="preserve"> </w:t>
      </w:r>
      <w:r>
        <w:t xml:space="preserve">response is measured over?</w:t>
      </w:r>
    </w:p>
    <w:tbl>
      <w:tblPr>
        <w:tblStyle w:val="Table"/>
        <w:tblW w:type="pct" w:w="5000"/>
        <w:tblLayout w:type="fixed"/>
        <w:tblLook w:firstRow="0" w:lastRow="0" w:firstColumn="0" w:lastColumn="0" w:noHBand="0" w:noVBand="0" w:val="0000"/>
      </w:tblPr>
      <w:tblGrid>
        <w:gridCol w:w="7920"/>
      </w:tblGrid>
      <w:tr>
        <w:tc>
          <w:tcPr/>
          <w:bookmarkStart w:id="22" w:name="tbl-hypotheses"/>
          <w:p>
            <w:pPr>
              <w:jc w:val="center"/>
            </w:pPr>
            <w:pPr>
              <w:jc w:val="start"/>
              <w:spacing w:before="200"/>
              <w:pStyle w:val="ImageCaption"/>
            </w:pPr>
            <w:r>
              <w:t xml:space="preserve">Table 2: Landscape attributes entered in this study, the direction expected of each, and the reasoning behind that expectation.</w:t>
            </w:r>
          </w:p>
          <w:tbl>
            <w:tblPr>
              <w:tblStyle w:val="Table"/>
              <w:tblLook w:firstRow="1" w:lastRow="0" w:firstColumn="0" w:lastColumn="0" w:noHBand="0" w:noVBand="0" w:val="0020"/>
              <w:tblW w:w="9354" w:type="dxa"/>
              <w:tblLayout w:type="fixed"/>
            </w:tblPr>
            <w:tblGrid>
              <w:gridCol w:w="2039"/>
              <w:gridCol w:w="1239"/>
              <w:gridCol w:w="6076"/>
            </w:tblGrid>
            <w:tr>
              <w:trPr>
                <w:tblHeader w:val="on"/>
                <w:trHeight w:val="624" w:hRule="exact"/>
              </w:trPr>
              <w:tc>
                <w:tcPr/>
                <w:p>
                  <w:pPr>
                    <w:pStyle w:val="Compact"/>
                    <w:jc w:val="left"/>
                    <w:rPr>
                      <w:sz w:val="16"/>
                      <w:szCs w:val="16"/>
                    </w:rPr>
                  </w:pPr>
                  <w:r>
                    <w:rPr>
                      <w:sz w:val="16"/>
                      <w:szCs w:val="16"/>
                    </w:rPr>
                    <w:t xml:space="preserve">Attribute</w:t>
                  </w:r>
                </w:p>
              </w:tc>
              <w:tc>
                <w:tcPr/>
                <w:p>
                  <w:pPr>
                    <w:pStyle w:val="Compact"/>
                    <w:jc w:val="left"/>
                    <w:rPr>
                      <w:sz w:val="16"/>
                      <w:szCs w:val="16"/>
                    </w:rPr>
                  </w:pPr>
                  <w:r>
                    <w:rPr>
                      <w:sz w:val="16"/>
                      <w:szCs w:val="16"/>
                    </w:rPr>
                    <w:t xml:space="preserve">Expected</w:t>
                  </w:r>
                </w:p>
              </w:tc>
              <w:tc>
                <w:tcPr/>
                <w:p>
                  <w:pPr>
                    <w:pStyle w:val="Compact"/>
                    <w:jc w:val="left"/>
                    <w:rPr>
                      <w:sz w:val="16"/>
                      <w:szCs w:val="16"/>
                    </w:rPr>
                  </w:pPr>
                  <w:r>
                    <w:rPr>
                      <w:sz w:val="16"/>
                      <w:szCs w:val="16"/>
                    </w:rPr>
                    <w:t xml:space="preserve">Rationale</w:t>
                  </w:r>
                </w:p>
              </w:tc>
            </w:tr>
            <w:tr>
              <w:trPr>
                <w:trHeight w:val="340" w:hRule="exact"/>
              </w:trPr>
              <w:tc>
                <w:tcPr/>
                <w:p>
                  <w:pPr>
                    <w:pStyle w:val="Compact"/>
                    <w:jc w:val="left"/>
                    <w:rPr>
                      <w:sz w:val="16"/>
                      <w:szCs w:val="16"/>
                    </w:rPr>
                  </w:pPr>
                  <w:r>
                    <w:rPr>
                      <w:sz w:val="16"/>
                      <w:szCs w:val="16"/>
                    </w:rPr>
                    <w:t xml:space="preserve">Stand basal area, volume, crown closure, stems</w:t>
                  </w:r>
                </w:p>
              </w:tc>
              <w:tc>
                <w:tcPr/>
                <w:p>
                  <w:pPr>
                    <w:pStyle w:val="Compact"/>
                    <w:jc w:val="left"/>
                    <w:rPr>
                      <w:sz w:val="16"/>
                      <w:szCs w:val="16"/>
                    </w:rPr>
                  </w:pPr>
                  <w:r>
                    <w:rPr>
                      <w:sz w:val="16"/>
                      <w:szCs w:val="16"/>
                    </w:rPr>
                    <w:t xml:space="preserve">positive</w:t>
                  </w:r>
                </w:p>
              </w:tc>
              <w:tc>
                <w:tcPr/>
                <w:p>
                  <w:pPr>
                    <w:pStyle w:val="Compact"/>
                    <w:jc w:val="left"/>
                    <w:rPr>
                      <w:sz w:val="16"/>
                      <w:szCs w:val="16"/>
                    </w:rPr>
                  </w:pPr>
                  <w:r>
                    <w:rPr>
                      <w:sz w:val="16"/>
                      <w:szCs w:val="16"/>
                    </w:rPr>
                    <w:t xml:space="preserve">Denser canopy holds the pheromone plume together; thinner stands admit wind that disperses it</w:t>
                  </w:r>
                  <w:r>
                    <w:rPr>
                      <w:sz w:val="16"/>
                      <w:szCs w:val="16"/>
                    </w:rPr>
                    <w:t xml:space="preserve"> </w:t>
                  </w:r>
                  <w:r>
                    <w:rPr>
                      <w:sz w:val="16"/>
                      <w:szCs w:val="16"/>
                    </w:rPr>
                    <w:t xml:space="preserve">(Cartwright, 2018; Krawchuk et al., 2020; Powell &amp; Bentz, 2014)</w:t>
                  </w:r>
                  <w:r>
                    <w:rPr>
                      <w:sz w:val="16"/>
                      <w:szCs w:val="16"/>
                    </w:rPr>
                    <w:t xml:space="preserve">.</w:t>
                  </w:r>
                </w:p>
              </w:tc>
            </w:tr>
            <w:tr>
              <w:trPr>
                <w:trHeight w:val="340" w:hRule="exact"/>
              </w:trPr>
              <w:tc>
                <w:tcPr/>
                <w:p>
                  <w:pPr>
                    <w:pStyle w:val="Compact"/>
                    <w:jc w:val="left"/>
                    <w:rPr>
                      <w:sz w:val="16"/>
                      <w:szCs w:val="16"/>
                    </w:rPr>
                  </w:pPr>
                  <w:r>
                    <w:rPr>
                      <w:sz w:val="16"/>
                      <w:szCs w:val="16"/>
                    </w:rPr>
                    <w:t xml:space="preserve">Quadratic mean diameter</w:t>
                  </w:r>
                </w:p>
              </w:tc>
              <w:tc>
                <w:tcPr/>
                <w:p>
                  <w:pPr>
                    <w:pStyle w:val="Compact"/>
                    <w:jc w:val="left"/>
                    <w:rPr>
                      <w:sz w:val="16"/>
                      <w:szCs w:val="16"/>
                    </w:rPr>
                  </w:pPr>
                  <w:r>
                    <w:rPr>
                      <w:sz w:val="16"/>
                      <w:szCs w:val="16"/>
                    </w:rPr>
                    <w:t xml:space="preserve">positive above 25 cm</w:t>
                  </w:r>
                </w:p>
              </w:tc>
              <w:tc>
                <w:tcPr/>
                <w:p>
                  <w:pPr>
                    <w:pStyle w:val="Compact"/>
                    <w:jc w:val="left"/>
                    <w:rPr>
                      <w:sz w:val="16"/>
                      <w:szCs w:val="16"/>
                    </w:rPr>
                  </w:pPr>
                  <w:r>
                    <w:rPr>
                      <w:sz w:val="16"/>
                      <w:szCs w:val="16"/>
                    </w:rPr>
                    <w:t xml:space="preserve">Trees under 25 cm are beetle sinks, over 25 cm are sources</w:t>
                  </w:r>
                  <w:r>
                    <w:rPr>
                      <w:sz w:val="16"/>
                      <w:szCs w:val="16"/>
                    </w:rPr>
                    <w:t xml:space="preserve"> </w:t>
                  </w:r>
                  <w:r>
                    <w:rPr>
                      <w:sz w:val="16"/>
                      <w:szCs w:val="16"/>
                    </w:rPr>
                    <w:t xml:space="preserve">(Carroll &amp; Safranyik, 2004)</w:t>
                  </w:r>
                  <w:r>
                    <w:rPr>
                      <w:sz w:val="16"/>
                      <w:szCs w:val="16"/>
                    </w:rPr>
                    <w:t xml:space="preserve">.</w:t>
                  </w:r>
                </w:p>
              </w:tc>
            </w:tr>
            <w:tr>
              <w:trPr>
                <w:trHeight w:val="340" w:hRule="exact"/>
              </w:trPr>
              <w:tc>
                <w:tcPr/>
                <w:p>
                  <w:pPr>
                    <w:pStyle w:val="Compact"/>
                    <w:jc w:val="left"/>
                    <w:rPr>
                      <w:sz w:val="16"/>
                      <w:szCs w:val="16"/>
                    </w:rPr>
                  </w:pPr>
                  <w:r>
                    <w:rPr>
                      <w:sz w:val="16"/>
                      <w:szCs w:val="16"/>
                    </w:rPr>
                    <w:t xml:space="preserve">Lodgepole pine cover and basal area</w:t>
                  </w:r>
                </w:p>
              </w:tc>
              <w:tc>
                <w:tcPr/>
                <w:p>
                  <w:pPr>
                    <w:pStyle w:val="Compact"/>
                    <w:jc w:val="left"/>
                    <w:rPr>
                      <w:sz w:val="16"/>
                      <w:szCs w:val="16"/>
                    </w:rPr>
                  </w:pPr>
                  <w:r>
                    <w:rPr>
                      <w:sz w:val="16"/>
                      <w:szCs w:val="16"/>
                    </w:rPr>
                    <w:t xml:space="preserve">positive</w:t>
                  </w:r>
                </w:p>
              </w:tc>
              <w:tc>
                <w:tcPr/>
                <w:p>
                  <w:pPr>
                    <w:pStyle w:val="Compact"/>
                    <w:jc w:val="left"/>
                    <w:rPr>
                      <w:sz w:val="16"/>
                      <w:szCs w:val="16"/>
                    </w:rPr>
                  </w:pPr>
                  <w:r>
                    <w:rPr>
                      <w:sz w:val="16"/>
                      <w:szCs w:val="16"/>
                    </w:rPr>
                    <w:t xml:space="preserve">Attack cannot occur where the host is absent; a cell without pine is not a refugium</w:t>
                  </w:r>
                  <w:r>
                    <w:rPr>
                      <w:sz w:val="16"/>
                      <w:szCs w:val="16"/>
                    </w:rPr>
                    <w:t xml:space="preserve"> </w:t>
                  </w:r>
                  <w:r>
                    <w:rPr>
                      <w:sz w:val="16"/>
                      <w:szCs w:val="16"/>
                    </w:rPr>
                    <w:t xml:space="preserve">(Cartwright, 2018)</w:t>
                  </w:r>
                  <w:r>
                    <w:rPr>
                      <w:sz w:val="16"/>
                      <w:szCs w:val="16"/>
                    </w:rPr>
                    <w:t xml:space="preserve">.</w:t>
                  </w:r>
                </w:p>
              </w:tc>
            </w:tr>
            <w:tr>
              <w:trPr>
                <w:trHeight w:val="340" w:hRule="exact"/>
              </w:trPr>
              <w:tc>
                <w:tcPr/>
                <w:p>
                  <w:pPr>
                    <w:pStyle w:val="Compact"/>
                    <w:jc w:val="left"/>
                    <w:rPr>
                      <w:sz w:val="16"/>
                      <w:szCs w:val="16"/>
                    </w:rPr>
                  </w:pPr>
                  <w:r>
                    <w:rPr>
                      <w:sz w:val="16"/>
                      <w:szCs w:val="16"/>
                    </w:rPr>
                    <w:t xml:space="preserve">Flight-period direct radiation</w:t>
                  </w:r>
                </w:p>
              </w:tc>
              <w:tc>
                <w:tcPr/>
                <w:p>
                  <w:pPr>
                    <w:pStyle w:val="Compact"/>
                    <w:jc w:val="left"/>
                    <w:rPr>
                      <w:sz w:val="16"/>
                      <w:szCs w:val="16"/>
                    </w:rPr>
                  </w:pPr>
                  <w:r>
                    <w:rPr>
                      <w:sz w:val="16"/>
                      <w:szCs w:val="16"/>
                    </w:rPr>
                    <w:t xml:space="preserve">positive</w:t>
                  </w:r>
                </w:p>
              </w:tc>
              <w:tc>
                <w:tcPr/>
                <w:p>
                  <w:pPr>
                    <w:pStyle w:val="Compact"/>
                    <w:jc w:val="left"/>
                    <w:rPr>
                      <w:sz w:val="16"/>
                      <w:szCs w:val="16"/>
                    </w:rPr>
                  </w:pPr>
                  <w:r>
                    <w:rPr>
                      <w:sz w:val="16"/>
                      <w:szCs w:val="16"/>
                    </w:rPr>
                    <w:t xml:space="preserve">Flight is gated between 19 and 41 degrees C and peaks on bright afternoons, so sunlit slopes are reachable</w:t>
                  </w:r>
                  <w:r>
                    <w:rPr>
                      <w:sz w:val="16"/>
                      <w:szCs w:val="16"/>
                    </w:rPr>
                    <w:t xml:space="preserve"> </w:t>
                  </w:r>
                  <w:r>
                    <w:rPr>
                      <w:sz w:val="16"/>
                      <w:szCs w:val="16"/>
                    </w:rPr>
                    <w:t xml:space="preserve">(McCambridge, 1971; Safranyik &amp; Carroll, 2006)</w:t>
                  </w:r>
                  <w:r>
                    <w:rPr>
                      <w:sz w:val="16"/>
                      <w:szCs w:val="16"/>
                    </w:rPr>
                    <w:t xml:space="preserve">.</w:t>
                  </w:r>
                </w:p>
              </w:tc>
            </w:tr>
            <w:tr>
              <w:trPr>
                <w:trHeight w:val="340" w:hRule="exact"/>
              </w:trPr>
              <w:tc>
                <w:tcPr/>
                <w:p>
                  <w:pPr>
                    <w:pStyle w:val="Compact"/>
                    <w:jc w:val="left"/>
                    <w:rPr>
                      <w:sz w:val="16"/>
                      <w:szCs w:val="16"/>
                    </w:rPr>
                  </w:pPr>
                  <w:r>
                    <w:rPr>
                      <w:sz w:val="16"/>
                      <w:szCs w:val="16"/>
                    </w:rPr>
                    <w:t xml:space="preserve">Growing-season direct radiation</w:t>
                  </w:r>
                </w:p>
              </w:tc>
              <w:tc>
                <w:tcPr/>
                <w:p>
                  <w:pPr>
                    <w:pStyle w:val="Compact"/>
                    <w:jc w:val="left"/>
                    <w:rPr>
                      <w:sz w:val="16"/>
                      <w:szCs w:val="16"/>
                    </w:rPr>
                  </w:pPr>
                  <w:r>
                    <w:rPr>
                      <w:sz w:val="16"/>
                      <w:szCs w:val="16"/>
                    </w:rPr>
                    <w:t xml:space="preserve">negative</w:t>
                  </w:r>
                </w:p>
              </w:tc>
              <w:tc>
                <w:tcPr/>
                <w:p>
                  <w:pPr>
                    <w:pStyle w:val="Compact"/>
                    <w:jc w:val="left"/>
                    <w:rPr>
                      <w:sz w:val="16"/>
                      <w:szCs w:val="16"/>
                    </w:rPr>
                  </w:pPr>
                  <w:r>
                    <w:rPr>
                      <w:sz w:val="16"/>
                      <w:szCs w:val="16"/>
                    </w:rPr>
                    <w:t xml:space="preserve">Shading cools, relieving water stress and funding defence, and cool sites also push the beetle toward a two-year cycle</w:t>
                  </w:r>
                  <w:r>
                    <w:rPr>
                      <w:sz w:val="16"/>
                      <w:szCs w:val="16"/>
                    </w:rPr>
                    <w:t xml:space="preserve"> </w:t>
                  </w:r>
                  <w:r>
                    <w:rPr>
                      <w:sz w:val="16"/>
                      <w:szCs w:val="16"/>
                    </w:rPr>
                    <w:t xml:space="preserve">(Krawchuk et al., 2020; Sambaraju &amp; Goodsman, 2021)</w:t>
                  </w:r>
                  <w:r>
                    <w:rPr>
                      <w:sz w:val="16"/>
                      <w:szCs w:val="16"/>
                    </w:rPr>
                    <w:t xml:space="preserve">.</w:t>
                  </w:r>
                </w:p>
              </w:tc>
            </w:tr>
            <w:tr>
              <w:trPr>
                <w:trHeight w:val="340" w:hRule="exact"/>
              </w:trPr>
              <w:tc>
                <w:tcPr/>
                <w:p>
                  <w:pPr>
                    <w:pStyle w:val="Compact"/>
                    <w:jc w:val="left"/>
                    <w:rPr>
                      <w:sz w:val="16"/>
                      <w:szCs w:val="16"/>
                    </w:rPr>
                  </w:pPr>
                  <w:r>
                    <w:rPr>
                      <w:sz w:val="16"/>
                      <w:szCs w:val="16"/>
                    </w:rPr>
                    <w:t xml:space="preserve">Terrain exposure to wind</w:t>
                  </w:r>
                </w:p>
              </w:tc>
              <w:tc>
                <w:tcPr/>
                <w:p>
                  <w:pPr>
                    <w:pStyle w:val="Compact"/>
                    <w:jc w:val="left"/>
                    <w:rPr>
                      <w:sz w:val="16"/>
                      <w:szCs w:val="16"/>
                    </w:rPr>
                  </w:pPr>
                  <w:r>
                    <w:rPr>
                      <w:sz w:val="16"/>
                      <w:szCs w:val="16"/>
                    </w:rPr>
                    <w:t xml:space="preserve">negative</w:t>
                  </w:r>
                </w:p>
              </w:tc>
              <w:tc>
                <w:tcPr/>
                <w:p>
                  <w:pPr>
                    <w:pStyle w:val="Compact"/>
                    <w:jc w:val="left"/>
                    <w:rPr>
                      <w:sz w:val="16"/>
                      <w:szCs w:val="16"/>
                    </w:rPr>
                  </w:pPr>
                  <w:r>
                    <w:rPr>
                      <w:sz w:val="16"/>
                      <w:szCs w:val="16"/>
                    </w:rPr>
                    <w:t xml:space="preserve">Wind disrupts the pheromone plume, so exposed ground should carry less attack</w:t>
                  </w:r>
                  <w:r>
                    <w:rPr>
                      <w:sz w:val="16"/>
                      <w:szCs w:val="16"/>
                    </w:rPr>
                    <w:t xml:space="preserve"> </w:t>
                  </w:r>
                  <w:r>
                    <w:rPr>
                      <w:sz w:val="16"/>
                      <w:szCs w:val="16"/>
                    </w:rPr>
                    <w:t xml:space="preserve">(Krawchuk et al., 2020)</w:t>
                  </w:r>
                  <w:r>
                    <w:rPr>
                      <w:sz w:val="16"/>
                      <w:szCs w:val="16"/>
                    </w:rPr>
                    <w:t xml:space="preserve">.</w:t>
                  </w:r>
                </w:p>
              </w:tc>
            </w:tr>
            <w:tr>
              <w:trPr>
                <w:trHeight w:val="340" w:hRule="exact"/>
              </w:trPr>
              <w:tc>
                <w:tcPr/>
                <w:p>
                  <w:pPr>
                    <w:pStyle w:val="Compact"/>
                    <w:jc w:val="left"/>
                    <w:rPr>
                      <w:sz w:val="16"/>
                      <w:szCs w:val="16"/>
                    </w:rPr>
                  </w:pPr>
                  <w:r>
                    <w:rPr>
                      <w:sz w:val="16"/>
                      <w:szCs w:val="16"/>
                    </w:rPr>
                    <w:t xml:space="preserve">Terrain ruggedness</w:t>
                  </w:r>
                </w:p>
              </w:tc>
              <w:tc>
                <w:tcPr/>
                <w:p>
                  <w:pPr>
                    <w:pStyle w:val="Compact"/>
                    <w:jc w:val="left"/>
                    <w:rPr>
                      <w:sz w:val="16"/>
                      <w:szCs w:val="16"/>
                    </w:rPr>
                  </w:pPr>
                  <w:r>
                    <w:rPr>
                      <w:sz w:val="16"/>
                      <w:szCs w:val="16"/>
                    </w:rPr>
                    <w:t xml:space="preserve">uncertain</w:t>
                  </w:r>
                </w:p>
              </w:tc>
              <w:tc>
                <w:tcPr/>
                <w:p>
                  <w:pPr>
                    <w:pStyle w:val="Compact"/>
                    <w:jc w:val="left"/>
                    <w:rPr>
                      <w:sz w:val="16"/>
                      <w:szCs w:val="16"/>
                    </w:rPr>
                  </w:pPr>
                  <w:r>
                    <w:rPr>
                      <w:sz w:val="16"/>
                      <w:szCs w:val="16"/>
                    </w:rPr>
                    <w:t xml:space="preserve">The strongest terrain term in the companion study on this landscape, but fitted there against regeneration rather than attack</w:t>
                  </w:r>
                  <w:r>
                    <w:rPr>
                      <w:sz w:val="16"/>
                      <w:szCs w:val="16"/>
                    </w:rPr>
                    <w:t xml:space="preserve"> </w:t>
                  </w:r>
                  <w:r>
                    <w:rPr>
                      <w:sz w:val="16"/>
                      <w:szCs w:val="16"/>
                    </w:rPr>
                    <w:t xml:space="preserve">(Murphy et al., 2026)</w:t>
                  </w:r>
                  <w:r>
                    <w:rPr>
                      <w:sz w:val="16"/>
                      <w:szCs w:val="16"/>
                    </w:rPr>
                    <w:t xml:space="preserve">.</w:t>
                  </w:r>
                </w:p>
              </w:tc>
            </w:tr>
            <w:tr>
              <w:trPr>
                <w:trHeight w:val="340" w:hRule="exact"/>
              </w:trPr>
              <w:tc>
                <w:tcPr/>
                <w:p>
                  <w:pPr>
                    <w:pStyle w:val="Compact"/>
                    <w:jc w:val="left"/>
                    <w:rPr>
                      <w:sz w:val="16"/>
                      <w:szCs w:val="16"/>
                    </w:rPr>
                  </w:pPr>
                  <w:r>
                    <w:rPr>
                      <w:sz w:val="16"/>
                      <w:szCs w:val="16"/>
                    </w:rPr>
                    <w:t xml:space="preserve">Convergence, wetness, valley depth, slope position</w:t>
                  </w:r>
                </w:p>
              </w:tc>
              <w:tc>
                <w:tcPr/>
                <w:p>
                  <w:pPr>
                    <w:pStyle w:val="Compact"/>
                    <w:jc w:val="left"/>
                    <w:rPr>
                      <w:sz w:val="16"/>
                      <w:szCs w:val="16"/>
                    </w:rPr>
                  </w:pPr>
                  <w:r>
                    <w:rPr>
                      <w:sz w:val="16"/>
                      <w:szCs w:val="16"/>
                    </w:rPr>
                    <w:t xml:space="preserve">positive in convergent terrain</w:t>
                  </w:r>
                </w:p>
              </w:tc>
              <w:tc>
                <w:tcPr/>
                <w:p>
                  <w:pPr>
                    <w:pStyle w:val="Compact"/>
                    <w:jc w:val="left"/>
                    <w:rPr>
                      <w:sz w:val="16"/>
                      <w:szCs w:val="16"/>
                    </w:rPr>
                  </w:pPr>
                  <w:r>
                    <w:rPr>
                      <w:sz w:val="16"/>
                      <w:szCs w:val="16"/>
                    </w:rPr>
                    <w:t xml:space="preserve">Infested groups gather in draws and gullies, and deep snow insulates overwintering brood</w:t>
                  </w:r>
                  <w:r>
                    <w:rPr>
                      <w:sz w:val="16"/>
                      <w:szCs w:val="16"/>
                    </w:rPr>
                    <w:t xml:space="preserve"> </w:t>
                  </w:r>
                  <w:r>
                    <w:rPr>
                      <w:sz w:val="16"/>
                      <w:szCs w:val="16"/>
                    </w:rPr>
                    <w:t xml:space="preserve">(Safranyik &amp; Carroll, 2006)</w:t>
                  </w:r>
                  <w:r>
                    <w:rPr>
                      <w:sz w:val="16"/>
                      <w:szCs w:val="16"/>
                    </w:rPr>
                    <w:t xml:space="preserve">.</w:t>
                  </w:r>
                </w:p>
              </w:tc>
            </w:tr>
            <w:tr>
              <w:trPr>
                <w:trHeight w:val="340" w:hRule="exact"/>
              </w:trPr>
              <w:tc>
                <w:tcPr/>
                <w:p>
                  <w:pPr>
                    <w:pStyle w:val="Compact"/>
                    <w:jc w:val="left"/>
                    <w:rPr>
                      <w:sz w:val="16"/>
                      <w:szCs w:val="16"/>
                    </w:rPr>
                  </w:pPr>
                  <w:r>
                    <w:rPr>
                      <w:sz w:val="16"/>
                      <w:szCs w:val="16"/>
                    </w:rPr>
                    <w:t xml:space="preserve">Flight-period wind speed</w:t>
                  </w:r>
                </w:p>
              </w:tc>
              <w:tc>
                <w:tcPr/>
                <w:p>
                  <w:pPr>
                    <w:pStyle w:val="Compact"/>
                    <w:jc w:val="left"/>
                    <w:rPr>
                      <w:sz w:val="16"/>
                      <w:szCs w:val="16"/>
                    </w:rPr>
                  </w:pPr>
                  <w:r>
                    <w:rPr>
                      <w:sz w:val="16"/>
                      <w:szCs w:val="16"/>
                    </w:rPr>
                    <w:t xml:space="preserve">negative</w:t>
                  </w:r>
                </w:p>
              </w:tc>
              <w:tc>
                <w:tcPr/>
                <w:p>
                  <w:pPr>
                    <w:pStyle w:val="Compact"/>
                    <w:jc w:val="left"/>
                    <w:rPr>
                      <w:sz w:val="16"/>
                      <w:szCs w:val="16"/>
                    </w:rPr>
                  </w:pPr>
                  <w:r>
                    <w:rPr>
                      <w:sz w:val="16"/>
                      <w:szCs w:val="16"/>
                    </w:rPr>
                    <w:t xml:space="preserve">The mechanism acts during dispersal, and no study specifies the interval, so it is taken at the flight period</w:t>
                  </w:r>
                  <w:r>
                    <w:rPr>
                      <w:sz w:val="16"/>
                      <w:szCs w:val="16"/>
                    </w:rPr>
                    <w:t xml:space="preserve"> </w:t>
                  </w:r>
                  <w:r>
                    <w:rPr>
                      <w:sz w:val="16"/>
                      <w:szCs w:val="16"/>
                    </w:rPr>
                    <w:t xml:space="preserve">(Jones, Shegelski, Marculis, Wijerathna, &amp; Evenden, 2019; Krawchuk et al., 2020)</w:t>
                  </w:r>
                  <w:r>
                    <w:rPr>
                      <w:sz w:val="16"/>
                      <w:szCs w:val="16"/>
                    </w:rPr>
                    <w:t xml:space="preserve">.</w:t>
                  </w:r>
                </w:p>
              </w:tc>
            </w:tr>
            <w:tr>
              <w:trPr>
                <w:trHeight w:val="340" w:hRule="exact"/>
              </w:trPr>
              <w:tc>
                <w:tcPr/>
                <w:p>
                  <w:pPr>
                    <w:pStyle w:val="Compact"/>
                    <w:jc w:val="left"/>
                    <w:rPr>
                      <w:sz w:val="16"/>
                      <w:szCs w:val="16"/>
                    </w:rPr>
                  </w:pPr>
                  <w:r>
                    <w:rPr>
                      <w:sz w:val="16"/>
                      <w:szCs w:val="16"/>
                    </w:rPr>
                    <w:t xml:space="preserve">Elevation</w:t>
                  </w:r>
                </w:p>
              </w:tc>
              <w:tc>
                <w:tcPr/>
                <w:p>
                  <w:pPr>
                    <w:pStyle w:val="Compact"/>
                    <w:jc w:val="left"/>
                    <w:rPr>
                      <w:sz w:val="16"/>
                      <w:szCs w:val="16"/>
                    </w:rPr>
                  </w:pPr>
                  <w:r>
                    <w:rPr>
                      <w:sz w:val="16"/>
                      <w:szCs w:val="16"/>
                    </w:rPr>
                    <w:t xml:space="preserve">uncertain</w:t>
                  </w:r>
                </w:p>
              </w:tc>
              <w:tc>
                <w:tcPr/>
                <w:p>
                  <w:pPr>
                    <w:pStyle w:val="Compact"/>
                    <w:jc w:val="left"/>
                    <w:rPr>
                      <w:sz w:val="16"/>
                      <w:szCs w:val="16"/>
                    </w:rPr>
                  </w:pPr>
                  <w:r>
                    <w:rPr>
                      <w:sz w:val="16"/>
                      <w:szCs w:val="16"/>
                    </w:rPr>
                    <w:t xml:space="preserve">A composite of temperature, snowpack, season length and host distribution that this design cannot separate</w:t>
                  </w:r>
                  <w:r>
                    <w:rPr>
                      <w:sz w:val="16"/>
                      <w:szCs w:val="16"/>
                    </w:rPr>
                    <w:t xml:space="preserve"> </w:t>
                  </w:r>
                  <w:r>
                    <w:rPr>
                      <w:sz w:val="16"/>
                      <w:szCs w:val="16"/>
                    </w:rPr>
                    <w:t xml:space="preserve">(Sambaraju &amp; Goodsman, 2021)</w:t>
                  </w:r>
                  <w:r>
                    <w:rPr>
                      <w:sz w:val="16"/>
                      <w:szCs w:val="16"/>
                    </w:rPr>
                    <w:t xml:space="preserve">.</w:t>
                  </w:r>
                </w:p>
              </w:tc>
            </w:tr>
          </w:tbl>
          <w:bookmarkEnd w:id="22"/>
          <w:p/>
        </w:tc>
      </w:tr>
    </w:tbl>
    <w:bookmarkEnd w:id="23"/>
    <w:bookmarkStart w:id="44" w:name="materials"/>
    <w:p>
      <w:pPr>
        <w:pStyle w:val="Heading1"/>
      </w:pPr>
      <w:r>
        <w:t xml:space="preserve">2. Materials</w:t>
      </w:r>
    </w:p>
    <w:bookmarkStart w:id="28" w:name="study-area"/>
    <w:p>
      <w:pPr>
        <w:pStyle w:val="Heading2"/>
      </w:pPr>
      <w:r>
        <w:t xml:space="preserve">2.1 Study area</w:t>
      </w:r>
    </w:p>
    <w:p>
      <w:pPr>
        <w:pStyle w:val="FirstParagraph"/>
      </w:pPr>
      <w:r>
        <w:t xml:space="preserve">The study area is 5,573 ha of the Selkirk Mountains in southeastern British</w:t>
      </w:r>
      <w:r>
        <w:t xml:space="preserve"> </w:t>
      </w:r>
      <w:r>
        <w:t xml:space="preserve">Columbia, 61,923 cells at 30 m, spanning 830 to</w:t>
      </w:r>
      <w:r>
        <w:t xml:space="preserve"> </w:t>
      </w:r>
      <w:r>
        <w:t xml:space="preserve">1,744 m and 914 m of relief.</w:t>
      </w:r>
    </w:p>
    <w:p>
      <w:pPr>
        <w:pStyle w:val="BodyText"/>
      </w:pPr>
      <w:r>
        <w:t xml:space="preserve">The coordinate reference system is EPSG:3153, NAD83(CSRS) / BC Albers. This is the parent study’s</w:t>
      </w:r>
      <w:r>
        <w:t xml:space="preserve"> </w:t>
      </w:r>
      <w:r>
        <w:t xml:space="preserve">grid, adopted so that results are directly comparable to it:</w:t>
      </w:r>
      <w:r>
        <w:t xml:space="preserve"> </w:t>
      </w:r>
      <w:r>
        <w:t xml:space="preserve">“All disturbance and covariate</w:t>
      </w:r>
      <w:r>
        <w:t xml:space="preserve"> </w:t>
      </w:r>
      <w:r>
        <w:t xml:space="preserve">rasters were aligned to a common 30 m grid in EPSG:3153, the native resolution of the</w:t>
      </w:r>
      <w:r>
        <w:t xml:space="preserve"> </w:t>
      </w:r>
      <w:r>
        <w:t xml:space="preserve">Landsat-derived dNBR and dNDMI products”</w:t>
      </w:r>
      <w:r>
        <w:t xml:space="preserve">, and</w:t>
      </w:r>
      <w:r>
        <w:t xml:space="preserve"> </w:t>
      </w:r>
      <w:r>
        <w:t xml:space="preserve">“The plot anchor was georeferenced with a</w:t>
      </w:r>
      <w:r>
        <w:t xml:space="preserve"> </w:t>
      </w:r>
      <w:r>
        <w:t xml:space="preserve">handheld GPS receiver in EPSG:3153”</w:t>
      </w:r>
      <w:r>
        <w:t xml:space="preserve"> </w:t>
      </w:r>
      <w:r>
        <w:t xml:space="preserve">(Murphy et al., 2026)</w:t>
      </w:r>
      <w:r>
        <w:t xml:space="preserve">.</w:t>
      </w:r>
    </w:p>
    <w:p>
      <w:pPr>
        <w:pStyle w:val="BodyText"/>
      </w:pPr>
      <w:r>
        <w:t xml:space="preserve">The perimeter is anchored on the 2015 Mt Midgeley fire, 480 ha, which is the</w:t>
      </w:r>
      <w:r>
        <w:t xml:space="preserve"> </w:t>
      </w:r>
      <w:r>
        <w:t xml:space="preserve">parent study’s site. That study reports its site as spanning</w:t>
      </w:r>
      <w:r>
        <w:t xml:space="preserve"> </w:t>
      </w:r>
      <w:r>
        <w:t xml:space="preserve">“elevations from 830 to 1744 m</w:t>
      </w:r>
      <w:r>
        <w:t xml:space="preserve"> </w:t>
      </w:r>
      <w:r>
        <w:t xml:space="preserve">a.s.l.”</w:t>
      </w:r>
      <w:r>
        <w:t xml:space="preserve">; the digital elevation model used here returns 856 to</w:t>
      </w:r>
      <w:r>
        <w:t xml:space="preserve"> </w:t>
      </w:r>
      <w:r>
        <w:t xml:space="preserve">1,744 m inside the same perimeter, which reproduces the statement. The present</w:t>
      </w:r>
      <w:r>
        <w:t xml:space="preserve"> </w:t>
      </w:r>
      <w:r>
        <w:t xml:space="preserve">study expands beyond that hard boundary, because 480 ha cannot carry the stand-density</w:t>
      </w:r>
      <w:r>
        <w:t xml:space="preserve"> </w:t>
      </w:r>
      <w:r>
        <w:t xml:space="preserve">contrast the pheromone mechanism runs on. It does not expand arbitrarily: the perimeter is the</w:t>
      </w:r>
      <w:r>
        <w:t xml:space="preserve"> </w:t>
      </w:r>
      <w:r>
        <w:t xml:space="preserve">burn buffered 5 km and then cut to the elevation band the parent’s site occupies, so the</w:t>
      </w:r>
      <w:r>
        <w:t xml:space="preserve"> </w:t>
      </w:r>
      <w:r>
        <w:t xml:space="preserve">added ground is ecologically the same kind of ground. Without that cut a 1 km buffer already</w:t>
      </w:r>
      <w:r>
        <w:t xml:space="preserve"> </w:t>
      </w:r>
      <w:r>
        <w:t xml:space="preserve">reaches the Kootenay Lake surface at 534 m, which is not a site elevation.</w:t>
      </w:r>
    </w:p>
    <w:tbl>
      <w:tblPr>
        <w:tblStyle w:val="Table"/>
        <w:tblW w:type="pct" w:w="5000"/>
        <w:tblLayout w:type="fixed"/>
        <w:tblLook w:firstRow="0" w:lastRow="0" w:firstColumn="0" w:lastColumn="0" w:noHBand="0" w:noVBand="0" w:val="0000"/>
      </w:tblPr>
      <w:tblGrid>
        <w:gridCol w:w="7920"/>
      </w:tblGrid>
      <w:tr>
        <w:tc>
          <w:tcPr/>
          <w:bookmarkStart w:id="27" w:name="fig-study-area"/>
          <w:p>
            <w:pPr>
              <w:pStyle w:val="Compact"/>
              <w:jc w:val="center"/>
            </w:pPr>
            <w:r>
              <w:drawing>
                <wp:inline>
                  <wp:extent cx="5943600" cy="6656832"/>
                  <wp:effectExtent b="0" l="0" r="0" t="0"/>
                  <wp:docPr descr="" title="" id="25" name="Picture"/>
                  <a:graphic>
                    <a:graphicData uri="http://schemas.openxmlformats.org/drawingml/2006/picture">
                      <pic:pic>
                        <pic:nvPicPr>
                          <pic:cNvPr descr="beetle-topography-wind-study-vri-timeseries_files/figure-docx/fig-study-area-1.png" id="26" name="Picture"/>
                          <pic:cNvPicPr>
                            <a:picLocks noChangeArrowheads="1" noChangeAspect="1"/>
                          </pic:cNvPicPr>
                        </pic:nvPicPr>
                        <pic:blipFill>
                          <a:blip r:embed="rId24"/>
                          <a:stretch>
                            <a:fillRect/>
                          </a:stretch>
                        </pic:blipFill>
                        <pic:spPr bwMode="auto">
                          <a:xfrm>
                            <a:off x="0" y="0"/>
                            <a:ext cx="5943600" cy="6656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Landscape, terrain and stand surfaces across the study area, all EPSG:3153 at 30 m over Esri World Shaded Relief. (a) elevation; (b) terrain ruggedness index; (c) windward-leeward index at the prevailing bearing; (d) flight-window direct radiation, the thermal gate on flight; (e) growing-season direct radiation, the shading pathway; (f) the MicroMet wind weighting factor at the prevailing bearing; (g) stand basal area; (h) quadratic mean diameter, whose 25 cm source-sink threshold falls near the midpoint of the scale; (i) live stems per hectare. The white outline is the study perimeter and the red outline the 2015 Mt Midgeley burn. Contours are at 200 m. Every panel carries its own north arrow and the same numerical scale, 1:150,000, which holds at a printed panel width of 66 mm.</w:t>
            </w:r>
          </w:p>
          <w:bookmarkEnd w:id="27"/>
        </w:tc>
      </w:tr>
    </w:tbl>
    <w:bookmarkEnd w:id="28"/>
    <w:bookmarkStart w:id="30" w:name="beetle-disturbance"/>
    <w:p>
      <w:pPr>
        <w:pStyle w:val="Heading2"/>
      </w:pPr>
      <w:r>
        <w:t xml:space="preserve">2.2 Beetle disturbance</w:t>
      </w:r>
    </w:p>
    <w:p>
      <w:pPr>
        <w:pStyle w:val="FirstParagraph"/>
      </w:pPr>
      <w:r>
        <w:t xml:space="preserve">The response is annual moderate-to-high beetle disturbance, classified from Landsat</w:t>
      </w:r>
      <w:r>
        <w:t xml:space="preserve"> </w:t>
      </w:r>
      <w:r>
        <w:t xml:space="preserve">normalised difference moisture index by the method of the parent study and rebuilt for this</w:t>
      </w:r>
      <w:r>
        <w:t xml:space="preserve"> </w:t>
      </w:r>
      <w:r>
        <w:t xml:space="preserve">project. It covers 8 outbreak years, 2006 to 2014,</w:t>
      </w:r>
      <w:r>
        <w:t xml:space="preserve"> </w:t>
      </w:r>
      <w:r>
        <w:t xml:space="preserve">excluding 2012, the one year covered only by Landsat 7, which has flown with its scan-line</w:t>
      </w:r>
      <w:r>
        <w:t xml:space="preserve"> </w:t>
      </w:r>
      <w:r>
        <w:t xml:space="preserve">corrector off since May 2003. Annual prevalence inside the perimeter runs</w:t>
      </w:r>
      <w:r>
        <w:t xml:space="preserve"> </w:t>
      </w:r>
      <w:r>
        <w:t xml:space="preserve">4.9 to 19.2 per</w:t>
      </w:r>
      <w:r>
        <w:t xml:space="preserve"> </w:t>
      </w:r>
      <w:r>
        <w:t xml:space="preserve">cent, pooled 12.9 per cent over 111,707 cell-years.</w:t>
      </w:r>
    </w:p>
    <w:p>
      <w:pPr>
        <w:pStyle w:val="BodyText"/>
      </w:pPr>
      <w:r>
        <w:t xml:space="preserve">Years are never unioned. Unioning destroys the year-to-year spread this study measures, and</w:t>
      </w:r>
      <w:r>
        <w:t xml:space="preserve"> </w:t>
      </w:r>
      <w:r>
        <w:t xml:space="preserve">the union layer over the wider grid reached 73 per cent of the landscape, which is not</w:t>
      </w:r>
      <w:r>
        <w:t xml:space="preserve"> </w:t>
      </w:r>
      <w:r>
        <w:t xml:space="preserve">credible for a beetle outbreak.</w:t>
      </w:r>
    </w:p>
    <w:p>
      <w:pPr>
        <w:pStyle w:val="BodyText"/>
      </w:pPr>
      <w:r>
        <w:t xml:space="preserve">The provincial aerial overview survey is not used as a response and supplies no training</w:t>
      </w:r>
      <w:r>
        <w:t xml:space="preserve"> </w:t>
      </w:r>
      <w:r>
        <w:t xml:space="preserve">label. It is retained only as a visual check.</w:t>
      </w:r>
    </w:p>
    <w:tbl>
      <w:tblPr>
        <w:tblStyle w:val="Table"/>
        <w:tblW w:type="pct" w:w="5000"/>
        <w:tblLayout w:type="fixed"/>
        <w:tblLook w:firstRow="0" w:lastRow="0" w:firstColumn="0" w:lastColumn="0" w:noHBand="0" w:noVBand="0" w:val="0000"/>
      </w:tblPr>
      <w:tblGrid>
        <w:gridCol w:w="7920"/>
      </w:tblGrid>
      <w:tr>
        <w:tc>
          <w:tcPr/>
          <w:bookmarkStart w:id="29" w:name="tbl-prevalence"/>
          <w:p>
            <w:pPr>
              <w:jc w:val="center"/>
            </w:pPr>
            <w:pPr>
              <w:jc w:val="start"/>
              <w:spacing w:before="200"/>
              <w:pStyle w:val="ImageCaption"/>
            </w:pPr>
            <w:r>
              <w:t xml:space="preserve">Table 3: Moderate-to-high beetle disturbance by year inside the study perimeter.</w:t>
            </w:r>
          </w:p>
          <w:tbl>
            <w:tblPr>
              <w:tblStyle w:val="Table"/>
              <w:tblLook w:firstRow="1" w:lastRow="0" w:firstColumn="0" w:lastColumn="0" w:noHBand="0" w:noVBand="0" w:val="0020"/>
              <w:tblW w:w="9354" w:type="dxa"/>
              <w:tblLayout w:type="fixed"/>
            </w:tblPr>
            <w:tblGrid>
              <w:gridCol w:w="3118"/>
              <w:gridCol w:w="3118"/>
              <w:gridCol w:w="3118"/>
            </w:tblGrid>
            <w:tr>
              <w:trPr>
                <w:tblHeader w:val="on"/>
                <w:trHeight w:val="624" w:hRule="exact"/>
              </w:trPr>
              <w:tc>
                <w:tcPr/>
                <w:p>
                  <w:pPr>
                    <w:pStyle w:val="Compact"/>
                    <w:jc w:val="left"/>
                    <w:rPr>
                      <w:sz w:val="16"/>
                      <w:szCs w:val="16"/>
                    </w:rPr>
                  </w:pPr>
                  <w:r>
                    <w:rPr>
                      <w:sz w:val="16"/>
                      <w:szCs w:val="16"/>
                    </w:rPr>
                    <w:t xml:space="preserve">Year</w:t>
                  </w:r>
                </w:p>
              </w:tc>
              <w:tc>
                <w:tcPr/>
                <w:p>
                  <w:pPr>
                    <w:pStyle w:val="Compact"/>
                    <w:jc w:val="left"/>
                    <w:rPr>
                      <w:sz w:val="16"/>
                      <w:szCs w:val="16"/>
                    </w:rPr>
                  </w:pPr>
                  <w:r>
                    <w:rPr>
                      <w:sz w:val="16"/>
                      <w:szCs w:val="16"/>
                    </w:rPr>
                    <w:t xml:space="preserve">Cells</w:t>
                  </w:r>
                </w:p>
              </w:tc>
              <w:tc>
                <w:tcPr/>
                <w:p>
                  <w:pPr>
                    <w:pStyle w:val="Compact"/>
                    <w:jc w:val="left"/>
                    <w:rPr>
                      <w:sz w:val="16"/>
                      <w:szCs w:val="16"/>
                    </w:rPr>
                  </w:pPr>
                  <w:r>
                    <w:rPr>
                      <w:sz w:val="16"/>
                      <w:szCs w:val="16"/>
                    </w:rPr>
                    <w:t xml:space="preserve">Moderate-to-high (%)</w:t>
                  </w:r>
                </w:p>
              </w:tc>
            </w:tr>
            <w:tr>
              <w:trPr>
                <w:trHeight w:val="340" w:hRule="exact"/>
              </w:trPr>
              <w:tc>
                <w:tcPr/>
                <w:p>
                  <w:pPr>
                    <w:pStyle w:val="Compact"/>
                    <w:jc w:val="left"/>
                    <w:rPr>
                      <w:sz w:val="16"/>
                      <w:szCs w:val="16"/>
                    </w:rPr>
                  </w:pPr>
                  <w:r>
                    <w:rPr>
                      <w:sz w:val="16"/>
                      <w:szCs w:val="16"/>
                    </w:rPr>
                    <w:t xml:space="preserve">2006</w:t>
                  </w:r>
                </w:p>
              </w:tc>
              <w:tc>
                <w:tcPr/>
                <w:p>
                  <w:pPr>
                    <w:pStyle w:val="Compact"/>
                    <w:jc w:val="left"/>
                    <w:rPr>
                      <w:sz w:val="16"/>
                      <w:szCs w:val="16"/>
                    </w:rPr>
                  </w:pPr>
                  <w:r>
                    <w:rPr>
                      <w:sz w:val="16"/>
                      <w:szCs w:val="16"/>
                    </w:rPr>
                    <w:t xml:space="preserve">13,224</w:t>
                  </w:r>
                </w:p>
              </w:tc>
              <w:tc>
                <w:tcPr/>
                <w:p>
                  <w:pPr>
                    <w:pStyle w:val="Compact"/>
                    <w:jc w:val="left"/>
                    <w:rPr>
                      <w:sz w:val="16"/>
                      <w:szCs w:val="16"/>
                    </w:rPr>
                  </w:pPr>
                  <w:r>
                    <w:rPr>
                      <w:sz w:val="16"/>
                      <w:szCs w:val="16"/>
                    </w:rPr>
                    <w:t xml:space="preserve">4.9</w:t>
                  </w:r>
                </w:p>
              </w:tc>
            </w:tr>
            <w:tr>
              <w:trPr>
                <w:trHeight w:val="340" w:hRule="exact"/>
              </w:trPr>
              <w:tc>
                <w:tcPr/>
                <w:p>
                  <w:pPr>
                    <w:pStyle w:val="Compact"/>
                    <w:jc w:val="left"/>
                    <w:rPr>
                      <w:sz w:val="16"/>
                      <w:szCs w:val="16"/>
                    </w:rPr>
                  </w:pPr>
                  <w:r>
                    <w:rPr>
                      <w:sz w:val="16"/>
                      <w:szCs w:val="16"/>
                    </w:rPr>
                    <w:t xml:space="preserve">2007</w:t>
                  </w:r>
                </w:p>
              </w:tc>
              <w:tc>
                <w:tcPr/>
                <w:p>
                  <w:pPr>
                    <w:pStyle w:val="Compact"/>
                    <w:jc w:val="left"/>
                    <w:rPr>
                      <w:sz w:val="16"/>
                      <w:szCs w:val="16"/>
                    </w:rPr>
                  </w:pPr>
                  <w:r>
                    <w:rPr>
                      <w:sz w:val="16"/>
                      <w:szCs w:val="16"/>
                    </w:rPr>
                    <w:t xml:space="preserve">13,225</w:t>
                  </w:r>
                </w:p>
              </w:tc>
              <w:tc>
                <w:tcPr/>
                <w:p>
                  <w:pPr>
                    <w:pStyle w:val="Compact"/>
                    <w:jc w:val="left"/>
                    <w:rPr>
                      <w:sz w:val="16"/>
                      <w:szCs w:val="16"/>
                    </w:rPr>
                  </w:pPr>
                  <w:r>
                    <w:rPr>
                      <w:sz w:val="16"/>
                      <w:szCs w:val="16"/>
                    </w:rPr>
                    <w:t xml:space="preserve">6.0</w:t>
                  </w:r>
                </w:p>
              </w:tc>
            </w:tr>
            <w:tr>
              <w:trPr>
                <w:trHeight w:val="340" w:hRule="exact"/>
              </w:trPr>
              <w:tc>
                <w:tcPr/>
                <w:p>
                  <w:pPr>
                    <w:pStyle w:val="Compact"/>
                    <w:jc w:val="left"/>
                    <w:rPr>
                      <w:sz w:val="16"/>
                      <w:szCs w:val="16"/>
                    </w:rPr>
                  </w:pPr>
                  <w:r>
                    <w:rPr>
                      <w:sz w:val="16"/>
                      <w:szCs w:val="16"/>
                    </w:rPr>
                    <w:t xml:space="preserve">2008</w:t>
                  </w:r>
                </w:p>
              </w:tc>
              <w:tc>
                <w:tcPr/>
                <w:p>
                  <w:pPr>
                    <w:pStyle w:val="Compact"/>
                    <w:jc w:val="left"/>
                    <w:rPr>
                      <w:sz w:val="16"/>
                      <w:szCs w:val="16"/>
                    </w:rPr>
                  </w:pPr>
                  <w:r>
                    <w:rPr>
                      <w:sz w:val="16"/>
                      <w:szCs w:val="16"/>
                    </w:rPr>
                    <w:t xml:space="preserve">13,285</w:t>
                  </w:r>
                </w:p>
              </w:tc>
              <w:tc>
                <w:tcPr/>
                <w:p>
                  <w:pPr>
                    <w:pStyle w:val="Compact"/>
                    <w:jc w:val="left"/>
                    <w:rPr>
                      <w:sz w:val="16"/>
                      <w:szCs w:val="16"/>
                    </w:rPr>
                  </w:pPr>
                  <w:r>
                    <w:rPr>
                      <w:sz w:val="16"/>
                      <w:szCs w:val="16"/>
                    </w:rPr>
                    <w:t xml:space="preserve">19.2</w:t>
                  </w:r>
                </w:p>
              </w:tc>
            </w:tr>
            <w:tr>
              <w:trPr>
                <w:trHeight w:val="340" w:hRule="exact"/>
              </w:trPr>
              <w:tc>
                <w:tcPr/>
                <w:p>
                  <w:pPr>
                    <w:pStyle w:val="Compact"/>
                    <w:jc w:val="left"/>
                    <w:rPr>
                      <w:sz w:val="16"/>
                      <w:szCs w:val="16"/>
                    </w:rPr>
                  </w:pPr>
                  <w:r>
                    <w:rPr>
                      <w:sz w:val="16"/>
                      <w:szCs w:val="16"/>
                    </w:rPr>
                    <w:t xml:space="preserve">2009</w:t>
                  </w:r>
                </w:p>
              </w:tc>
              <w:tc>
                <w:tcPr/>
                <w:p>
                  <w:pPr>
                    <w:pStyle w:val="Compact"/>
                    <w:jc w:val="left"/>
                    <w:rPr>
                      <w:sz w:val="16"/>
                      <w:szCs w:val="16"/>
                    </w:rPr>
                  </w:pPr>
                  <w:r>
                    <w:rPr>
                      <w:sz w:val="16"/>
                      <w:szCs w:val="16"/>
                    </w:rPr>
                    <w:t xml:space="preserve">13,556</w:t>
                  </w:r>
                </w:p>
              </w:tc>
              <w:tc>
                <w:tcPr/>
                <w:p>
                  <w:pPr>
                    <w:pStyle w:val="Compact"/>
                    <w:jc w:val="left"/>
                    <w:rPr>
                      <w:sz w:val="16"/>
                      <w:szCs w:val="16"/>
                    </w:rPr>
                  </w:pPr>
                  <w:r>
                    <w:rPr>
                      <w:sz w:val="16"/>
                      <w:szCs w:val="16"/>
                    </w:rPr>
                    <w:t xml:space="preserve">12.4</w:t>
                  </w:r>
                </w:p>
              </w:tc>
            </w:tr>
            <w:tr>
              <w:trPr>
                <w:trHeight w:val="340" w:hRule="exact"/>
              </w:trPr>
              <w:tc>
                <w:tcPr/>
                <w:p>
                  <w:pPr>
                    <w:pStyle w:val="Compact"/>
                    <w:jc w:val="left"/>
                    <w:rPr>
                      <w:sz w:val="16"/>
                      <w:szCs w:val="16"/>
                    </w:rPr>
                  </w:pPr>
                  <w:r>
                    <w:rPr>
                      <w:sz w:val="16"/>
                      <w:szCs w:val="16"/>
                    </w:rPr>
                    <w:t xml:space="preserve">2010</w:t>
                  </w:r>
                </w:p>
              </w:tc>
              <w:tc>
                <w:tcPr/>
                <w:p>
                  <w:pPr>
                    <w:pStyle w:val="Compact"/>
                    <w:jc w:val="left"/>
                    <w:rPr>
                      <w:sz w:val="16"/>
                      <w:szCs w:val="16"/>
                    </w:rPr>
                  </w:pPr>
                  <w:r>
                    <w:rPr>
                      <w:sz w:val="16"/>
                      <w:szCs w:val="16"/>
                    </w:rPr>
                    <w:t xml:space="preserve">13,538</w:t>
                  </w:r>
                </w:p>
              </w:tc>
              <w:tc>
                <w:tcPr/>
                <w:p>
                  <w:pPr>
                    <w:pStyle w:val="Compact"/>
                    <w:jc w:val="left"/>
                    <w:rPr>
                      <w:sz w:val="16"/>
                      <w:szCs w:val="16"/>
                    </w:rPr>
                  </w:pPr>
                  <w:r>
                    <w:rPr>
                      <w:sz w:val="16"/>
                      <w:szCs w:val="16"/>
                    </w:rPr>
                    <w:t xml:space="preserve">16.5</w:t>
                  </w:r>
                </w:p>
              </w:tc>
            </w:tr>
            <w:tr>
              <w:trPr>
                <w:trHeight w:val="340" w:hRule="exact"/>
              </w:trPr>
              <w:tc>
                <w:tcPr/>
                <w:p>
                  <w:pPr>
                    <w:pStyle w:val="Compact"/>
                    <w:jc w:val="left"/>
                    <w:rPr>
                      <w:sz w:val="16"/>
                      <w:szCs w:val="16"/>
                    </w:rPr>
                  </w:pPr>
                  <w:r>
                    <w:rPr>
                      <w:sz w:val="16"/>
                      <w:szCs w:val="16"/>
                    </w:rPr>
                    <w:t xml:space="preserve">2011</w:t>
                  </w:r>
                </w:p>
              </w:tc>
              <w:tc>
                <w:tcPr/>
                <w:p>
                  <w:pPr>
                    <w:pStyle w:val="Compact"/>
                    <w:jc w:val="left"/>
                    <w:rPr>
                      <w:sz w:val="16"/>
                      <w:szCs w:val="16"/>
                    </w:rPr>
                  </w:pPr>
                  <w:r>
                    <w:rPr>
                      <w:sz w:val="16"/>
                      <w:szCs w:val="16"/>
                    </w:rPr>
                    <w:t xml:space="preserve">14,944</w:t>
                  </w:r>
                </w:p>
              </w:tc>
              <w:tc>
                <w:tcPr/>
                <w:p>
                  <w:pPr>
                    <w:pStyle w:val="Compact"/>
                    <w:jc w:val="left"/>
                    <w:rPr>
                      <w:sz w:val="16"/>
                      <w:szCs w:val="16"/>
                    </w:rPr>
                  </w:pPr>
                  <w:r>
                    <w:rPr>
                      <w:sz w:val="16"/>
                      <w:szCs w:val="16"/>
                    </w:rPr>
                    <w:t xml:space="preserve">13.5</w:t>
                  </w:r>
                </w:p>
              </w:tc>
            </w:tr>
            <w:tr>
              <w:trPr>
                <w:trHeight w:val="340" w:hRule="exact"/>
              </w:trPr>
              <w:tc>
                <w:tcPr/>
                <w:p>
                  <w:pPr>
                    <w:pStyle w:val="Compact"/>
                    <w:jc w:val="left"/>
                    <w:rPr>
                      <w:sz w:val="16"/>
                      <w:szCs w:val="16"/>
                    </w:rPr>
                  </w:pPr>
                  <w:r>
                    <w:rPr>
                      <w:sz w:val="16"/>
                      <w:szCs w:val="16"/>
                    </w:rPr>
                    <w:t xml:space="preserve">2013</w:t>
                  </w:r>
                </w:p>
              </w:tc>
              <w:tc>
                <w:tcPr/>
                <w:p>
                  <w:pPr>
                    <w:pStyle w:val="Compact"/>
                    <w:jc w:val="left"/>
                    <w:rPr>
                      <w:sz w:val="16"/>
                      <w:szCs w:val="16"/>
                    </w:rPr>
                  </w:pPr>
                  <w:r>
                    <w:rPr>
                      <w:sz w:val="16"/>
                      <w:szCs w:val="16"/>
                    </w:rPr>
                    <w:t xml:space="preserve">14,943</w:t>
                  </w:r>
                </w:p>
              </w:tc>
              <w:tc>
                <w:tcPr/>
                <w:p>
                  <w:pPr>
                    <w:pStyle w:val="Compact"/>
                    <w:jc w:val="left"/>
                    <w:rPr>
                      <w:sz w:val="16"/>
                      <w:szCs w:val="16"/>
                    </w:rPr>
                  </w:pPr>
                  <w:r>
                    <w:rPr>
                      <w:sz w:val="16"/>
                      <w:szCs w:val="16"/>
                    </w:rPr>
                    <w:t xml:space="preserve">14.4</w:t>
                  </w:r>
                </w:p>
              </w:tc>
            </w:tr>
            <w:tr>
              <w:trPr>
                <w:trHeight w:val="340" w:hRule="exact"/>
              </w:trPr>
              <w:tc>
                <w:tcPr/>
                <w:p>
                  <w:pPr>
                    <w:pStyle w:val="Compact"/>
                    <w:jc w:val="left"/>
                    <w:rPr>
                      <w:sz w:val="16"/>
                      <w:szCs w:val="16"/>
                    </w:rPr>
                  </w:pPr>
                  <w:r>
                    <w:rPr>
                      <w:sz w:val="16"/>
                      <w:szCs w:val="16"/>
                    </w:rPr>
                    <w:t xml:space="preserve">2014</w:t>
                  </w:r>
                </w:p>
              </w:tc>
              <w:tc>
                <w:tcPr/>
                <w:p>
                  <w:pPr>
                    <w:pStyle w:val="Compact"/>
                    <w:jc w:val="left"/>
                    <w:rPr>
                      <w:sz w:val="16"/>
                      <w:szCs w:val="16"/>
                    </w:rPr>
                  </w:pPr>
                  <w:r>
                    <w:rPr>
                      <w:sz w:val="16"/>
                      <w:szCs w:val="16"/>
                    </w:rPr>
                    <w:t xml:space="preserve">14,992</w:t>
                  </w:r>
                </w:p>
              </w:tc>
              <w:tc>
                <w:tcPr/>
                <w:p>
                  <w:pPr>
                    <w:pStyle w:val="Compact"/>
                    <w:jc w:val="left"/>
                    <w:rPr>
                      <w:sz w:val="16"/>
                      <w:szCs w:val="16"/>
                    </w:rPr>
                  </w:pPr>
                  <w:r>
                    <w:rPr>
                      <w:sz w:val="16"/>
                      <w:szCs w:val="16"/>
                    </w:rPr>
                    <w:t xml:space="preserve">15.2</w:t>
                  </w:r>
                </w:p>
              </w:tc>
            </w:tr>
          </w:tbl>
          <w:bookmarkEnd w:id="29"/>
          <w:p/>
        </w:tc>
      </w:tr>
    </w:tbl>
    <w:bookmarkEnd w:id="30"/>
    <w:bookmarkStart w:id="32" w:name="stand-structure"/>
    <w:p>
      <w:pPr>
        <w:pStyle w:val="Heading2"/>
      </w:pPr>
      <w:r>
        <w:t xml:space="preserve">2.3 Stand structure</w:t>
      </w:r>
    </w:p>
    <w:p>
      <w:pPr>
        <w:pStyle w:val="FirstParagraph"/>
      </w:pPr>
      <w:r>
        <w:t xml:space="preserve">Stand structure comes from the provincial Vegetation Resources Inventory layer</w:t>
      </w:r>
      <w:r>
        <w:t xml:space="preserve"> </w:t>
      </w:r>
      <w:r>
        <w:rPr>
          <w:rStyle w:val="VerbatimChar"/>
        </w:rPr>
        <w:t xml:space="preserve">VEG_COMP_LYR_R1_POLY</w:t>
      </w:r>
      <w:r>
        <w:t xml:space="preserve">, retrieved by web feature service over the perimeter. Six attributes</w:t>
      </w:r>
      <w:r>
        <w:t xml:space="preserve"> </w:t>
      </w:r>
      <w:r>
        <w:t xml:space="preserve">carry the mechanism and the stem-size threshold: total basal area, crown closure, live stems per</w:t>
      </w:r>
      <w:r>
        <w:t xml:space="preserve"> </w:t>
      </w:r>
      <w:r>
        <w:t xml:space="preserve">hectare, quadratic mean diameter over stems 12.5 cm and up, stand age, and susceptible pine</w:t>
      </w:r>
      <w:r>
        <w:t xml:space="preserve"> </w:t>
      </w:r>
      <w:r>
        <w:t xml:space="preserve">basal area formed as total basal area times the pine share of cover.</w:t>
      </w:r>
    </w:p>
    <w:p>
      <w:pPr>
        <w:pStyle w:val="BodyText"/>
      </w:pPr>
      <w:r>
        <w:t xml:space="preserve">67.1 per cent of cell-years sit at or above the</w:t>
      </w:r>
      <w:r>
        <w:t xml:space="preserve"> </w:t>
      </w:r>
      <w:r>
        <w:t xml:space="preserve">25 cm source-sink threshold.</w:t>
      </w:r>
    </w:p>
    <w:tbl>
      <w:tblPr>
        <w:tblStyle w:val="Table"/>
        <w:tblW w:type="pct" w:w="5000"/>
        <w:tblLayout w:type="fixed"/>
        <w:tblLook w:firstRow="0" w:lastRow="0" w:firstColumn="0" w:lastColumn="0" w:noHBand="0" w:noVBand="0" w:val="0000"/>
      </w:tblPr>
      <w:tblGrid>
        <w:gridCol w:w="7920"/>
      </w:tblGrid>
      <w:tr>
        <w:tc>
          <w:tcPr/>
          <w:bookmarkStart w:id="31" w:name="tbl-vri"/>
          <w:p>
            <w:pPr>
              <w:jc w:val="center"/>
            </w:pPr>
            <w:pPr>
              <w:jc w:val="start"/>
              <w:spacing w:before="200"/>
              <w:pStyle w:val="ImageCaption"/>
            </w:pPr>
            <w:r>
              <w:t xml:space="preserve">Table 4: Stand structure across the study perimeter, from the Vegetation Resources Inventory. n is cell-years. SD is the standard deviation of the landscape; SE is the standard error of the mean and is small by construction at this n, so it should not be read as precision about any one cell. Skewness and kurtosis are the bias-corrected third and fourth standardised moments; kurtosis is excess, so 0 is Gaussian and positive is heavy-tailed.</w:t>
            </w:r>
          </w:p>
          <w:tbl>
            <w:tblPr>
              <w:tblStyle w:val="Table"/>
              <w:tblLook w:firstRow="1" w:lastRow="0" w:firstColumn="0" w:lastColumn="0" w:noHBand="0" w:noVBand="0" w:val="0020"/>
              <w:tblW w:w="9354" w:type="dxa"/>
              <w:tblLayout w:type="fixed"/>
            </w:tblPr>
            <w:tblGrid>
              <w:gridCol w:w="3270"/>
              <w:gridCol w:w="727"/>
              <w:gridCol w:w="636"/>
              <w:gridCol w:w="636"/>
              <w:gridCol w:w="545"/>
              <w:gridCol w:w="636"/>
              <w:gridCol w:w="545"/>
              <w:gridCol w:w="727"/>
              <w:gridCol w:w="818"/>
              <w:gridCol w:w="814"/>
            </w:tblGrid>
            <w:tr>
              <w:trPr>
                <w:tblHeader w:val="on"/>
                <w:trHeight w:val="624" w:hRule="exact"/>
              </w:trPr>
              <w:tc>
                <w:tcPr/>
                <w:p>
                  <w:pPr>
                    <w:pStyle w:val="Compact"/>
                    <w:jc w:val="left"/>
                    <w:rPr>
                      <w:sz w:val="16"/>
                      <w:szCs w:val="16"/>
                    </w:rPr>
                  </w:pPr>
                  <w:r>
                    <w:rPr>
                      <w:sz w:val="16"/>
                      <w:szCs w:val="16"/>
                    </w:rPr>
                    <w:t xml:space="preserve">Attribute</w:t>
                  </w:r>
                </w:p>
              </w:tc>
              <w:tc>
                <w:tcPr/>
                <w:p>
                  <w:pPr>
                    <w:pStyle w:val="Compact"/>
                    <w:jc w:val="left"/>
                    <w:rPr>
                      <w:sz w:val="16"/>
                      <w:szCs w:val="16"/>
                    </w:rPr>
                  </w:pPr>
                  <w:r>
                    <w:rPr>
                      <w:sz w:val="16"/>
                      <w:szCs w:val="16"/>
                    </w:rPr>
                    <w:t xml:space="preserve">n</w:t>
                  </w:r>
                </w:p>
              </w:tc>
              <w:tc>
                <w:tcPr/>
                <w:p>
                  <w:pPr>
                    <w:pStyle w:val="Compact"/>
                    <w:jc w:val="left"/>
                    <w:rPr>
                      <w:sz w:val="16"/>
                      <w:szCs w:val="16"/>
                    </w:rPr>
                  </w:pPr>
                  <w:r>
                    <w:rPr>
                      <w:sz w:val="16"/>
                      <w:szCs w:val="16"/>
                    </w:rPr>
                    <w:t xml:space="preserve">Mean</w:t>
                  </w:r>
                </w:p>
              </w:tc>
              <w:tc>
                <w:tcPr/>
                <w:p>
                  <w:pPr>
                    <w:pStyle w:val="Compact"/>
                    <w:jc w:val="left"/>
                    <w:rPr>
                      <w:sz w:val="16"/>
                      <w:szCs w:val="16"/>
                    </w:rPr>
                  </w:pPr>
                  <w:r>
                    <w:rPr>
                      <w:sz w:val="16"/>
                      <w:szCs w:val="16"/>
                    </w:rPr>
                    <w:t xml:space="preserve">SD</w:t>
                  </w:r>
                </w:p>
              </w:tc>
              <w:tc>
                <w:tcPr/>
                <w:p>
                  <w:pPr>
                    <w:pStyle w:val="Compact"/>
                    <w:jc w:val="left"/>
                    <w:rPr>
                      <w:sz w:val="16"/>
                      <w:szCs w:val="16"/>
                    </w:rPr>
                  </w:pPr>
                  <w:r>
                    <w:rPr>
                      <w:sz w:val="16"/>
                      <w:szCs w:val="16"/>
                    </w:rPr>
                    <w:t xml:space="preserve">SE</w:t>
                  </w:r>
                </w:p>
              </w:tc>
              <w:tc>
                <w:tcPr/>
                <w:p>
                  <w:pPr>
                    <w:pStyle w:val="Compact"/>
                    <w:jc w:val="left"/>
                    <w:rPr>
                      <w:sz w:val="16"/>
                      <w:szCs w:val="16"/>
                    </w:rPr>
                  </w:pPr>
                  <w:r>
                    <w:rPr>
                      <w:sz w:val="16"/>
                      <w:szCs w:val="16"/>
                    </w:rPr>
                    <w:t xml:space="preserve">Median</w:t>
                  </w:r>
                </w:p>
              </w:tc>
              <w:tc>
                <w:tcPr/>
                <w:p>
                  <w:pPr>
                    <w:pStyle w:val="Compact"/>
                    <w:jc w:val="left"/>
                    <w:rPr>
                      <w:sz w:val="16"/>
                      <w:szCs w:val="16"/>
                    </w:rPr>
                  </w:pPr>
                  <w:r>
                    <w:rPr>
                      <w:sz w:val="16"/>
                      <w:szCs w:val="16"/>
                    </w:rPr>
                    <w:t xml:space="preserve">Min</w:t>
                  </w:r>
                </w:p>
              </w:tc>
              <w:tc>
                <w:tcPr/>
                <w:p>
                  <w:pPr>
                    <w:pStyle w:val="Compact"/>
                    <w:jc w:val="left"/>
                    <w:rPr>
                      <w:sz w:val="16"/>
                      <w:szCs w:val="16"/>
                    </w:rPr>
                  </w:pPr>
                  <w:r>
                    <w:rPr>
                      <w:sz w:val="16"/>
                      <w:szCs w:val="16"/>
                    </w:rPr>
                    <w:t xml:space="preserve">Max</w:t>
                  </w:r>
                </w:p>
              </w:tc>
              <w:tc>
                <w:tcPr/>
                <w:p>
                  <w:pPr>
                    <w:pStyle w:val="Compact"/>
                    <w:jc w:val="left"/>
                    <w:rPr>
                      <w:sz w:val="16"/>
                      <w:szCs w:val="16"/>
                    </w:rPr>
                  </w:pPr>
                  <w:r>
                    <w:rPr>
                      <w:sz w:val="16"/>
                      <w:szCs w:val="16"/>
                    </w:rPr>
                    <w:t xml:space="preserve">Skewness</w:t>
                  </w:r>
                </w:p>
              </w:tc>
              <w:tc>
                <w:tcPr/>
                <w:p>
                  <w:pPr>
                    <w:pStyle w:val="Compact"/>
                    <w:jc w:val="left"/>
                    <w:rPr>
                      <w:sz w:val="16"/>
                      <w:szCs w:val="16"/>
                    </w:rPr>
                  </w:pPr>
                  <w:r>
                    <w:rPr>
                      <w:sz w:val="16"/>
                      <w:szCs w:val="16"/>
                    </w:rPr>
                    <w:t xml:space="preserve">Kurtosis</w:t>
                  </w:r>
                </w:p>
              </w:tc>
            </w:tr>
            <w:tr>
              <w:trPr>
                <w:trHeight w:val="340" w:hRule="exact"/>
              </w:trPr>
              <w:tc>
                <w:tcPr/>
                <w:p>
                  <w:pPr>
                    <w:pStyle w:val="Compact"/>
                    <w:jc w:val="left"/>
                    <w:rPr>
                      <w:sz w:val="16"/>
                      <w:szCs w:val="16"/>
                    </w:rPr>
                  </w:pPr>
                  <w:r>
                    <w:rPr>
                      <w:sz w:val="16"/>
                      <w:szCs w:val="16"/>
                    </w:rPr>
                    <w:t xml:space="preserve">Stand basal area (m2/ha)</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35.56</w:t>
                  </w:r>
                </w:p>
              </w:tc>
              <w:tc>
                <w:tcPr/>
                <w:p>
                  <w:pPr>
                    <w:pStyle w:val="Compact"/>
                    <w:jc w:val="left"/>
                    <w:rPr>
                      <w:sz w:val="16"/>
                      <w:szCs w:val="16"/>
                    </w:rPr>
                  </w:pPr>
                  <w:r>
                    <w:rPr>
                      <w:sz w:val="16"/>
                      <w:szCs w:val="16"/>
                    </w:rPr>
                    <w:t xml:space="preserve">11.60</w:t>
                  </w:r>
                </w:p>
              </w:tc>
              <w:tc>
                <w:tcPr/>
                <w:p>
                  <w:pPr>
                    <w:pStyle w:val="Compact"/>
                    <w:jc w:val="left"/>
                    <w:rPr>
                      <w:sz w:val="16"/>
                      <w:szCs w:val="16"/>
                    </w:rPr>
                  </w:pPr>
                  <w:r>
                    <w:rPr>
                      <w:sz w:val="16"/>
                      <w:szCs w:val="16"/>
                    </w:rPr>
                    <w:t xml:space="preserve">0.035</w:t>
                  </w:r>
                </w:p>
              </w:tc>
              <w:tc>
                <w:tcPr/>
                <w:p>
                  <w:pPr>
                    <w:pStyle w:val="Compact"/>
                    <w:jc w:val="left"/>
                    <w:rPr>
                      <w:sz w:val="16"/>
                      <w:szCs w:val="16"/>
                    </w:rPr>
                  </w:pPr>
                  <w:r>
                    <w:rPr>
                      <w:sz w:val="16"/>
                      <w:szCs w:val="16"/>
                    </w:rPr>
                    <w:t xml:space="preserve">37.39</w:t>
                  </w:r>
                </w:p>
              </w:tc>
              <w:tc>
                <w:tcPr/>
                <w:p>
                  <w:pPr>
                    <w:pStyle w:val="Compact"/>
                    <w:jc w:val="left"/>
                    <w:rPr>
                      <w:sz w:val="16"/>
                      <w:szCs w:val="16"/>
                    </w:rPr>
                  </w:pPr>
                  <w:r>
                    <w:rPr>
                      <w:sz w:val="16"/>
                      <w:szCs w:val="16"/>
                    </w:rPr>
                    <w:t xml:space="preserve">0.98</w:t>
                  </w:r>
                </w:p>
              </w:tc>
              <w:tc>
                <w:tcPr/>
                <w:p>
                  <w:pPr>
                    <w:pStyle w:val="Compact"/>
                    <w:jc w:val="left"/>
                    <w:rPr>
                      <w:sz w:val="16"/>
                      <w:szCs w:val="16"/>
                    </w:rPr>
                  </w:pPr>
                  <w:r>
                    <w:rPr>
                      <w:sz w:val="16"/>
                      <w:szCs w:val="16"/>
                    </w:rPr>
                    <w:t xml:space="preserve">62.43</w:t>
                  </w:r>
                </w:p>
              </w:tc>
              <w:tc>
                <w:tcPr/>
                <w:p>
                  <w:pPr>
                    <w:pStyle w:val="Compact"/>
                    <w:jc w:val="left"/>
                    <w:rPr>
                      <w:sz w:val="16"/>
                      <w:szCs w:val="16"/>
                    </w:rPr>
                  </w:pPr>
                  <w:r>
                    <w:rPr>
                      <w:sz w:val="16"/>
                      <w:szCs w:val="16"/>
                    </w:rPr>
                    <w:t xml:space="preserve">-1.01</w:t>
                  </w:r>
                </w:p>
              </w:tc>
              <w:tc>
                <w:tcPr/>
                <w:p>
                  <w:pPr>
                    <w:pStyle w:val="Compact"/>
                    <w:jc w:val="left"/>
                    <w:rPr>
                      <w:sz w:val="16"/>
                      <w:szCs w:val="16"/>
                    </w:rPr>
                  </w:pPr>
                  <w:r>
                    <w:rPr>
                      <w:sz w:val="16"/>
                      <w:szCs w:val="16"/>
                    </w:rPr>
                    <w:t xml:space="preserve">+1.42</w:t>
                  </w:r>
                </w:p>
              </w:tc>
            </w:tr>
            <w:tr>
              <w:trPr>
                <w:trHeight w:val="340" w:hRule="exact"/>
              </w:trPr>
              <w:tc>
                <w:tcPr/>
                <w:p>
                  <w:pPr>
                    <w:pStyle w:val="Compact"/>
                    <w:jc w:val="left"/>
                    <w:rPr>
                      <w:sz w:val="16"/>
                      <w:szCs w:val="16"/>
                    </w:rPr>
                  </w:pPr>
                  <w:r>
                    <w:rPr>
                      <w:sz w:val="16"/>
                      <w:szCs w:val="16"/>
                    </w:rPr>
                    <w:t xml:space="preserve">Crown closure (%)</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50.10</w:t>
                  </w:r>
                </w:p>
              </w:tc>
              <w:tc>
                <w:tcPr/>
                <w:p>
                  <w:pPr>
                    <w:pStyle w:val="Compact"/>
                    <w:jc w:val="left"/>
                    <w:rPr>
                      <w:sz w:val="16"/>
                      <w:szCs w:val="16"/>
                    </w:rPr>
                  </w:pPr>
                  <w:r>
                    <w:rPr>
                      <w:sz w:val="16"/>
                      <w:szCs w:val="16"/>
                    </w:rPr>
                    <w:t xml:space="preserve">13.54</w:t>
                  </w:r>
                </w:p>
              </w:tc>
              <w:tc>
                <w:tcPr/>
                <w:p>
                  <w:pPr>
                    <w:pStyle w:val="Compact"/>
                    <w:jc w:val="left"/>
                    <w:rPr>
                      <w:sz w:val="16"/>
                      <w:szCs w:val="16"/>
                    </w:rPr>
                  </w:pPr>
                  <w:r>
                    <w:rPr>
                      <w:sz w:val="16"/>
                      <w:szCs w:val="16"/>
                    </w:rPr>
                    <w:t xml:space="preserve">0.041</w:t>
                  </w:r>
                </w:p>
              </w:tc>
              <w:tc>
                <w:tcPr/>
                <w:p>
                  <w:pPr>
                    <w:pStyle w:val="Compact"/>
                    <w:jc w:val="left"/>
                    <w:rPr>
                      <w:sz w:val="16"/>
                      <w:szCs w:val="16"/>
                    </w:rPr>
                  </w:pPr>
                  <w:r>
                    <w:rPr>
                      <w:sz w:val="16"/>
                      <w:szCs w:val="16"/>
                    </w:rPr>
                    <w:t xml:space="preserve">50.00</w:t>
                  </w:r>
                </w:p>
              </w:tc>
              <w:tc>
                <w:tcPr/>
                <w:p>
                  <w:pPr>
                    <w:pStyle w:val="Compact"/>
                    <w:jc w:val="left"/>
                    <w:rPr>
                      <w:sz w:val="16"/>
                      <w:szCs w:val="16"/>
                    </w:rPr>
                  </w:pPr>
                  <w:r>
                    <w:rPr>
                      <w:sz w:val="16"/>
                      <w:szCs w:val="16"/>
                    </w:rPr>
                    <w:t xml:space="preserve">3.00</w:t>
                  </w:r>
                </w:p>
              </w:tc>
              <w:tc>
                <w:tcPr/>
                <w:p>
                  <w:pPr>
                    <w:pStyle w:val="Compact"/>
                    <w:jc w:val="left"/>
                    <w:rPr>
                      <w:sz w:val="16"/>
                      <w:szCs w:val="16"/>
                    </w:rPr>
                  </w:pPr>
                  <w:r>
                    <w:rPr>
                      <w:sz w:val="16"/>
                      <w:szCs w:val="16"/>
                    </w:rPr>
                    <w:t xml:space="preserve">70.00</w:t>
                  </w:r>
                </w:p>
              </w:tc>
              <w:tc>
                <w:tcPr/>
                <w:p>
                  <w:pPr>
                    <w:pStyle w:val="Compact"/>
                    <w:jc w:val="left"/>
                    <w:rPr>
                      <w:sz w:val="16"/>
                      <w:szCs w:val="16"/>
                    </w:rPr>
                  </w:pPr>
                  <w:r>
                    <w:rPr>
                      <w:sz w:val="16"/>
                      <w:szCs w:val="16"/>
                    </w:rPr>
                    <w:t xml:space="preserve">-1.74</w:t>
                  </w:r>
                </w:p>
              </w:tc>
              <w:tc>
                <w:tcPr/>
                <w:p>
                  <w:pPr>
                    <w:pStyle w:val="Compact"/>
                    <w:jc w:val="left"/>
                    <w:rPr>
                      <w:sz w:val="16"/>
                      <w:szCs w:val="16"/>
                    </w:rPr>
                  </w:pPr>
                  <w:r>
                    <w:rPr>
                      <w:sz w:val="16"/>
                      <w:szCs w:val="16"/>
                    </w:rPr>
                    <w:t xml:space="preserve">+3.37</w:t>
                  </w:r>
                </w:p>
              </w:tc>
            </w:tr>
            <w:tr>
              <w:trPr>
                <w:trHeight w:val="340" w:hRule="exact"/>
              </w:trPr>
              <w:tc>
                <w:tcPr/>
                <w:p>
                  <w:pPr>
                    <w:pStyle w:val="Compact"/>
                    <w:jc w:val="left"/>
                    <w:rPr>
                      <w:sz w:val="16"/>
                      <w:szCs w:val="16"/>
                    </w:rPr>
                  </w:pPr>
                  <w:r>
                    <w:rPr>
                      <w:sz w:val="16"/>
                      <w:szCs w:val="16"/>
                    </w:rPr>
                    <w:t xml:space="preserve">Live stems (n/ha)</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772.75</w:t>
                  </w:r>
                </w:p>
              </w:tc>
              <w:tc>
                <w:tcPr/>
                <w:p>
                  <w:pPr>
                    <w:pStyle w:val="Compact"/>
                    <w:jc w:val="left"/>
                    <w:rPr>
                      <w:sz w:val="16"/>
                      <w:szCs w:val="16"/>
                    </w:rPr>
                  </w:pPr>
                  <w:r>
                    <w:rPr>
                      <w:sz w:val="16"/>
                      <w:szCs w:val="16"/>
                    </w:rPr>
                    <w:t xml:space="preserve">312.80</w:t>
                  </w:r>
                </w:p>
              </w:tc>
              <w:tc>
                <w:tcPr/>
                <w:p>
                  <w:pPr>
                    <w:pStyle w:val="Compact"/>
                    <w:jc w:val="left"/>
                    <w:rPr>
                      <w:sz w:val="16"/>
                      <w:szCs w:val="16"/>
                    </w:rPr>
                  </w:pPr>
                  <w:r>
                    <w:rPr>
                      <w:sz w:val="16"/>
                      <w:szCs w:val="16"/>
                    </w:rPr>
                    <w:t xml:space="preserve">0.936</w:t>
                  </w:r>
                </w:p>
              </w:tc>
              <w:tc>
                <w:tcPr/>
                <w:p>
                  <w:pPr>
                    <w:pStyle w:val="Compact"/>
                    <w:jc w:val="left"/>
                    <w:rPr>
                      <w:sz w:val="16"/>
                      <w:szCs w:val="16"/>
                    </w:rPr>
                  </w:pPr>
                  <w:r>
                    <w:rPr>
                      <w:sz w:val="16"/>
                      <w:szCs w:val="16"/>
                    </w:rPr>
                    <w:t xml:space="preserve">775.00</w:t>
                  </w:r>
                </w:p>
              </w:tc>
              <w:tc>
                <w:tcPr/>
                <w:p>
                  <w:pPr>
                    <w:pStyle w:val="Compact"/>
                    <w:jc w:val="left"/>
                    <w:rPr>
                      <w:sz w:val="16"/>
                      <w:szCs w:val="16"/>
                    </w:rPr>
                  </w:pPr>
                  <w:r>
                    <w:rPr>
                      <w:sz w:val="16"/>
                      <w:szCs w:val="16"/>
                    </w:rPr>
                    <w:t xml:space="preserve">23.00</w:t>
                  </w:r>
                </w:p>
              </w:tc>
              <w:tc>
                <w:tcPr/>
                <w:p>
                  <w:pPr>
                    <w:pStyle w:val="Compact"/>
                    <w:jc w:val="left"/>
                    <w:rPr>
                      <w:sz w:val="16"/>
                      <w:szCs w:val="16"/>
                    </w:rPr>
                  </w:pPr>
                  <w:r>
                    <w:rPr>
                      <w:sz w:val="16"/>
                      <w:szCs w:val="16"/>
                    </w:rPr>
                    <w:t xml:space="preserve">4600.00</w:t>
                  </w:r>
                </w:p>
              </w:tc>
              <w:tc>
                <w:tcPr/>
                <w:p>
                  <w:pPr>
                    <w:pStyle w:val="Compact"/>
                    <w:jc w:val="left"/>
                    <w:rPr>
                      <w:sz w:val="16"/>
                      <w:szCs w:val="16"/>
                    </w:rPr>
                  </w:pPr>
                  <w:r>
                    <w:rPr>
                      <w:sz w:val="16"/>
                      <w:szCs w:val="16"/>
                    </w:rPr>
                    <w:t xml:space="preserve">+1.70</w:t>
                  </w:r>
                </w:p>
              </w:tc>
              <w:tc>
                <w:tcPr/>
                <w:p>
                  <w:pPr>
                    <w:pStyle w:val="Compact"/>
                    <w:jc w:val="left"/>
                    <w:rPr>
                      <w:sz w:val="16"/>
                      <w:szCs w:val="16"/>
                    </w:rPr>
                  </w:pPr>
                  <w:r>
                    <w:rPr>
                      <w:sz w:val="16"/>
                      <w:szCs w:val="16"/>
                    </w:rPr>
                    <w:t xml:space="preserve">+19.51</w:t>
                  </w:r>
                </w:p>
              </w:tc>
            </w:tr>
            <w:tr>
              <w:trPr>
                <w:trHeight w:val="340" w:hRule="exact"/>
              </w:trPr>
              <w:tc>
                <w:tcPr/>
                <w:p>
                  <w:pPr>
                    <w:pStyle w:val="Compact"/>
                    <w:jc w:val="left"/>
                    <w:rPr>
                      <w:sz w:val="16"/>
                      <w:szCs w:val="16"/>
                    </w:rPr>
                  </w:pPr>
                  <w:r>
                    <w:rPr>
                      <w:sz w:val="16"/>
                      <w:szCs w:val="16"/>
                    </w:rPr>
                    <w:t xml:space="preserve">Quadratic mean diameter (cm)</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27.38</w:t>
                  </w:r>
                </w:p>
              </w:tc>
              <w:tc>
                <w:tcPr/>
                <w:p>
                  <w:pPr>
                    <w:pStyle w:val="Compact"/>
                    <w:jc w:val="left"/>
                    <w:rPr>
                      <w:sz w:val="16"/>
                      <w:szCs w:val="16"/>
                    </w:rPr>
                  </w:pPr>
                  <w:r>
                    <w:rPr>
                      <w:sz w:val="16"/>
                      <w:szCs w:val="16"/>
                    </w:rPr>
                    <w:t xml:space="preserve">6.40</w:t>
                  </w:r>
                </w:p>
              </w:tc>
              <w:tc>
                <w:tcPr/>
                <w:p>
                  <w:pPr>
                    <w:pStyle w:val="Compact"/>
                    <w:jc w:val="left"/>
                    <w:rPr>
                      <w:sz w:val="16"/>
                      <w:szCs w:val="16"/>
                    </w:rPr>
                  </w:pPr>
                  <w:r>
                    <w:rPr>
                      <w:sz w:val="16"/>
                      <w:szCs w:val="16"/>
                    </w:rPr>
                    <w:t xml:space="preserve">0.019</w:t>
                  </w:r>
                </w:p>
              </w:tc>
              <w:tc>
                <w:tcPr/>
                <w:p>
                  <w:pPr>
                    <w:pStyle w:val="Compact"/>
                    <w:jc w:val="left"/>
                    <w:rPr>
                      <w:sz w:val="16"/>
                      <w:szCs w:val="16"/>
                    </w:rPr>
                  </w:pPr>
                  <w:r>
                    <w:rPr>
                      <w:sz w:val="16"/>
                      <w:szCs w:val="16"/>
                    </w:rPr>
                    <w:t xml:space="preserve">26.95</w:t>
                  </w:r>
                </w:p>
              </w:tc>
              <w:tc>
                <w:tcPr/>
                <w:p>
                  <w:pPr>
                    <w:pStyle w:val="Compact"/>
                    <w:jc w:val="left"/>
                    <w:rPr>
                      <w:sz w:val="16"/>
                      <w:szCs w:val="16"/>
                    </w:rPr>
                  </w:pPr>
                  <w:r>
                    <w:rPr>
                      <w:sz w:val="16"/>
                      <w:szCs w:val="16"/>
                    </w:rPr>
                    <w:t xml:space="preserve">13.55</w:t>
                  </w:r>
                </w:p>
              </w:tc>
              <w:tc>
                <w:tcPr/>
                <w:p>
                  <w:pPr>
                    <w:pStyle w:val="Compact"/>
                    <w:jc w:val="left"/>
                    <w:rPr>
                      <w:sz w:val="16"/>
                      <w:szCs w:val="16"/>
                    </w:rPr>
                  </w:pPr>
                  <w:r>
                    <w:rPr>
                      <w:sz w:val="16"/>
                      <w:szCs w:val="16"/>
                    </w:rPr>
                    <w:t xml:space="preserve">58.90</w:t>
                  </w:r>
                </w:p>
              </w:tc>
              <w:tc>
                <w:tcPr/>
                <w:p>
                  <w:pPr>
                    <w:pStyle w:val="Compact"/>
                    <w:jc w:val="left"/>
                    <w:rPr>
                      <w:sz w:val="16"/>
                      <w:szCs w:val="16"/>
                    </w:rPr>
                  </w:pPr>
                  <w:r>
                    <w:rPr>
                      <w:sz w:val="16"/>
                      <w:szCs w:val="16"/>
                    </w:rPr>
                    <w:t xml:space="preserve">+0.73</w:t>
                  </w:r>
                </w:p>
              </w:tc>
              <w:tc>
                <w:tcPr/>
                <w:p>
                  <w:pPr>
                    <w:pStyle w:val="Compact"/>
                    <w:jc w:val="left"/>
                    <w:rPr>
                      <w:sz w:val="16"/>
                      <w:szCs w:val="16"/>
                    </w:rPr>
                  </w:pPr>
                  <w:r>
                    <w:rPr>
                      <w:sz w:val="16"/>
                      <w:szCs w:val="16"/>
                    </w:rPr>
                    <w:t xml:space="preserve">+1.24</w:t>
                  </w:r>
                </w:p>
              </w:tc>
            </w:tr>
            <w:tr>
              <w:trPr>
                <w:trHeight w:val="340" w:hRule="exact"/>
              </w:trPr>
              <w:tc>
                <w:tcPr/>
                <w:p>
                  <w:pPr>
                    <w:pStyle w:val="Compact"/>
                    <w:jc w:val="left"/>
                    <w:rPr>
                      <w:sz w:val="16"/>
                      <w:szCs w:val="16"/>
                    </w:rPr>
                  </w:pPr>
                  <w:r>
                    <w:rPr>
                      <w:sz w:val="16"/>
                      <w:szCs w:val="16"/>
                    </w:rPr>
                    <w:t xml:space="preserve">Stand age (years)</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115.46</w:t>
                  </w:r>
                </w:p>
              </w:tc>
              <w:tc>
                <w:tcPr/>
                <w:p>
                  <w:pPr>
                    <w:pStyle w:val="Compact"/>
                    <w:jc w:val="left"/>
                    <w:rPr>
                      <w:sz w:val="16"/>
                      <w:szCs w:val="16"/>
                    </w:rPr>
                  </w:pPr>
                  <w:r>
                    <w:rPr>
                      <w:sz w:val="16"/>
                      <w:szCs w:val="16"/>
                    </w:rPr>
                    <w:t xml:space="preserve">20.88</w:t>
                  </w:r>
                </w:p>
              </w:tc>
              <w:tc>
                <w:tcPr/>
                <w:p>
                  <w:pPr>
                    <w:pStyle w:val="Compact"/>
                    <w:jc w:val="left"/>
                    <w:rPr>
                      <w:sz w:val="16"/>
                      <w:szCs w:val="16"/>
                    </w:rPr>
                  </w:pPr>
                  <w:r>
                    <w:rPr>
                      <w:sz w:val="16"/>
                      <w:szCs w:val="16"/>
                    </w:rPr>
                    <w:t xml:space="preserve">0.062</w:t>
                  </w:r>
                </w:p>
              </w:tc>
              <w:tc>
                <w:tcPr/>
                <w:p>
                  <w:pPr>
                    <w:pStyle w:val="Compact"/>
                    <w:jc w:val="left"/>
                    <w:rPr>
                      <w:sz w:val="16"/>
                      <w:szCs w:val="16"/>
                    </w:rPr>
                  </w:pPr>
                  <w:r>
                    <w:rPr>
                      <w:sz w:val="16"/>
                      <w:szCs w:val="16"/>
                    </w:rPr>
                    <w:t xml:space="preserve">116.00</w:t>
                  </w:r>
                </w:p>
              </w:tc>
              <w:tc>
                <w:tcPr/>
                <w:p>
                  <w:pPr>
                    <w:pStyle w:val="Compact"/>
                    <w:jc w:val="left"/>
                    <w:rPr>
                      <w:sz w:val="16"/>
                      <w:szCs w:val="16"/>
                    </w:rPr>
                  </w:pPr>
                  <w:r>
                    <w:rPr>
                      <w:sz w:val="16"/>
                      <w:szCs w:val="16"/>
                    </w:rPr>
                    <w:t xml:space="preserve">22.00</w:t>
                  </w:r>
                </w:p>
              </w:tc>
              <w:tc>
                <w:tcPr/>
                <w:p>
                  <w:pPr>
                    <w:pStyle w:val="Compact"/>
                    <w:jc w:val="left"/>
                    <w:rPr>
                      <w:sz w:val="16"/>
                      <w:szCs w:val="16"/>
                    </w:rPr>
                  </w:pPr>
                  <w:r>
                    <w:rPr>
                      <w:sz w:val="16"/>
                      <w:szCs w:val="16"/>
                    </w:rPr>
                    <w:t xml:space="preserve">237.00</w:t>
                  </w:r>
                </w:p>
              </w:tc>
              <w:tc>
                <w:tcPr/>
                <w:p>
                  <w:pPr>
                    <w:pStyle w:val="Compact"/>
                    <w:jc w:val="left"/>
                    <w:rPr>
                      <w:sz w:val="16"/>
                      <w:szCs w:val="16"/>
                    </w:rPr>
                  </w:pPr>
                  <w:r>
                    <w:rPr>
                      <w:sz w:val="16"/>
                      <w:szCs w:val="16"/>
                    </w:rPr>
                    <w:t xml:space="preserve">-0.78</w:t>
                  </w:r>
                </w:p>
              </w:tc>
              <w:tc>
                <w:tcPr/>
                <w:p>
                  <w:pPr>
                    <w:pStyle w:val="Compact"/>
                    <w:jc w:val="left"/>
                    <w:rPr>
                      <w:sz w:val="16"/>
                      <w:szCs w:val="16"/>
                    </w:rPr>
                  </w:pPr>
                  <w:r>
                    <w:rPr>
                      <w:sz w:val="16"/>
                      <w:szCs w:val="16"/>
                    </w:rPr>
                    <w:t xml:space="preserve">+1.97</w:t>
                  </w:r>
                </w:p>
              </w:tc>
            </w:tr>
            <w:tr>
              <w:trPr>
                <w:trHeight w:val="340" w:hRule="exact"/>
              </w:trPr>
              <w:tc>
                <w:tcPr/>
                <w:p>
                  <w:pPr>
                    <w:pStyle w:val="Compact"/>
                    <w:jc w:val="left"/>
                    <w:rPr>
                      <w:sz w:val="16"/>
                      <w:szCs w:val="16"/>
                    </w:rPr>
                  </w:pPr>
                  <w:r>
                    <w:rPr>
                      <w:sz w:val="16"/>
                      <w:szCs w:val="16"/>
                    </w:rPr>
                    <w:t xml:space="preserve">Stand height (m)</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26.97</w:t>
                  </w:r>
                </w:p>
              </w:tc>
              <w:tc>
                <w:tcPr/>
                <w:p>
                  <w:pPr>
                    <w:pStyle w:val="Compact"/>
                    <w:jc w:val="left"/>
                    <w:rPr>
                      <w:sz w:val="16"/>
                      <w:szCs w:val="16"/>
                    </w:rPr>
                  </w:pPr>
                  <w:r>
                    <w:rPr>
                      <w:sz w:val="16"/>
                      <w:szCs w:val="16"/>
                    </w:rPr>
                    <w:t xml:space="preserve">6.27</w:t>
                  </w:r>
                </w:p>
              </w:tc>
              <w:tc>
                <w:tcPr/>
                <w:p>
                  <w:pPr>
                    <w:pStyle w:val="Compact"/>
                    <w:jc w:val="left"/>
                    <w:rPr>
                      <w:sz w:val="16"/>
                      <w:szCs w:val="16"/>
                    </w:rPr>
                  </w:pPr>
                  <w:r>
                    <w:rPr>
                      <w:sz w:val="16"/>
                      <w:szCs w:val="16"/>
                    </w:rPr>
                    <w:t xml:space="preserve">0.019</w:t>
                  </w:r>
                </w:p>
              </w:tc>
              <w:tc>
                <w:tcPr/>
                <w:p>
                  <w:pPr>
                    <w:pStyle w:val="Compact"/>
                    <w:jc w:val="left"/>
                    <w:rPr>
                      <w:sz w:val="16"/>
                      <w:szCs w:val="16"/>
                    </w:rPr>
                  </w:pPr>
                  <w:r>
                    <w:rPr>
                      <w:sz w:val="16"/>
                      <w:szCs w:val="16"/>
                    </w:rPr>
                    <w:t xml:space="preserve">27.90</w:t>
                  </w:r>
                </w:p>
              </w:tc>
              <w:tc>
                <w:tcPr/>
                <w:p>
                  <w:pPr>
                    <w:pStyle w:val="Compact"/>
                    <w:jc w:val="left"/>
                    <w:rPr>
                      <w:sz w:val="16"/>
                      <w:szCs w:val="16"/>
                    </w:rPr>
                  </w:pPr>
                  <w:r>
                    <w:rPr>
                      <w:sz w:val="16"/>
                      <w:szCs w:val="16"/>
                    </w:rPr>
                    <w:t xml:space="preserve">7.00</w:t>
                  </w:r>
                </w:p>
              </w:tc>
              <w:tc>
                <w:tcPr/>
                <w:p>
                  <w:pPr>
                    <w:pStyle w:val="Compact"/>
                    <w:jc w:val="left"/>
                    <w:rPr>
                      <w:sz w:val="16"/>
                      <w:szCs w:val="16"/>
                    </w:rPr>
                  </w:pPr>
                  <w:r>
                    <w:rPr>
                      <w:sz w:val="16"/>
                      <w:szCs w:val="16"/>
                    </w:rPr>
                    <w:t xml:space="preserve">40.30</w:t>
                  </w:r>
                </w:p>
              </w:tc>
              <w:tc>
                <w:tcPr/>
                <w:p>
                  <w:pPr>
                    <w:pStyle w:val="Compact"/>
                    <w:jc w:val="left"/>
                    <w:rPr>
                      <w:sz w:val="16"/>
                      <w:szCs w:val="16"/>
                    </w:rPr>
                  </w:pPr>
                  <w:r>
                    <w:rPr>
                      <w:sz w:val="16"/>
                      <w:szCs w:val="16"/>
                    </w:rPr>
                    <w:t xml:space="preserve">-0.26</w:t>
                  </w:r>
                </w:p>
              </w:tc>
              <w:tc>
                <w:tcPr/>
                <w:p>
                  <w:pPr>
                    <w:pStyle w:val="Compact"/>
                    <w:jc w:val="left"/>
                    <w:rPr>
                      <w:sz w:val="16"/>
                      <w:szCs w:val="16"/>
                    </w:rPr>
                  </w:pPr>
                  <w:r>
                    <w:rPr>
                      <w:sz w:val="16"/>
                      <w:szCs w:val="16"/>
                    </w:rPr>
                    <w:t xml:space="preserve">+0.23</w:t>
                  </w:r>
                </w:p>
              </w:tc>
            </w:tr>
            <w:tr>
              <w:trPr>
                <w:trHeight w:val="340" w:hRule="exact"/>
              </w:trPr>
              <w:tc>
                <w:tcPr/>
                <w:p>
                  <w:pPr>
                    <w:pStyle w:val="Compact"/>
                    <w:jc w:val="left"/>
                    <w:rPr>
                      <w:sz w:val="16"/>
                      <w:szCs w:val="16"/>
                    </w:rPr>
                  </w:pPr>
                  <w:r>
                    <w:rPr>
                      <w:sz w:val="16"/>
                      <w:szCs w:val="16"/>
                    </w:rPr>
                    <w:t xml:space="preserve">Standing volume (m3/ha)</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272.33</w:t>
                  </w:r>
                </w:p>
              </w:tc>
              <w:tc>
                <w:tcPr/>
                <w:p>
                  <w:pPr>
                    <w:pStyle w:val="Compact"/>
                    <w:jc w:val="left"/>
                    <w:rPr>
                      <w:sz w:val="16"/>
                      <w:szCs w:val="16"/>
                    </w:rPr>
                  </w:pPr>
                  <w:r>
                    <w:rPr>
                      <w:sz w:val="16"/>
                      <w:szCs w:val="16"/>
                    </w:rPr>
                    <w:t xml:space="preserve">131.38</w:t>
                  </w:r>
                </w:p>
              </w:tc>
              <w:tc>
                <w:tcPr/>
                <w:p>
                  <w:pPr>
                    <w:pStyle w:val="Compact"/>
                    <w:jc w:val="left"/>
                    <w:rPr>
                      <w:sz w:val="16"/>
                      <w:szCs w:val="16"/>
                    </w:rPr>
                  </w:pPr>
                  <w:r>
                    <w:rPr>
                      <w:sz w:val="16"/>
                      <w:szCs w:val="16"/>
                    </w:rPr>
                    <w:t xml:space="preserve">0.393</w:t>
                  </w:r>
                </w:p>
              </w:tc>
              <w:tc>
                <w:tcPr/>
                <w:p>
                  <w:pPr>
                    <w:pStyle w:val="Compact"/>
                    <w:jc w:val="left"/>
                    <w:rPr>
                      <w:sz w:val="16"/>
                      <w:szCs w:val="16"/>
                    </w:rPr>
                  </w:pPr>
                  <w:r>
                    <w:rPr>
                      <w:sz w:val="16"/>
                      <w:szCs w:val="16"/>
                    </w:rPr>
                    <w:t xml:space="preserve">281.47</w:t>
                  </w:r>
                </w:p>
              </w:tc>
              <w:tc>
                <w:tcPr/>
                <w:p>
                  <w:pPr>
                    <w:pStyle w:val="Compact"/>
                    <w:jc w:val="left"/>
                    <w:rPr>
                      <w:sz w:val="16"/>
                      <w:szCs w:val="16"/>
                    </w:rPr>
                  </w:pPr>
                  <w:r>
                    <w:rPr>
                      <w:sz w:val="16"/>
                      <w:szCs w:val="16"/>
                    </w:rPr>
                    <w:t xml:space="preserve">0.82</w:t>
                  </w:r>
                </w:p>
              </w:tc>
              <w:tc>
                <w:tcPr/>
                <w:p>
                  <w:pPr>
                    <w:pStyle w:val="Compact"/>
                    <w:jc w:val="left"/>
                    <w:rPr>
                      <w:sz w:val="16"/>
                      <w:szCs w:val="16"/>
                    </w:rPr>
                  </w:pPr>
                  <w:r>
                    <w:rPr>
                      <w:sz w:val="16"/>
                      <w:szCs w:val="16"/>
                    </w:rPr>
                    <w:t xml:space="preserve">586.61</w:t>
                  </w:r>
                </w:p>
              </w:tc>
              <w:tc>
                <w:tcPr/>
                <w:p>
                  <w:pPr>
                    <w:pStyle w:val="Compact"/>
                    <w:jc w:val="left"/>
                    <w:rPr>
                      <w:sz w:val="16"/>
                      <w:szCs w:val="16"/>
                    </w:rPr>
                  </w:pPr>
                  <w:r>
                    <w:rPr>
                      <w:sz w:val="16"/>
                      <w:szCs w:val="16"/>
                    </w:rPr>
                    <w:t xml:space="preserve">+0.01</w:t>
                  </w:r>
                </w:p>
              </w:tc>
              <w:tc>
                <w:tcPr/>
                <w:p>
                  <w:pPr>
                    <w:pStyle w:val="Compact"/>
                    <w:jc w:val="left"/>
                    <w:rPr>
                      <w:sz w:val="16"/>
                      <w:szCs w:val="16"/>
                    </w:rPr>
                  </w:pPr>
                  <w:r>
                    <w:rPr>
                      <w:sz w:val="16"/>
                      <w:szCs w:val="16"/>
                    </w:rPr>
                    <w:t xml:space="preserve">-0.35</w:t>
                  </w:r>
                </w:p>
              </w:tc>
            </w:tr>
            <w:tr>
              <w:trPr>
                <w:trHeight w:val="340" w:hRule="exact"/>
              </w:trPr>
              <w:tc>
                <w:tcPr/>
                <w:p>
                  <w:pPr>
                    <w:pStyle w:val="Compact"/>
                    <w:jc w:val="left"/>
                    <w:rPr>
                      <w:sz w:val="16"/>
                      <w:szCs w:val="16"/>
                    </w:rPr>
                  </w:pPr>
                  <w:r>
                    <w:rPr>
                      <w:sz w:val="16"/>
                      <w:szCs w:val="16"/>
                    </w:rPr>
                    <w:t xml:space="preserve">Lodgepole pine cover (%)</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20.11</w:t>
                  </w:r>
                </w:p>
              </w:tc>
              <w:tc>
                <w:tcPr/>
                <w:p>
                  <w:pPr>
                    <w:pStyle w:val="Compact"/>
                    <w:jc w:val="left"/>
                    <w:rPr>
                      <w:sz w:val="16"/>
                      <w:szCs w:val="16"/>
                    </w:rPr>
                  </w:pPr>
                  <w:r>
                    <w:rPr>
                      <w:sz w:val="16"/>
                      <w:szCs w:val="16"/>
                    </w:rPr>
                    <w:t xml:space="preserve">23.93</w:t>
                  </w:r>
                </w:p>
              </w:tc>
              <w:tc>
                <w:tcPr/>
                <w:p>
                  <w:pPr>
                    <w:pStyle w:val="Compact"/>
                    <w:jc w:val="left"/>
                    <w:rPr>
                      <w:sz w:val="16"/>
                      <w:szCs w:val="16"/>
                    </w:rPr>
                  </w:pPr>
                  <w:r>
                    <w:rPr>
                      <w:sz w:val="16"/>
                      <w:szCs w:val="16"/>
                    </w:rPr>
                    <w:t xml:space="preserve">0.072</w:t>
                  </w:r>
                </w:p>
              </w:tc>
              <w:tc>
                <w:tcPr/>
                <w:p>
                  <w:pPr>
                    <w:pStyle w:val="Compact"/>
                    <w:jc w:val="left"/>
                    <w:rPr>
                      <w:sz w:val="16"/>
                      <w:szCs w:val="16"/>
                    </w:rPr>
                  </w:pPr>
                  <w:r>
                    <w:rPr>
                      <w:sz w:val="16"/>
                      <w:szCs w:val="16"/>
                    </w:rPr>
                    <w:t xml:space="preserve">10.00</w:t>
                  </w:r>
                </w:p>
              </w:tc>
              <w:tc>
                <w:tcPr/>
                <w:p>
                  <w:pPr>
                    <w:pStyle w:val="Compact"/>
                    <w:jc w:val="left"/>
                    <w:rPr>
                      <w:sz w:val="16"/>
                      <w:szCs w:val="16"/>
                    </w:rPr>
                  </w:pPr>
                  <w:r>
                    <w:rPr>
                      <w:sz w:val="16"/>
                      <w:szCs w:val="16"/>
                    </w:rPr>
                    <w:t xml:space="preserve">0.00</w:t>
                  </w:r>
                </w:p>
              </w:tc>
              <w:tc>
                <w:tcPr/>
                <w:p>
                  <w:pPr>
                    <w:pStyle w:val="Compact"/>
                    <w:jc w:val="left"/>
                    <w:rPr>
                      <w:sz w:val="16"/>
                      <w:szCs w:val="16"/>
                    </w:rPr>
                  </w:pPr>
                  <w:r>
                    <w:rPr>
                      <w:sz w:val="16"/>
                      <w:szCs w:val="16"/>
                    </w:rPr>
                    <w:t xml:space="preserve">100.00</w:t>
                  </w:r>
                </w:p>
              </w:tc>
              <w:tc>
                <w:tcPr/>
                <w:p>
                  <w:pPr>
                    <w:pStyle w:val="Compact"/>
                    <w:jc w:val="left"/>
                    <w:rPr>
                      <w:sz w:val="16"/>
                      <w:szCs w:val="16"/>
                    </w:rPr>
                  </w:pPr>
                  <w:r>
                    <w:rPr>
                      <w:sz w:val="16"/>
                      <w:szCs w:val="16"/>
                    </w:rPr>
                    <w:t xml:space="preserve">+1.45</w:t>
                  </w:r>
                </w:p>
              </w:tc>
              <w:tc>
                <w:tcPr/>
                <w:p>
                  <w:pPr>
                    <w:pStyle w:val="Compact"/>
                    <w:jc w:val="left"/>
                    <w:rPr>
                      <w:sz w:val="16"/>
                      <w:szCs w:val="16"/>
                    </w:rPr>
                  </w:pPr>
                  <w:r>
                    <w:rPr>
                      <w:sz w:val="16"/>
                      <w:szCs w:val="16"/>
                    </w:rPr>
                    <w:t xml:space="preserve">+1.56</w:t>
                  </w:r>
                </w:p>
              </w:tc>
            </w:tr>
            <w:tr>
              <w:trPr>
                <w:trHeight w:val="340" w:hRule="exact"/>
              </w:trPr>
              <w:tc>
                <w:tcPr/>
                <w:p>
                  <w:pPr>
                    <w:pStyle w:val="Compact"/>
                    <w:jc w:val="left"/>
                    <w:rPr>
                      <w:sz w:val="16"/>
                      <w:szCs w:val="16"/>
                    </w:rPr>
                  </w:pPr>
                  <w:r>
                    <w:rPr>
                      <w:sz w:val="16"/>
                      <w:szCs w:val="16"/>
                    </w:rPr>
                    <w:t xml:space="preserve">Susceptible pine basal area (m2/ha)</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7.07</w:t>
                  </w:r>
                </w:p>
              </w:tc>
              <w:tc>
                <w:tcPr/>
                <w:p>
                  <w:pPr>
                    <w:pStyle w:val="Compact"/>
                    <w:jc w:val="left"/>
                    <w:rPr>
                      <w:sz w:val="16"/>
                      <w:szCs w:val="16"/>
                    </w:rPr>
                  </w:pPr>
                  <w:r>
                    <w:rPr>
                      <w:sz w:val="16"/>
                      <w:szCs w:val="16"/>
                    </w:rPr>
                    <w:t xml:space="preserve">8.85</w:t>
                  </w:r>
                </w:p>
              </w:tc>
              <w:tc>
                <w:tcPr/>
                <w:p>
                  <w:pPr>
                    <w:pStyle w:val="Compact"/>
                    <w:jc w:val="left"/>
                    <w:rPr>
                      <w:sz w:val="16"/>
                      <w:szCs w:val="16"/>
                    </w:rPr>
                  </w:pPr>
                  <w:r>
                    <w:rPr>
                      <w:sz w:val="16"/>
                      <w:szCs w:val="16"/>
                    </w:rPr>
                    <w:t xml:space="preserve">0.026</w:t>
                  </w:r>
                </w:p>
              </w:tc>
              <w:tc>
                <w:tcPr/>
                <w:p>
                  <w:pPr>
                    <w:pStyle w:val="Compact"/>
                    <w:jc w:val="left"/>
                    <w:rPr>
                      <w:sz w:val="16"/>
                      <w:szCs w:val="16"/>
                    </w:rPr>
                  </w:pPr>
                  <w:r>
                    <w:rPr>
                      <w:sz w:val="16"/>
                      <w:szCs w:val="16"/>
                    </w:rPr>
                    <w:t xml:space="preserve">4.00</w:t>
                  </w:r>
                </w:p>
              </w:tc>
              <w:tc>
                <w:tcPr/>
                <w:p>
                  <w:pPr>
                    <w:pStyle w:val="Compact"/>
                    <w:jc w:val="left"/>
                    <w:rPr>
                      <w:sz w:val="16"/>
                      <w:szCs w:val="16"/>
                    </w:rPr>
                  </w:pPr>
                  <w:r>
                    <w:rPr>
                      <w:sz w:val="16"/>
                      <w:szCs w:val="16"/>
                    </w:rPr>
                    <w:t xml:space="preserve">0.00</w:t>
                  </w:r>
                </w:p>
              </w:tc>
              <w:tc>
                <w:tcPr/>
                <w:p>
                  <w:pPr>
                    <w:pStyle w:val="Compact"/>
                    <w:jc w:val="left"/>
                    <w:rPr>
                      <w:sz w:val="16"/>
                      <w:szCs w:val="16"/>
                    </w:rPr>
                  </w:pPr>
                  <w:r>
                    <w:rPr>
                      <w:sz w:val="16"/>
                      <w:szCs w:val="16"/>
                    </w:rPr>
                    <w:t xml:space="preserve">48.30</w:t>
                  </w:r>
                </w:p>
              </w:tc>
              <w:tc>
                <w:tcPr/>
                <w:p>
                  <w:pPr>
                    <w:pStyle w:val="Compact"/>
                    <w:jc w:val="left"/>
                    <w:rPr>
                      <w:sz w:val="16"/>
                      <w:szCs w:val="16"/>
                    </w:rPr>
                  </w:pPr>
                  <w:r>
                    <w:rPr>
                      <w:sz w:val="16"/>
                      <w:szCs w:val="16"/>
                    </w:rPr>
                    <w:t xml:space="preserve">+1.63</w:t>
                  </w:r>
                </w:p>
              </w:tc>
              <w:tc>
                <w:tcPr/>
                <w:p>
                  <w:pPr>
                    <w:pStyle w:val="Compact"/>
                    <w:jc w:val="left"/>
                    <w:rPr>
                      <w:sz w:val="16"/>
                      <w:szCs w:val="16"/>
                    </w:rPr>
                  </w:pPr>
                  <w:r>
                    <w:rPr>
                      <w:sz w:val="16"/>
                      <w:szCs w:val="16"/>
                    </w:rPr>
                    <w:t xml:space="preserve">+2.63</w:t>
                  </w:r>
                </w:p>
              </w:tc>
            </w:tr>
          </w:tbl>
          <w:bookmarkEnd w:id="31"/>
          <w:p/>
        </w:tc>
      </w:tr>
    </w:tbl>
    <w:p>
      <w:pPr>
        <w:pStyle w:val="BodyText"/>
      </w:pPr>
      <w:r>
        <w:t xml:space="preserve">The inventory is a projected operational product, not a census, and its polygons here carry</w:t>
      </w:r>
      <w:r>
        <w:t xml:space="preserve"> </w:t>
      </w:r>
      <w:r>
        <w:t xml:space="preserve">reference years spanning several decades. A polygon interpreted from late-outbreak</w:t>
      </w:r>
      <w:r>
        <w:t xml:space="preserve"> </w:t>
      </w:r>
      <w:r>
        <w:t xml:space="preserve">photography describes a stand the beetle had already worked through, so basal area and pine</w:t>
      </w:r>
      <w:r>
        <w:t xml:space="preserve"> </w:t>
      </w:r>
      <w:r>
        <w:t xml:space="preserve">cover are post-attack for part of the window. There is no unattacked vintage, so this is</w:t>
      </w:r>
      <w:r>
        <w:t xml:space="preserve"> </w:t>
      </w:r>
      <w:r>
        <w:t xml:space="preserve">reported rather than corrected, and</w:t>
      </w:r>
      <w:r>
        <w:t xml:space="preserve"> </w:t>
      </w:r>
      <w:hyperlink w:anchor="sec-limits">
        <w:r>
          <w:rPr>
            <w:rStyle w:val="Hyperlink"/>
          </w:rPr>
          <w:t xml:space="preserve">Section 7</w:t>
        </w:r>
      </w:hyperlink>
      <w:r>
        <w:t xml:space="preserve"> </w:t>
      </w:r>
      <w:r>
        <w:t xml:space="preserve">returns to it.</w:t>
      </w:r>
    </w:p>
    <w:bookmarkEnd w:id="32"/>
    <w:bookmarkStart w:id="33" w:name="geomorphometry"/>
    <w:p>
      <w:pPr>
        <w:pStyle w:val="Heading2"/>
      </w:pPr>
      <w:r>
        <w:t xml:space="preserve">2.4 Geomorphometry</w:t>
      </w:r>
    </w:p>
    <w:p>
      <w:pPr>
        <w:pStyle w:val="FirstParagraph"/>
      </w:pPr>
      <w:r>
        <w:t xml:space="preserve">Terrain is described by 29 geomorphometric surfaces computed with SAGA GIS</w:t>
      </w:r>
      <w:r>
        <w:t xml:space="preserve"> </w:t>
      </w:r>
      <w:r>
        <w:t xml:space="preserve">over the full reprojected elevation model and clipped afterwards, so a search radius near the</w:t>
      </w:r>
      <w:r>
        <w:t xml:space="preserve"> </w:t>
      </w:r>
      <w:r>
        <w:t xml:space="preserve">boundary sees real ground.</w:t>
      </w:r>
    </w:p>
    <w:p>
      <w:pPr>
        <w:pStyle w:val="BodyText"/>
      </w:pPr>
      <w:r>
        <w:t xml:space="preserve">Radiation is computed twice because two mechanisms need it. Flight-window insolation is direct</w:t>
      </w:r>
      <w:r>
        <w:t xml:space="preserve"> </w:t>
      </w:r>
      <w:r>
        <w:t xml:space="preserve">and diffuse radiation over 1 July to 15 August restricted to 12:00 to 17:00, the hours</w:t>
      </w:r>
      <w:r>
        <w:t xml:space="preserve"> </w:t>
      </w:r>
      <w:r>
        <w:t xml:space="preserve">Safranyik &amp; Carroll (2006)</w:t>
      </w:r>
      <w:r>
        <w:t xml:space="preserve"> </w:t>
      </w:r>
      <w:r>
        <w:t xml:space="preserve">identify as the flight peak; growing-season insolation is the whole-day</w:t>
      </w:r>
      <w:r>
        <w:t xml:space="preserve"> </w:t>
      </w:r>
      <w:r>
        <w:t xml:space="preserve">total from 1 May to 30 September, the shading quantity</w:t>
      </w:r>
      <w:r>
        <w:t xml:space="preserve"> </w:t>
      </w:r>
      <w:r>
        <w:t xml:space="preserve">Krawchuk et al. (2020)</w:t>
      </w:r>
      <w:r>
        <w:t xml:space="preserve">’s first mechanism</w:t>
      </w:r>
      <w:r>
        <w:t xml:space="preserve"> </w:t>
      </w:r>
      <w:r>
        <w:t xml:space="preserve">concerns. A single annual heat index cannot separate them: flight-window direct radiation</w:t>
      </w:r>
      <w:r>
        <w:t xml:space="preserve"> </w:t>
      </w:r>
      <w:r>
        <w:t xml:space="preserve">spans a 7-fold range</w:t>
      </w:r>
      <w:r>
        <w:t xml:space="preserve"> </w:t>
      </w:r>
      <w:r>
        <w:t xml:space="preserve">here against 2.6-fold for</w:t>
      </w:r>
      <w:r>
        <w:t xml:space="preserve"> </w:t>
      </w:r>
      <w:r>
        <w:t xml:space="preserve">the season total.</w:t>
      </w:r>
    </w:p>
    <w:p>
      <w:pPr>
        <w:pStyle w:val="BodyText"/>
      </w:pPr>
      <w:r>
        <w:t xml:space="preserve">Exposure enters as the windward-leeward index and effective air flow height at the prevailing</w:t>
      </w:r>
      <w:r>
        <w:t xml:space="preserve"> </w:t>
      </w:r>
      <w:r>
        <w:t xml:space="preserve">bearing, the omnidirectional wind exposition index, the wind shelter index and topographic</w:t>
      </w:r>
      <w:r>
        <w:t xml:space="preserve"> </w:t>
      </w:r>
      <w:r>
        <w:t xml:space="preserve">openness. Shape enters as terrain ruggedness, vector ruggedness, topographic position and its</w:t>
      </w:r>
      <w:r>
        <w:t xml:space="preserve"> </w:t>
      </w:r>
      <w:r>
        <w:t xml:space="preserve">multi-scale form, convergence, slope, curvature and geomorphon class. Landform enters as</w:t>
      </w:r>
      <w:r>
        <w:t xml:space="preserve"> </w:t>
      </w:r>
      <w:r>
        <w:t xml:space="preserve">topographic wetness, valley depth, height above the valley floor, normalised height and</w:t>
      </w:r>
      <w:r>
        <w:t xml:space="preserve"> </w:t>
      </w:r>
      <w:r>
        <w:t xml:space="preserve">mid-slope position, because infested groups are reported in draws and gullies and deep snow</w:t>
      </w:r>
      <w:r>
        <w:t xml:space="preserve"> </w:t>
      </w:r>
      <w:r>
        <w:t xml:space="preserve">insulates overwintering brood</w:t>
      </w:r>
      <w:r>
        <w:t xml:space="preserve"> </w:t>
      </w:r>
      <w:r>
        <w:t xml:space="preserve">(Safranyik &amp; Carroll, 2006)</w:t>
      </w:r>
      <w:r>
        <w:t xml:space="preserve">. Aspect enters as its northward and</w:t>
      </w:r>
      <w:r>
        <w:t xml:space="preserve"> </w:t>
      </w:r>
      <w:r>
        <w:t xml:space="preserve">eastward components with the heat load index of</w:t>
      </w:r>
      <w:r>
        <w:t xml:space="preserve"> </w:t>
      </w:r>
      <w:r>
        <w:t xml:space="preserve">McCune &amp; Keon (2002)</w:t>
      </w:r>
      <w:r>
        <w:t xml:space="preserve">.</w:t>
      </w:r>
    </w:p>
    <w:p>
      <w:pPr>
        <w:pStyle w:val="BodyText"/>
      </w:pPr>
      <w:r>
        <w:t xml:space="preserve">One distinction matters. The strongest aspect statements in</w:t>
      </w:r>
      <w:r>
        <w:t xml:space="preserve"> </w:t>
      </w:r>
      <w:r>
        <w:t xml:space="preserve">Safranyik &amp; Carroll (2006)</w:t>
      </w:r>
      <w:r>
        <w:t xml:space="preserve"> </w:t>
      </w:r>
      <w:r>
        <w:t xml:space="preserve">concern the</w:t>
      </w:r>
      <w:r>
        <w:t xml:space="preserve"> </w:t>
      </w:r>
      <w:r>
        <w:t xml:space="preserve">aspect of the bole, not the slope, and are within-tree effects a 30 m raster cannot measure.</w:t>
      </w:r>
      <w:r>
        <w:t xml:space="preserve"> </w:t>
      </w:r>
      <w:r>
        <w:t xml:space="preserve">Nothing here tests them.</w:t>
      </w:r>
    </w:p>
    <w:bookmarkEnd w:id="33"/>
    <w:bookmarkStart w:id="38" w:name="sec-micromet"/>
    <w:p>
      <w:pPr>
        <w:pStyle w:val="Heading2"/>
      </w:pPr>
      <w:r>
        <w:t xml:space="preserve">2.5 Terrain-resolved wind</w:t>
      </w:r>
    </w:p>
    <w:p>
      <w:pPr>
        <w:pStyle w:val="FirstParagraph"/>
      </w:pPr>
      <w:r>
        <w:t xml:space="preserve">Station wind interpolated from four to seven valley stations is nearly flat within a year, so</w:t>
      </w:r>
      <w:r>
        <w:t xml:space="preserve"> </w:t>
      </w:r>
      <w:r>
        <w:t xml:space="preserve">wind is also computed as a field varying in space, using the MicroMet model of</w:t>
      </w:r>
      <w:r>
        <w:t xml:space="preserve"> </w:t>
      </w:r>
      <w:r>
        <w:t xml:space="preserve">Liston &amp; Elder (2006)</w:t>
      </w:r>
      <w:r>
        <w:t xml:space="preserve">.</w:t>
      </w:r>
      <w:r>
        <w:t xml:space="preserve"> </w:t>
      </w:r>
      <w:r>
        <w:t xml:space="preserve">WindNinja, the usual tool, ships no macOS binary. MicroMet’s wind component is seven equations</w:t>
      </w:r>
      <w:r>
        <w:t xml:space="preserve"> </w:t>
      </w:r>
      <w:r>
        <w:t xml:space="preserve">rather than a program, implemented directly with the paper’s equation numbers against each.</w:t>
      </w:r>
    </w:p>
    <w:p>
      <w:pPr>
        <w:pStyle w:val="BodyText"/>
      </w:pPr>
      <w:r>
        <w:t xml:space="preserve">Terrain slope</w:t>
      </w:r>
      <w:r>
        <w:t xml:space="preserve"> </w:t>
      </w:r>
      <m:oMath>
        <m:r>
          <m:t>β</m:t>
        </m:r>
      </m:oMath>
      <w:r>
        <w:t xml:space="preserve"> </w:t>
      </w:r>
      <w:r>
        <w:t xml:space="preserve">and slope azimuth</w:t>
      </w:r>
      <w:r>
        <w:t xml:space="preserve"> </w:t>
      </w:r>
      <m:oMath>
        <m:r>
          <m:t>ξ</m:t>
        </m:r>
      </m:oMath>
      <w:r>
        <w:t xml:space="preserve"> </w:t>
      </w:r>
      <w:r>
        <w:t xml:space="preserve">come from the elevation model (</w:t>
      </w:r>
      <w:r>
        <w:t xml:space="preserve">Liston &amp; Elder (2006)</w:t>
      </w:r>
      <w:r>
        <w:t xml:space="preserve">,</w:t>
      </w:r>
      <w:r>
        <w:t xml:space="preserve"> </w:t>
      </w:r>
      <w:r>
        <w:t xml:space="preserve">their equations 12 and 13). Curvature</w:t>
      </w:r>
      <w:r>
        <w:t xml:space="preserve"> </w:t>
      </w:r>
      <m:oMath>
        <m:sSub>
          <m:e>
            <m:r>
              <m:t>Ω</m:t>
            </m:r>
          </m:e>
          <m:sub>
            <m:r>
              <m:t>c</m:t>
            </m:r>
          </m:sub>
        </m:sSub>
      </m:oMath>
      <w:r>
        <w:t xml:space="preserve"> </w:t>
      </w:r>
      <w:r>
        <w:t xml:space="preserve">is a cell’s elevation minus the mean of the</w:t>
      </w:r>
      <w:r>
        <w:t xml:space="preserve"> </w:t>
      </w:r>
      <w:r>
        <w:t xml:space="preserve">two opposite cells one curvature length scale away, taken on four direction lines and</w:t>
      </w:r>
      <w:r>
        <w:t xml:space="preserve"> </w:t>
      </w:r>
      <w:r>
        <w:t xml:space="preserve">averaged (their equation 14); the length scale is estimated as the first lag at which</w:t>
      </w:r>
      <w:r>
        <w:t xml:space="preserve"> </w:t>
      </w:r>
      <w:r>
        <w:t xml:space="preserve">elevation autocorrelation falls below 0.5, which is 600 m here. Writing</w:t>
      </w:r>
      <w:r>
        <w:t xml:space="preserve"> </w:t>
      </w:r>
      <m:oMath>
        <m:r>
          <m:t>θ</m:t>
        </m:r>
      </m:oMath>
      <w:r>
        <w:t xml:space="preserve"> </w:t>
      </w:r>
      <w:r>
        <w:t xml:space="preserve">for the</w:t>
      </w:r>
      <w:r>
        <w:t xml:space="preserve"> </w:t>
      </w:r>
      <w:r>
        <w:t xml:space="preserve">wind bearing, the slope in the wind direction is</w:t>
      </w:r>
    </w:p>
    <w:p>
      <w:pPr>
        <w:pStyle w:val="BodyText"/>
      </w:pPr>
      <w:bookmarkStart w:id="34" w:name="eq-slope"/>
      <m:oMathPara>
        <m:oMathParaPr>
          <m:jc m:val="center"/>
        </m:oMathParaPr>
        <m:oMath>
          <m:sSub>
            <m:e>
              <m:r>
                <m:t>Ω</m:t>
              </m:r>
            </m:e>
            <m:sub>
              <m:r>
                <m:t>s</m:t>
              </m:r>
            </m:sub>
          </m:sSub>
          <m:r>
            <m:rPr>
              <m:sty m:val="p"/>
            </m:rPr>
            <m:t>=</m:t>
          </m:r>
          <m:r>
            <m:t>β</m:t>
          </m:r>
          <m:r>
            <m:rPr>
              <m:sty m:val="p"/>
            </m:rPr>
            <m:t>cos</m:t>
          </m:r>
          <m:d>
            <m:dPr>
              <m:begChr m:val="("/>
              <m:sepChr m:val=""/>
              <m:endChr m:val=")"/>
              <m:grow/>
            </m:dPr>
            <m:e>
              <m:r>
                <m:t>θ</m:t>
              </m:r>
              <m:r>
                <m:rPr>
                  <m:sty m:val="p"/>
                </m:rPr>
                <m:t>−</m:t>
              </m:r>
              <m:r>
                <m:t>ξ</m:t>
              </m:r>
            </m:e>
          </m:d>
          <m:r>
            <m:t>  </m:t>
          </m:r>
          <m:d>
            <m:dPr>
              <m:begChr m:val="("/>
              <m:sepChr m:val=""/>
              <m:endChr m:val=")"/>
              <m:grow/>
            </m:dPr>
            <m:e>
              <m:r>
                <m:t>1</m:t>
              </m:r>
            </m:e>
          </m:d>
        </m:oMath>
      </m:oMathPara>
      <w:bookmarkEnd w:id="34"/>
    </w:p>
    <w:p>
      <w:pPr>
        <w:pStyle w:val="FirstParagraph"/>
      </w:pPr>
      <w:r>
        <w:t xml:space="preserve">with</w:t>
      </w:r>
      <w:r>
        <w:t xml:space="preserve"> </w:t>
      </w:r>
      <m:oMath>
        <m:sSub>
          <m:e>
            <m:r>
              <m:t>Ω</m:t>
            </m:r>
          </m:e>
          <m:sub>
            <m:r>
              <m:t>s</m:t>
            </m:r>
          </m:sub>
        </m:sSub>
      </m:oMath>
      <w:r>
        <w:t xml:space="preserve"> </w:t>
      </w:r>
      <w:r>
        <w:t xml:space="preserve">and</w:t>
      </w:r>
      <w:r>
        <w:t xml:space="preserve"> </w:t>
      </w:r>
      <m:oMath>
        <m:sSub>
          <m:e>
            <m:r>
              <m:t>Ω</m:t>
            </m:r>
          </m:e>
          <m:sub>
            <m:r>
              <m:t>c</m:t>
            </m:r>
          </m:sub>
        </m:sSub>
      </m:oMath>
      <w:r>
        <w:t xml:space="preserve"> </w:t>
      </w:r>
      <w:r>
        <w:t xml:space="preserve">each scaled to</w:t>
      </w:r>
      <w:r>
        <w:t xml:space="preserve"> </w:t>
      </w:r>
      <m:oMath>
        <m:d>
          <m:dPr>
            <m:begChr m:val="["/>
            <m:sepChr m:val=""/>
            <m:endChr m:val="]"/>
            <m:grow/>
          </m:dPr>
          <m:e>
            <m:r>
              <m:rPr>
                <m:sty m:val="p"/>
              </m:rPr>
              <m:t>−</m:t>
            </m:r>
            <m:r>
              <m:t>0.5</m:t>
            </m:r>
            <m:r>
              <m:rPr>
                <m:sty m:val="p"/>
              </m:rPr>
              <m:t>,</m:t>
            </m:r>
            <m:r>
              <m:t> </m:t>
            </m:r>
            <m:r>
              <m:t>0.5</m:t>
            </m:r>
          </m:e>
        </m:d>
      </m:oMath>
      <w:r>
        <w:t xml:space="preserve">. The terrain weighting factor</w:t>
      </w:r>
      <w:r>
        <w:t xml:space="preserve"> </w:t>
      </w:r>
      <w:r>
        <w:t xml:space="preserve">applied to the observed speed</w:t>
      </w:r>
      <w:r>
        <w:t xml:space="preserve"> </w:t>
      </w:r>
      <m:oMath>
        <m:r>
          <m:t>W</m:t>
        </m:r>
      </m:oMath>
      <w:r>
        <w:t xml:space="preserve"> </w:t>
      </w:r>
      <w:r>
        <w:t xml:space="preserve">is</w:t>
      </w:r>
    </w:p>
    <w:p>
      <w:pPr>
        <w:pStyle w:val="BodyText"/>
      </w:pPr>
      <w:bookmarkStart w:id="35" w:name="eq-weight"/>
      <m:oMathPara>
        <m:oMathParaPr>
          <m:jc m:val="center"/>
        </m:oMathParaPr>
        <m:oMath>
          <m:sSub>
            <m:e>
              <m:r>
                <m:t>W</m:t>
              </m:r>
            </m:e>
            <m:sub>
              <m:r>
                <m:t>w</m:t>
              </m:r>
            </m:sub>
          </m:sSub>
          <m:r>
            <m:rPr>
              <m:sty m:val="p"/>
            </m:rPr>
            <m:t>=</m:t>
          </m:r>
          <m:r>
            <m:t>1</m:t>
          </m:r>
          <m:r>
            <m:rPr>
              <m:sty m:val="p"/>
            </m:rPr>
            <m:t>+</m:t>
          </m:r>
          <m:sSub>
            <m:e>
              <m:r>
                <m:t>γ</m:t>
              </m:r>
            </m:e>
            <m:sub>
              <m:r>
                <m:t>s</m:t>
              </m:r>
            </m:sub>
          </m:sSub>
          <m:sSub>
            <m:e>
              <m:r>
                <m:t>Ω</m:t>
              </m:r>
            </m:e>
            <m:sub>
              <m:r>
                <m:t>s</m:t>
              </m:r>
            </m:sub>
          </m:sSub>
          <m:r>
            <m:rPr>
              <m:sty m:val="p"/>
            </m:rPr>
            <m:t>+</m:t>
          </m:r>
          <m:sSub>
            <m:e>
              <m:r>
                <m:t>γ</m:t>
              </m:r>
            </m:e>
            <m:sub>
              <m:r>
                <m:t>c</m:t>
              </m:r>
            </m:sub>
          </m:sSub>
          <m:sSub>
            <m:e>
              <m:r>
                <m:t>Ω</m:t>
              </m:r>
            </m:e>
            <m:sub>
              <m:r>
                <m:t>c</m:t>
              </m:r>
            </m:sub>
          </m:sSub>
          <m:r>
            <m:rPr>
              <m:sty m:val="p"/>
            </m:rPr>
            <m:t>,</m:t>
          </m:r>
          <m:r>
            <m:t>  </m:t>
          </m:r>
          <m:sSub>
            <m:e>
              <m:r>
                <m:t>γ</m:t>
              </m:r>
            </m:e>
            <m:sub>
              <m:r>
                <m:t>s</m:t>
              </m:r>
            </m:sub>
          </m:sSub>
          <m:r>
            <m:rPr>
              <m:sty m:val="p"/>
            </m:rPr>
            <m:t>=</m:t>
          </m:r>
          <m:sSub>
            <m:e>
              <m:r>
                <m:t>γ</m:t>
              </m:r>
            </m:e>
            <m:sub>
              <m:r>
                <m:t>c</m:t>
              </m:r>
            </m:sub>
          </m:sSub>
          <m:r>
            <m:rPr>
              <m:sty m:val="p"/>
            </m:rPr>
            <m:t>=</m:t>
          </m:r>
          <m:r>
            <m:t>0.5</m:t>
          </m:r>
          <m:r>
            <m:t>  </m:t>
          </m:r>
          <m:d>
            <m:dPr>
              <m:begChr m:val="("/>
              <m:sepChr m:val=""/>
              <m:endChr m:val=")"/>
              <m:grow/>
            </m:dPr>
            <m:e>
              <m:r>
                <m:t>2</m:t>
              </m:r>
            </m:e>
          </m:d>
        </m:oMath>
      </m:oMathPara>
      <w:bookmarkEnd w:id="35"/>
    </w:p>
    <w:p>
      <w:pPr>
        <w:pStyle w:val="FirstParagraph"/>
      </w:pPr>
      <w:r>
        <w:t xml:space="preserve">giving the terrain-modified speed</w:t>
      </w:r>
    </w:p>
    <w:p>
      <w:pPr>
        <w:pStyle w:val="BodyText"/>
      </w:pPr>
      <w:bookmarkStart w:id="36" w:name="eq-speed"/>
      <m:oMathPara>
        <m:oMathParaPr>
          <m:jc m:val="center"/>
        </m:oMathParaPr>
        <m:oMath>
          <m:sSub>
            <m:e>
              <m:r>
                <m:t>W</m:t>
              </m:r>
            </m:e>
            <m:sub>
              <m:r>
                <m:t>t</m:t>
              </m:r>
            </m:sub>
          </m:sSub>
          <m:r>
            <m:rPr>
              <m:sty m:val="p"/>
            </m:rPr>
            <m:t>=</m:t>
          </m:r>
          <m:sSub>
            <m:e>
              <m:r>
                <m:t>W</m:t>
              </m:r>
            </m:e>
            <m:sub>
              <m:r>
                <m:t>w</m:t>
              </m:r>
            </m:sub>
          </m:sSub>
          <m:r>
            <m:t>W</m:t>
          </m:r>
          <m:r>
            <m:t>  </m:t>
          </m:r>
          <m:d>
            <m:dPr>
              <m:begChr m:val="("/>
              <m:sepChr m:val=""/>
              <m:endChr m:val=")"/>
              <m:grow/>
            </m:dPr>
            <m:e>
              <m:r>
                <m:t>3</m:t>
              </m:r>
            </m:e>
          </m:d>
        </m:oMath>
      </m:oMathPara>
      <w:bookmarkEnd w:id="36"/>
    </w:p>
    <w:p>
      <w:pPr>
        <w:pStyle w:val="FirstParagraph"/>
      </w:pPr>
      <w:r>
        <w:t xml:space="preserve">and a diversion of the wind direction of</w:t>
      </w:r>
    </w:p>
    <w:p>
      <w:pPr>
        <w:pStyle w:val="BodyText"/>
      </w:pPr>
      <w:bookmarkStart w:id="37" w:name="eq-divert"/>
      <m:oMathPara>
        <m:oMathParaPr>
          <m:jc m:val="center"/>
        </m:oMathParaPr>
        <m:oMath>
          <m:sSub>
            <m:e>
              <m:r>
                <m:t>θ</m:t>
              </m:r>
            </m:e>
            <m:sub>
              <m:r>
                <m:t>d</m:t>
              </m:r>
            </m:sub>
          </m:sSub>
          <m:r>
            <m:rPr>
              <m:sty m:val="p"/>
            </m:rPr>
            <m:t>=</m:t>
          </m:r>
          <m:r>
            <m:rPr>
              <m:sty m:val="p"/>
            </m:rPr>
            <m:t>−</m:t>
          </m:r>
          <m:f>
            <m:fPr>
              <m:type m:val="lin"/>
            </m:fPr>
            <m:num>
              <m:r>
                <m:t>1</m:t>
              </m:r>
            </m:num>
            <m:den>
              <m:r>
                <m:t>2</m:t>
              </m:r>
            </m:den>
          </m:f>
          <m:r>
            <m:t> </m:t>
          </m:r>
          <m:sSub>
            <m:e>
              <m:r>
                <m:t>Ω</m:t>
              </m:r>
            </m:e>
            <m:sub>
              <m:r>
                <m:t>s</m:t>
              </m:r>
            </m:sub>
          </m:sSub>
          <m:r>
            <m:rPr>
              <m:sty m:val="p"/>
            </m:rPr>
            <m:t>sin</m:t>
          </m:r>
          <m:r>
            <m:t>​</m:t>
          </m:r>
          <m:d>
            <m:dPr>
              <m:begChr m:val="["/>
              <m:sepChr m:val=""/>
              <m:endChr m:val="]"/>
              <m:grow/>
            </m:dPr>
            <m:e>
              <m:r>
                <m:t>2</m:t>
              </m:r>
              <m:d>
                <m:dPr>
                  <m:begChr m:val="("/>
                  <m:sepChr m:val=""/>
                  <m:endChr m:val=")"/>
                  <m:grow/>
                </m:dPr>
                <m:e>
                  <m:r>
                    <m:t>ξ</m:t>
                  </m:r>
                  <m:r>
                    <m:rPr>
                      <m:sty m:val="p"/>
                    </m:rPr>
                    <m:t>−</m:t>
                  </m:r>
                  <m:r>
                    <m:t>θ</m:t>
                  </m:r>
                </m:e>
              </m:d>
            </m:e>
          </m:d>
          <m:r>
            <m:rPr>
              <m:sty m:val="p"/>
            </m:rPr>
            <m:t>.</m:t>
          </m:r>
          <m:r>
            <m:t>  </m:t>
          </m:r>
          <m:d>
            <m:dPr>
              <m:begChr m:val="("/>
              <m:sepChr m:val=""/>
              <m:endChr m:val=")"/>
              <m:grow/>
            </m:dPr>
            <m:e>
              <m:r>
                <m:t>4</m:t>
              </m:r>
            </m:e>
          </m:d>
        </m:oMath>
      </m:oMathPara>
      <w:bookmarkEnd w:id="37"/>
    </w:p>
    <w:p>
      <w:pPr>
        <w:pStyle w:val="FirstParagraph"/>
      </w:pPr>
      <w:r>
        <w:t xml:space="preserve">By</w:t>
      </w:r>
      <w:r>
        <w:t xml:space="preserve"> </w:t>
      </w:r>
      <w:hyperlink w:anchor="eq-weight">
        <w:r>
          <w:rPr>
            <w:rStyle w:val="Hyperlink"/>
          </w:rPr>
          <w:t xml:space="preserve">Equation 2</w:t>
        </w:r>
      </w:hyperlink>
      <w:r>
        <w:t xml:space="preserve">,</w:t>
      </w:r>
      <w:r>
        <w:t xml:space="preserve"> </w:t>
      </w:r>
      <m:oMath>
        <m:sSub>
          <m:e>
            <m:r>
              <m:t>W</m:t>
            </m:r>
          </m:e>
          <m:sub>
            <m:r>
              <m:t>w</m:t>
            </m:r>
          </m:sub>
        </m:sSub>
      </m:oMath>
      <w:r>
        <w:t xml:space="preserve"> </w:t>
      </w:r>
      <w:r>
        <w:t xml:space="preserve">depends on direction and not on speed, so it is computed once for each of 16 direction bins</w:t>
      </w:r>
      <w:r>
        <w:t xml:space="preserve"> </w:t>
      </w:r>
      <w:r>
        <w:t xml:space="preserve">and each hourly observation multiplied by the surface for its own bin; nothing is averaged</w:t>
      </w:r>
      <w:r>
        <w:t xml:space="preserve"> </w:t>
      </w:r>
      <w:r>
        <w:t xml:space="preserve">before the terrain acts on it. Over all bins</w:t>
      </w:r>
      <w:r>
        <w:t xml:space="preserve"> </w:t>
      </w:r>
      <m:oMath>
        <m:sSub>
          <m:e>
            <m:r>
              <m:t>W</m:t>
            </m:r>
          </m:e>
          <m:sub>
            <m:r>
              <m:t>w</m:t>
            </m:r>
          </m:sub>
        </m:sSub>
      </m:oMath>
      <w:r>
        <w:t xml:space="preserve"> </w:t>
      </w:r>
      <w:r>
        <w:t xml:space="preserve">runs 0.60 to</w:t>
      </w:r>
      <w:r>
        <w:t xml:space="preserve"> </w:t>
      </w:r>
      <w:r>
        <w:t xml:space="preserve">1.38. Speed and direction combine as components because averaging</w:t>
      </w:r>
      <w:r>
        <w:t xml:space="preserve"> </w:t>
      </w:r>
      <w:r>
        <w:t xml:space="preserve">degrees across the 360/0 line is meaningless. The field varies</w:t>
      </w:r>
      <w:r>
        <w:t xml:space="preserve"> </w:t>
      </w:r>
      <w:r>
        <w:t xml:space="preserve">1.9 to</w:t>
      </w:r>
      <w:r>
        <w:t xml:space="preserve"> </w:t>
      </w:r>
      <w:r>
        <w:t xml:space="preserve">2.8 km/h across the grid within a year, and is not a</w:t>
      </w:r>
      <w:r>
        <w:t xml:space="preserve"> </w:t>
      </w:r>
      <w:r>
        <w:t xml:space="preserve">repackaged terrain index: it correlates +0.148 with the</w:t>
      </w:r>
      <w:r>
        <w:t xml:space="preserve"> </w:t>
      </w:r>
      <w:r>
        <w:t xml:space="preserve">windward-leeward index and +0.123 with flight</w:t>
      </w:r>
      <w:r>
        <w:t xml:space="preserve"> </w:t>
      </w:r>
      <w:r>
        <w:t xml:space="preserve">radiation. Its strongest association is with elevation,</w:t>
      </w:r>
      <w:r>
        <w:t xml:space="preserve"> </w:t>
      </w:r>
      <w:r>
        <w:t xml:space="preserve">+0.320.</w:t>
      </w:r>
    </w:p>
    <w:bookmarkEnd w:id="38"/>
    <w:bookmarkStart w:id="43" w:name="flight-window-wind"/>
    <w:p>
      <w:pPr>
        <w:pStyle w:val="Heading2"/>
      </w:pPr>
      <w:r>
        <w:t xml:space="preserve">2.6 Flight-window wind</w:t>
      </w:r>
    </w:p>
    <w:p>
      <w:pPr>
        <w:pStyle w:val="FirstParagraph"/>
      </w:pPr>
      <w:r>
        <w:t xml:space="preserve">The flight window is 1 July to 15 August and the hours 12:00 to 17:00, and neither bound</w:t>
      </w:r>
      <w:r>
        <w:t xml:space="preserve"> </w:t>
      </w:r>
      <w:r>
        <w:t xml:space="preserve">was chosen from these data. The dates are the flight period</w:t>
      </w:r>
      <w:r>
        <w:t xml:space="preserve"> </w:t>
      </w:r>
      <w:r>
        <w:t xml:space="preserve">Safranyik &amp; Carroll (2006)</w:t>
      </w:r>
      <w:r>
        <w:t xml:space="preserve"> </w:t>
      </w:r>
      <w:r>
        <w:t xml:space="preserve">give for</w:t>
      </w:r>
      <w:r>
        <w:t xml:space="preserve"> </w:t>
      </w:r>
      <w:r>
        <w:t xml:space="preserve">this region; the hours follow their</w:t>
      </w:r>
      <w:r>
        <w:t xml:space="preserve"> </w:t>
      </w:r>
      <w:r>
        <w:t xml:space="preserve">“peak flight is in the early to mid afternoon”</w:t>
      </w:r>
      <w:r>
        <w:t xml:space="preserve"> </w:t>
      </w:r>
      <w:r>
        <w:t xml:space="preserve">and</w:t>
      </w:r>
      <w:r>
        <w:t xml:space="preserve"> </w:t>
      </w:r>
      <w:r>
        <w:t xml:space="preserve">Gray et al. (1972)</w:t>
      </w:r>
      <w:r>
        <w:t xml:space="preserve">’s 11:00 to 14:00 emergence peak, taken here to the later side because emergence</w:t>
      </w:r>
      <w:r>
        <w:t xml:space="preserve"> </w:t>
      </w:r>
      <w:r>
        <w:t xml:space="preserve">precedes the flight it initiates. Because the window is fixed a priori it can be checked</w:t>
      </w:r>
      <w:r>
        <w:t xml:space="preserve"> </w:t>
      </w:r>
      <w:r>
        <w:t xml:space="preserve">against the landscape’s own climate, and</w:t>
      </w:r>
      <w:r>
        <w:t xml:space="preserve"> </w:t>
      </w:r>
      <w:hyperlink w:anchor="fig-flight-window">
        <w:r>
          <w:rPr>
            <w:rStyle w:val="Hyperlink"/>
          </w:rPr>
          <w:t xml:space="preserve">Figure 2</w:t>
        </w:r>
      </w:hyperlink>
      <w:r>
        <w:t xml:space="preserve"> </w:t>
      </w:r>
      <w:r>
        <w:t xml:space="preserve">does that. Across</w:t>
      </w:r>
      <w:r>
        <w:t xml:space="preserve"> </w:t>
      </w:r>
      <w:r>
        <w:t xml:space="preserve">236,079 hourly station records from May to September of the nine study years,</w:t>
      </w:r>
      <w:r>
        <w:t xml:space="preserve"> </w:t>
      </w:r>
      <w:r>
        <w:t xml:space="preserve">89.5 per cent of afternoon hours inside the window fall within</w:t>
      </w:r>
      <w:r>
        <w:t xml:space="preserve"> </w:t>
      </w:r>
      <w:r>
        <w:t xml:space="preserve">the 19 to 41 degrees C flight gate, against 51.4 per cent</w:t>
      </w:r>
      <w:r>
        <w:t xml:space="preserve"> </w:t>
      </w:r>
      <w:r>
        <w:t xml:space="preserve">outside it, and the afternoon mean is 26.0 against</w:t>
      </w:r>
      <w:r>
        <w:t xml:space="preserve"> </w:t>
      </w:r>
      <w:r>
        <w:t xml:space="preserve">19.2 degrees C. The window therefore roughly doubles the share</w:t>
      </w:r>
      <w:r>
        <w:t xml:space="preserve"> </w:t>
      </w:r>
      <w:r>
        <w:t xml:space="preserve">of hours in which flight is thermally possible. It is worth noting what the same figure</w:t>
      </w:r>
      <w:r>
        <w:t xml:space="preserve"> </w:t>
      </w:r>
      <w:r>
        <w:t xml:space="preserve">shows about wind: mean speed peaks in the same hours as temperature, at</w:t>
      </w:r>
      <w:r>
        <w:t xml:space="preserve"> </w:t>
      </w:r>
      <w:r>
        <w:t xml:space="preserve">10.4 km/h in mid-afternoon against</w:t>
      </w:r>
      <w:r>
        <w:t xml:space="preserve"> </w:t>
      </w:r>
      <w:r>
        <w:t xml:space="preserve">4.6 km/h at dawn, so the hours the beetle can fly are also the</w:t>
      </w:r>
      <w:r>
        <w:t xml:space="preserve"> </w:t>
      </w:r>
      <w:r>
        <w:t xml:space="preserve">windiest of the day. That is a coincidence of timing the mechanism depends on and no</w:t>
      </w:r>
      <w:r>
        <w:t xml:space="preserve"> </w:t>
      </w:r>
      <w:r>
        <w:t xml:space="preserve">annual summary can express.</w:t>
      </w:r>
    </w:p>
    <w:p>
      <w:pPr>
        <w:pStyle w:val="BodyText"/>
      </w:pPr>
      <w:r>
        <w:t xml:space="preserve">Station wind is Environment and Climate Change Canada hourly records, reduced only at the</w:t>
      </w:r>
      <w:r>
        <w:t xml:space="preserve"> </w:t>
      </w:r>
      <w:r>
        <w:t xml:space="preserve">last step into monthly means for June, July and August and four flight-window metrics for</w:t>
      </w:r>
      <w:r>
        <w:t xml:space="preserve"> </w:t>
      </w:r>
      <w:r>
        <w:t xml:space="preserve">1 July to 15 August: mean speed, the 95th percentile, and the fractions of hours below</w:t>
      </w:r>
      <w:r>
        <w:t xml:space="preserve"> </w:t>
      </w:r>
      <w:r>
        <w:t xml:space="preserve">5 km h and above 15 km h.</w:t>
      </w:r>
    </w:p>
    <w:p>
      <w:pPr>
        <w:pStyle w:val="BodyText"/>
      </w:pPr>
      <w:r>
        <w:t xml:space="preserve">Hourly readings buy detail, not independent observations. With one map a year, every hour</w:t>
      </w:r>
      <w:r>
        <w:t xml:space="preserve"> </w:t>
      </w:r>
      <w:r>
        <w:t xml:space="preserve">of wind collapses into one of 8 numbers per metric, so the model has only</w:t>
      </w:r>
      <w:r>
        <w:t xml:space="preserve"> </w:t>
      </w:r>
      <w:r>
        <w:t xml:space="preserve">8 distinct wind values to work with and a wind coefficient rests on those</w:t>
      </w:r>
      <w:r>
        <w:t xml:space="preserve"> </w:t>
      </w:r>
      <w:r>
        <w:t xml:space="preserve">alone. Its standard error will look small and should not be believed. Stand</w:t>
      </w:r>
      <w:r>
        <w:t xml:space="preserve"> </w:t>
      </w:r>
      <w:r>
        <w:t xml:space="preserve">density varies cell to cell; a season’s wind does not. That asymmetry is why the annual</w:t>
      </w:r>
      <w:r>
        <w:t xml:space="preserve"> </w:t>
      </w:r>
      <w:r>
        <w:t xml:space="preserve">models report an interaction rather than a main effect, and why the response was rebuilt at</w:t>
      </w:r>
      <w:r>
        <w:t xml:space="preserve"> </w:t>
      </w:r>
      <w:r>
        <w:t xml:space="preserve">16 days.</w:t>
      </w:r>
    </w:p>
    <w:tbl>
      <w:tblPr>
        <w:tblStyle w:val="Table"/>
        <w:tblW w:type="pct" w:w="5000"/>
        <w:tblLayout w:type="fixed"/>
        <w:tblLook w:firstRow="0" w:lastRow="0" w:firstColumn="0" w:lastColumn="0" w:noHBand="0" w:noVBand="0" w:val="0000"/>
      </w:tblPr>
      <w:tblGrid>
        <w:gridCol w:w="7920"/>
      </w:tblGrid>
      <w:tr>
        <w:tc>
          <w:tcPr/>
          <w:bookmarkStart w:id="42" w:name="fig-flight-window"/>
          <w:p>
            <w:pPr>
              <w:pStyle w:val="Compact"/>
              <w:jc w:val="center"/>
            </w:pPr>
            <w:r>
              <w:drawing>
                <wp:inline>
                  <wp:extent cx="5943600" cy="4913376"/>
                  <wp:effectExtent b="0" l="0" r="0" t="0"/>
                  <wp:docPr descr="" title="" id="40" name="Picture"/>
                  <a:graphic>
                    <a:graphicData uri="http://schemas.openxmlformats.org/drawingml/2006/picture">
                      <pic:pic>
                        <pic:nvPicPr>
                          <pic:cNvPr descr="beetle-topography-wind-study-vri-timeseries_files/figure-docx/fig-flight-window-1.png" id="41" name="Picture"/>
                          <pic:cNvPicPr>
                            <a:picLocks noChangeArrowheads="1" noChangeAspect="1"/>
                          </pic:cNvPicPr>
                        </pic:nvPicPr>
                        <pic:blipFill>
                          <a:blip r:embed="rId39"/>
                          <a:stretch>
                            <a:fillRect/>
                          </a:stretch>
                        </pic:blipFill>
                        <pic:spPr bwMode="auto">
                          <a:xfrm>
                            <a:off x="0" y="0"/>
                            <a:ext cx="5943600" cy="49133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The flight window against the landscape’s own climate, from hourly Environment and Climate Change Canada station records for May to September of the nine study years. The window, 1 July to 15 August, is the shaded band; it is taken from the bionomics and is not fitted to these data. (a) Mean afternoon temperature by day of year, with the 19 to 41 degrees C flight gate and the 22 to 32 degrees C peak band marked. (b) The share of afternoon hours falling inside the flight gate, day by day. (c) The diurnal curve: mean temperature and the share of all hours inside the gate, by hour, with the 12:00 to 17:00 restriction shaded. (d) Mean wind speed by hour, on the same axis, showing that the hours the beetle can fly are also the windiest of the day.</w:t>
            </w:r>
          </w:p>
          <w:bookmarkEnd w:id="42"/>
        </w:tc>
      </w:tr>
    </w:tbl>
    <w:bookmarkEnd w:id="43"/>
    <w:bookmarkEnd w:id="44"/>
    <w:bookmarkStart w:id="48" w:name="methods"/>
    <w:p>
      <w:pPr>
        <w:pStyle w:val="Heading1"/>
      </w:pPr>
      <w:r>
        <w:t xml:space="preserve">3. Methods</w:t>
      </w:r>
    </w:p>
    <w:bookmarkStart w:id="45" w:name="sec-selection"/>
    <w:p>
      <w:pPr>
        <w:pStyle w:val="Heading2"/>
      </w:pPr>
      <w:r>
        <w:t xml:space="preserve">3.1 Variable selection</w:t>
      </w:r>
    </w:p>
    <w:p>
      <w:pPr>
        <w:pStyle w:val="FirstParagraph"/>
      </w:pPr>
      <w:r>
        <w:t xml:space="preserve">The candidate set is 45 variables in six groups, one group per pathway the review</w:t>
      </w:r>
      <w:r>
        <w:t xml:space="preserve"> </w:t>
      </w:r>
      <w:r>
        <w:t xml:space="preserve">names: stand density, host quality, terrain exposure to wind, terrain shape, landscape</w:t>
      </w:r>
      <w:r>
        <w:t xml:space="preserve"> </w:t>
      </w:r>
      <w:r>
        <w:t xml:space="preserve">context, and flight-window wind. Selection proceeds in four</w:t>
      </w:r>
      <w:r>
        <w:t xml:space="preserve"> </w:t>
      </w:r>
      <w:r>
        <w:t xml:space="preserve">stages and is required to retain at least one variable from each pathway, so that a</w:t>
      </w:r>
      <w:r>
        <w:t xml:space="preserve"> </w:t>
      </w:r>
      <w:r>
        <w:t xml:space="preserve">collinearity filter cannot silently delete a hypothesis the review established.</w:t>
      </w:r>
    </w:p>
    <w:p>
      <w:pPr>
        <w:pStyle w:val="BodyText"/>
      </w:pPr>
      <w:r>
        <w:t xml:space="preserve">Fitting uses a class-balanced sample of 46,359 cell-years, 4,000 of each</w:t>
      </w:r>
      <w:r>
        <w:t xml:space="preserve"> </w:t>
      </w:r>
      <w:r>
        <w:t xml:space="preserve">class per year. Landscape prevalence is about 13 per cent, and an</w:t>
      </w:r>
      <w:r>
        <w:t xml:space="preserve"> </w:t>
      </w:r>
      <w:r>
        <w:t xml:space="preserve">unbalanced fit at that prevalence reports the intercept rather than the covariates.</w:t>
      </w:r>
    </w:p>
    <w:bookmarkEnd w:id="45"/>
    <w:bookmarkStart w:id="47" w:name="models"/>
    <w:p>
      <w:pPr>
        <w:pStyle w:val="Heading2"/>
      </w:pPr>
      <w:r>
        <w:t xml:space="preserve">3.2 Models</w:t>
      </w:r>
    </w:p>
    <w:p>
      <w:pPr>
        <w:pStyle w:val="FirstParagraph"/>
      </w:pPr>
      <w:r>
        <w:t xml:space="preserve">Every model is a logistic regression of moderate-to-high disturbance</w:t>
      </w:r>
      <w:r>
        <w:t xml:space="preserve"> </w:t>
      </w:r>
      <m:oMath>
        <m:sSub>
          <m:e>
            <m:r>
              <m:t>y</m:t>
            </m:r>
          </m:e>
          <m:sub>
            <m:r>
              <m:t>i</m:t>
            </m:r>
            <m:r>
              <m:t>t</m:t>
            </m:r>
          </m:sub>
        </m:sSub>
      </m:oMath>
      <w:r>
        <w:t xml:space="preserve"> </w:t>
      </w:r>
      <w:r>
        <w:t xml:space="preserve">in cell</w:t>
      </w:r>
      <w:r>
        <w:t xml:space="preserve"> </w:t>
      </w:r>
      <m:oMath>
        <m:r>
          <m:t>i</m:t>
        </m:r>
      </m:oMath>
      <w:r>
        <w:t xml:space="preserve"> </w:t>
      </w:r>
      <w:r>
        <w:t xml:space="preserve">and year</w:t>
      </w:r>
      <w:r>
        <w:t xml:space="preserve"> </w:t>
      </w:r>
      <m:oMath>
        <m:r>
          <m:t>t</m:t>
        </m:r>
      </m:oMath>
      <w:r>
        <w:t xml:space="preserve"> </w:t>
      </w:r>
      <w:r>
        <w:t xml:space="preserve">on standardised covariates,</w:t>
      </w:r>
    </w:p>
    <w:p>
      <w:pPr>
        <w:pStyle w:val="BodyText"/>
      </w:pPr>
      <w:bookmarkStart w:id="46" w:name="eq-model"/>
      <m:oMathPara>
        <m:oMathParaPr>
          <m:jc m:val="center"/>
        </m:oMathParaPr>
        <m:oMath>
          <m:r>
            <m:rPr>
              <m:sty m:val="p"/>
            </m:rPr>
            <m:t>logit</m:t>
          </m:r>
          <m:r>
            <m:rPr>
              <m:sty m:val="p"/>
            </m:rPr>
            <m:t>Pr</m:t>
          </m:r>
          <m:d>
            <m:dPr>
              <m:begChr m:val="("/>
              <m:sepChr m:val=""/>
              <m:endChr m:val=")"/>
              <m:grow/>
            </m:dPr>
            <m:e>
              <m:sSub>
                <m:e>
                  <m:r>
                    <m:t>y</m:t>
                  </m:r>
                </m:e>
                <m:sub>
                  <m:r>
                    <m:t>i</m:t>
                  </m:r>
                  <m:r>
                    <m:t>t</m:t>
                  </m:r>
                </m:sub>
              </m:sSub>
              <m:r>
                <m:rPr>
                  <m:sty m:val="p"/>
                </m:rPr>
                <m:t>=</m:t>
              </m:r>
              <m:r>
                <m:t>1</m:t>
              </m:r>
            </m:e>
          </m:d>
          <m:r>
            <m:rPr>
              <m:sty m:val="p"/>
            </m:rPr>
            <m:t>=</m:t>
          </m:r>
          <m:r>
            <m:t>α</m:t>
          </m:r>
          <m:r>
            <m:rPr>
              <m:sty m:val="p"/>
            </m:rPr>
            <m:t>+</m:t>
          </m:r>
          <m:sSubSup>
            <m:e>
              <m:r>
                <m:rPr>
                  <m:sty m:val="b"/>
                </m:rPr>
                <m:t>x</m:t>
              </m:r>
            </m:e>
            <m:sub>
              <m:r>
                <m:t>i</m:t>
              </m:r>
              <m:r>
                <m:t>t</m:t>
              </m:r>
            </m:sub>
            <m:sup>
              <m:r>
                <m:rPr>
                  <m:sty m:val="p"/>
                </m:rPr>
                <m:t>⊤</m:t>
              </m:r>
            </m:sup>
          </m:sSubSup>
          <m:r>
            <m:rPr>
              <m:sty m:val="b"/>
            </m:rPr>
            <m:t>β</m:t>
          </m:r>
          <m:r>
            <m:rPr>
              <m:sty m:val="p"/>
            </m:rPr>
            <m:t>+</m:t>
          </m:r>
          <m:sSub>
            <m:e>
              <m:r>
                <m:t>γ</m:t>
              </m:r>
            </m:e>
            <m:sub>
              <m:r>
                <m:t>g</m:t>
              </m:r>
              <m:d>
                <m:dPr>
                  <m:begChr m:val="("/>
                  <m:sepChr m:val=""/>
                  <m:endChr m:val=")"/>
                  <m:grow/>
                </m:dPr>
                <m:e>
                  <m:r>
                    <m:t>i</m:t>
                  </m:r>
                </m:e>
              </m:d>
            </m:sub>
          </m:sSub>
          <m:r>
            <m:rPr>
              <m:sty m:val="p"/>
            </m:rPr>
            <m:t>+</m:t>
          </m:r>
          <m:nary>
            <m:naryPr>
              <m:chr m:val="∑"/>
              <m:limLoc m:val="undOvr"/>
              <m:subHide m:val="off"/>
              <m:supHide m:val="on"/>
            </m:naryPr>
            <m:sub>
              <m:r>
                <m:t>k</m:t>
              </m:r>
            </m:sub>
            <m:sup>
              <m:r>
                <m:t>​</m:t>
              </m:r>
            </m:sup>
            <m:e>
              <m:sSub>
                <m:e>
                  <m:r>
                    <m:t>δ</m:t>
                  </m:r>
                </m:e>
                <m:sub>
                  <m:r>
                    <m:t>k</m:t>
                  </m:r>
                </m:sub>
              </m:sSub>
            </m:e>
          </m:nary>
          <m:r>
            <m:t> </m:t>
          </m:r>
          <m:sSub>
            <m:e>
              <m:r>
                <m:t>z</m:t>
              </m:r>
            </m:e>
            <m:sub>
              <m:r>
                <m:t>k</m:t>
              </m:r>
              <m:r>
                <m:rPr>
                  <m:sty m:val="p"/>
                </m:rPr>
                <m:t>,</m:t>
              </m:r>
              <m:r>
                <m:t>i</m:t>
              </m:r>
              <m:r>
                <m:t>t</m:t>
              </m:r>
            </m:sub>
          </m:sSub>
          <m:r>
            <m:t>  </m:t>
          </m:r>
          <m:d>
            <m:dPr>
              <m:begChr m:val="("/>
              <m:sepChr m:val=""/>
              <m:endChr m:val=")"/>
              <m:grow/>
            </m:dPr>
            <m:e>
              <m:r>
                <m:t>5</m:t>
              </m:r>
            </m:e>
          </m:d>
        </m:oMath>
      </m:oMathPara>
      <w:bookmarkEnd w:id="46"/>
    </w:p>
    <w:p>
      <w:pPr>
        <w:pStyle w:val="FirstParagraph"/>
      </w:pPr>
      <w:r>
        <w:t xml:space="preserve">where</w:t>
      </w:r>
      <w:r>
        <w:t xml:space="preserve"> </w:t>
      </w:r>
      <m:oMath>
        <m:sSub>
          <m:e>
            <m:r>
              <m:t>γ</m:t>
            </m:r>
          </m:e>
          <m:sub>
            <m:r>
              <m:t>g</m:t>
            </m:r>
            <m:d>
              <m:dPr>
                <m:begChr m:val="("/>
                <m:sepChr m:val=""/>
                <m:endChr m:val=")"/>
                <m:grow/>
              </m:dPr>
              <m:e>
                <m:r>
                  <m:t>i</m:t>
                </m:r>
              </m:e>
            </m:d>
          </m:sub>
        </m:sSub>
      </m:oMath>
      <w:r>
        <w:t xml:space="preserve"> </w:t>
      </w:r>
      <w:r>
        <w:t xml:space="preserve">is the effect of the geomorphon landform class</w:t>
      </w:r>
      <w:r>
        <w:t xml:space="preserve"> </w:t>
      </w:r>
      <m:oMath>
        <m:r>
          <m:t>g</m:t>
        </m:r>
      </m:oMath>
      <w:r>
        <w:t xml:space="preserve"> </w:t>
      </w:r>
      <w:r>
        <w:t xml:space="preserve">of cell</w:t>
      </w:r>
      <w:r>
        <w:t xml:space="preserve"> </w:t>
      </w:r>
      <m:oMath>
        <m:r>
          <m:t>i</m:t>
        </m:r>
      </m:oMath>
      <w:r>
        <w:t xml:space="preserve"> </w:t>
      </w:r>
      <w:r>
        <w:t xml:space="preserve">and the</w:t>
      </w:r>
      <w:r>
        <w:t xml:space="preserve"> </w:t>
      </w:r>
      <m:oMath>
        <m:sSub>
          <m:e>
            <m:r>
              <m:t>z</m:t>
            </m:r>
          </m:e>
          <m:sub>
            <m:r>
              <m:t>k</m:t>
            </m:r>
            <m:r>
              <m:rPr>
                <m:sty m:val="p"/>
              </m:rPr>
              <m:t>,</m:t>
            </m:r>
            <m:r>
              <m:t>i</m:t>
            </m:r>
            <m:r>
              <m:t>t</m:t>
            </m:r>
          </m:sub>
        </m:sSub>
      </m:oMath>
      <w:r>
        <w:t xml:space="preserve"> </w:t>
      </w:r>
      <w:r>
        <w:t xml:space="preserve">are the interaction terms. Coefficients are therefore log-odds per standard</w:t>
      </w:r>
      <w:r>
        <w:t xml:space="preserve"> </w:t>
      </w:r>
      <w:r>
        <w:t xml:space="preserve">deviation. Four models are fitted, each adding one claim to the last, so that every term’s</w:t>
      </w:r>
      <w:r>
        <w:t xml:space="preserve"> </w:t>
      </w:r>
      <w:r>
        <w:t xml:space="preserve">contribution is visible as a change in fit rather than asserted.</w:t>
      </w:r>
    </w:p>
    <w:p>
      <w:pPr>
        <w:pStyle w:val="BodyText"/>
      </w:pPr>
      <w:r>
        <w:t xml:space="preserve">M0 carries Krawchuk’s first and third mechanisms together with landform context: host size,</w:t>
      </w:r>
      <w:r>
        <w:t xml:space="preserve"> </w:t>
      </w:r>
      <w:r>
        <w:t xml:space="preserve">topographic shading, and the terrain that governs where cold air and snow collect. M1 adds</w:t>
      </w:r>
      <w:r>
        <w:t xml:space="preserve"> </w:t>
      </w:r>
      <w:r>
        <w:t xml:space="preserve">stand density, the second of Krawchuk’s mechanisms, which is objective 1. M2 adds terrain shape,</w:t>
      </w:r>
      <w:r>
        <w:t xml:space="preserve"> </w:t>
      </w:r>
      <w:r>
        <w:t xml:space="preserve">terrain exposure to wind, and flight-window radiation, which are objectives 3 and 4. M3 adds</w:t>
      </w:r>
      <w:r>
        <w:t xml:space="preserve"> </w:t>
      </w:r>
      <w:r>
        <w:t xml:space="preserve">the interactions objective 4 requires: stand density by terrain exposure, by flight-window</w:t>
      </w:r>
      <w:r>
        <w:t xml:space="preserve"> </w:t>
      </w:r>
      <w:r>
        <w:t xml:space="preserve">radiation, and by flight-window wind.</w:t>
      </w:r>
    </w:p>
    <w:bookmarkEnd w:id="47"/>
    <w:bookmarkEnd w:id="48"/>
    <w:bookmarkStart w:id="63" w:name="sec-results"/>
    <w:p>
      <w:pPr>
        <w:pStyle w:val="Heading1"/>
      </w:pPr>
      <w:r>
        <w:t xml:space="preserve">4. Results</w:t>
      </w:r>
    </w:p>
    <w:tbl>
      <w:tblPr>
        <w:tblStyle w:val="Table"/>
        <w:tblW w:type="pct" w:w="5000"/>
        <w:tblLayout w:type="fixed"/>
        <w:tblLook w:firstRow="0" w:lastRow="0" w:firstColumn="0" w:lastColumn="0" w:noHBand="0" w:noVBand="0" w:val="0000"/>
      </w:tblPr>
      <w:tblGrid>
        <w:gridCol w:w="7920"/>
      </w:tblGrid>
      <w:tr>
        <w:tc>
          <w:tcPr/>
          <w:bookmarkStart w:id="49" w:name="tbl-aic"/>
          <w:p>
            <w:pPr>
              <w:jc w:val="center"/>
            </w:pPr>
            <w:pPr>
              <w:jc w:val="start"/>
              <w:spacing w:before="200"/>
              <w:pStyle w:val="ImageCaption"/>
            </w:pPr>
            <w:r>
              <w:t xml:space="preserve">Table 5: Model comparison, panel A of the model table. Each model adds one pathway to the previous. AIC ranks on likelihood and a parameter penalty; the remaining columns are predictive error on the fitted probabilities. RMSE is the root mean squared error and is the square root of the Brier score; RMSE (%) expresses it against the prevalence of the response. Brier skill is the improvement over predicting the prevalence for every cell, where 0 is no better than the base rate. MAPE and Theil’s U are not reported: both divide by the observed value, which is zero for the majority class of a binary response, so both are undefined without discarding that class.</w:t>
            </w:r>
          </w:p>
          <w:tbl>
            <w:tblPr>
              <w:tblStyle w:val="Table"/>
              <w:tblLook w:firstRow="1" w:lastRow="0" w:firstColumn="0" w:lastColumn="0" w:noHBand="0" w:noVBand="0" w:val="0020"/>
              <w:tblW w:w="9354" w:type="dxa"/>
              <w:tblLayout w:type="fixed"/>
            </w:tblPr>
            <w:tblGrid>
              <w:gridCol w:w="3151"/>
              <w:gridCol w:w="648"/>
              <w:gridCol w:w="556"/>
              <w:gridCol w:w="556"/>
              <w:gridCol w:w="833"/>
              <w:gridCol w:w="556"/>
              <w:gridCol w:w="556"/>
              <w:gridCol w:w="833"/>
              <w:gridCol w:w="556"/>
              <w:gridCol w:w="1109"/>
            </w:tblGrid>
            <w:tr>
              <w:trPr>
                <w:tblHeader w:val="on"/>
                <w:trHeight w:val="624" w:hRule="exact"/>
              </w:trPr>
              <w:tc>
                <w:tcPr/>
                <w:p>
                  <w:pPr>
                    <w:pStyle w:val="Compact"/>
                    <w:jc w:val="left"/>
                    <w:rPr>
                      <w:sz w:val="16"/>
                      <w:szCs w:val="16"/>
                    </w:rPr>
                  </w:pPr>
                  <w:r>
                    <w:rPr>
                      <w:sz w:val="16"/>
                      <w:szCs w:val="16"/>
                    </w:rPr>
                    <w:t xml:space="preserve">Model</w:t>
                  </w:r>
                </w:p>
              </w:tc>
              <w:tc>
                <w:tcPr/>
                <w:p>
                  <w:pPr>
                    <w:pStyle w:val="Compact"/>
                    <w:jc w:val="left"/>
                    <w:rPr>
                      <w:sz w:val="16"/>
                      <w:szCs w:val="16"/>
                    </w:rPr>
                  </w:pPr>
                  <w:r>
                    <w:rPr>
                      <w:sz w:val="16"/>
                      <w:szCs w:val="16"/>
                    </w:rPr>
                    <w:t xml:space="preserve">AIC</w:t>
                  </w:r>
                </w:p>
              </w:tc>
              <w:tc>
                <w:tcPr/>
                <w:p>
                  <w:pPr>
                    <w:pStyle w:val="Compact"/>
                    <w:jc w:val="left"/>
                    <w:rPr>
                      <w:sz w:val="16"/>
                      <w:szCs w:val="16"/>
                    </w:rPr>
                  </w:pPr>
                  <w:r>
                    <w:rPr>
                      <w:sz w:val="16"/>
                      <w:szCs w:val="16"/>
                    </w:rPr>
                    <w:t xml:space="preserve">ΔAIC</w:t>
                  </w:r>
                </w:p>
              </w:tc>
              <w:tc>
                <w:tcPr/>
                <w:p>
                  <w:pPr>
                    <w:pStyle w:val="Compact"/>
                    <w:jc w:val="left"/>
                    <w:rPr>
                      <w:sz w:val="16"/>
                      <w:szCs w:val="16"/>
                    </w:rPr>
                  </w:pPr>
                  <w:r>
                    <w:rPr>
                      <w:sz w:val="16"/>
                      <w:szCs w:val="16"/>
                    </w:rPr>
                    <w:t xml:space="preserve">RMSE</w:t>
                  </w:r>
                </w:p>
              </w:tc>
              <w:tc>
                <w:tcPr/>
                <w:p>
                  <w:pPr>
                    <w:pStyle w:val="Compact"/>
                    <w:jc w:val="left"/>
                    <w:rPr>
                      <w:sz w:val="16"/>
                      <w:szCs w:val="16"/>
                    </w:rPr>
                  </w:pPr>
                  <w:r>
                    <w:rPr>
                      <w:sz w:val="16"/>
                      <w:szCs w:val="16"/>
                    </w:rPr>
                    <w:t xml:space="preserve">RMSE (%)</w:t>
                  </w:r>
                </w:p>
              </w:tc>
              <w:tc>
                <w:tcPr/>
                <w:p>
                  <w:pPr>
                    <w:pStyle w:val="Compact"/>
                    <w:jc w:val="left"/>
                    <w:rPr>
                      <w:sz w:val="16"/>
                      <w:szCs w:val="16"/>
                    </w:rPr>
                  </w:pPr>
                  <w:r>
                    <w:rPr>
                      <w:sz w:val="16"/>
                      <w:szCs w:val="16"/>
                    </w:rPr>
                    <w:t xml:space="preserve">MAE</w:t>
                  </w:r>
                </w:p>
              </w:tc>
              <w:tc>
                <w:tcPr/>
                <w:p>
                  <w:pPr>
                    <w:pStyle w:val="Compact"/>
                    <w:jc w:val="left"/>
                    <w:rPr>
                      <w:sz w:val="16"/>
                      <w:szCs w:val="16"/>
                    </w:rPr>
                  </w:pPr>
                  <w:r>
                    <w:rPr>
                      <w:sz w:val="16"/>
                      <w:szCs w:val="16"/>
                    </w:rPr>
                    <w:t xml:space="preserve">Brier</w:t>
                  </w:r>
                </w:p>
              </w:tc>
              <w:tc>
                <w:tcPr/>
                <w:p>
                  <w:pPr>
                    <w:pStyle w:val="Compact"/>
                    <w:jc w:val="left"/>
                    <w:rPr>
                      <w:sz w:val="16"/>
                      <w:szCs w:val="16"/>
                    </w:rPr>
                  </w:pPr>
                  <w:r>
                    <w:rPr>
                      <w:sz w:val="16"/>
                      <w:szCs w:val="16"/>
                    </w:rPr>
                    <w:t xml:space="preserve">Log loss</w:t>
                  </w:r>
                </w:p>
              </w:tc>
              <w:tc>
                <w:tcPr/>
                <w:p>
                  <w:pPr>
                    <w:pStyle w:val="Compact"/>
                    <w:jc w:val="left"/>
                    <w:rPr>
                      <w:sz w:val="16"/>
                      <w:szCs w:val="16"/>
                    </w:rPr>
                  </w:pPr>
                  <w:r>
                    <w:rPr>
                      <w:sz w:val="16"/>
                      <w:szCs w:val="16"/>
                    </w:rPr>
                    <w:t xml:space="preserve">AUC</w:t>
                  </w:r>
                </w:p>
              </w:tc>
              <w:tc>
                <w:tcPr/>
                <w:p>
                  <w:pPr>
                    <w:pStyle w:val="Compact"/>
                    <w:jc w:val="left"/>
                    <w:rPr>
                      <w:sz w:val="16"/>
                      <w:szCs w:val="16"/>
                    </w:rPr>
                  </w:pPr>
                  <w:r>
                    <w:rPr>
                      <w:sz w:val="16"/>
                      <w:szCs w:val="16"/>
                    </w:rPr>
                    <w:t xml:space="preserve">Brier skill</w:t>
                  </w:r>
                </w:p>
              </w:tc>
            </w:tr>
            <w:tr>
              <w:trPr>
                <w:trHeight w:val="340" w:hRule="exact"/>
              </w:trPr>
              <w:tc>
                <w:tcPr/>
                <w:p>
                  <w:pPr>
                    <w:pStyle w:val="Compact"/>
                    <w:jc w:val="left"/>
                    <w:rPr>
                      <w:sz w:val="16"/>
                      <w:szCs w:val="16"/>
                    </w:rPr>
                  </w:pPr>
                  <w:r>
                    <w:rPr>
                      <w:sz w:val="16"/>
                      <w:szCs w:val="16"/>
                    </w:rPr>
                    <w:t xml:space="preserve">M0 host size + shading + landform</w:t>
                  </w:r>
                </w:p>
              </w:tc>
              <w:tc>
                <w:tcPr/>
                <w:p>
                  <w:pPr>
                    <w:pStyle w:val="Compact"/>
                    <w:jc w:val="left"/>
                    <w:rPr>
                      <w:sz w:val="16"/>
                      <w:szCs w:val="16"/>
                    </w:rPr>
                  </w:pPr>
                  <w:r>
                    <w:rPr>
                      <w:sz w:val="16"/>
                      <w:szCs w:val="16"/>
                    </w:rPr>
                    <w:t xml:space="preserve">46,964</w:t>
                  </w:r>
                </w:p>
              </w:tc>
              <w:tc>
                <w:tcPr/>
                <w:p>
                  <w:pPr>
                    <w:pStyle w:val="Compact"/>
                    <w:jc w:val="left"/>
                    <w:rPr>
                      <w:sz w:val="16"/>
                      <w:szCs w:val="16"/>
                    </w:rPr>
                  </w:pPr>
                  <w:r>
                    <w:rPr>
                      <w:sz w:val="16"/>
                      <w:szCs w:val="16"/>
                    </w:rPr>
                    <w:t xml:space="preserve">1,488</w:t>
                  </w:r>
                </w:p>
              </w:tc>
              <w:tc>
                <w:tcPr/>
                <w:p>
                  <w:pPr>
                    <w:pStyle w:val="Compact"/>
                    <w:jc w:val="left"/>
                    <w:rPr>
                      <w:sz w:val="16"/>
                      <w:szCs w:val="16"/>
                    </w:rPr>
                  </w:pPr>
                  <w:r>
                    <w:rPr>
                      <w:sz w:val="16"/>
                      <w:szCs w:val="16"/>
                    </w:rPr>
                    <w:t xml:space="preserve">0.407</w:t>
                  </w:r>
                </w:p>
              </w:tc>
              <w:tc>
                <w:tcPr/>
                <w:p>
                  <w:pPr>
                    <w:pStyle w:val="Compact"/>
                    <w:jc w:val="left"/>
                    <w:rPr>
                      <w:sz w:val="16"/>
                      <w:szCs w:val="16"/>
                    </w:rPr>
                  </w:pPr>
                  <w:r>
                    <w:rPr>
                      <w:sz w:val="16"/>
                      <w:szCs w:val="16"/>
                    </w:rPr>
                    <w:t xml:space="preserve">131.5</w:t>
                  </w:r>
                </w:p>
              </w:tc>
              <w:tc>
                <w:tcPr/>
                <w:p>
                  <w:pPr>
                    <w:pStyle w:val="Compact"/>
                    <w:jc w:val="left"/>
                    <w:rPr>
                      <w:sz w:val="16"/>
                      <w:szCs w:val="16"/>
                    </w:rPr>
                  </w:pPr>
                  <w:r>
                    <w:rPr>
                      <w:sz w:val="16"/>
                      <w:szCs w:val="16"/>
                    </w:rPr>
                    <w:t xml:space="preserve">0.333</w:t>
                  </w:r>
                </w:p>
              </w:tc>
              <w:tc>
                <w:tcPr/>
                <w:p>
                  <w:pPr>
                    <w:pStyle w:val="Compact"/>
                    <w:jc w:val="left"/>
                    <w:rPr>
                      <w:sz w:val="16"/>
                      <w:szCs w:val="16"/>
                    </w:rPr>
                  </w:pPr>
                  <w:r>
                    <w:rPr>
                      <w:sz w:val="16"/>
                      <w:szCs w:val="16"/>
                    </w:rPr>
                    <w:t xml:space="preserve">0.166</w:t>
                  </w:r>
                </w:p>
              </w:tc>
              <w:tc>
                <w:tcPr/>
                <w:p>
                  <w:pPr>
                    <w:pStyle w:val="Compact"/>
                    <w:jc w:val="left"/>
                    <w:rPr>
                      <w:sz w:val="16"/>
                      <w:szCs w:val="16"/>
                    </w:rPr>
                  </w:pPr>
                  <w:r>
                    <w:rPr>
                      <w:sz w:val="16"/>
                      <w:szCs w:val="16"/>
                    </w:rPr>
                    <w:t xml:space="preserve">0.506</w:t>
                  </w:r>
                </w:p>
              </w:tc>
              <w:tc>
                <w:tcPr/>
                <w:p>
                  <w:pPr>
                    <w:pStyle w:val="Compact"/>
                    <w:jc w:val="left"/>
                    <w:rPr>
                      <w:sz w:val="16"/>
                      <w:szCs w:val="16"/>
                    </w:rPr>
                  </w:pPr>
                  <w:r>
                    <w:rPr>
                      <w:sz w:val="16"/>
                      <w:szCs w:val="16"/>
                    </w:rPr>
                    <w:t xml:space="preserve">0.776</w:t>
                  </w:r>
                </w:p>
              </w:tc>
              <w:tc>
                <w:tcPr/>
                <w:p>
                  <w:pPr>
                    <w:pStyle w:val="Compact"/>
                    <w:jc w:val="left"/>
                    <w:rPr>
                      <w:sz w:val="16"/>
                      <w:szCs w:val="16"/>
                    </w:rPr>
                  </w:pPr>
                  <w:r>
                    <w:rPr>
                      <w:sz w:val="16"/>
                      <w:szCs w:val="16"/>
                    </w:rPr>
                    <w:t xml:space="preserve">0.224</w:t>
                  </w:r>
                </w:p>
              </w:tc>
            </w:tr>
            <w:tr>
              <w:trPr>
                <w:trHeight w:val="340" w:hRule="exact"/>
              </w:trPr>
              <w:tc>
                <w:tcPr/>
                <w:p>
                  <w:pPr>
                    <w:pStyle w:val="Compact"/>
                    <w:jc w:val="left"/>
                    <w:rPr>
                      <w:sz w:val="16"/>
                      <w:szCs w:val="16"/>
                    </w:rPr>
                  </w:pPr>
                  <w:r>
                    <w:rPr>
                      <w:sz w:val="16"/>
                      <w:szCs w:val="16"/>
                    </w:rPr>
                    <w:t xml:space="preserve">M1 + stand density</w:t>
                  </w:r>
                </w:p>
              </w:tc>
              <w:tc>
                <w:tcPr/>
                <w:p>
                  <w:pPr>
                    <w:pStyle w:val="Compact"/>
                    <w:jc w:val="left"/>
                    <w:rPr>
                      <w:sz w:val="16"/>
                      <w:szCs w:val="16"/>
                    </w:rPr>
                  </w:pPr>
                  <w:r>
                    <w:rPr>
                      <w:sz w:val="16"/>
                      <w:szCs w:val="16"/>
                    </w:rPr>
                    <w:t xml:space="preserve">46,717</w:t>
                  </w:r>
                </w:p>
              </w:tc>
              <w:tc>
                <w:tcPr/>
                <w:p>
                  <w:pPr>
                    <w:pStyle w:val="Compact"/>
                    <w:jc w:val="left"/>
                    <w:rPr>
                      <w:sz w:val="16"/>
                      <w:szCs w:val="16"/>
                    </w:rPr>
                  </w:pPr>
                  <w:r>
                    <w:rPr>
                      <w:sz w:val="16"/>
                      <w:szCs w:val="16"/>
                    </w:rPr>
                    <w:t xml:space="preserve">1,241</w:t>
                  </w:r>
                </w:p>
              </w:tc>
              <w:tc>
                <w:tcPr/>
                <w:p>
                  <w:pPr>
                    <w:pStyle w:val="Compact"/>
                    <w:jc w:val="left"/>
                    <w:rPr>
                      <w:sz w:val="16"/>
                      <w:szCs w:val="16"/>
                    </w:rPr>
                  </w:pPr>
                  <w:r>
                    <w:rPr>
                      <w:sz w:val="16"/>
                      <w:szCs w:val="16"/>
                    </w:rPr>
                    <w:t xml:space="preserve">0.406</w:t>
                  </w:r>
                </w:p>
              </w:tc>
              <w:tc>
                <w:tcPr/>
                <w:p>
                  <w:pPr>
                    <w:pStyle w:val="Compact"/>
                    <w:jc w:val="left"/>
                    <w:rPr>
                      <w:sz w:val="16"/>
                      <w:szCs w:val="16"/>
                    </w:rPr>
                  </w:pPr>
                  <w:r>
                    <w:rPr>
                      <w:sz w:val="16"/>
                      <w:szCs w:val="16"/>
                    </w:rPr>
                    <w:t xml:space="preserve">131.0</w:t>
                  </w:r>
                </w:p>
              </w:tc>
              <w:tc>
                <w:tcPr/>
                <w:p>
                  <w:pPr>
                    <w:pStyle w:val="Compact"/>
                    <w:jc w:val="left"/>
                    <w:rPr>
                      <w:sz w:val="16"/>
                      <w:szCs w:val="16"/>
                    </w:rPr>
                  </w:pPr>
                  <w:r>
                    <w:rPr>
                      <w:sz w:val="16"/>
                      <w:szCs w:val="16"/>
                    </w:rPr>
                    <w:t xml:space="preserve">0.331</w:t>
                  </w:r>
                </w:p>
              </w:tc>
              <w:tc>
                <w:tcPr/>
                <w:p>
                  <w:pPr>
                    <w:pStyle w:val="Compact"/>
                    <w:jc w:val="left"/>
                    <w:rPr>
                      <w:sz w:val="16"/>
                      <w:szCs w:val="16"/>
                    </w:rPr>
                  </w:pPr>
                  <w:r>
                    <w:rPr>
                      <w:sz w:val="16"/>
                      <w:szCs w:val="16"/>
                    </w:rPr>
                    <w:t xml:space="preserve">0.165</w:t>
                  </w:r>
                </w:p>
              </w:tc>
              <w:tc>
                <w:tcPr/>
                <w:p>
                  <w:pPr>
                    <w:pStyle w:val="Compact"/>
                    <w:jc w:val="left"/>
                    <w:rPr>
                      <w:sz w:val="16"/>
                      <w:szCs w:val="16"/>
                    </w:rPr>
                  </w:pPr>
                  <w:r>
                    <w:rPr>
                      <w:sz w:val="16"/>
                      <w:szCs w:val="16"/>
                    </w:rPr>
                    <w:t xml:space="preserve">0.503</w:t>
                  </w:r>
                </w:p>
              </w:tc>
              <w:tc>
                <w:tcPr/>
                <w:p>
                  <w:pPr>
                    <w:pStyle w:val="Compact"/>
                    <w:jc w:val="left"/>
                    <w:rPr>
                      <w:sz w:val="16"/>
                      <w:szCs w:val="16"/>
                    </w:rPr>
                  </w:pPr>
                  <w:r>
                    <w:rPr>
                      <w:sz w:val="16"/>
                      <w:szCs w:val="16"/>
                    </w:rPr>
                    <w:t xml:space="preserve">0.781</w:t>
                  </w:r>
                </w:p>
              </w:tc>
              <w:tc>
                <w:tcPr/>
                <w:p>
                  <w:pPr>
                    <w:pStyle w:val="Compact"/>
                    <w:jc w:val="left"/>
                    <w:rPr>
                      <w:sz w:val="16"/>
                      <w:szCs w:val="16"/>
                    </w:rPr>
                  </w:pPr>
                  <w:r>
                    <w:rPr>
                      <w:sz w:val="16"/>
                      <w:szCs w:val="16"/>
                    </w:rPr>
                    <w:t xml:space="preserve">0.230</w:t>
                  </w:r>
                </w:p>
              </w:tc>
            </w:tr>
            <w:tr>
              <w:trPr>
                <w:trHeight w:val="340" w:hRule="exact"/>
              </w:trPr>
              <w:tc>
                <w:tcPr/>
                <w:p>
                  <w:pPr>
                    <w:pStyle w:val="Compact"/>
                    <w:jc w:val="left"/>
                    <w:rPr>
                      <w:sz w:val="16"/>
                      <w:szCs w:val="16"/>
                    </w:rPr>
                  </w:pPr>
                  <w:r>
                    <w:rPr>
                      <w:sz w:val="16"/>
                      <w:szCs w:val="16"/>
                    </w:rPr>
                    <w:t xml:space="preserve">M2 + terrain and flight radiation</w:t>
                  </w:r>
                </w:p>
              </w:tc>
              <w:tc>
                <w:tcPr/>
                <w:p>
                  <w:pPr>
                    <w:pStyle w:val="Compact"/>
                    <w:jc w:val="left"/>
                    <w:rPr>
                      <w:sz w:val="16"/>
                      <w:szCs w:val="16"/>
                    </w:rPr>
                  </w:pPr>
                  <w:r>
                    <w:rPr>
                      <w:sz w:val="16"/>
                      <w:szCs w:val="16"/>
                    </w:rPr>
                    <w:t xml:space="preserve">45,970</w:t>
                  </w:r>
                </w:p>
              </w:tc>
              <w:tc>
                <w:tcPr/>
                <w:p>
                  <w:pPr>
                    <w:pStyle w:val="Compact"/>
                    <w:jc w:val="left"/>
                    <w:rPr>
                      <w:sz w:val="16"/>
                      <w:szCs w:val="16"/>
                    </w:rPr>
                  </w:pPr>
                  <w:r>
                    <w:rPr>
                      <w:sz w:val="16"/>
                      <w:szCs w:val="16"/>
                    </w:rPr>
                    <w:t xml:space="preserve">494</w:t>
                  </w:r>
                </w:p>
              </w:tc>
              <w:tc>
                <w:tcPr/>
                <w:p>
                  <w:pPr>
                    <w:pStyle w:val="Compact"/>
                    <w:jc w:val="left"/>
                    <w:rPr>
                      <w:sz w:val="16"/>
                      <w:szCs w:val="16"/>
                    </w:rPr>
                  </w:pPr>
                  <w:r>
                    <w:rPr>
                      <w:sz w:val="16"/>
                      <w:szCs w:val="16"/>
                    </w:rPr>
                    <w:t xml:space="preserve">0.402</w:t>
                  </w:r>
                </w:p>
              </w:tc>
              <w:tc>
                <w:tcPr/>
                <w:p>
                  <w:pPr>
                    <w:pStyle w:val="Compact"/>
                    <w:jc w:val="left"/>
                    <w:rPr>
                      <w:sz w:val="16"/>
                      <w:szCs w:val="16"/>
                    </w:rPr>
                  </w:pPr>
                  <w:r>
                    <w:rPr>
                      <w:sz w:val="16"/>
                      <w:szCs w:val="16"/>
                    </w:rPr>
                    <w:t xml:space="preserve">129.9</w:t>
                  </w:r>
                </w:p>
              </w:tc>
              <w:tc>
                <w:tcPr/>
                <w:p>
                  <w:pPr>
                    <w:pStyle w:val="Compact"/>
                    <w:jc w:val="left"/>
                    <w:rPr>
                      <w:sz w:val="16"/>
                      <w:szCs w:val="16"/>
                    </w:rPr>
                  </w:pPr>
                  <w:r>
                    <w:rPr>
                      <w:sz w:val="16"/>
                      <w:szCs w:val="16"/>
                    </w:rPr>
                    <w:t xml:space="preserve">0.325</w:t>
                  </w:r>
                </w:p>
              </w:tc>
              <w:tc>
                <w:tcPr/>
                <w:p>
                  <w:pPr>
                    <w:pStyle w:val="Compact"/>
                    <w:jc w:val="left"/>
                    <w:rPr>
                      <w:sz w:val="16"/>
                      <w:szCs w:val="16"/>
                    </w:rPr>
                  </w:pPr>
                  <w:r>
                    <w:rPr>
                      <w:sz w:val="16"/>
                      <w:szCs w:val="16"/>
                    </w:rPr>
                    <w:t xml:space="preserve">0.162</w:t>
                  </w:r>
                </w:p>
              </w:tc>
              <w:tc>
                <w:tcPr/>
                <w:p>
                  <w:pPr>
                    <w:pStyle w:val="Compact"/>
                    <w:jc w:val="left"/>
                    <w:rPr>
                      <w:sz w:val="16"/>
                      <w:szCs w:val="16"/>
                    </w:rPr>
                  </w:pPr>
                  <w:r>
                    <w:rPr>
                      <w:sz w:val="16"/>
                      <w:szCs w:val="16"/>
                    </w:rPr>
                    <w:t xml:space="preserve">0.495</w:t>
                  </w:r>
                </w:p>
              </w:tc>
              <w:tc>
                <w:tcPr/>
                <w:p>
                  <w:pPr>
                    <w:pStyle w:val="Compact"/>
                    <w:jc w:val="left"/>
                    <w:rPr>
                      <w:sz w:val="16"/>
                      <w:szCs w:val="16"/>
                    </w:rPr>
                  </w:pPr>
                  <w:r>
                    <w:rPr>
                      <w:sz w:val="16"/>
                      <w:szCs w:val="16"/>
                    </w:rPr>
                    <w:t xml:space="preserve">0.791</w:t>
                  </w:r>
                </w:p>
              </w:tc>
              <w:tc>
                <w:tcPr/>
                <w:p>
                  <w:pPr>
                    <w:pStyle w:val="Compact"/>
                    <w:jc w:val="left"/>
                    <w:rPr>
                      <w:sz w:val="16"/>
                      <w:szCs w:val="16"/>
                    </w:rPr>
                  </w:pPr>
                  <w:r>
                    <w:rPr>
                      <w:sz w:val="16"/>
                      <w:szCs w:val="16"/>
                    </w:rPr>
                    <w:t xml:space="preserve">0.243</w:t>
                  </w:r>
                </w:p>
              </w:tc>
            </w:tr>
            <w:tr>
              <w:trPr>
                <w:trHeight w:val="340" w:hRule="exact"/>
              </w:trPr>
              <w:tc>
                <w:tcPr/>
                <w:p>
                  <w:pPr>
                    <w:pStyle w:val="Compact"/>
                    <w:jc w:val="left"/>
                    <w:rPr>
                      <w:sz w:val="16"/>
                      <w:szCs w:val="16"/>
                    </w:rPr>
                  </w:pPr>
                  <w:r>
                    <w:rPr>
                      <w:sz w:val="16"/>
                      <w:szCs w:val="16"/>
                    </w:rPr>
                    <w:t xml:space="preserve">M3 + interactions</w:t>
                  </w:r>
                </w:p>
              </w:tc>
              <w:tc>
                <w:tcPr/>
                <w:p>
                  <w:pPr>
                    <w:pStyle w:val="Compact"/>
                    <w:jc w:val="left"/>
                    <w:rPr>
                      <w:sz w:val="16"/>
                      <w:szCs w:val="16"/>
                    </w:rPr>
                  </w:pPr>
                  <w:r>
                    <w:rPr>
                      <w:sz w:val="16"/>
                      <w:szCs w:val="16"/>
                    </w:rPr>
                    <w:t xml:space="preserve">45,476</w:t>
                  </w:r>
                </w:p>
              </w:tc>
              <w:tc>
                <w:tcPr/>
                <w:p>
                  <w:pPr>
                    <w:pStyle w:val="Compact"/>
                    <w:jc w:val="left"/>
                    <w:rPr>
                      <w:sz w:val="16"/>
                      <w:szCs w:val="16"/>
                    </w:rPr>
                  </w:pPr>
                  <w:r>
                    <w:rPr>
                      <w:sz w:val="16"/>
                      <w:szCs w:val="16"/>
                    </w:rPr>
                    <w:t xml:space="preserve">0</w:t>
                  </w:r>
                </w:p>
              </w:tc>
              <w:tc>
                <w:tcPr/>
                <w:p>
                  <w:pPr>
                    <w:pStyle w:val="Compact"/>
                    <w:jc w:val="left"/>
                    <w:rPr>
                      <w:sz w:val="16"/>
                      <w:szCs w:val="16"/>
                    </w:rPr>
                  </w:pPr>
                  <w:r>
                    <w:rPr>
                      <w:sz w:val="16"/>
                      <w:szCs w:val="16"/>
                    </w:rPr>
                    <w:t xml:space="preserve">0.400</w:t>
                  </w:r>
                </w:p>
              </w:tc>
              <w:tc>
                <w:tcPr/>
                <w:p>
                  <w:pPr>
                    <w:pStyle w:val="Compact"/>
                    <w:jc w:val="left"/>
                    <w:rPr>
                      <w:sz w:val="16"/>
                      <w:szCs w:val="16"/>
                    </w:rPr>
                  </w:pPr>
                  <w:r>
                    <w:rPr>
                      <w:sz w:val="16"/>
                      <w:szCs w:val="16"/>
                    </w:rPr>
                    <w:t xml:space="preserve">129.2</w:t>
                  </w:r>
                </w:p>
              </w:tc>
              <w:tc>
                <w:tcPr/>
                <w:p>
                  <w:pPr>
                    <w:pStyle w:val="Compact"/>
                    <w:jc w:val="left"/>
                    <w:rPr>
                      <w:sz w:val="16"/>
                      <w:szCs w:val="16"/>
                    </w:rPr>
                  </w:pPr>
                  <w:r>
                    <w:rPr>
                      <w:sz w:val="16"/>
                      <w:szCs w:val="16"/>
                    </w:rPr>
                    <w:t xml:space="preserve">0.321</w:t>
                  </w:r>
                </w:p>
              </w:tc>
              <w:tc>
                <w:tcPr/>
                <w:p>
                  <w:pPr>
                    <w:pStyle w:val="Compact"/>
                    <w:jc w:val="left"/>
                    <w:rPr>
                      <w:sz w:val="16"/>
                      <w:szCs w:val="16"/>
                    </w:rPr>
                  </w:pPr>
                  <w:r>
                    <w:rPr>
                      <w:sz w:val="16"/>
                      <w:szCs w:val="16"/>
                    </w:rPr>
                    <w:t xml:space="preserve">0.160</w:t>
                  </w:r>
                </w:p>
              </w:tc>
              <w:tc>
                <w:tcPr/>
                <w:p>
                  <w:pPr>
                    <w:pStyle w:val="Compact"/>
                    <w:jc w:val="left"/>
                    <w:rPr>
                      <w:sz w:val="16"/>
                      <w:szCs w:val="16"/>
                    </w:rPr>
                  </w:pPr>
                  <w:r>
                    <w:rPr>
                      <w:sz w:val="16"/>
                      <w:szCs w:val="16"/>
                    </w:rPr>
                    <w:t xml:space="preserve">0.490</w:t>
                  </w:r>
                </w:p>
              </w:tc>
              <w:tc>
                <w:tcPr/>
                <w:p>
                  <w:pPr>
                    <w:pStyle w:val="Compact"/>
                    <w:jc w:val="left"/>
                    <w:rPr>
                      <w:sz w:val="16"/>
                      <w:szCs w:val="16"/>
                    </w:rPr>
                  </w:pPr>
                  <w:r>
                    <w:rPr>
                      <w:sz w:val="16"/>
                      <w:szCs w:val="16"/>
                    </w:rPr>
                    <w:t xml:space="preserve">0.797</w:t>
                  </w:r>
                </w:p>
              </w:tc>
              <w:tc>
                <w:tcPr/>
                <w:p>
                  <w:pPr>
                    <w:pStyle w:val="Compact"/>
                    <w:jc w:val="left"/>
                    <w:rPr>
                      <w:sz w:val="16"/>
                      <w:szCs w:val="16"/>
                    </w:rPr>
                  </w:pPr>
                  <w:r>
                    <w:rPr>
                      <w:sz w:val="16"/>
                      <w:szCs w:val="16"/>
                    </w:rPr>
                    <w:t xml:space="preserve">0.251</w:t>
                  </w:r>
                </w:p>
              </w:tc>
            </w:tr>
          </w:tbl>
          <w:bookmarkEnd w:id="4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 w:name="tbl-m3"/>
          <w:p>
            <w:pPr>
              <w:jc w:val="center"/>
            </w:pPr>
            <w:pPr>
              <w:jc w:val="start"/>
              <w:spacing w:before="200"/>
              <w:pStyle w:val="ImageCaption"/>
            </w:pPr>
            <w:r>
              <w:t xml:space="preserve">Table 6: Full model M3, panel B of the model table: continuous terms, ordered by absolute effect. Coefficients are log-odds per standard deviation on a class-balanced sample, so the intercept is not landscape prevalence. SE is the standard error of the coefficient. The geomorphon landform classes are also in this model and are not reported here.</w:t>
            </w:r>
          </w:p>
          <w:tbl>
            <w:tblPr>
              <w:tblStyle w:val="Table"/>
              <w:tblLook w:firstRow="1" w:lastRow="0" w:firstColumn="0" w:lastColumn="0" w:noHBand="0" w:noVBand="0" w:val="0020"/>
              <w:tblW w:w="9354" w:type="dxa"/>
              <w:tblLayout w:type="fixed"/>
            </w:tblPr>
            <w:tblGrid>
              <w:gridCol w:w="5798"/>
              <w:gridCol w:w="921"/>
              <w:gridCol w:w="790"/>
              <w:gridCol w:w="790"/>
              <w:gridCol w:w="1055"/>
            </w:tblGrid>
            <w:tr>
              <w:trPr>
                <w:tblHeader w:val="on"/>
                <w:trHeight w:val="624" w:hRule="exact"/>
              </w:trPr>
              <w:tc>
                <w:tcPr/>
                <w:p>
                  <w:pPr>
                    <w:pStyle w:val="Compact"/>
                    <w:jc w:val="left"/>
                    <w:rPr>
                      <w:sz w:val="16"/>
                      <w:szCs w:val="16"/>
                    </w:rPr>
                  </w:pPr>
                  <w:r>
                    <w:rPr>
                      <w:sz w:val="16"/>
                      <w:szCs w:val="16"/>
                    </w:rPr>
                    <w:t xml:space="preserve">Term</w:t>
                  </w:r>
                </w:p>
              </w:tc>
              <w:tc>
                <w:tcPr/>
                <w:p>
                  <w:pPr>
                    <w:pStyle w:val="Compact"/>
                    <w:jc w:val="left"/>
                    <w:rPr>
                      <w:sz w:val="16"/>
                      <w:szCs w:val="16"/>
                    </w:rPr>
                  </w:pPr>
                  <w:r>
                    <w:rPr>
                      <w:sz w:val="16"/>
                      <w:szCs w:val="16"/>
                    </w:rPr>
                    <w:t xml:space="preserve">Beta</w:t>
                  </w:r>
                </w:p>
              </w:tc>
              <w:tc>
                <w:tcPr/>
                <w:p>
                  <w:pPr>
                    <w:pStyle w:val="Compact"/>
                    <w:jc w:val="left"/>
                    <w:rPr>
                      <w:sz w:val="16"/>
                      <w:szCs w:val="16"/>
                    </w:rPr>
                  </w:pPr>
                  <w:r>
                    <w:rPr>
                      <w:sz w:val="16"/>
                      <w:szCs w:val="16"/>
                    </w:rPr>
                    <w:t xml:space="preserve">SE</w:t>
                  </w:r>
                </w:p>
              </w:tc>
              <w:tc>
                <w:tcPr/>
                <w:p>
                  <w:pPr>
                    <w:pStyle w:val="Compact"/>
                    <w:jc w:val="left"/>
                    <w:rPr>
                      <w:sz w:val="16"/>
                      <w:szCs w:val="16"/>
                    </w:rPr>
                  </w:pPr>
                  <w:r>
                    <w:rPr>
                      <w:sz w:val="16"/>
                      <w:szCs w:val="16"/>
                    </w:rPr>
                    <w:t xml:space="preserve">z</w:t>
                  </w:r>
                </w:p>
              </w:tc>
              <w:tc>
                <w:tcPr/>
                <w:p>
                  <w:pPr>
                    <w:pStyle w:val="Compact"/>
                    <w:jc w:val="left"/>
                    <w:rPr>
                      <w:sz w:val="16"/>
                      <w:szCs w:val="16"/>
                    </w:rPr>
                  </w:pPr>
                  <w:r>
                    <w:rPr>
                      <w:sz w:val="16"/>
                      <w:szCs w:val="16"/>
                    </w:rPr>
                    <w:t xml:space="preserve">p</w:t>
                  </w:r>
                </w:p>
              </w:tc>
            </w:tr>
            <w:tr>
              <w:trPr>
                <w:trHeight w:val="340" w:hRule="exact"/>
              </w:trPr>
              <w:tc>
                <w:tcPr/>
                <w:p>
                  <w:pPr>
                    <w:pStyle w:val="Compact"/>
                    <w:jc w:val="left"/>
                    <w:rPr>
                      <w:sz w:val="16"/>
                      <w:szCs w:val="16"/>
                    </w:rPr>
                  </w:pPr>
                  <w:r>
                    <w:rPr>
                      <w:sz w:val="16"/>
                      <w:szCs w:val="16"/>
                    </w:rPr>
                    <w:t xml:space="preserve">Susceptible pine basal area (m2/ha)</w:t>
                  </w:r>
                </w:p>
              </w:tc>
              <w:tc>
                <w:tcPr/>
                <w:p>
                  <w:pPr>
                    <w:pStyle w:val="Compact"/>
                    <w:jc w:val="left"/>
                    <w:rPr>
                      <w:sz w:val="16"/>
                      <w:szCs w:val="16"/>
                    </w:rPr>
                  </w:pPr>
                  <w:r>
                    <w:rPr>
                      <w:sz w:val="16"/>
                      <w:szCs w:val="16"/>
                    </w:rPr>
                    <w:t xml:space="preserve">+0.635</w:t>
                  </w:r>
                </w:p>
              </w:tc>
              <w:tc>
                <w:tcPr/>
                <w:p>
                  <w:pPr>
                    <w:pStyle w:val="Compact"/>
                    <w:jc w:val="left"/>
                    <w:rPr>
                      <w:sz w:val="16"/>
                      <w:szCs w:val="16"/>
                    </w:rPr>
                  </w:pPr>
                  <w:r>
                    <w:rPr>
                      <w:sz w:val="16"/>
                      <w:szCs w:val="16"/>
                    </w:rPr>
                    <w:t xml:space="preserve">0.014</w:t>
                  </w:r>
                </w:p>
              </w:tc>
              <w:tc>
                <w:tcPr/>
                <w:p>
                  <w:pPr>
                    <w:pStyle w:val="Compact"/>
                    <w:jc w:val="left"/>
                    <w:rPr>
                      <w:sz w:val="16"/>
                      <w:szCs w:val="16"/>
                    </w:rPr>
                  </w:pPr>
                  <w:r>
                    <w:rPr>
                      <w:sz w:val="16"/>
                      <w:szCs w:val="16"/>
                    </w:rPr>
                    <w:t xml:space="preserve">44.66</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Flight-window direct radiation (kWh/m2)</w:t>
                  </w:r>
                </w:p>
              </w:tc>
              <w:tc>
                <w:tcPr/>
                <w:p>
                  <w:pPr>
                    <w:pStyle w:val="Compact"/>
                    <w:jc w:val="left"/>
                    <w:rPr>
                      <w:sz w:val="16"/>
                      <w:szCs w:val="16"/>
                    </w:rPr>
                  </w:pPr>
                  <w:r>
                    <w:rPr>
                      <w:sz w:val="16"/>
                      <w:szCs w:val="16"/>
                    </w:rPr>
                    <w:t xml:space="preserve">+0.503</w:t>
                  </w:r>
                </w:p>
              </w:tc>
              <w:tc>
                <w:tcPr/>
                <w:p>
                  <w:pPr>
                    <w:pStyle w:val="Compact"/>
                    <w:jc w:val="left"/>
                    <w:rPr>
                      <w:sz w:val="16"/>
                      <w:szCs w:val="16"/>
                    </w:rPr>
                  </w:pPr>
                  <w:r>
                    <w:rPr>
                      <w:sz w:val="16"/>
                      <w:szCs w:val="16"/>
                    </w:rPr>
                    <w:t xml:space="preserve">0.029</w:t>
                  </w:r>
                </w:p>
              </w:tc>
              <w:tc>
                <w:tcPr/>
                <w:p>
                  <w:pPr>
                    <w:pStyle w:val="Compact"/>
                    <w:jc w:val="left"/>
                    <w:rPr>
                      <w:sz w:val="16"/>
                      <w:szCs w:val="16"/>
                    </w:rPr>
                  </w:pPr>
                  <w:r>
                    <w:rPr>
                      <w:sz w:val="16"/>
                      <w:szCs w:val="16"/>
                    </w:rPr>
                    <w:t xml:space="preserve">17.07</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Windward-leeward index</w:t>
                  </w:r>
                </w:p>
              </w:tc>
              <w:tc>
                <w:tcPr/>
                <w:p>
                  <w:pPr>
                    <w:pStyle w:val="Compact"/>
                    <w:jc w:val="left"/>
                    <w:rPr>
                      <w:sz w:val="16"/>
                      <w:szCs w:val="16"/>
                    </w:rPr>
                  </w:pPr>
                  <w:r>
                    <w:rPr>
                      <w:sz w:val="16"/>
                      <w:szCs w:val="16"/>
                    </w:rPr>
                    <w:t xml:space="preserve">+0.347</w:t>
                  </w:r>
                </w:p>
              </w:tc>
              <w:tc>
                <w:tcPr/>
                <w:p>
                  <w:pPr>
                    <w:pStyle w:val="Compact"/>
                    <w:jc w:val="left"/>
                    <w:rPr>
                      <w:sz w:val="16"/>
                      <w:szCs w:val="16"/>
                    </w:rPr>
                  </w:pPr>
                  <w:r>
                    <w:rPr>
                      <w:sz w:val="16"/>
                      <w:szCs w:val="16"/>
                    </w:rPr>
                    <w:t xml:space="preserve">0.028</w:t>
                  </w:r>
                </w:p>
              </w:tc>
              <w:tc>
                <w:tcPr/>
                <w:p>
                  <w:pPr>
                    <w:pStyle w:val="Compact"/>
                    <w:jc w:val="left"/>
                    <w:rPr>
                      <w:sz w:val="16"/>
                      <w:szCs w:val="16"/>
                    </w:rPr>
                  </w:pPr>
                  <w:r>
                    <w:rPr>
                      <w:sz w:val="16"/>
                      <w:szCs w:val="16"/>
                    </w:rPr>
                    <w:t xml:space="preserve">12.29</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Elevation (m)</w:t>
                  </w:r>
                </w:p>
              </w:tc>
              <w:tc>
                <w:tcPr/>
                <w:p>
                  <w:pPr>
                    <w:pStyle w:val="Compact"/>
                    <w:jc w:val="left"/>
                    <w:rPr>
                      <w:sz w:val="16"/>
                      <w:szCs w:val="16"/>
                    </w:rPr>
                  </w:pPr>
                  <w:r>
                    <w:rPr>
                      <w:sz w:val="16"/>
                      <w:szCs w:val="16"/>
                    </w:rPr>
                    <w:t xml:space="preserve">+0.327</w:t>
                  </w:r>
                </w:p>
              </w:tc>
              <w:tc>
                <w:tcPr/>
                <w:p>
                  <w:pPr>
                    <w:pStyle w:val="Compact"/>
                    <w:jc w:val="left"/>
                    <w:rPr>
                      <w:sz w:val="16"/>
                      <w:szCs w:val="16"/>
                    </w:rPr>
                  </w:pPr>
                  <w:r>
                    <w:rPr>
                      <w:sz w:val="16"/>
                      <w:szCs w:val="16"/>
                    </w:rPr>
                    <w:t xml:space="preserve">0.018</w:t>
                  </w:r>
                </w:p>
              </w:tc>
              <w:tc>
                <w:tcPr/>
                <w:p>
                  <w:pPr>
                    <w:pStyle w:val="Compact"/>
                    <w:jc w:val="left"/>
                    <w:rPr>
                      <w:sz w:val="16"/>
                      <w:szCs w:val="16"/>
                    </w:rPr>
                  </w:pPr>
                  <w:r>
                    <w:rPr>
                      <w:sz w:val="16"/>
                      <w:szCs w:val="16"/>
                    </w:rPr>
                    <w:t xml:space="preserve">17.75</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Northness</w:t>
                  </w:r>
                </w:p>
              </w:tc>
              <w:tc>
                <w:tcPr/>
                <w:p>
                  <w:pPr>
                    <w:pStyle w:val="Compact"/>
                    <w:jc w:val="left"/>
                    <w:rPr>
                      <w:sz w:val="16"/>
                      <w:szCs w:val="16"/>
                    </w:rPr>
                  </w:pPr>
                  <w:r>
                    <w:rPr>
                      <w:sz w:val="16"/>
                      <w:szCs w:val="16"/>
                    </w:rPr>
                    <w:t xml:space="preserve">+0.320</w:t>
                  </w:r>
                </w:p>
              </w:tc>
              <w:tc>
                <w:tcPr/>
                <w:p>
                  <w:pPr>
                    <w:pStyle w:val="Compact"/>
                    <w:jc w:val="left"/>
                    <w:rPr>
                      <w:sz w:val="16"/>
                      <w:szCs w:val="16"/>
                    </w:rPr>
                  </w:pPr>
                  <w:r>
                    <w:rPr>
                      <w:sz w:val="16"/>
                      <w:szCs w:val="16"/>
                    </w:rPr>
                    <w:t xml:space="preserve">0.015</w:t>
                  </w:r>
                </w:p>
              </w:tc>
              <w:tc>
                <w:tcPr/>
                <w:p>
                  <w:pPr>
                    <w:pStyle w:val="Compact"/>
                    <w:jc w:val="left"/>
                    <w:rPr>
                      <w:sz w:val="16"/>
                      <w:szCs w:val="16"/>
                    </w:rPr>
                  </w:pPr>
                  <w:r>
                    <w:rPr>
                      <w:sz w:val="16"/>
                      <w:szCs w:val="16"/>
                    </w:rPr>
                    <w:t xml:space="preserve">20.75</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Stand age (years)</w:t>
                  </w:r>
                </w:p>
              </w:tc>
              <w:tc>
                <w:tcPr/>
                <w:p>
                  <w:pPr>
                    <w:pStyle w:val="Compact"/>
                    <w:jc w:val="left"/>
                    <w:rPr>
                      <w:sz w:val="16"/>
                      <w:szCs w:val="16"/>
                    </w:rPr>
                  </w:pPr>
                  <w:r>
                    <w:rPr>
                      <w:sz w:val="16"/>
                      <w:szCs w:val="16"/>
                    </w:rPr>
                    <w:t xml:space="preserve">+0.251</w:t>
                  </w:r>
                </w:p>
              </w:tc>
              <w:tc>
                <w:tcPr/>
                <w:p>
                  <w:pPr>
                    <w:pStyle w:val="Compact"/>
                    <w:jc w:val="left"/>
                    <w:rPr>
                      <w:sz w:val="16"/>
                      <w:szCs w:val="16"/>
                    </w:rPr>
                  </w:pPr>
                  <w:r>
                    <w:rPr>
                      <w:sz w:val="16"/>
                      <w:szCs w:val="16"/>
                    </w:rPr>
                    <w:t xml:space="preserve">0.017</w:t>
                  </w:r>
                </w:p>
              </w:tc>
              <w:tc>
                <w:tcPr/>
                <w:p>
                  <w:pPr>
                    <w:pStyle w:val="Compact"/>
                    <w:jc w:val="left"/>
                    <w:rPr>
                      <w:sz w:val="16"/>
                      <w:szCs w:val="16"/>
                    </w:rPr>
                  </w:pPr>
                  <w:r>
                    <w:rPr>
                      <w:sz w:val="16"/>
                      <w:szCs w:val="16"/>
                    </w:rPr>
                    <w:t xml:space="preserve">14.57</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Quadratic mean diameter (cm)</w:t>
                  </w:r>
                </w:p>
              </w:tc>
              <w:tc>
                <w:tcPr/>
                <w:p>
                  <w:pPr>
                    <w:pStyle w:val="Compact"/>
                    <w:jc w:val="left"/>
                    <w:rPr>
                      <w:sz w:val="16"/>
                      <w:szCs w:val="16"/>
                    </w:rPr>
                  </w:pPr>
                  <w:r>
                    <w:rPr>
                      <w:sz w:val="16"/>
                      <w:szCs w:val="16"/>
                    </w:rPr>
                    <w:t xml:space="preserve">-0.212</w:t>
                  </w:r>
                </w:p>
              </w:tc>
              <w:tc>
                <w:tcPr/>
                <w:p>
                  <w:pPr>
                    <w:pStyle w:val="Compact"/>
                    <w:jc w:val="left"/>
                    <w:rPr>
                      <w:sz w:val="16"/>
                      <w:szCs w:val="16"/>
                    </w:rPr>
                  </w:pPr>
                  <w:r>
                    <w:rPr>
                      <w:sz w:val="16"/>
                      <w:szCs w:val="16"/>
                    </w:rPr>
                    <w:t xml:space="preserve">0.022</w:t>
                  </w:r>
                </w:p>
              </w:tc>
              <w:tc>
                <w:tcPr/>
                <w:p>
                  <w:pPr>
                    <w:pStyle w:val="Compact"/>
                    <w:jc w:val="left"/>
                    <w:rPr>
                      <w:sz w:val="16"/>
                      <w:szCs w:val="16"/>
                    </w:rPr>
                  </w:pPr>
                  <w:r>
                    <w:rPr>
                      <w:sz w:val="16"/>
                      <w:szCs w:val="16"/>
                    </w:rPr>
                    <w:t xml:space="preserve">-9.73</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Standing volume (m3/ha)</w:t>
                  </w:r>
                </w:p>
              </w:tc>
              <w:tc>
                <w:tcPr/>
                <w:p>
                  <w:pPr>
                    <w:pStyle w:val="Compact"/>
                    <w:jc w:val="left"/>
                    <w:rPr>
                      <w:sz w:val="16"/>
                      <w:szCs w:val="16"/>
                    </w:rPr>
                  </w:pPr>
                  <w:r>
                    <w:rPr>
                      <w:sz w:val="16"/>
                      <w:szCs w:val="16"/>
                    </w:rPr>
                    <w:t xml:space="preserve">+0.206</w:t>
                  </w:r>
                </w:p>
              </w:tc>
              <w:tc>
                <w:tcPr/>
                <w:p>
                  <w:pPr>
                    <w:pStyle w:val="Compact"/>
                    <w:jc w:val="left"/>
                    <w:rPr>
                      <w:sz w:val="16"/>
                      <w:szCs w:val="16"/>
                    </w:rPr>
                  </w:pPr>
                  <w:r>
                    <w:rPr>
                      <w:sz w:val="16"/>
                      <w:szCs w:val="16"/>
                    </w:rPr>
                    <w:t xml:space="preserve">0.020</w:t>
                  </w:r>
                </w:p>
              </w:tc>
              <w:tc>
                <w:tcPr/>
                <w:p>
                  <w:pPr>
                    <w:pStyle w:val="Compact"/>
                    <w:jc w:val="left"/>
                    <w:rPr>
                      <w:sz w:val="16"/>
                      <w:szCs w:val="16"/>
                    </w:rPr>
                  </w:pPr>
                  <w:r>
                    <w:rPr>
                      <w:sz w:val="16"/>
                      <w:szCs w:val="16"/>
                    </w:rPr>
                    <w:t xml:space="preserve">10.09</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July mean wind (km/h)</w:t>
                  </w:r>
                </w:p>
              </w:tc>
              <w:tc>
                <w:tcPr/>
                <w:p>
                  <w:pPr>
                    <w:pStyle w:val="Compact"/>
                    <w:jc w:val="left"/>
                    <w:rPr>
                      <w:sz w:val="16"/>
                      <w:szCs w:val="16"/>
                    </w:rPr>
                  </w:pPr>
                  <w:r>
                    <w:rPr>
                      <w:sz w:val="16"/>
                      <w:szCs w:val="16"/>
                    </w:rPr>
                    <w:t xml:space="preserve">+0.190</w:t>
                  </w:r>
                </w:p>
              </w:tc>
              <w:tc>
                <w:tcPr/>
                <w:p>
                  <w:pPr>
                    <w:pStyle w:val="Compact"/>
                    <w:jc w:val="left"/>
                    <w:rPr>
                      <w:sz w:val="16"/>
                      <w:szCs w:val="16"/>
                    </w:rPr>
                  </w:pPr>
                  <w:r>
                    <w:rPr>
                      <w:sz w:val="16"/>
                      <w:szCs w:val="16"/>
                    </w:rPr>
                    <w:t xml:space="preserve">0.012</w:t>
                  </w:r>
                </w:p>
              </w:tc>
              <w:tc>
                <w:tcPr/>
                <w:p>
                  <w:pPr>
                    <w:pStyle w:val="Compact"/>
                    <w:jc w:val="left"/>
                    <w:rPr>
                      <w:sz w:val="16"/>
                      <w:szCs w:val="16"/>
                    </w:rPr>
                  </w:pPr>
                  <w:r>
                    <w:rPr>
                      <w:sz w:val="16"/>
                      <w:szCs w:val="16"/>
                    </w:rPr>
                    <w:t xml:space="preserve">15.42</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Valley depth (m)</w:t>
                  </w:r>
                </w:p>
              </w:tc>
              <w:tc>
                <w:tcPr/>
                <w:p>
                  <w:pPr>
                    <w:pStyle w:val="Compact"/>
                    <w:jc w:val="left"/>
                    <w:rPr>
                      <w:sz w:val="16"/>
                      <w:szCs w:val="16"/>
                    </w:rPr>
                  </w:pPr>
                  <w:r>
                    <w:rPr>
                      <w:sz w:val="16"/>
                      <w:szCs w:val="16"/>
                    </w:rPr>
                    <w:t xml:space="preserve">-0.175</w:t>
                  </w:r>
                </w:p>
              </w:tc>
              <w:tc>
                <w:tcPr/>
                <w:p>
                  <w:pPr>
                    <w:pStyle w:val="Compact"/>
                    <w:jc w:val="left"/>
                    <w:rPr>
                      <w:sz w:val="16"/>
                      <w:szCs w:val="16"/>
                    </w:rPr>
                  </w:pPr>
                  <w:r>
                    <w:rPr>
                      <w:sz w:val="16"/>
                      <w:szCs w:val="16"/>
                    </w:rPr>
                    <w:t xml:space="preserve">0.023</w:t>
                  </w:r>
                </w:p>
              </w:tc>
              <w:tc>
                <w:tcPr/>
                <w:p>
                  <w:pPr>
                    <w:pStyle w:val="Compact"/>
                    <w:jc w:val="left"/>
                    <w:rPr>
                      <w:sz w:val="16"/>
                      <w:szCs w:val="16"/>
                    </w:rPr>
                  </w:pPr>
                  <w:r>
                    <w:rPr>
                      <w:sz w:val="16"/>
                      <w:szCs w:val="16"/>
                    </w:rPr>
                    <w:t xml:space="preserve">-7.71</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Live stems x Flight-window direct radiation</w:t>
                  </w:r>
                </w:p>
              </w:tc>
              <w:tc>
                <w:tcPr/>
                <w:p>
                  <w:pPr>
                    <w:pStyle w:val="Compact"/>
                    <w:jc w:val="left"/>
                    <w:rPr>
                      <w:sz w:val="16"/>
                      <w:szCs w:val="16"/>
                    </w:rPr>
                  </w:pPr>
                  <w:r>
                    <w:rPr>
                      <w:sz w:val="16"/>
                      <w:szCs w:val="16"/>
                    </w:rPr>
                    <w:t xml:space="preserve">-0.157</w:t>
                  </w:r>
                </w:p>
              </w:tc>
              <w:tc>
                <w:tcPr/>
                <w:p>
                  <w:pPr>
                    <w:pStyle w:val="Compact"/>
                    <w:jc w:val="left"/>
                    <w:rPr>
                      <w:sz w:val="16"/>
                      <w:szCs w:val="16"/>
                    </w:rPr>
                  </w:pPr>
                  <w:r>
                    <w:rPr>
                      <w:sz w:val="16"/>
                      <w:szCs w:val="16"/>
                    </w:rPr>
                    <w:t xml:space="preserve">0.016</w:t>
                  </w:r>
                </w:p>
              </w:tc>
              <w:tc>
                <w:tcPr/>
                <w:p>
                  <w:pPr>
                    <w:pStyle w:val="Compact"/>
                    <w:jc w:val="left"/>
                    <w:rPr>
                      <w:sz w:val="16"/>
                      <w:szCs w:val="16"/>
                    </w:rPr>
                  </w:pPr>
                  <w:r>
                    <w:rPr>
                      <w:sz w:val="16"/>
                      <w:szCs w:val="16"/>
                    </w:rPr>
                    <w:t xml:space="preserve">-9.53</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Topographic wetness index</w:t>
                  </w:r>
                </w:p>
              </w:tc>
              <w:tc>
                <w:tcPr/>
                <w:p>
                  <w:pPr>
                    <w:pStyle w:val="Compact"/>
                    <w:jc w:val="left"/>
                    <w:rPr>
                      <w:sz w:val="16"/>
                      <w:szCs w:val="16"/>
                    </w:rPr>
                  </w:pPr>
                  <w:r>
                    <w:rPr>
                      <w:sz w:val="16"/>
                      <w:szCs w:val="16"/>
                    </w:rPr>
                    <w:t xml:space="preserve">+0.132</w:t>
                  </w:r>
                </w:p>
              </w:tc>
              <w:tc>
                <w:tcPr/>
                <w:p>
                  <w:pPr>
                    <w:pStyle w:val="Compact"/>
                    <w:jc w:val="left"/>
                    <w:rPr>
                      <w:sz w:val="16"/>
                      <w:szCs w:val="16"/>
                    </w:rPr>
                  </w:pPr>
                  <w:r>
                    <w:rPr>
                      <w:sz w:val="16"/>
                      <w:szCs w:val="16"/>
                    </w:rPr>
                    <w:t xml:space="preserve">0.020</w:t>
                  </w:r>
                </w:p>
              </w:tc>
              <w:tc>
                <w:tcPr/>
                <w:p>
                  <w:pPr>
                    <w:pStyle w:val="Compact"/>
                    <w:jc w:val="left"/>
                    <w:rPr>
                      <w:sz w:val="16"/>
                      <w:szCs w:val="16"/>
                    </w:rPr>
                  </w:pPr>
                  <w:r>
                    <w:rPr>
                      <w:sz w:val="16"/>
                      <w:szCs w:val="16"/>
                    </w:rPr>
                    <w:t xml:space="preserve">6.63</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Live stems (n/ha)</w:t>
                  </w:r>
                </w:p>
              </w:tc>
              <w:tc>
                <w:tcPr/>
                <w:p>
                  <w:pPr>
                    <w:pStyle w:val="Compact"/>
                    <w:jc w:val="left"/>
                    <w:rPr>
                      <w:sz w:val="16"/>
                      <w:szCs w:val="16"/>
                    </w:rPr>
                  </w:pPr>
                  <w:r>
                    <w:rPr>
                      <w:sz w:val="16"/>
                      <w:szCs w:val="16"/>
                    </w:rPr>
                    <w:t xml:space="preserve">+0.117</w:t>
                  </w:r>
                </w:p>
              </w:tc>
              <w:tc>
                <w:tcPr/>
                <w:p>
                  <w:pPr>
                    <w:pStyle w:val="Compact"/>
                    <w:jc w:val="left"/>
                    <w:rPr>
                      <w:sz w:val="16"/>
                      <w:szCs w:val="16"/>
                    </w:rPr>
                  </w:pPr>
                  <w:r>
                    <w:rPr>
                      <w:sz w:val="16"/>
                      <w:szCs w:val="16"/>
                    </w:rPr>
                    <w:t xml:space="preserve">0.016</w:t>
                  </w:r>
                </w:p>
              </w:tc>
              <w:tc>
                <w:tcPr/>
                <w:p>
                  <w:pPr>
                    <w:pStyle w:val="Compact"/>
                    <w:jc w:val="left"/>
                    <w:rPr>
                      <w:sz w:val="16"/>
                      <w:szCs w:val="16"/>
                    </w:rPr>
                  </w:pPr>
                  <w:r>
                    <w:rPr>
                      <w:sz w:val="16"/>
                      <w:szCs w:val="16"/>
                    </w:rPr>
                    <w:t xml:space="preserve">7.15</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June mean wind (km/h)</w:t>
                  </w:r>
                </w:p>
              </w:tc>
              <w:tc>
                <w:tcPr/>
                <w:p>
                  <w:pPr>
                    <w:pStyle w:val="Compact"/>
                    <w:jc w:val="left"/>
                    <w:rPr>
                      <w:sz w:val="16"/>
                      <w:szCs w:val="16"/>
                    </w:rPr>
                  </w:pPr>
                  <w:r>
                    <w:rPr>
                      <w:sz w:val="16"/>
                      <w:szCs w:val="16"/>
                    </w:rPr>
                    <w:t xml:space="preserve">+0.087</w:t>
                  </w:r>
                </w:p>
              </w:tc>
              <w:tc>
                <w:tcPr/>
                <w:p>
                  <w:pPr>
                    <w:pStyle w:val="Compact"/>
                    <w:jc w:val="left"/>
                    <w:rPr>
                      <w:sz w:val="16"/>
                      <w:szCs w:val="16"/>
                    </w:rPr>
                  </w:pPr>
                  <w:r>
                    <w:rPr>
                      <w:sz w:val="16"/>
                      <w:szCs w:val="16"/>
                    </w:rPr>
                    <w:t xml:space="preserve">0.013</w:t>
                  </w:r>
                </w:p>
              </w:tc>
              <w:tc>
                <w:tcPr/>
                <w:p>
                  <w:pPr>
                    <w:pStyle w:val="Compact"/>
                    <w:jc w:val="left"/>
                    <w:rPr>
                      <w:sz w:val="16"/>
                      <w:szCs w:val="16"/>
                    </w:rPr>
                  </w:pPr>
                  <w:r>
                    <w:rPr>
                      <w:sz w:val="16"/>
                      <w:szCs w:val="16"/>
                    </w:rPr>
                    <w:t xml:space="preserve">6.72</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Mid-slope position</w:t>
                  </w:r>
                </w:p>
              </w:tc>
              <w:tc>
                <w:tcPr/>
                <w:p>
                  <w:pPr>
                    <w:pStyle w:val="Compact"/>
                    <w:jc w:val="left"/>
                    <w:rPr>
                      <w:sz w:val="16"/>
                      <w:szCs w:val="16"/>
                    </w:rPr>
                  </w:pPr>
                  <w:r>
                    <w:rPr>
                      <w:sz w:val="16"/>
                      <w:szCs w:val="16"/>
                    </w:rPr>
                    <w:t xml:space="preserve">+0.069</w:t>
                  </w:r>
                </w:p>
              </w:tc>
              <w:tc>
                <w:tcPr/>
                <w:p>
                  <w:pPr>
                    <w:pStyle w:val="Compact"/>
                    <w:jc w:val="left"/>
                    <w:rPr>
                      <w:sz w:val="16"/>
                      <w:szCs w:val="16"/>
                    </w:rPr>
                  </w:pPr>
                  <w:r>
                    <w:rPr>
                      <w:sz w:val="16"/>
                      <w:szCs w:val="16"/>
                    </w:rPr>
                    <w:t xml:space="preserve">0.014</w:t>
                  </w:r>
                </w:p>
              </w:tc>
              <w:tc>
                <w:tcPr/>
                <w:p>
                  <w:pPr>
                    <w:pStyle w:val="Compact"/>
                    <w:jc w:val="left"/>
                    <w:rPr>
                      <w:sz w:val="16"/>
                      <w:szCs w:val="16"/>
                    </w:rPr>
                  </w:pPr>
                  <w:r>
                    <w:rPr>
                      <w:sz w:val="16"/>
                      <w:szCs w:val="16"/>
                    </w:rPr>
                    <w:t xml:space="preserve">5.02</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Topographic position index</w:t>
                  </w:r>
                </w:p>
              </w:tc>
              <w:tc>
                <w:tcPr/>
                <w:p>
                  <w:pPr>
                    <w:pStyle w:val="Compact"/>
                    <w:jc w:val="left"/>
                    <w:rPr>
                      <w:sz w:val="16"/>
                      <w:szCs w:val="16"/>
                    </w:rPr>
                  </w:pPr>
                  <w:r>
                    <w:rPr>
                      <w:sz w:val="16"/>
                      <w:szCs w:val="16"/>
                    </w:rPr>
                    <w:t xml:space="preserve">+0.060</w:t>
                  </w:r>
                </w:p>
              </w:tc>
              <w:tc>
                <w:tcPr/>
                <w:p>
                  <w:pPr>
                    <w:pStyle w:val="Compact"/>
                    <w:jc w:val="left"/>
                    <w:rPr>
                      <w:sz w:val="16"/>
                      <w:szCs w:val="16"/>
                    </w:rPr>
                  </w:pPr>
                  <w:r>
                    <w:rPr>
                      <w:sz w:val="16"/>
                      <w:szCs w:val="16"/>
                    </w:rPr>
                    <w:t xml:space="preserve">0.024</w:t>
                  </w:r>
                </w:p>
              </w:tc>
              <w:tc>
                <w:tcPr/>
                <w:p>
                  <w:pPr>
                    <w:pStyle w:val="Compact"/>
                    <w:jc w:val="left"/>
                    <w:rPr>
                      <w:sz w:val="16"/>
                      <w:szCs w:val="16"/>
                    </w:rPr>
                  </w:pPr>
                  <w:r>
                    <w:rPr>
                      <w:sz w:val="16"/>
                      <w:szCs w:val="16"/>
                    </w:rPr>
                    <w:t xml:space="preserve">2.52</w:t>
                  </w:r>
                </w:p>
              </w:tc>
              <w:tc>
                <w:tcPr/>
                <w:p>
                  <w:pPr>
                    <w:pStyle w:val="Compact"/>
                    <w:jc w:val="left"/>
                    <w:rPr>
                      <w:sz w:val="16"/>
                      <w:szCs w:val="16"/>
                    </w:rPr>
                  </w:pPr>
                  <w:r>
                    <w:rPr>
                      <w:sz w:val="16"/>
                      <w:szCs w:val="16"/>
                    </w:rPr>
                    <w:t xml:space="preserve">0.012</w:t>
                  </w:r>
                </w:p>
              </w:tc>
            </w:tr>
            <w:tr>
              <w:trPr>
                <w:trHeight w:val="340" w:hRule="exact"/>
              </w:trPr>
              <w:tc>
                <w:tcPr/>
                <w:p>
                  <w:pPr>
                    <w:pStyle w:val="Compact"/>
                    <w:jc w:val="left"/>
                    <w:rPr>
                      <w:sz w:val="16"/>
                      <w:szCs w:val="16"/>
                    </w:rPr>
                  </w:pPr>
                  <w:r>
                    <w:rPr>
                      <w:sz w:val="16"/>
                      <w:szCs w:val="16"/>
                    </w:rPr>
                    <w:t xml:space="preserve">Vector ruggedness measure</w:t>
                  </w:r>
                </w:p>
              </w:tc>
              <w:tc>
                <w:tcPr/>
                <w:p>
                  <w:pPr>
                    <w:pStyle w:val="Compact"/>
                    <w:jc w:val="left"/>
                    <w:rPr>
                      <w:sz w:val="16"/>
                      <w:szCs w:val="16"/>
                    </w:rPr>
                  </w:pPr>
                  <w:r>
                    <w:rPr>
                      <w:sz w:val="16"/>
                      <w:szCs w:val="16"/>
                    </w:rPr>
                    <w:t xml:space="preserve">-0.059</w:t>
                  </w:r>
                </w:p>
              </w:tc>
              <w:tc>
                <w:tcPr/>
                <w:p>
                  <w:pPr>
                    <w:pStyle w:val="Compact"/>
                    <w:jc w:val="left"/>
                    <w:rPr>
                      <w:sz w:val="16"/>
                      <w:szCs w:val="16"/>
                    </w:rPr>
                  </w:pPr>
                  <w:r>
                    <w:rPr>
                      <w:sz w:val="16"/>
                      <w:szCs w:val="16"/>
                    </w:rPr>
                    <w:t xml:space="preserve">0.021</w:t>
                  </w:r>
                </w:p>
              </w:tc>
              <w:tc>
                <w:tcPr/>
                <w:p>
                  <w:pPr>
                    <w:pStyle w:val="Compact"/>
                    <w:jc w:val="left"/>
                    <w:rPr>
                      <w:sz w:val="16"/>
                      <w:szCs w:val="16"/>
                    </w:rPr>
                  </w:pPr>
                  <w:r>
                    <w:rPr>
                      <w:sz w:val="16"/>
                      <w:szCs w:val="16"/>
                    </w:rPr>
                    <w:t xml:space="preserve">-2.83</w:t>
                  </w:r>
                </w:p>
              </w:tc>
              <w:tc>
                <w:tcPr/>
                <w:p>
                  <w:pPr>
                    <w:pStyle w:val="Compact"/>
                    <w:jc w:val="left"/>
                    <w:rPr>
                      <w:sz w:val="16"/>
                      <w:szCs w:val="16"/>
                    </w:rPr>
                  </w:pPr>
                  <w:r>
                    <w:rPr>
                      <w:sz w:val="16"/>
                      <w:szCs w:val="16"/>
                    </w:rPr>
                    <w:t xml:space="preserve">0.005</w:t>
                  </w:r>
                </w:p>
              </w:tc>
            </w:tr>
            <w:tr>
              <w:trPr>
                <w:trHeight w:val="340" w:hRule="exact"/>
              </w:trPr>
              <w:tc>
                <w:tcPr/>
                <w:p>
                  <w:pPr>
                    <w:pStyle w:val="Compact"/>
                    <w:jc w:val="left"/>
                    <w:rPr>
                      <w:sz w:val="16"/>
                      <w:szCs w:val="16"/>
                    </w:rPr>
                  </w:pPr>
                  <w:r>
                    <w:rPr>
                      <w:sz w:val="16"/>
                      <w:szCs w:val="16"/>
                    </w:rPr>
                    <w:t xml:space="preserve">Live stems x Windward-leeward index</w:t>
                  </w:r>
                </w:p>
              </w:tc>
              <w:tc>
                <w:tcPr/>
                <w:p>
                  <w:pPr>
                    <w:pStyle w:val="Compact"/>
                    <w:jc w:val="left"/>
                    <w:rPr>
                      <w:sz w:val="16"/>
                      <w:szCs w:val="16"/>
                    </w:rPr>
                  </w:pPr>
                  <w:r>
                    <w:rPr>
                      <w:sz w:val="16"/>
                      <w:szCs w:val="16"/>
                    </w:rPr>
                    <w:t xml:space="preserve">-0.050</w:t>
                  </w:r>
                </w:p>
              </w:tc>
              <w:tc>
                <w:tcPr/>
                <w:p>
                  <w:pPr>
                    <w:pStyle w:val="Compact"/>
                    <w:jc w:val="left"/>
                    <w:rPr>
                      <w:sz w:val="16"/>
                      <w:szCs w:val="16"/>
                    </w:rPr>
                  </w:pPr>
                  <w:r>
                    <w:rPr>
                      <w:sz w:val="16"/>
                      <w:szCs w:val="16"/>
                    </w:rPr>
                    <w:t xml:space="preserve">0.019</w:t>
                  </w:r>
                </w:p>
              </w:tc>
              <w:tc>
                <w:tcPr/>
                <w:p>
                  <w:pPr>
                    <w:pStyle w:val="Compact"/>
                    <w:jc w:val="left"/>
                    <w:rPr>
                      <w:sz w:val="16"/>
                      <w:szCs w:val="16"/>
                    </w:rPr>
                  </w:pPr>
                  <w:r>
                    <w:rPr>
                      <w:sz w:val="16"/>
                      <w:szCs w:val="16"/>
                    </w:rPr>
                    <w:t xml:space="preserve">-2.64</w:t>
                  </w:r>
                </w:p>
              </w:tc>
              <w:tc>
                <w:tcPr/>
                <w:p>
                  <w:pPr>
                    <w:pStyle w:val="Compact"/>
                    <w:jc w:val="left"/>
                    <w:rPr>
                      <w:sz w:val="16"/>
                      <w:szCs w:val="16"/>
                    </w:rPr>
                  </w:pPr>
                  <w:r>
                    <w:rPr>
                      <w:sz w:val="16"/>
                      <w:szCs w:val="16"/>
                    </w:rPr>
                    <w:t xml:space="preserve">0.008</w:t>
                  </w:r>
                </w:p>
              </w:tc>
            </w:tr>
            <w:tr>
              <w:trPr>
                <w:trHeight w:val="340" w:hRule="exact"/>
              </w:trPr>
              <w:tc>
                <w:tcPr/>
                <w:p>
                  <w:pPr>
                    <w:pStyle w:val="Compact"/>
                    <w:jc w:val="left"/>
                    <w:rPr>
                      <w:sz w:val="16"/>
                      <w:szCs w:val="16"/>
                    </w:rPr>
                  </w:pPr>
                  <w:r>
                    <w:rPr>
                      <w:sz w:val="16"/>
                      <w:szCs w:val="16"/>
                    </w:rPr>
                    <w:t xml:space="preserve">Terrain ruggedness index</w:t>
                  </w:r>
                </w:p>
              </w:tc>
              <w:tc>
                <w:tcPr/>
                <w:p>
                  <w:pPr>
                    <w:pStyle w:val="Compact"/>
                    <w:jc w:val="left"/>
                    <w:rPr>
                      <w:sz w:val="16"/>
                      <w:szCs w:val="16"/>
                    </w:rPr>
                  </w:pPr>
                  <w:r>
                    <w:rPr>
                      <w:sz w:val="16"/>
                      <w:szCs w:val="16"/>
                    </w:rPr>
                    <w:t xml:space="preserve">-0.040</w:t>
                  </w:r>
                </w:p>
              </w:tc>
              <w:tc>
                <w:tcPr/>
                <w:p>
                  <w:pPr>
                    <w:pStyle w:val="Compact"/>
                    <w:jc w:val="left"/>
                    <w:rPr>
                      <w:sz w:val="16"/>
                      <w:szCs w:val="16"/>
                    </w:rPr>
                  </w:pPr>
                  <w:r>
                    <w:rPr>
                      <w:sz w:val="16"/>
                      <w:szCs w:val="16"/>
                    </w:rPr>
                    <w:t xml:space="preserve">0.024</w:t>
                  </w:r>
                </w:p>
              </w:tc>
              <w:tc>
                <w:tcPr/>
                <w:p>
                  <w:pPr>
                    <w:pStyle w:val="Compact"/>
                    <w:jc w:val="left"/>
                    <w:rPr>
                      <w:sz w:val="16"/>
                      <w:szCs w:val="16"/>
                    </w:rPr>
                  </w:pPr>
                  <w:r>
                    <w:rPr>
                      <w:sz w:val="16"/>
                      <w:szCs w:val="16"/>
                    </w:rPr>
                    <w:t xml:space="preserve">-1.64</w:t>
                  </w:r>
                </w:p>
              </w:tc>
              <w:tc>
                <w:tcPr/>
                <w:p>
                  <w:pPr>
                    <w:pStyle w:val="Compact"/>
                    <w:jc w:val="left"/>
                    <w:rPr>
                      <w:sz w:val="16"/>
                      <w:szCs w:val="16"/>
                    </w:rPr>
                  </w:pPr>
                  <w:r>
                    <w:rPr>
                      <w:sz w:val="16"/>
                      <w:szCs w:val="16"/>
                    </w:rPr>
                    <w:t xml:space="preserve">0.101</w:t>
                  </w:r>
                </w:p>
              </w:tc>
            </w:tr>
            <w:tr>
              <w:trPr>
                <w:trHeight w:val="340" w:hRule="exact"/>
              </w:trPr>
              <w:tc>
                <w:tcPr/>
                <w:p>
                  <w:pPr>
                    <w:pStyle w:val="Compact"/>
                    <w:jc w:val="left"/>
                    <w:rPr>
                      <w:sz w:val="16"/>
                      <w:szCs w:val="16"/>
                    </w:rPr>
                  </w:pPr>
                  <w:r>
                    <w:rPr>
                      <w:sz w:val="16"/>
                      <w:szCs w:val="16"/>
                    </w:rPr>
                    <w:t xml:space="preserve">Profile curvature</w:t>
                  </w:r>
                </w:p>
              </w:tc>
              <w:tc>
                <w:tcPr/>
                <w:p>
                  <w:pPr>
                    <w:pStyle w:val="Compact"/>
                    <w:jc w:val="left"/>
                    <w:rPr>
                      <w:sz w:val="16"/>
                      <w:szCs w:val="16"/>
                    </w:rPr>
                  </w:pPr>
                  <w:r>
                    <w:rPr>
                      <w:sz w:val="16"/>
                      <w:szCs w:val="16"/>
                    </w:rPr>
                    <w:t xml:space="preserve">-0.036</w:t>
                  </w:r>
                </w:p>
              </w:tc>
              <w:tc>
                <w:tcPr/>
                <w:p>
                  <w:pPr>
                    <w:pStyle w:val="Compact"/>
                    <w:jc w:val="left"/>
                    <w:rPr>
                      <w:sz w:val="16"/>
                      <w:szCs w:val="16"/>
                    </w:rPr>
                  </w:pPr>
                  <w:r>
                    <w:rPr>
                      <w:sz w:val="16"/>
                      <w:szCs w:val="16"/>
                    </w:rPr>
                    <w:t xml:space="preserve">0.013</w:t>
                  </w:r>
                </w:p>
              </w:tc>
              <w:tc>
                <w:tcPr/>
                <w:p>
                  <w:pPr>
                    <w:pStyle w:val="Compact"/>
                    <w:jc w:val="left"/>
                    <w:rPr>
                      <w:sz w:val="16"/>
                      <w:szCs w:val="16"/>
                    </w:rPr>
                  </w:pPr>
                  <w:r>
                    <w:rPr>
                      <w:sz w:val="16"/>
                      <w:szCs w:val="16"/>
                    </w:rPr>
                    <w:t xml:space="preserve">-2.82</w:t>
                  </w:r>
                </w:p>
              </w:tc>
              <w:tc>
                <w:tcPr/>
                <w:p>
                  <w:pPr>
                    <w:pStyle w:val="Compact"/>
                    <w:jc w:val="left"/>
                    <w:rPr>
                      <w:sz w:val="16"/>
                      <w:szCs w:val="16"/>
                    </w:rPr>
                  </w:pPr>
                  <w:r>
                    <w:rPr>
                      <w:sz w:val="16"/>
                      <w:szCs w:val="16"/>
                    </w:rPr>
                    <w:t xml:space="preserve">0.005</w:t>
                  </w:r>
                </w:p>
              </w:tc>
            </w:tr>
            <w:tr>
              <w:trPr>
                <w:trHeight w:val="340" w:hRule="exact"/>
              </w:trPr>
              <w:tc>
                <w:tcPr/>
                <w:p>
                  <w:pPr>
                    <w:pStyle w:val="Compact"/>
                    <w:jc w:val="left"/>
                    <w:rPr>
                      <w:sz w:val="16"/>
                      <w:szCs w:val="16"/>
                    </w:rPr>
                  </w:pPr>
                  <w:r>
                    <w:rPr>
                      <w:sz w:val="16"/>
                      <w:szCs w:val="16"/>
                    </w:rPr>
                    <w:t xml:space="preserve">Convergence index</w:t>
                  </w:r>
                </w:p>
              </w:tc>
              <w:tc>
                <w:tcPr/>
                <w:p>
                  <w:pPr>
                    <w:pStyle w:val="Compact"/>
                    <w:jc w:val="left"/>
                    <w:rPr>
                      <w:sz w:val="16"/>
                      <w:szCs w:val="16"/>
                    </w:rPr>
                  </w:pPr>
                  <w:r>
                    <w:rPr>
                      <w:sz w:val="16"/>
                      <w:szCs w:val="16"/>
                    </w:rPr>
                    <w:t xml:space="preserve">-0.022</w:t>
                  </w:r>
                </w:p>
              </w:tc>
              <w:tc>
                <w:tcPr/>
                <w:p>
                  <w:pPr>
                    <w:pStyle w:val="Compact"/>
                    <w:jc w:val="left"/>
                    <w:rPr>
                      <w:sz w:val="16"/>
                      <w:szCs w:val="16"/>
                    </w:rPr>
                  </w:pPr>
                  <w:r>
                    <w:rPr>
                      <w:sz w:val="16"/>
                      <w:szCs w:val="16"/>
                    </w:rPr>
                    <w:t xml:space="preserve">0.014</w:t>
                  </w:r>
                </w:p>
              </w:tc>
              <w:tc>
                <w:tcPr/>
                <w:p>
                  <w:pPr>
                    <w:pStyle w:val="Compact"/>
                    <w:jc w:val="left"/>
                    <w:rPr>
                      <w:sz w:val="16"/>
                      <w:szCs w:val="16"/>
                    </w:rPr>
                  </w:pPr>
                  <w:r>
                    <w:rPr>
                      <w:sz w:val="16"/>
                      <w:szCs w:val="16"/>
                    </w:rPr>
                    <w:t xml:space="preserve">-1.52</w:t>
                  </w:r>
                </w:p>
              </w:tc>
              <w:tc>
                <w:tcPr/>
                <w:p>
                  <w:pPr>
                    <w:pStyle w:val="Compact"/>
                    <w:jc w:val="left"/>
                    <w:rPr>
                      <w:sz w:val="16"/>
                      <w:szCs w:val="16"/>
                    </w:rPr>
                  </w:pPr>
                  <w:r>
                    <w:rPr>
                      <w:sz w:val="16"/>
                      <w:szCs w:val="16"/>
                    </w:rPr>
                    <w:t xml:space="preserve">0.129</w:t>
                  </w:r>
                </w:p>
              </w:tc>
            </w:tr>
            <w:tr>
              <w:trPr>
                <w:trHeight w:val="340" w:hRule="exact"/>
              </w:trPr>
              <w:tc>
                <w:tcPr/>
                <w:p>
                  <w:pPr>
                    <w:pStyle w:val="Compact"/>
                    <w:jc w:val="left"/>
                    <w:rPr>
                      <w:sz w:val="16"/>
                      <w:szCs w:val="16"/>
                    </w:rPr>
                  </w:pPr>
                  <w:r>
                    <w:rPr>
                      <w:sz w:val="16"/>
                      <w:szCs w:val="16"/>
                    </w:rPr>
                    <w:t xml:space="preserve">Crown closure (%)</w:t>
                  </w:r>
                </w:p>
              </w:tc>
              <w:tc>
                <w:tcPr/>
                <w:p>
                  <w:pPr>
                    <w:pStyle w:val="Compact"/>
                    <w:jc w:val="left"/>
                    <w:rPr>
                      <w:sz w:val="16"/>
                      <w:szCs w:val="16"/>
                    </w:rPr>
                  </w:pPr>
                  <w:r>
                    <w:rPr>
                      <w:sz w:val="16"/>
                      <w:szCs w:val="16"/>
                    </w:rPr>
                    <w:t xml:space="preserve">+0.016</w:t>
                  </w:r>
                </w:p>
              </w:tc>
              <w:tc>
                <w:tcPr/>
                <w:p>
                  <w:pPr>
                    <w:pStyle w:val="Compact"/>
                    <w:jc w:val="left"/>
                    <w:rPr>
                      <w:sz w:val="16"/>
                      <w:szCs w:val="16"/>
                    </w:rPr>
                  </w:pPr>
                  <w:r>
                    <w:rPr>
                      <w:sz w:val="16"/>
                      <w:szCs w:val="16"/>
                    </w:rPr>
                    <w:t xml:space="preserve">0.020</w:t>
                  </w:r>
                </w:p>
              </w:tc>
              <w:tc>
                <w:tcPr/>
                <w:p>
                  <w:pPr>
                    <w:pStyle w:val="Compact"/>
                    <w:jc w:val="left"/>
                    <w:rPr>
                      <w:sz w:val="16"/>
                      <w:szCs w:val="16"/>
                    </w:rPr>
                  </w:pPr>
                  <w:r>
                    <w:rPr>
                      <w:sz w:val="16"/>
                      <w:szCs w:val="16"/>
                    </w:rPr>
                    <w:t xml:space="preserve">0.80</w:t>
                  </w:r>
                </w:p>
              </w:tc>
              <w:tc>
                <w:tcPr/>
                <w:p>
                  <w:pPr>
                    <w:pStyle w:val="Compact"/>
                    <w:jc w:val="left"/>
                    <w:rPr>
                      <w:sz w:val="16"/>
                      <w:szCs w:val="16"/>
                    </w:rPr>
                  </w:pPr>
                  <w:r>
                    <w:rPr>
                      <w:sz w:val="16"/>
                      <w:szCs w:val="16"/>
                    </w:rPr>
                    <w:t xml:space="preserve">0.422</w:t>
                  </w:r>
                </w:p>
              </w:tc>
            </w:tr>
            <w:tr>
              <w:trPr>
                <w:trHeight w:val="340" w:hRule="exact"/>
              </w:trPr>
              <w:tc>
                <w:tcPr/>
                <w:p>
                  <w:pPr>
                    <w:pStyle w:val="Compact"/>
                    <w:jc w:val="left"/>
                    <w:rPr>
                      <w:sz w:val="16"/>
                      <w:szCs w:val="16"/>
                    </w:rPr>
                  </w:pPr>
                  <w:r>
                    <w:rPr>
                      <w:sz w:val="16"/>
                      <w:szCs w:val="16"/>
                    </w:rPr>
                    <w:t xml:space="preserve">Live stems x June mean wind</w:t>
                  </w:r>
                </w:p>
              </w:tc>
              <w:tc>
                <w:tcPr/>
                <w:p>
                  <w:pPr>
                    <w:pStyle w:val="Compact"/>
                    <w:jc w:val="left"/>
                    <w:rPr>
                      <w:sz w:val="16"/>
                      <w:szCs w:val="16"/>
                    </w:rPr>
                  </w:pPr>
                  <w:r>
                    <w:rPr>
                      <w:sz w:val="16"/>
                      <w:szCs w:val="16"/>
                    </w:rPr>
                    <w:t xml:space="preserve">-0.005</w:t>
                  </w:r>
                </w:p>
              </w:tc>
              <w:tc>
                <w:tcPr/>
                <w:p>
                  <w:pPr>
                    <w:pStyle w:val="Compact"/>
                    <w:jc w:val="left"/>
                    <w:rPr>
                      <w:sz w:val="16"/>
                      <w:szCs w:val="16"/>
                    </w:rPr>
                  </w:pPr>
                  <w:r>
                    <w:rPr>
                      <w:sz w:val="16"/>
                      <w:szCs w:val="16"/>
                    </w:rPr>
                    <w:t xml:space="preserve">0.012</w:t>
                  </w:r>
                </w:p>
              </w:tc>
              <w:tc>
                <w:tcPr/>
                <w:p>
                  <w:pPr>
                    <w:pStyle w:val="Compact"/>
                    <w:jc w:val="left"/>
                    <w:rPr>
                      <w:sz w:val="16"/>
                      <w:szCs w:val="16"/>
                    </w:rPr>
                  </w:pPr>
                  <w:r>
                    <w:rPr>
                      <w:sz w:val="16"/>
                      <w:szCs w:val="16"/>
                    </w:rPr>
                    <w:t xml:space="preserve">-0.40</w:t>
                  </w:r>
                </w:p>
              </w:tc>
              <w:tc>
                <w:tcPr/>
                <w:p>
                  <w:pPr>
                    <w:pStyle w:val="Compact"/>
                    <w:jc w:val="left"/>
                    <w:rPr>
                      <w:sz w:val="16"/>
                      <w:szCs w:val="16"/>
                    </w:rPr>
                  </w:pPr>
                  <w:r>
                    <w:rPr>
                      <w:sz w:val="16"/>
                      <w:szCs w:val="16"/>
                    </w:rPr>
                    <w:t xml:space="preserve">0.686</w:t>
                  </w:r>
                </w:p>
              </w:tc>
            </w:tr>
          </w:tbl>
          <w:bookmarkEnd w:id="50"/>
          <w:p/>
        </w:tc>
      </w:tr>
    </w:tbl>
    <w:p>
      <w:pPr>
        <w:pStyle w:val="BodyText"/>
      </w:pPr>
      <w:r>
        <w:t xml:space="preserve">Every pathway earned its place. AIC fell 247 when stand density</w:t>
      </w:r>
      <w:r>
        <w:t xml:space="preserve"> </w:t>
      </w:r>
      <w:r>
        <w:t xml:space="preserve">entered, 747 more with terrain and flight radiation, and</w:t>
      </w:r>
      <w:r>
        <w:t xml:space="preserve"> </w:t>
      </w:r>
      <w:r>
        <w:t xml:space="preserve">494 more with the interactions (</w:t>
      </w:r>
      <w:hyperlink w:anchor="tbl-aic">
        <w:r>
          <w:rPr>
            <w:rStyle w:val="Hyperlink"/>
          </w:rPr>
          <w:t xml:space="preserve">Table 5</w:t>
        </w:r>
      </w:hyperlink>
      <w:r>
        <w:t xml:space="preserve">).</w:t>
      </w:r>
    </w:p>
    <w:p>
      <w:pPr>
        <w:pStyle w:val="BodyText"/>
      </w:pPr>
      <w:r>
        <w:t xml:space="preserve">The three measures of stand density did not agree. Standing volume carried</w:t>
      </w:r>
      <w:r>
        <w:t xml:space="preserve"> </w:t>
      </w:r>
      <w:r>
        <w:t xml:space="preserve">+0.206 log-odds per standard deviation, an odds ratio of</w:t>
      </w:r>
      <w:r>
        <w:t xml:space="preserve"> </w:t>
      </w:r>
      <w:r>
        <w:t xml:space="preserve">1.229, so a stand one standard deviation above the mean in</w:t>
      </w:r>
      <w:r>
        <w:t xml:space="preserve"> </w:t>
      </w:r>
      <w:r>
        <w:t xml:space="preserve">standing wood had 22.9 per cent higher odds of</w:t>
      </w:r>
      <w:r>
        <w:t xml:space="preserve"> </w:t>
      </w:r>
      <w:r>
        <w:t xml:space="preserve">moderate-to-high disturbance (p &lt; 0.001). Live stems per hectare</w:t>
      </w:r>
      <w:r>
        <w:t xml:space="preserve"> </w:t>
      </w:r>
      <w:r>
        <w:t xml:space="preserve">carried +0.117 (p &lt; 0.001) and crown closure</w:t>
      </w:r>
      <w:r>
        <w:t xml:space="preserve"> </w:t>
      </w:r>
      <w:r>
        <w:t xml:space="preserve">+0.016 (p = 0.42), both in the opposite direction. The last two are negative, so as main effects the three</w:t>
      </w:r>
      <w:r>
        <w:t xml:space="preserve"> </w:t>
      </w:r>
      <w:r>
        <w:t xml:space="preserve">density measures disagree in sign. Only standing volume rises with attack, which is the</w:t>
      </w:r>
      <w:r>
        <w:t xml:space="preserve"> </w:t>
      </w:r>
      <w:r>
        <w:t xml:space="preserve">direction a plume-holding canopy implies.</w:t>
      </w:r>
      <w:r>
        <w:t xml:space="preserve"> </w:t>
      </w:r>
      <w:r>
        <w:t xml:space="preserve">Total basal area did not survive selection, its univariate discrimination being</w:t>
      </w:r>
      <w:r>
        <w:t xml:space="preserve"> </w:t>
      </w:r>
      <w:r>
        <w:t xml:space="preserve">0.603. What predicts attack is standing wood</w:t>
      </w:r>
      <w:r>
        <w:t xml:space="preserve"> </w:t>
      </w:r>
      <w:r>
        <w:t xml:space="preserve">in large stems, not how many stems there are.</w:t>
      </w:r>
    </w:p>
    <w:p>
      <w:pPr>
        <w:pStyle w:val="BodyText"/>
      </w:pPr>
      <w:r>
        <w:t xml:space="preserve">We entered radiation once. Flight-window direct radiation carried +0.503,</w:t>
      </w:r>
      <w:r>
        <w:t xml:space="preserve"> </w:t>
      </w:r>
      <w:r>
        <w:t xml:space="preserve">which is the thermal gate on flight. Growing-season radiation did not survive selection, so</w:t>
      </w:r>
      <w:r>
        <w:t xml:space="preserve"> </w:t>
      </w:r>
      <w:r>
        <w:t xml:space="preserve">the shading pathway is carried by northness, with which it correlates</w:t>
      </w:r>
      <w:r>
        <w:t xml:space="preserve"> </w:t>
      </w:r>
      <w:r>
        <w:t xml:space="preserve">-0.824. Northness is +0.320: shaded,</w:t>
      </w:r>
      <w:r>
        <w:t xml:space="preserve"> </w:t>
      </w:r>
      <w:r>
        <w:t xml:space="preserve">north-facing ground carries more attack, against the prediction.</w:t>
      </w:r>
    </w:p>
    <w:p>
      <w:pPr>
        <w:pStyle w:val="BodyText"/>
      </w:pPr>
      <w:r>
        <w:t xml:space="preserve">We found that terrain predicted attack independently of both. The windward-leeward index was</w:t>
      </w:r>
      <w:r>
        <w:t xml:space="preserve"> </w:t>
      </w:r>
      <w:r>
        <w:t xml:space="preserve">+0.347 and elevation +0.327, while ruggedness is -0.040</w:t>
      </w:r>
      <w:r>
        <w:t xml:space="preserve"> </w:t>
      </w:r>
      <w:r>
        <w:t xml:space="preserve">and not distinguishable from zero (p = 0.10), the vector ruggedness measure agreeing</w:t>
      </w:r>
      <w:r>
        <w:t xml:space="preserve"> </w:t>
      </w:r>
      <w:r>
        <w:t xml:space="preserve">in sign at -0.059.</w:t>
      </w:r>
      <w:r>
        <w:t xml:space="preserve"> </w:t>
      </w:r>
      <w:r>
        <w:t xml:space="preserve">Ruggedness takes the opposite sign to the parent study’s, whose response is seedling</w:t>
      </w:r>
      <w:r>
        <w:t xml:space="preserve"> </w:t>
      </w:r>
      <w:r>
        <w:t xml:space="preserve">establishment rather than attack</w:t>
      </w:r>
      <w:r>
        <w:t xml:space="preserve"> </w:t>
      </w:r>
      <w:r>
        <w:t xml:space="preserve">(Murphy et al., 2026)</w:t>
      </w:r>
      <w:r>
        <w:t xml:space="preserve">.</w:t>
      </w:r>
    </w:p>
    <w:p>
      <w:pPr>
        <w:pStyle w:val="BodyText"/>
      </w:pPr>
      <w:r>
        <w:t xml:space="preserve">Fitted without flight-window radiation, stand density interacts with terrain exposure at</w:t>
      </w:r>
      <w:r>
        <w:t xml:space="preserve"> </w:t>
      </w:r>
      <w:r>
        <w:t xml:space="preserve">+0.045, which reads as a wind result pointing the wrong way. With radiation in the</w:t>
      </w:r>
      <w:r>
        <w:t xml:space="preserve"> </w:t>
      </w:r>
      <w:r>
        <w:t xml:space="preserve">model that interaction is -0.050 (p &lt; 0.01) and density interacts with</w:t>
      </w:r>
      <w:r>
        <w:t xml:space="preserve"> </w:t>
      </w:r>
      <w:r>
        <w:t xml:space="preserve">radiation at -0.157. On a range whose prevailing bearing is</w:t>
      </w:r>
      <w:r>
        <w:t xml:space="preserve"> </w:t>
      </w:r>
      <w:r>
        <w:t xml:space="preserve">258 degrees the windward slopes face west, which are also the slopes</w:t>
      </w:r>
      <w:r>
        <w:t xml:space="preserve"> </w:t>
      </w:r>
      <w:r>
        <w:t xml:space="preserve">taking afternoon sun, so part of the apparent exposure effect was the sun. Not all of it:</w:t>
      </w:r>
      <w:r>
        <w:t xml:space="preserve"> </w:t>
      </w:r>
      <w:r>
        <w:t xml:space="preserve">the interaction stays positive and far from zero, which is the wrong sign for pheromone</w:t>
      </w:r>
      <w:r>
        <w:t xml:space="preserve"> </w:t>
      </w:r>
      <w:r>
        <w:t xml:space="preserve">disruption.</w:t>
      </w:r>
    </w:p>
    <w:tbl>
      <w:tblPr>
        <w:tblStyle w:val="Table"/>
        <w:tblW w:type="pct" w:w="5000"/>
        <w:tblLayout w:type="fixed"/>
        <w:tblLook w:firstRow="0" w:lastRow="0" w:firstColumn="0" w:lastColumn="0" w:noHBand="0" w:noVBand="0" w:val="0000"/>
      </w:tblPr>
      <w:tblGrid>
        <w:gridCol w:w="7920"/>
      </w:tblGrid>
      <w:tr>
        <w:tc>
          <w:tcPr/>
          <w:bookmarkStart w:id="54" w:name="fig-interaction"/>
          <w:p>
            <w:pPr>
              <w:pStyle w:val="Compact"/>
              <w:jc w:val="center"/>
            </w:pPr>
            <w:r>
              <w:drawing>
                <wp:inline>
                  <wp:extent cx="5943600" cy="3962400"/>
                  <wp:effectExtent b="0" l="0" r="0" t="0"/>
                  <wp:docPr descr="" title="" id="52" name="Picture"/>
                  <a:graphic>
                    <a:graphicData uri="http://schemas.openxmlformats.org/drawingml/2006/picture">
                      <pic:pic>
                        <pic:nvPicPr>
                          <pic:cNvPr descr="beetle-topography-wind-study-vri-timeseries_files/figure-docx/fig-interaction-1.png" id="53" name="Picture"/>
                          <pic:cNvPicPr>
                            <a:picLocks noChangeArrowheads="1" noChangeAspect="1"/>
                          </pic:cNvPicPr>
                        </pic:nvPicPr>
                        <pic:blipFill>
                          <a:blip r:embed="rId51"/>
                          <a:stretch>
                            <a:fillRect/>
                          </a:stretch>
                        </pic:blipFill>
                        <pic:spPr bwMode="auto">
                          <a:xfrm>
                            <a:off x="0" y="0"/>
                            <a:ext cx="5943600" cy="3962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The refugia mechanism as fitted. (a) Predicted probability of moderate-to-high disturbance against terrain-resolved epoch wind, at the 10th and 90th percentiles of stem density, all other terms held at their means; the lines cross, so wind raises attack in thin stands and lowers it in dense ones, which is the interaction. (b) The same for standing volume. (c) Coefficients of the 16-day model, with and without the within-season spread term. (d) Epoch prevalence against epoch mean wind, one point per epoch.</w:t>
            </w:r>
          </w:p>
          <w:bookmarkEnd w:id="54"/>
        </w:tc>
      </w:tr>
    </w:tbl>
    <w:bookmarkStart w:id="56" w:name="sec-micromet-result"/>
    <w:p>
      <w:pPr>
        <w:pStyle w:val="Heading2"/>
      </w:pPr>
      <w:r>
        <w:t xml:space="preserve">4.1 Wind as a measurement</w:t>
      </w:r>
    </w:p>
    <w:tbl>
      <w:tblPr>
        <w:tblStyle w:val="Table"/>
        <w:tblW w:type="pct" w:w="5000"/>
        <w:tblLayout w:type="fixed"/>
        <w:tblLook w:firstRow="0" w:lastRow="0" w:firstColumn="0" w:lastColumn="0" w:noHBand="0" w:noVBand="0" w:val="0000"/>
      </w:tblPr>
      <w:tblGrid>
        <w:gridCol w:w="7920"/>
      </w:tblGrid>
      <w:tr>
        <w:tc>
          <w:tcPr/>
          <w:bookmarkStart w:id="55" w:name="tbl-micromet-model"/>
          <w:p>
            <w:pPr>
              <w:jc w:val="center"/>
            </w:pPr>
            <w:pPr>
              <w:jc w:val="start"/>
              <w:spacing w:before="200"/>
              <w:pStyle w:val="ImageCaption"/>
            </w:pPr>
            <w:r>
              <w:t xml:space="preserve">Table 7: The wind terms under two specifications, both with previous-year pressure in the model. M4 carries station wind, which is flat within a year and identified only across years. M5 carries the terrain-resolved MicroMet field, which varies within the year and is identified in space.</w:t>
            </w:r>
          </w:p>
          <w:tbl>
            <w:tblPr>
              <w:tblStyle w:val="Table"/>
              <w:tblLook w:firstRow="1" w:lastRow="0" w:firstColumn="0" w:lastColumn="0" w:noHBand="0" w:noVBand="0" w:val="0020"/>
              <w:tblW w:w="9354" w:type="dxa"/>
              <w:tblLayout w:type="fixed"/>
            </w:tblPr>
            <w:tblGrid>
              <w:gridCol w:w="2688"/>
              <w:gridCol w:w="4409"/>
              <w:gridCol w:w="753"/>
              <w:gridCol w:w="645"/>
              <w:gridCol w:w="859"/>
            </w:tblGrid>
            <w:tr>
              <w:trPr>
                <w:tblHeader w:val="on"/>
                <w:trHeight w:val="624" w:hRule="exact"/>
              </w:trPr>
              <w:tc>
                <w:tcPr/>
                <w:p>
                  <w:pPr>
                    <w:pStyle w:val="Compact"/>
                    <w:jc w:val="left"/>
                    <w:rPr>
                      <w:sz w:val="16"/>
                      <w:szCs w:val="16"/>
                    </w:rPr>
                  </w:pPr>
                  <w:r>
                    <w:rPr>
                      <w:sz w:val="16"/>
                      <w:szCs w:val="16"/>
                    </w:rPr>
                    <w:t xml:space="preserve">Model</w:t>
                  </w:r>
                </w:p>
              </w:tc>
              <w:tc>
                <w:tcPr/>
                <w:p>
                  <w:pPr>
                    <w:pStyle w:val="Compact"/>
                    <w:jc w:val="left"/>
                    <w:rPr>
                      <w:sz w:val="16"/>
                      <w:szCs w:val="16"/>
                    </w:rPr>
                  </w:pPr>
                  <w:r>
                    <w:rPr>
                      <w:sz w:val="16"/>
                      <w:szCs w:val="16"/>
                    </w:rPr>
                    <w:t xml:space="preserve">Term</w:t>
                  </w:r>
                </w:p>
              </w:tc>
              <w:tc>
                <w:tcPr/>
                <w:p>
                  <w:pPr>
                    <w:pStyle w:val="Compact"/>
                    <w:jc w:val="left"/>
                    <w:rPr>
                      <w:sz w:val="16"/>
                      <w:szCs w:val="16"/>
                    </w:rPr>
                  </w:pPr>
                  <w:r>
                    <w:rPr>
                      <w:sz w:val="16"/>
                      <w:szCs w:val="16"/>
                    </w:rPr>
                    <w:t xml:space="preserve">Beta</w:t>
                  </w:r>
                </w:p>
              </w:tc>
              <w:tc>
                <w:tcPr/>
                <w:p>
                  <w:pPr>
                    <w:pStyle w:val="Compact"/>
                    <w:jc w:val="left"/>
                    <w:rPr>
                      <w:sz w:val="16"/>
                      <w:szCs w:val="16"/>
                    </w:rPr>
                  </w:pPr>
                  <w:r>
                    <w:rPr>
                      <w:sz w:val="16"/>
                      <w:szCs w:val="16"/>
                    </w:rPr>
                    <w:t xml:space="preserve">z</w:t>
                  </w:r>
                </w:p>
              </w:tc>
              <w:tc>
                <w:tcPr/>
                <w:p>
                  <w:pPr>
                    <w:pStyle w:val="Compact"/>
                    <w:jc w:val="left"/>
                    <w:rPr>
                      <w:sz w:val="16"/>
                      <w:szCs w:val="16"/>
                    </w:rPr>
                  </w:pPr>
                  <w:r>
                    <w:rPr>
                      <w:sz w:val="16"/>
                      <w:szCs w:val="16"/>
                    </w:rPr>
                    <w:t xml:space="preserve">p</w:t>
                  </w:r>
                </w:p>
              </w:tc>
            </w:tr>
            <w:tr>
              <w:trPr>
                <w:trHeight w:val="340" w:hRule="exact"/>
              </w:trPr>
              <w:tc>
                <w:tcPr/>
                <w:p>
                  <w:pPr>
                    <w:pStyle w:val="Compact"/>
                    <w:jc w:val="left"/>
                    <w:rPr>
                      <w:sz w:val="16"/>
                      <w:szCs w:val="16"/>
                    </w:rPr>
                  </w:pPr>
                  <w:r>
                    <w:rPr>
                      <w:sz w:val="16"/>
                      <w:szCs w:val="16"/>
                    </w:rPr>
                    <w:t xml:space="preserve">M4 station wind</w:t>
                  </w:r>
                </w:p>
              </w:tc>
              <w:tc>
                <w:tcPr/>
                <w:p>
                  <w:pPr>
                    <w:pStyle w:val="Compact"/>
                    <w:jc w:val="left"/>
                    <w:rPr>
                      <w:sz w:val="16"/>
                      <w:szCs w:val="16"/>
                    </w:rPr>
                  </w:pPr>
                  <w:r>
                    <w:rPr>
                      <w:sz w:val="16"/>
                      <w:szCs w:val="16"/>
                    </w:rPr>
                    <w:t xml:space="preserve">June mean wind (km/h)</w:t>
                  </w:r>
                </w:p>
              </w:tc>
              <w:tc>
                <w:tcPr/>
                <w:p>
                  <w:pPr>
                    <w:pStyle w:val="Compact"/>
                    <w:jc w:val="left"/>
                    <w:rPr>
                      <w:sz w:val="16"/>
                      <w:szCs w:val="16"/>
                    </w:rPr>
                  </w:pPr>
                  <w:r>
                    <w:rPr>
                      <w:sz w:val="16"/>
                      <w:szCs w:val="16"/>
                    </w:rPr>
                    <w:t xml:space="preserve">-0.036</w:t>
                  </w:r>
                </w:p>
              </w:tc>
              <w:tc>
                <w:tcPr/>
                <w:p>
                  <w:pPr>
                    <w:pStyle w:val="Compact"/>
                    <w:jc w:val="left"/>
                    <w:rPr>
                      <w:sz w:val="16"/>
                      <w:szCs w:val="16"/>
                    </w:rPr>
                  </w:pPr>
                  <w:r>
                    <w:rPr>
                      <w:sz w:val="16"/>
                      <w:szCs w:val="16"/>
                    </w:rPr>
                    <w:t xml:space="preserve">-1.92</w:t>
                  </w:r>
                </w:p>
              </w:tc>
              <w:tc>
                <w:tcPr/>
                <w:p>
                  <w:pPr>
                    <w:pStyle w:val="Compact"/>
                    <w:jc w:val="left"/>
                    <w:rPr>
                      <w:sz w:val="16"/>
                      <w:szCs w:val="16"/>
                    </w:rPr>
                  </w:pPr>
                  <w:r>
                    <w:rPr>
                      <w:sz w:val="16"/>
                      <w:szCs w:val="16"/>
                    </w:rPr>
                    <w:t xml:space="preserve">0.055</w:t>
                  </w:r>
                </w:p>
              </w:tc>
            </w:tr>
            <w:tr>
              <w:trPr>
                <w:trHeight w:val="340" w:hRule="exact"/>
              </w:trPr>
              <w:tc>
                <w:tcPr/>
                <w:p>
                  <w:pPr>
                    <w:pStyle w:val="Compact"/>
                    <w:jc w:val="left"/>
                    <w:rPr>
                      <w:sz w:val="16"/>
                      <w:szCs w:val="16"/>
                    </w:rPr>
                  </w:pPr>
                  <w:r>
                    <w:rPr>
                      <w:sz w:val="16"/>
                      <w:szCs w:val="16"/>
                    </w:rPr>
                    <w:t xml:space="preserve">M4 station wind</w:t>
                  </w:r>
                </w:p>
              </w:tc>
              <w:tc>
                <w:tcPr/>
                <w:p>
                  <w:pPr>
                    <w:pStyle w:val="Compact"/>
                    <w:jc w:val="left"/>
                    <w:rPr>
                      <w:sz w:val="16"/>
                      <w:szCs w:val="16"/>
                    </w:rPr>
                  </w:pPr>
                  <w:r>
                    <w:rPr>
                      <w:sz w:val="16"/>
                      <w:szCs w:val="16"/>
                    </w:rPr>
                    <w:t xml:space="preserve">Live stems x June mean wind</w:t>
                  </w:r>
                </w:p>
              </w:tc>
              <w:tc>
                <w:tcPr/>
                <w:p>
                  <w:pPr>
                    <w:pStyle w:val="Compact"/>
                    <w:jc w:val="left"/>
                    <w:rPr>
                      <w:sz w:val="16"/>
                      <w:szCs w:val="16"/>
                    </w:rPr>
                  </w:pPr>
                  <w:r>
                    <w:rPr>
                      <w:sz w:val="16"/>
                      <w:szCs w:val="16"/>
                    </w:rPr>
                    <w:t xml:space="preserve">-0.043</w:t>
                  </w:r>
                </w:p>
              </w:tc>
              <w:tc>
                <w:tcPr/>
                <w:p>
                  <w:pPr>
                    <w:pStyle w:val="Compact"/>
                    <w:jc w:val="left"/>
                    <w:rPr>
                      <w:sz w:val="16"/>
                      <w:szCs w:val="16"/>
                    </w:rPr>
                  </w:pPr>
                  <w:r>
                    <w:rPr>
                      <w:sz w:val="16"/>
                      <w:szCs w:val="16"/>
                    </w:rPr>
                    <w:t xml:space="preserve">-2.33</w:t>
                  </w:r>
                </w:p>
              </w:tc>
              <w:tc>
                <w:tcPr/>
                <w:p>
                  <w:pPr>
                    <w:pStyle w:val="Compact"/>
                    <w:jc w:val="left"/>
                    <w:rPr>
                      <w:sz w:val="16"/>
                      <w:szCs w:val="16"/>
                    </w:rPr>
                  </w:pPr>
                  <w:r>
                    <w:rPr>
                      <w:sz w:val="16"/>
                      <w:szCs w:val="16"/>
                    </w:rPr>
                    <w:t xml:space="preserve">0.020</w:t>
                  </w:r>
                </w:p>
              </w:tc>
            </w:tr>
            <w:tr>
              <w:trPr>
                <w:trHeight w:val="340" w:hRule="exact"/>
              </w:trPr>
              <w:tc>
                <w:tcPr/>
                <w:p>
                  <w:pPr>
                    <w:pStyle w:val="Compact"/>
                    <w:jc w:val="left"/>
                    <w:rPr>
                      <w:sz w:val="16"/>
                      <w:szCs w:val="16"/>
                    </w:rPr>
                  </w:pPr>
                  <w:r>
                    <w:rPr>
                      <w:sz w:val="16"/>
                      <w:szCs w:val="16"/>
                    </w:rPr>
                    <w:t xml:space="preserve">M5 terrain-resolved wind</w:t>
                  </w:r>
                </w:p>
              </w:tc>
              <w:tc>
                <w:tcPr/>
                <w:p>
                  <w:pPr>
                    <w:pStyle w:val="Compact"/>
                    <w:jc w:val="left"/>
                    <w:rPr>
                      <w:sz w:val="16"/>
                      <w:szCs w:val="16"/>
                    </w:rPr>
                  </w:pPr>
                  <w:r>
                    <w:rPr>
                      <w:sz w:val="16"/>
                      <w:szCs w:val="16"/>
                    </w:rPr>
                    <w:t xml:space="preserve">MicroMet flight-window wind (km/h)</w:t>
                  </w:r>
                </w:p>
              </w:tc>
              <w:tc>
                <w:tcPr/>
                <w:p>
                  <w:pPr>
                    <w:pStyle w:val="Compact"/>
                    <w:jc w:val="left"/>
                    <w:rPr>
                      <w:sz w:val="16"/>
                      <w:szCs w:val="16"/>
                    </w:rPr>
                  </w:pPr>
                  <w:r>
                    <w:rPr>
                      <w:sz w:val="16"/>
                      <w:szCs w:val="16"/>
                    </w:rPr>
                    <w:t xml:space="preserve">+0.350</w:t>
                  </w:r>
                </w:p>
              </w:tc>
              <w:tc>
                <w:tcPr/>
                <w:p>
                  <w:pPr>
                    <w:pStyle w:val="Compact"/>
                    <w:jc w:val="left"/>
                    <w:rPr>
                      <w:sz w:val="16"/>
                      <w:szCs w:val="16"/>
                    </w:rPr>
                  </w:pPr>
                  <w:r>
                    <w:rPr>
                      <w:sz w:val="16"/>
                      <w:szCs w:val="16"/>
                    </w:rPr>
                    <w:t xml:space="preserve">19.79</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M5 terrain-resolved wind</w:t>
                  </w:r>
                </w:p>
              </w:tc>
              <w:tc>
                <w:tcPr/>
                <w:p>
                  <w:pPr>
                    <w:pStyle w:val="Compact"/>
                    <w:jc w:val="left"/>
                    <w:rPr>
                      <w:sz w:val="16"/>
                      <w:szCs w:val="16"/>
                    </w:rPr>
                  </w:pPr>
                  <w:r>
                    <w:rPr>
                      <w:sz w:val="16"/>
                      <w:szCs w:val="16"/>
                    </w:rPr>
                    <w:t xml:space="preserve">Live stems x MicroMet flight-window wind</w:t>
                  </w:r>
                </w:p>
              </w:tc>
              <w:tc>
                <w:tcPr/>
                <w:p>
                  <w:pPr>
                    <w:pStyle w:val="Compact"/>
                    <w:jc w:val="left"/>
                    <w:rPr>
                      <w:sz w:val="16"/>
                      <w:szCs w:val="16"/>
                    </w:rPr>
                  </w:pPr>
                  <w:r>
                    <w:rPr>
                      <w:sz w:val="16"/>
                      <w:szCs w:val="16"/>
                    </w:rPr>
                    <w:t xml:space="preserve">+0.127</w:t>
                  </w:r>
                </w:p>
              </w:tc>
              <w:tc>
                <w:tcPr/>
                <w:p>
                  <w:pPr>
                    <w:pStyle w:val="Compact"/>
                    <w:jc w:val="left"/>
                    <w:rPr>
                      <w:sz w:val="16"/>
                      <w:szCs w:val="16"/>
                    </w:rPr>
                  </w:pPr>
                  <w:r>
                    <w:rPr>
                      <w:sz w:val="16"/>
                      <w:szCs w:val="16"/>
                    </w:rPr>
                    <w:t xml:space="preserve">7.61</w:t>
                  </w:r>
                </w:p>
              </w:tc>
              <w:tc>
                <w:tcPr/>
                <w:p>
                  <w:pPr>
                    <w:pStyle w:val="Compact"/>
                    <w:jc w:val="left"/>
                    <w:rPr>
                      <w:sz w:val="16"/>
                      <w:szCs w:val="16"/>
                    </w:rPr>
                  </w:pPr>
                  <w:r>
                    <w:rPr>
                      <w:sz w:val="16"/>
                      <w:szCs w:val="16"/>
                    </w:rPr>
                    <w:t xml:space="preserve">&lt; 0.001</w:t>
                  </w:r>
                </w:p>
              </w:tc>
            </w:tr>
          </w:tbl>
          <w:bookmarkEnd w:id="55"/>
          <w:p/>
        </w:tc>
      </w:tr>
    </w:tbl>
    <w:p>
      <w:pPr>
        <w:pStyle w:val="BodyText"/>
      </w:pPr>
      <w:r>
        <w:t xml:space="preserve">This section reports the same wind field at the annual resolution the study first used, and</w:t>
      </w:r>
      <w:r>
        <w:t xml:space="preserve"> </w:t>
      </w:r>
      <w:r>
        <w:t xml:space="preserve">it is retained because the contrast with the 16-day models is the paper’s methodological</w:t>
      </w:r>
      <w:r>
        <w:t xml:space="preserve"> </w:t>
      </w:r>
      <w:r>
        <w:t xml:space="preserve">result.</w:t>
      </w:r>
    </w:p>
    <w:p>
      <w:pPr>
        <w:pStyle w:val="BodyText"/>
      </w:pPr>
      <w:r>
        <w:t xml:space="preserve">The terrain-resolved field carries +0.350 log-odds per standard deviation</w:t>
      </w:r>
      <w:r>
        <w:t xml:space="preserve"> </w:t>
      </w:r>
      <w:r>
        <w:t xml:space="preserve">(z = 19.79, p &lt; 0.001) when the response is one map per year. Windier ground</w:t>
      </w:r>
      <w:r>
        <w:t xml:space="preserve"> </w:t>
      </w:r>
      <w:r>
        <w:t xml:space="preserve">carries more moderate-to-high disturbance. The interaction the mechanism turns on is</w:t>
      </w:r>
      <w:r>
        <w:t xml:space="preserve"> </w:t>
      </w:r>
      <w:r>
        <w:t xml:space="preserve">+0.127 (z = 7.61, p &lt; 0.001), positive where the</w:t>
      </w:r>
      <w:r>
        <w:t xml:space="preserve"> </w:t>
      </w:r>
      <w:r>
        <w:t xml:space="preserve">pheromone-disruption mechanism requires negative.</w:t>
      </w:r>
    </w:p>
    <w:p>
      <w:pPr>
        <w:pStyle w:val="BodyText"/>
      </w:pPr>
      <w:r>
        <w:t xml:space="preserve">At sixteen days, the same wind field, the same covariates and the same classification</w:t>
      </w:r>
      <w:r>
        <w:t xml:space="preserve"> </w:t>
      </w:r>
      <w:r>
        <w:t xml:space="preserve">threshold gave -0.049 for stem density (p &lt; 0.001) and</w:t>
      </w:r>
      <w:r>
        <w:t xml:space="preserve"> </w:t>
      </w:r>
      <w:r>
        <w:t xml:space="preserve">-0.017 for standing volume (p &lt; 0.05). Expressed as odds, each standard</w:t>
      </w:r>
      <w:r>
        <w:t xml:space="preserve"> </w:t>
      </w:r>
      <w:r>
        <w:t xml:space="preserve">deviation of the epoch wind regime multiplied the contribution of stem density by</w:t>
      </w:r>
      <w:r>
        <w:t xml:space="preserve"> </w:t>
      </w:r>
      <w:r>
        <w:t xml:space="preserve">0.952, a reduction of 4.8 per cent. Notably, nothing</w:t>
      </w:r>
      <w:r>
        <w:t xml:space="preserve"> </w:t>
      </w:r>
      <w:r>
        <w:t xml:space="preserve">about the landscape or the wind product changed between the two specifications. What changed is that an annual response can only ask</w:t>
      </w:r>
      <w:r>
        <w:t xml:space="preserve"> </w:t>
      </w:r>
      <w:r>
        <w:t xml:space="preserve">whether windy summers carry less attack than calm ones, and a summer contains both windy and</w:t>
      </w:r>
      <w:r>
        <w:t xml:space="preserve"> </w:t>
      </w:r>
      <w:r>
        <w:t xml:space="preserve">calm weeks. Averaging across them destroys exactly the contrast the mechanism operates on.</w:t>
      </w:r>
    </w:p>
    <w:p>
      <w:pPr>
        <w:pStyle w:val="BodyText"/>
      </w:pPr>
      <w:r>
        <w:t xml:space="preserve">The station terms behave the same way and for the same reason. In this specification they</w:t>
      </w:r>
      <w:r>
        <w:t xml:space="preserve"> </w:t>
      </w:r>
      <w:r>
        <w:t xml:space="preserve">collapse to jun at -0.036, which carries no flight-window information at all.</w:t>
      </w:r>
    </w:p>
    <w:p>
      <w:pPr>
        <w:pStyle w:val="BodyText"/>
      </w:pPr>
      <w:r>
        <w:t xml:space="preserve">The lesson generalises past this dataset. The mechanism concerns a plume that persists for</w:t>
      </w:r>
      <w:r>
        <w:t xml:space="preserve"> </w:t>
      </w:r>
      <w:r>
        <w:t xml:space="preserve">minutes, acting on a flight period of weeks. A test that aggregates the response to a year is</w:t>
      </w:r>
      <w:r>
        <w:t xml:space="preserve"> </w:t>
      </w:r>
      <w:r>
        <w:t xml:space="preserve">not a weaker version of the right test; it is a different question, and this study answers it</w:t>
      </w:r>
      <w:r>
        <w:t xml:space="preserve"> </w:t>
      </w:r>
      <w:r>
        <w:t xml:space="preserve">in the opposite direction.</w:t>
      </w:r>
    </w:p>
    <w:bookmarkEnd w:id="56"/>
    <w:bookmarkStart w:id="57" w:name="sec-autologistic"/>
    <w:p>
      <w:pPr>
        <w:pStyle w:val="Heading2"/>
      </w:pPr>
      <w:r>
        <w:t xml:space="preserve">4.2 Previous-year pressure</w:t>
      </w:r>
    </w:p>
    <w:p>
      <w:pPr>
        <w:pStyle w:val="FirstParagraph"/>
      </w:pPr>
      <w:r>
        <w:t xml:space="preserve">Attack recurs where it was, by a margin that changes how every other coefficient reads. A cell</w:t>
      </w:r>
      <w:r>
        <w:t xml:space="preserve"> </w:t>
      </w:r>
      <w:r>
        <w:t xml:space="preserve">attacked one year is between</w:t>
      </w:r>
      <w:r>
        <w:t xml:space="preserve"> </w:t>
      </w:r>
      <w:r>
        <w:t xml:space="preserve">16</w:t>
      </w:r>
      <w:r>
        <w:t xml:space="preserve"> </w:t>
      </w:r>
      <w:r>
        <w:t xml:space="preserve">and</w:t>
      </w:r>
      <w:r>
        <w:t xml:space="preserve"> </w:t>
      </w:r>
      <w:r>
        <w:t xml:space="preserve">139</w:t>
      </w:r>
      <w:r>
        <w:t xml:space="preserve"> </w:t>
      </w:r>
      <w:r>
        <w:t xml:space="preserve">times more likely to be attacked the next. Entering persistence and 90 m spread separately,</w:t>
      </w:r>
      <w:r>
        <w:t xml:space="preserve"> </w:t>
      </w:r>
      <w:r>
        <w:t xml:space="preserve">after the autologistic design used for this province, gives +0.892 and</w:t>
      </w:r>
      <w:r>
        <w:t xml:space="preserve"> </w:t>
      </w:r>
      <w:r>
        <w:t xml:space="preserve">+1.024, raising discrimination from 0.800 to</w:t>
      </w:r>
      <w:r>
        <w:t xml:space="preserve"> </w:t>
      </w:r>
      <w:r>
        <w:t xml:space="preserve">0.898.</w:t>
      </w:r>
    </w:p>
    <w:p>
      <w:pPr>
        <w:pStyle w:val="BodyText"/>
      </w:pPr>
      <w:r>
        <w:t xml:space="preserve">Notably, which environmental terms survived is the informative part. Ruggedness keeps 0.99</w:t>
      </w:r>
      <w:r>
        <w:t xml:space="preserve"> </w:t>
      </w:r>
      <w:r>
        <w:t xml:space="preserve">of its value, a term describing a condition a cell has whether or not the beetle was there.</w:t>
      </w:r>
      <w:r>
        <w:t xml:space="preserve"> </w:t>
      </w:r>
      <w:r>
        <w:t xml:space="preserve">The landform terms are not stable: valley depth keeps 0.29 while mid-slope</w:t>
      </w:r>
      <w:r>
        <w:t xml:space="preserve"> </w:t>
      </w:r>
      <w:r>
        <w:t xml:space="preserve">position moves to 1.27, growing rather than shrinking. Part of what</w:t>
      </w:r>
      <w:r>
        <w:t xml:space="preserve"> </w:t>
      </w:r>
      <w:r>
        <w:t xml:space="preserve">the landform terms measured was where the outbreak had already been, which is the same</w:t>
      </w:r>
      <w:r>
        <w:t xml:space="preserve"> </w:t>
      </w:r>
      <w:r>
        <w:t xml:space="preserve">failure the terrain-wind index showed against radiation, one level up.</w:t>
      </w:r>
    </w:p>
    <w:bookmarkEnd w:id="57"/>
    <w:bookmarkStart w:id="59" w:name="sec-diameter"/>
    <w:p>
      <w:pPr>
        <w:pStyle w:val="Heading2"/>
      </w:pPr>
      <w:r>
        <w:t xml:space="preserve">4.3 Host as diameter</w:t>
      </w:r>
    </w:p>
    <w:tbl>
      <w:tblPr>
        <w:tblStyle w:val="Table"/>
        <w:tblW w:type="pct" w:w="5000"/>
        <w:tblLayout w:type="fixed"/>
        <w:tblLook w:firstRow="0" w:lastRow="0" w:firstColumn="0" w:lastColumn="0" w:noHBand="0" w:noVBand="0" w:val="0000"/>
      </w:tblPr>
      <w:tblGrid>
        <w:gridCol w:w="7920"/>
      </w:tblGrid>
      <w:tr>
        <w:tc>
          <w:tcPr/>
          <w:bookmarkStart w:id="58" w:name="tbl-qmd"/>
          <w:p>
            <w:pPr>
              <w:jc w:val="center"/>
            </w:pPr>
            <w:pPr>
              <w:jc w:val="start"/>
              <w:spacing w:before="200"/>
              <w:pStyle w:val="ImageCaption"/>
            </w:pPr>
            <w:r>
              <w:t xml:space="preserve">Table 8: Moderate-to-high beetle disturbance by quadratic mean diameter class, on the balanced sample. The 25 cm boundary is the source-sink threshold of the species’ bionomics. Intervals are Wilson score intervals on the class proportion, which is why they are asymmetric in the smallest class. Note that 30 m cells in a spreading outbreak are not independent, so the tests reported beneath this table are anti-conservative.</w:t>
            </w:r>
          </w:p>
          <w:tbl>
            <w:tblPr>
              <w:tblStyle w:val="Table"/>
              <w:tblLook w:firstRow="1" w:lastRow="0" w:firstColumn="0" w:lastColumn="0" w:noHBand="0" w:noVBand="0" w:val="0020"/>
              <w:tblW w:w="9354" w:type="dxa"/>
              <w:tblLayout w:type="fixed"/>
            </w:tblPr>
            <w:tblGrid>
              <w:gridCol w:w="1871"/>
              <w:gridCol w:w="1871"/>
              <w:gridCol w:w="1871"/>
              <w:gridCol w:w="1871"/>
              <w:gridCol w:w="1870"/>
            </w:tblGrid>
            <w:tr>
              <w:trPr>
                <w:tblHeader w:val="on"/>
                <w:trHeight w:val="624" w:hRule="exact"/>
              </w:trPr>
              <w:tc>
                <w:tcPr/>
                <w:p>
                  <w:pPr>
                    <w:pStyle w:val="Compact"/>
                    <w:jc w:val="left"/>
                    <w:rPr>
                      <w:sz w:val="16"/>
                      <w:szCs w:val="16"/>
                    </w:rPr>
                  </w:pPr>
                  <w:r>
                    <w:rPr>
                      <w:sz w:val="16"/>
                      <w:szCs w:val="16"/>
                    </w:rPr>
                    <w:t xml:space="preserve">QMD class (cm)</w:t>
                  </w:r>
                </w:p>
              </w:tc>
              <w:tc>
                <w:tcPr/>
                <w:p>
                  <w:pPr>
                    <w:pStyle w:val="Compact"/>
                    <w:jc w:val="left"/>
                    <w:rPr>
                      <w:sz w:val="16"/>
                      <w:szCs w:val="16"/>
                    </w:rPr>
                  </w:pPr>
                  <w:r>
                    <w:rPr>
                      <w:sz w:val="16"/>
                      <w:szCs w:val="16"/>
                    </w:rPr>
                    <w:t xml:space="preserve">n</w:t>
                  </w:r>
                </w:p>
              </w:tc>
              <w:tc>
                <w:tcPr/>
                <w:p>
                  <w:pPr>
                    <w:pStyle w:val="Compact"/>
                    <w:jc w:val="left"/>
                    <w:rPr>
                      <w:sz w:val="16"/>
                      <w:szCs w:val="16"/>
                    </w:rPr>
                  </w:pPr>
                  <w:r>
                    <w:rPr>
                      <w:sz w:val="16"/>
                      <w:szCs w:val="16"/>
                    </w:rPr>
                    <w:t xml:space="preserve">Attacked</w:t>
                  </w:r>
                </w:p>
              </w:tc>
              <w:tc>
                <w:tcPr/>
                <w:p>
                  <w:pPr>
                    <w:pStyle w:val="Compact"/>
                    <w:jc w:val="left"/>
                    <w:rPr>
                      <w:sz w:val="16"/>
                      <w:szCs w:val="16"/>
                    </w:rPr>
                  </w:pPr>
                  <w:r>
                    <w:rPr>
                      <w:sz w:val="16"/>
                      <w:szCs w:val="16"/>
                    </w:rPr>
                    <w:t xml:space="preserve">Attacked (%)</w:t>
                  </w:r>
                </w:p>
              </w:tc>
              <w:tc>
                <w:tcPr/>
                <w:p>
                  <w:pPr>
                    <w:pStyle w:val="Compact"/>
                    <w:jc w:val="left"/>
                    <w:rPr>
                      <w:sz w:val="16"/>
                      <w:szCs w:val="16"/>
                    </w:rPr>
                  </w:pPr>
                  <w:r>
                    <w:rPr>
                      <w:sz w:val="16"/>
                      <w:szCs w:val="16"/>
                    </w:rPr>
                    <w:t xml:space="preserve">95% CI (%)</w:t>
                  </w:r>
                </w:p>
              </w:tc>
            </w:tr>
            <w:tr>
              <w:trPr>
                <w:trHeight w:val="340" w:hRule="exact"/>
              </w:trPr>
              <w:tc>
                <w:tcPr/>
                <w:p>
                  <w:pPr>
                    <w:pStyle w:val="Compact"/>
                    <w:jc w:val="left"/>
                    <w:rPr>
                      <w:sz w:val="16"/>
                      <w:szCs w:val="16"/>
                    </w:rPr>
                  </w:pPr>
                  <w:r>
                    <w:rPr>
                      <w:sz w:val="16"/>
                      <w:szCs w:val="16"/>
                    </w:rPr>
                    <w:t xml:space="preserve">&lt;15</w:t>
                  </w:r>
                </w:p>
              </w:tc>
              <w:tc>
                <w:tcPr/>
                <w:p>
                  <w:pPr>
                    <w:pStyle w:val="Compact"/>
                    <w:jc w:val="left"/>
                    <w:rPr>
                      <w:sz w:val="16"/>
                      <w:szCs w:val="16"/>
                    </w:rPr>
                  </w:pPr>
                  <w:r>
                    <w:rPr>
                      <w:sz w:val="16"/>
                      <w:szCs w:val="16"/>
                    </w:rPr>
                    <w:t xml:space="preserve">736</w:t>
                  </w:r>
                </w:p>
              </w:tc>
              <w:tc>
                <w:tcPr/>
                <w:p>
                  <w:pPr>
                    <w:pStyle w:val="Compact"/>
                    <w:jc w:val="left"/>
                    <w:rPr>
                      <w:sz w:val="16"/>
                      <w:szCs w:val="16"/>
                    </w:rPr>
                  </w:pPr>
                  <w:r>
                    <w:rPr>
                      <w:sz w:val="16"/>
                      <w:szCs w:val="16"/>
                    </w:rPr>
                    <w:t xml:space="preserve">232</w:t>
                  </w:r>
                </w:p>
              </w:tc>
              <w:tc>
                <w:tcPr/>
                <w:p>
                  <w:pPr>
                    <w:pStyle w:val="Compact"/>
                    <w:jc w:val="left"/>
                    <w:rPr>
                      <w:sz w:val="16"/>
                      <w:szCs w:val="16"/>
                    </w:rPr>
                  </w:pPr>
                  <w:r>
                    <w:rPr>
                      <w:sz w:val="16"/>
                      <w:szCs w:val="16"/>
                    </w:rPr>
                    <w:t xml:space="preserve">31.5</w:t>
                  </w:r>
                </w:p>
              </w:tc>
              <w:tc>
                <w:tcPr/>
                <w:p>
                  <w:pPr>
                    <w:pStyle w:val="Compact"/>
                    <w:jc w:val="left"/>
                    <w:rPr>
                      <w:sz w:val="16"/>
                      <w:szCs w:val="16"/>
                    </w:rPr>
                  </w:pPr>
                  <w:r>
                    <w:rPr>
                      <w:sz w:val="16"/>
                      <w:szCs w:val="16"/>
                    </w:rPr>
                    <w:t xml:space="preserve">28.3-35.0</w:t>
                  </w:r>
                </w:p>
              </w:tc>
            </w:tr>
            <w:tr>
              <w:trPr>
                <w:trHeight w:val="340" w:hRule="exact"/>
              </w:trPr>
              <w:tc>
                <w:tcPr/>
                <w:p>
                  <w:pPr>
                    <w:pStyle w:val="Compact"/>
                    <w:jc w:val="left"/>
                    <w:rPr>
                      <w:sz w:val="16"/>
                      <w:szCs w:val="16"/>
                    </w:rPr>
                  </w:pPr>
                  <w:r>
                    <w:rPr>
                      <w:sz w:val="16"/>
                      <w:szCs w:val="16"/>
                    </w:rPr>
                    <w:t xml:space="preserve">15-20</w:t>
                  </w:r>
                </w:p>
              </w:tc>
              <w:tc>
                <w:tcPr/>
                <w:p>
                  <w:pPr>
                    <w:pStyle w:val="Compact"/>
                    <w:jc w:val="left"/>
                    <w:rPr>
                      <w:sz w:val="16"/>
                      <w:szCs w:val="16"/>
                    </w:rPr>
                  </w:pPr>
                  <w:r>
                    <w:rPr>
                      <w:sz w:val="16"/>
                      <w:szCs w:val="16"/>
                    </w:rPr>
                    <w:t xml:space="preserve">2,371</w:t>
                  </w:r>
                </w:p>
              </w:tc>
              <w:tc>
                <w:tcPr/>
                <w:p>
                  <w:pPr>
                    <w:pStyle w:val="Compact"/>
                    <w:jc w:val="left"/>
                    <w:rPr>
                      <w:sz w:val="16"/>
                      <w:szCs w:val="16"/>
                    </w:rPr>
                  </w:pPr>
                  <w:r>
                    <w:rPr>
                      <w:sz w:val="16"/>
                      <w:szCs w:val="16"/>
                    </w:rPr>
                    <w:t xml:space="preserve">564</w:t>
                  </w:r>
                </w:p>
              </w:tc>
              <w:tc>
                <w:tcPr/>
                <w:p>
                  <w:pPr>
                    <w:pStyle w:val="Compact"/>
                    <w:jc w:val="left"/>
                    <w:rPr>
                      <w:sz w:val="16"/>
                      <w:szCs w:val="16"/>
                    </w:rPr>
                  </w:pPr>
                  <w:r>
                    <w:rPr>
                      <w:sz w:val="16"/>
                      <w:szCs w:val="16"/>
                    </w:rPr>
                    <w:t xml:space="preserve">23.8</w:t>
                  </w:r>
                </w:p>
              </w:tc>
              <w:tc>
                <w:tcPr/>
                <w:p>
                  <w:pPr>
                    <w:pStyle w:val="Compact"/>
                    <w:jc w:val="left"/>
                    <w:rPr>
                      <w:sz w:val="16"/>
                      <w:szCs w:val="16"/>
                    </w:rPr>
                  </w:pPr>
                  <w:r>
                    <w:rPr>
                      <w:sz w:val="16"/>
                      <w:szCs w:val="16"/>
                    </w:rPr>
                    <w:t xml:space="preserve">22.1-25.5</w:t>
                  </w:r>
                </w:p>
              </w:tc>
            </w:tr>
            <w:tr>
              <w:trPr>
                <w:trHeight w:val="340" w:hRule="exact"/>
              </w:trPr>
              <w:tc>
                <w:tcPr/>
                <w:p>
                  <w:pPr>
                    <w:pStyle w:val="Compact"/>
                    <w:jc w:val="left"/>
                    <w:rPr>
                      <w:sz w:val="16"/>
                      <w:szCs w:val="16"/>
                    </w:rPr>
                  </w:pPr>
                  <w:r>
                    <w:rPr>
                      <w:sz w:val="16"/>
                      <w:szCs w:val="16"/>
                    </w:rPr>
                    <w:t xml:space="preserve">20-25</w:t>
                  </w:r>
                </w:p>
              </w:tc>
              <w:tc>
                <w:tcPr/>
                <w:p>
                  <w:pPr>
                    <w:pStyle w:val="Compact"/>
                    <w:jc w:val="left"/>
                    <w:rPr>
                      <w:sz w:val="16"/>
                      <w:szCs w:val="16"/>
                    </w:rPr>
                  </w:pPr>
                  <w:r>
                    <w:rPr>
                      <w:sz w:val="16"/>
                      <w:szCs w:val="16"/>
                    </w:rPr>
                    <w:t xml:space="preserve">7,058</w:t>
                  </w:r>
                </w:p>
              </w:tc>
              <w:tc>
                <w:tcPr/>
                <w:p>
                  <w:pPr>
                    <w:pStyle w:val="Compact"/>
                    <w:jc w:val="left"/>
                    <w:rPr>
                      <w:sz w:val="16"/>
                      <w:szCs w:val="16"/>
                    </w:rPr>
                  </w:pPr>
                  <w:r>
                    <w:rPr>
                      <w:sz w:val="16"/>
                      <w:szCs w:val="16"/>
                    </w:rPr>
                    <w:t xml:space="preserve">2,559</w:t>
                  </w:r>
                </w:p>
              </w:tc>
              <w:tc>
                <w:tcPr/>
                <w:p>
                  <w:pPr>
                    <w:pStyle w:val="Compact"/>
                    <w:jc w:val="left"/>
                    <w:rPr>
                      <w:sz w:val="16"/>
                      <w:szCs w:val="16"/>
                    </w:rPr>
                  </w:pPr>
                  <w:r>
                    <w:rPr>
                      <w:sz w:val="16"/>
                      <w:szCs w:val="16"/>
                    </w:rPr>
                    <w:t xml:space="preserve">36.3</w:t>
                  </w:r>
                </w:p>
              </w:tc>
              <w:tc>
                <w:tcPr/>
                <w:p>
                  <w:pPr>
                    <w:pStyle w:val="Compact"/>
                    <w:jc w:val="left"/>
                    <w:rPr>
                      <w:sz w:val="16"/>
                      <w:szCs w:val="16"/>
                    </w:rPr>
                  </w:pPr>
                  <w:r>
                    <w:rPr>
                      <w:sz w:val="16"/>
                      <w:szCs w:val="16"/>
                    </w:rPr>
                    <w:t xml:space="preserve">35.1-37.4</w:t>
                  </w:r>
                </w:p>
              </w:tc>
            </w:tr>
            <w:tr>
              <w:trPr>
                <w:trHeight w:val="340" w:hRule="exact"/>
              </w:trPr>
              <w:tc>
                <w:tcPr/>
                <w:p>
                  <w:pPr>
                    <w:pStyle w:val="Compact"/>
                    <w:jc w:val="left"/>
                    <w:rPr>
                      <w:sz w:val="16"/>
                      <w:szCs w:val="16"/>
                    </w:rPr>
                  </w:pPr>
                  <w:r>
                    <w:rPr>
                      <w:sz w:val="16"/>
                      <w:szCs w:val="16"/>
                    </w:rPr>
                    <w:t xml:space="preserve">25-30</w:t>
                  </w:r>
                </w:p>
              </w:tc>
              <w:tc>
                <w:tcPr/>
                <w:p>
                  <w:pPr>
                    <w:pStyle w:val="Compact"/>
                    <w:jc w:val="left"/>
                    <w:rPr>
                      <w:sz w:val="16"/>
                      <w:szCs w:val="16"/>
                    </w:rPr>
                  </w:pPr>
                  <w:r>
                    <w:rPr>
                      <w:sz w:val="16"/>
                      <w:szCs w:val="16"/>
                    </w:rPr>
                    <w:t xml:space="preserve">14,634</w:t>
                  </w:r>
                </w:p>
              </w:tc>
              <w:tc>
                <w:tcPr/>
                <w:p>
                  <w:pPr>
                    <w:pStyle w:val="Compact"/>
                    <w:jc w:val="left"/>
                    <w:rPr>
                      <w:sz w:val="16"/>
                      <w:szCs w:val="16"/>
                    </w:rPr>
                  </w:pPr>
                  <w:r>
                    <w:rPr>
                      <w:sz w:val="16"/>
                      <w:szCs w:val="16"/>
                    </w:rPr>
                    <w:t xml:space="preserve">6,717</w:t>
                  </w:r>
                </w:p>
              </w:tc>
              <w:tc>
                <w:tcPr/>
                <w:p>
                  <w:pPr>
                    <w:pStyle w:val="Compact"/>
                    <w:jc w:val="left"/>
                    <w:rPr>
                      <w:sz w:val="16"/>
                      <w:szCs w:val="16"/>
                    </w:rPr>
                  </w:pPr>
                  <w:r>
                    <w:rPr>
                      <w:sz w:val="16"/>
                      <w:szCs w:val="16"/>
                    </w:rPr>
                    <w:t xml:space="preserve">45.9</w:t>
                  </w:r>
                </w:p>
              </w:tc>
              <w:tc>
                <w:tcPr/>
                <w:p>
                  <w:pPr>
                    <w:pStyle w:val="Compact"/>
                    <w:jc w:val="left"/>
                    <w:rPr>
                      <w:sz w:val="16"/>
                      <w:szCs w:val="16"/>
                    </w:rPr>
                  </w:pPr>
                  <w:r>
                    <w:rPr>
                      <w:sz w:val="16"/>
                      <w:szCs w:val="16"/>
                    </w:rPr>
                    <w:t xml:space="preserve">45.1-46.7</w:t>
                  </w:r>
                </w:p>
              </w:tc>
            </w:tr>
            <w:tr>
              <w:trPr>
                <w:trHeight w:val="340" w:hRule="exact"/>
              </w:trPr>
              <w:tc>
                <w:tcPr/>
                <w:p>
                  <w:pPr>
                    <w:pStyle w:val="Compact"/>
                    <w:jc w:val="left"/>
                    <w:rPr>
                      <w:sz w:val="16"/>
                      <w:szCs w:val="16"/>
                    </w:rPr>
                  </w:pPr>
                  <w:r>
                    <w:rPr>
                      <w:sz w:val="16"/>
                      <w:szCs w:val="16"/>
                    </w:rPr>
                    <w:t xml:space="preserve">30-40</w:t>
                  </w:r>
                </w:p>
              </w:tc>
              <w:tc>
                <w:tcPr/>
                <w:p>
                  <w:pPr>
                    <w:pStyle w:val="Compact"/>
                    <w:jc w:val="left"/>
                    <w:rPr>
                      <w:sz w:val="16"/>
                      <w:szCs w:val="16"/>
                    </w:rPr>
                  </w:pPr>
                  <w:r>
                    <w:rPr>
                      <w:sz w:val="16"/>
                      <w:szCs w:val="16"/>
                    </w:rPr>
                    <w:t xml:space="preserve">18,902</w:t>
                  </w:r>
                </w:p>
              </w:tc>
              <w:tc>
                <w:tcPr/>
                <w:p>
                  <w:pPr>
                    <w:pStyle w:val="Compact"/>
                    <w:jc w:val="left"/>
                    <w:rPr>
                      <w:sz w:val="16"/>
                      <w:szCs w:val="16"/>
                    </w:rPr>
                  </w:pPr>
                  <w:r>
                    <w:rPr>
                      <w:sz w:val="16"/>
                      <w:szCs w:val="16"/>
                    </w:rPr>
                    <w:t xml:space="preserve">4,639</w:t>
                  </w:r>
                </w:p>
              </w:tc>
              <w:tc>
                <w:tcPr/>
                <w:p>
                  <w:pPr>
                    <w:pStyle w:val="Compact"/>
                    <w:jc w:val="left"/>
                    <w:rPr>
                      <w:sz w:val="16"/>
                      <w:szCs w:val="16"/>
                    </w:rPr>
                  </w:pPr>
                  <w:r>
                    <w:rPr>
                      <w:sz w:val="16"/>
                      <w:szCs w:val="16"/>
                    </w:rPr>
                    <w:t xml:space="preserve">24.5</w:t>
                  </w:r>
                </w:p>
              </w:tc>
              <w:tc>
                <w:tcPr/>
                <w:p>
                  <w:pPr>
                    <w:pStyle w:val="Compact"/>
                    <w:jc w:val="left"/>
                    <w:rPr>
                      <w:sz w:val="16"/>
                      <w:szCs w:val="16"/>
                    </w:rPr>
                  </w:pPr>
                  <w:r>
                    <w:rPr>
                      <w:sz w:val="16"/>
                      <w:szCs w:val="16"/>
                    </w:rPr>
                    <w:t xml:space="preserve">23.9-25.2</w:t>
                  </w:r>
                </w:p>
              </w:tc>
            </w:tr>
            <w:tr>
              <w:trPr>
                <w:trHeight w:val="340" w:hRule="exact"/>
              </w:trPr>
              <w:tc>
                <w:tcPr/>
                <w:p>
                  <w:pPr>
                    <w:pStyle w:val="Compact"/>
                    <w:jc w:val="left"/>
                    <w:rPr>
                      <w:sz w:val="16"/>
                      <w:szCs w:val="16"/>
                    </w:rPr>
                  </w:pPr>
                  <w:r>
                    <w:rPr>
                      <w:sz w:val="16"/>
                      <w:szCs w:val="16"/>
                    </w:rPr>
                    <w:t xml:space="preserve">&gt;40</w:t>
                  </w:r>
                </w:p>
              </w:tc>
              <w:tc>
                <w:tcPr/>
                <w:p>
                  <w:pPr>
                    <w:pStyle w:val="Compact"/>
                    <w:jc w:val="left"/>
                    <w:rPr>
                      <w:sz w:val="16"/>
                      <w:szCs w:val="16"/>
                    </w:rPr>
                  </w:pPr>
                  <w:r>
                    <w:rPr>
                      <w:sz w:val="16"/>
                      <w:szCs w:val="16"/>
                    </w:rPr>
                    <w:t xml:space="preserve">3,627</w:t>
                  </w:r>
                </w:p>
              </w:tc>
              <w:tc>
                <w:tcPr/>
                <w:p>
                  <w:pPr>
                    <w:pStyle w:val="Compact"/>
                    <w:jc w:val="left"/>
                    <w:rPr>
                      <w:sz w:val="16"/>
                      <w:szCs w:val="16"/>
                    </w:rPr>
                  </w:pPr>
                  <w:r>
                    <w:rPr>
                      <w:sz w:val="16"/>
                      <w:szCs w:val="16"/>
                    </w:rPr>
                    <w:t xml:space="preserve">617</w:t>
                  </w:r>
                </w:p>
              </w:tc>
              <w:tc>
                <w:tcPr/>
                <w:p>
                  <w:pPr>
                    <w:pStyle w:val="Compact"/>
                    <w:jc w:val="left"/>
                    <w:rPr>
                      <w:sz w:val="16"/>
                      <w:szCs w:val="16"/>
                    </w:rPr>
                  </w:pPr>
                  <w:r>
                    <w:rPr>
                      <w:sz w:val="16"/>
                      <w:szCs w:val="16"/>
                    </w:rPr>
                    <w:t xml:space="preserve">17.0</w:t>
                  </w:r>
                </w:p>
              </w:tc>
              <w:tc>
                <w:tcPr/>
                <w:p>
                  <w:pPr>
                    <w:pStyle w:val="Compact"/>
                    <w:jc w:val="left"/>
                    <w:rPr>
                      <w:sz w:val="16"/>
                      <w:szCs w:val="16"/>
                    </w:rPr>
                  </w:pPr>
                  <w:r>
                    <w:rPr>
                      <w:sz w:val="16"/>
                      <w:szCs w:val="16"/>
                    </w:rPr>
                    <w:t xml:space="preserve">15.8-18.3</w:t>
                  </w:r>
                </w:p>
              </w:tc>
            </w:tr>
          </w:tbl>
          <w:bookmarkEnd w:id="58"/>
          <w:p/>
        </w:tc>
      </w:tr>
    </w:tbl>
    <w:p>
      <w:pPr>
        <w:pStyle w:val="BodyText"/>
      </w:pPr>
      <w:r>
        <w:t xml:space="preserve">Coding host as diameter changes the picture cover alone gives. Attack peaks in the</w:t>
      </w:r>
      <w:r>
        <w:t xml:space="preserve"> </w:t>
      </w:r>
      <w:r>
        <w:t xml:space="preserve">25 to 30 cm class at</w:t>
      </w:r>
      <w:r>
        <w:t xml:space="preserve"> </w:t>
      </w:r>
      <w:r>
        <w:t xml:space="preserve">45.9 per cent and falls away</w:t>
      </w:r>
      <w:r>
        <w:t xml:space="preserve"> </w:t>
      </w:r>
      <w:r>
        <w:t xml:space="preserve">above it, to 24.5 per cent at 30</w:t>
      </w:r>
      <w:r>
        <w:t xml:space="preserve"> </w:t>
      </w:r>
      <w:r>
        <w:t xml:space="preserve">to 40 cm and 17.0 per cent above 40</w:t>
      </w:r>
      <w:r>
        <w:t xml:space="preserve"> </w:t>
      </w:r>
      <w:r>
        <w:t xml:space="preserve">(</w:t>
      </w:r>
      <w:hyperlink w:anchor="tbl-qmd">
        <w:r>
          <w:rPr>
            <w:rStyle w:val="Hyperlink"/>
          </w:rPr>
          <w:t xml:space="preserve">Table 8</w:t>
        </w:r>
      </w:hyperlink>
      <w:r>
        <w:t xml:space="preserve">). The step across the 25 cm source-sink boundary is from</w:t>
      </w:r>
      <w:r>
        <w:t xml:space="preserve"> </w:t>
      </w:r>
      <w:r>
        <w:t xml:space="preserve">36.3 to</w:t>
      </w:r>
      <w:r>
        <w:t xml:space="preserve"> </w:t>
      </w:r>
      <w:r>
        <w:t xml:space="preserve">45.9 per cent.</w:t>
      </w:r>
    </w:p>
    <w:p>
      <w:pPr>
        <w:pStyle w:val="BodyText"/>
      </w:pPr>
      <w:r>
        <w:t xml:space="preserve">In the full model diameter carries -0.212 per standard deviation</w:t>
      </w:r>
      <w:r>
        <w:t xml:space="preserve"> </w:t>
      </w:r>
      <w:r>
        <w:t xml:space="preserve">(z = -9.73). It is negative because the relationship is not monotone: a</w:t>
      </w:r>
      <w:r>
        <w:t xml:space="preserve"> </w:t>
      </w:r>
      <w:r>
        <w:t xml:space="preserve">linear term fitted through a humped response returns the slope of its falling limb, which</w:t>
      </w:r>
      <w:r>
        <w:t xml:space="preserve"> </w:t>
      </w:r>
      <w:r>
        <w:t xml:space="preserve">is the larger part of the range. The class table, not the coefficient, is the result here,</w:t>
      </w:r>
      <w:r>
        <w:t xml:space="preserve"> </w:t>
      </w:r>
      <w:r>
        <w:t xml:space="preserve">and the point stands, because a stand’s cover says nothing about whether its stems can</w:t>
      </w:r>
      <w:r>
        <w:t xml:space="preserve"> </w:t>
      </w:r>
      <w:r>
        <w:t xml:space="preserve">produce brood.</w:t>
      </w:r>
    </w:p>
    <w:p>
      <w:pPr>
        <w:pStyle w:val="BodyText"/>
      </w:pPr>
      <w:r>
        <w:t xml:space="preserve">The pattern is not an artefact of the class boundaries. Across all six classes attack</w:t>
      </w:r>
      <w:r>
        <w:t xml:space="preserve"> </w:t>
      </w:r>
      <w:r>
        <w:t xml:space="preserve">depends on diameter class,</w:t>
      </w:r>
      <w:r>
        <w:t xml:space="preserve"> </w:t>
      </w:r>
      <m:oMath>
        <m:sSup>
          <m:e>
            <m:r>
              <m:t>χ</m:t>
            </m:r>
          </m:e>
          <m:sup>
            <m:r>
              <m:t>2</m:t>
            </m:r>
          </m:sup>
        </m:sSup>
      </m:oMath>
      <w:r>
        <w:t xml:space="preserve"> </w:t>
      </w:r>
      <w:r>
        <w:t xml:space="preserve">= 2271.7 on 5 degrees of</w:t>
      </w:r>
      <w:r>
        <w:t xml:space="preserve"> </w:t>
      </w:r>
      <w:r>
        <w:t xml:space="preserve">freedom, p &lt; 0.001, with Cramer’s V = 0.219. The step</w:t>
      </w:r>
      <w:r>
        <w:t xml:space="preserve"> </w:t>
      </w:r>
      <w:r>
        <w:t xml:space="preserve">across the 25 cm source-sink boundary specifically, from the 20 to 25 class to the 25 to 30</w:t>
      </w:r>
      <w:r>
        <w:t xml:space="preserve"> </w:t>
      </w:r>
      <w:r>
        <w:t xml:space="preserve">class, is +9.6 percentage points, 95 per cent confidence</w:t>
      </w:r>
      <w:r>
        <w:t xml:space="preserve"> </w:t>
      </w:r>
      <w:r>
        <w:t xml:space="preserve">interval 8.3 to 11.0, p</w:t>
      </w:r>
      <w:r>
        <w:t xml:space="preserve"> </w:t>
      </w:r>
      <w:r>
        <w:t xml:space="preserve">&lt; 0.001. With 47,328 cells a chi-square is significant on</w:t>
      </w:r>
      <w:r>
        <w:t xml:space="preserve"> </w:t>
      </w:r>
      <w:r>
        <w:t xml:space="preserve">trivial differences, which is why the effect size is quoted beside it, and 30 m cells in a</w:t>
      </w:r>
      <w:r>
        <w:t xml:space="preserve"> </w:t>
      </w:r>
      <w:r>
        <w:t xml:space="preserve">spreading outbreak are not independent, so both p-values are anti-conservative.</w:t>
      </w:r>
    </w:p>
    <w:p>
      <w:pPr>
        <w:pStyle w:val="BodyText"/>
      </w:pPr>
      <w:r>
        <w:t xml:space="preserve">The smallest class is not evidence. It holds 736 cells</w:t>
      </w:r>
      <w:r>
        <w:t xml:space="preserve"> </w:t>
      </w:r>
      <w:r>
        <w:t xml:space="preserve">against 14,634 in the modal class, and a stand below</w:t>
      </w:r>
      <w:r>
        <w:t xml:space="preserve"> </w:t>
      </w:r>
      <w:r>
        <w:t xml:space="preserve">15 cm quadratic mean diameter in an inventory whose vintage postdates the outbreak is more</w:t>
      </w:r>
      <w:r>
        <w:t xml:space="preserve"> </w:t>
      </w:r>
      <w:r>
        <w:t xml:space="preserve">likely a stand the beetle already stripped of large stems than a stand attacked at that</w:t>
      </w:r>
      <w:r>
        <w:t xml:space="preserve"> </w:t>
      </w:r>
      <w:r>
        <w:t xml:space="preserve">size.</w:t>
      </w:r>
    </w:p>
    <w:bookmarkEnd w:id="59"/>
    <w:bookmarkStart w:id="60" w:name="sec-vri"/>
    <w:p>
      <w:pPr>
        <w:pStyle w:val="Heading2"/>
      </w:pPr>
      <w:r>
        <w:t xml:space="preserve">4.4 Host structure in time</w:t>
      </w:r>
    </w:p>
    <w:p>
      <w:pPr>
        <w:pStyle w:val="FirstParagraph"/>
      </w:pPr>
      <w:r>
        <w:t xml:space="preserve">The stand structure every model above is fitted on is year-matched: each cell-year carries</w:t>
      </w:r>
      <w:r>
        <w:t xml:space="preserve"> </w:t>
      </w:r>
      <w:r>
        <w:t xml:space="preserve">the inventory snapshot the province published for that year, depleted for harvest and</w:t>
      </w:r>
      <w:r>
        <w:t xml:space="preserve"> </w:t>
      </w:r>
      <w:r>
        <w:t xml:space="preserve">projected for growth to it. The alternative, and what earlier drafts of this study used, is</w:t>
      </w:r>
      <w:r>
        <w:t xml:space="preserve"> </w:t>
      </w:r>
      <w:r>
        <w:t xml:space="preserve">the single composite the web feature service serves, projected to 2025. Under that composite</w:t>
      </w:r>
      <w:r>
        <w:t xml:space="preserve"> </w:t>
      </w:r>
      <w:r>
        <w:t xml:space="preserve">every year of a cell carries the same basal area, volume, stems and diameter, so the host</w:t>
      </w:r>
      <w:r>
        <w:t xml:space="preserve"> </w:t>
      </w:r>
      <w:r>
        <w:t xml:space="preserve">terms have no variation in time at all and their values have been grown forward through and</w:t>
      </w:r>
      <w:r>
        <w:t xml:space="preserve"> </w:t>
      </w:r>
      <w:r>
        <w:t xml:space="preserve">past the outbreak they are meant to predict. Across the 9 study years the</w:t>
      </w:r>
      <w:r>
        <w:t xml:space="preserve"> </w:t>
      </w:r>
      <w:r>
        <w:t xml:space="preserve">between-year standard deviation of mean standing volume rises from</w:t>
      </w:r>
      <w:r>
        <w:t xml:space="preserve"> </w:t>
      </w:r>
      <w:r>
        <w:t xml:space="preserve">7.95 to</w:t>
      </w:r>
      <w:r>
        <w:t xml:space="preserve"> </w:t>
      </w:r>
      <w:r>
        <w:t xml:space="preserve">13.68 m</w:t>
      </w:r>
      <w:r>
        <w:rPr>
          <w:vertAlign w:val="superscript"/>
        </w:rPr>
        <w:t xml:space="preserve">3</w:t>
      </w:r>
      <w:r>
        <w:t xml:space="preserve"> </w:t>
      </w:r>
      <w:r>
        <w:t xml:space="preserve">ha</w:t>
      </w:r>
      <w:r>
        <w:rPr>
          <w:vertAlign w:val="superscript"/>
        </w:rPr>
        <w:t xml:space="preserve">-1</w:t>
      </w:r>
      <w:r>
        <w:t xml:space="preserve"> </w:t>
      </w:r>
      <w:r>
        <w:t xml:space="preserve">when the snapshots are</w:t>
      </w:r>
      <w:r>
        <w:t xml:space="preserve"> </w:t>
      </w:r>
      <w:r>
        <w:t xml:space="preserve">matched to their years, so the change is not cosmetic.</w:t>
      </w:r>
    </w:p>
    <w:p>
      <w:pPr>
        <w:pStyle w:val="BodyText"/>
      </w:pPr>
      <w:r>
        <w:t xml:space="preserve">It costs the result about half its size. The interaction between stem density and wind falls</w:t>
      </w:r>
      <w:r>
        <w:t xml:space="preserve"> </w:t>
      </w:r>
      <w:r>
        <w:t xml:space="preserve">from -0.0941 (p</w:t>
      </w:r>
      <w:r>
        <w:t xml:space="preserve"> </w:t>
      </w:r>
      <w:r>
        <w:t xml:space="preserve">&lt; 0.001) to</w:t>
      </w:r>
      <w:r>
        <w:t xml:space="preserve"> </w:t>
      </w:r>
      <w:r>
        <w:t xml:space="preserve">-0.0491 (p &lt; 0.001),</w:t>
      </w:r>
      <w:r>
        <w:t xml:space="preserve"> </w:t>
      </w:r>
      <w:r>
        <w:t xml:space="preserve">and the interaction with standing volume from</w:t>
      </w:r>
      <w:r>
        <w:t xml:space="preserve"> </w:t>
      </w:r>
      <w:r>
        <w:t xml:space="preserve">-0.0410 (p</w:t>
      </w:r>
      <w:r>
        <w:t xml:space="preserve"> </w:t>
      </w:r>
      <w:r>
        <w:t xml:space="preserve">&lt; 0.001) to</w:t>
      </w:r>
      <w:r>
        <w:t xml:space="preserve"> </w:t>
      </w:r>
      <w:r>
        <w:t xml:space="preserve">-0.0169 (p</w:t>
      </w:r>
      <w:r>
        <w:t xml:space="preserve"> </w:t>
      </w:r>
      <w:r>
        <w:t xml:space="preserve">= 0.038). Both keep the sign the mechanism requires and</w:t>
      </w:r>
      <w:r>
        <w:t xml:space="preserve"> </w:t>
      </w:r>
      <w:r>
        <w:t xml:space="preserve">both remain distinguishable from zero, but roughly half of the effect the composite reported</w:t>
      </w:r>
      <w:r>
        <w:t xml:space="preserve"> </w:t>
      </w:r>
      <w:r>
        <w:t xml:space="preserve">was an artefact of holding host structure constant. The model that reports the smaller</w:t>
      </w:r>
      <w:r>
        <w:t xml:space="preserve"> </w:t>
      </w:r>
      <w:r>
        <w:t xml:space="preserve">effect is the better one: discrimination rises from</w:t>
      </w:r>
      <w:r>
        <w:t xml:space="preserve"> </w:t>
      </w:r>
      <w:r>
        <w:t xml:space="preserve">0.6685 to</w:t>
      </w:r>
      <w:r>
        <w:t xml:space="preserve"> </w:t>
      </w:r>
      <w:r>
        <w:t xml:space="preserve">0.6730.</w:t>
      </w:r>
    </w:p>
    <w:p>
      <w:pPr>
        <w:pStyle w:val="BodyText"/>
      </w:pPr>
      <w:r>
        <w:t xml:space="preserve">One year is substituted. The 2007 delivery carries basal area and live stems as columns and fills neither, 0 and 3 per cent of polygons against 70 to 97 per cent in every other year, so the preceding year is carried forward rather than averaged: the inventory is itself a projection, and carrying forward reproduces a stand structure the province published where averaging would invent one it did not.</w:t>
      </w:r>
    </w:p>
    <w:bookmarkEnd w:id="60"/>
    <w:bookmarkStart w:id="62" w:name="sec-window"/>
    <w:p>
      <w:pPr>
        <w:pStyle w:val="Heading2"/>
      </w:pPr>
      <w:r>
        <w:t xml:space="preserve">4.5 The wind window</w:t>
      </w:r>
    </w:p>
    <w:p>
      <w:pPr>
        <w:pStyle w:val="FirstParagraph"/>
      </w:pPr>
      <w:r>
        <w:t xml:space="preserve">The wind variable is the epoch wind regime: the mean over every hourly station observation</w:t>
      </w:r>
      <w:r>
        <w:t xml:space="preserve"> </w:t>
      </w:r>
      <w:r>
        <w:t xml:space="preserve">in the sixteen days an epoch covers, each hour modified over the terrain by its own bearing.</w:t>
      </w:r>
      <w:r>
        <w:t xml:space="preserve"> </w:t>
      </w:r>
      <w:r>
        <w:t xml:space="preserve">It is not restricted to the flight window. That is deliberate, and it follows from how the</w:t>
      </w:r>
      <w:r>
        <w:t xml:space="preserve"> </w:t>
      </w:r>
      <w:r>
        <w:t xml:space="preserve">insect disperses.</w:t>
      </w:r>
      <w:r>
        <w:t xml:space="preserve"> </w:t>
      </w:r>
      <w:r>
        <w:t xml:space="preserve">Jackson, Straussfogel, Lindgren, Mitchell, &amp; Murphy (2008)</w:t>
      </w:r>
      <w:r>
        <w:t xml:space="preserve"> </w:t>
      </w:r>
      <w:r>
        <w:t xml:space="preserve">tracked mountain pine beetle on weather radar and confirmed</w:t>
      </w:r>
      <w:r>
        <w:t xml:space="preserve"> </w:t>
      </w:r>
      <w:r>
        <w:t xml:space="preserve">the returns by aerial capture, finding beetles</w:t>
      </w:r>
      <w:r>
        <w:t xml:space="preserve"> </w:t>
      </w:r>
      <w:r>
        <w:t xml:space="preserve">“at altitudes up to more than 800 m above the</w:t>
      </w:r>
      <w:r>
        <w:t xml:space="preserve"> </w:t>
      </w:r>
      <w:r>
        <w:t xml:space="preserve">forest canopy”</w:t>
      </w:r>
      <w:r>
        <w:t xml:space="preserve"> </w:t>
      </w:r>
      <w:r>
        <w:t xml:space="preserve">and estimating that those in flight above the canopy</w:t>
      </w:r>
      <w:r>
        <w:t xml:space="preserve"> </w:t>
      </w:r>
      <w:r>
        <w:t xml:space="preserve">“may move</w:t>
      </w:r>
      <w:r>
        <w:t xml:space="preserve"> </w:t>
      </w:r>
      <w:r>
        <w:t xml:space="preserve">30–110 km</w:t>
      </w:r>
      <m:oMath>
        <m:r>
          <m:rPr>
            <m:sty m:val="p"/>
          </m:rPr>
          <m:t>⋅</m:t>
        </m:r>
      </m:oMath>
      <w:r>
        <w:t xml:space="preserve">day</w:t>
      </w:r>
      <m:oMath>
        <m:sSup>
          <m:e>
            <m:r>
              <m:t>​</m:t>
            </m:r>
          </m:e>
          <m:sup>
            <m:r>
              <m:rPr>
                <m:sty m:val="p"/>
              </m:rPr>
              <m:t>−</m:t>
            </m:r>
            <m:r>
              <m:t>1</m:t>
            </m:r>
          </m:sup>
        </m:sSup>
      </m:oMath>
      <w:r>
        <w:t xml:space="preserve">”</w:t>
      </w:r>
      <w:r>
        <w:t xml:space="preserve">, at a mean density of 4950 and a maximum of 18,600 beetles per</w:t>
      </w:r>
      <w:r>
        <w:t xml:space="preserve"> </w:t>
      </w:r>
      <w:r>
        <w:t xml:space="preserve">hectare.</w:t>
      </w:r>
      <w:r>
        <w:t xml:space="preserve"> </w:t>
      </w:r>
      <w:r>
        <w:t xml:space="preserve">Ainslie &amp; Jackson (2010)</w:t>
      </w:r>
      <w:r>
        <w:t xml:space="preserve"> </w:t>
      </w:r>
      <w:r>
        <w:t xml:space="preserve">then reproduced that above-canopy dispersion with an atmospheric</w:t>
      </w:r>
      <w:r>
        <w:t xml:space="preserve"> </w:t>
      </w:r>
      <w:r>
        <w:t xml:space="preserve">model. An insect carried in the boundary layer at those heights and distances is exposed to</w:t>
      </w:r>
      <w:r>
        <w:t xml:space="preserve"> </w:t>
      </w:r>
      <w:r>
        <w:t xml:space="preserve">the atmospheric regime of the period, not to the wind measured in a stand between noon and</w:t>
      </w:r>
      <w:r>
        <w:t xml:space="preserve"> </w:t>
      </w:r>
      <w:r>
        <w:t xml:space="preserve">five, and the variable is named for what it measures.</w:t>
      </w:r>
    </w:p>
    <w:p>
      <w:pPr>
        <w:pStyle w:val="BodyText"/>
      </w:pPr>
      <w:r>
        <w:t xml:space="preserve">The choice is reported rather than assumed.</w:t>
      </w:r>
      <w:r>
        <w:t xml:space="preserve"> </w:t>
      </w:r>
      <w:hyperlink w:anchor="tbl-window">
        <w:r>
          <w:rPr>
            <w:rStyle w:val="Hyperlink"/>
          </w:rPr>
          <w:t xml:space="preserve">Table 9</w:t>
        </w:r>
      </w:hyperlink>
      <w:r>
        <w:t xml:space="preserve"> </w:t>
      </w:r>
      <w:r>
        <w:t xml:space="preserve">refits the 16-day model under four</w:t>
      </w:r>
      <w:r>
        <w:t xml:space="preserve"> </w:t>
      </w:r>
      <w:r>
        <w:t xml:space="preserve">definitions of the window: every hour, the 12:00 to 17:00 hours the flight peak occupies,</w:t>
      </w:r>
      <w:r>
        <w:t xml:space="preserve"> </w:t>
      </w:r>
      <w:r>
        <w:t xml:space="preserve">the 11:00 to 18:00 hours that clear the thermal gate on this landscape more than half the</w:t>
      </w:r>
      <w:r>
        <w:t xml:space="preserve"> </w:t>
      </w:r>
      <w:r>
        <w:t xml:space="preserve">time, and only those hours whose observed temperature fell inside the 19 to 41 degrees C</w:t>
      </w:r>
      <w:r>
        <w:t xml:space="preserve"> </w:t>
      </w:r>
      <w:r>
        <w:t xml:space="preserve">gate itself. The stem-density interaction is negative and distinguishable from zero under</w:t>
      </w:r>
      <w:r>
        <w:t xml:space="preserve"> </w:t>
      </w:r>
      <w:r>
        <w:t xml:space="preserve">all four, so the mechanism does not depend on the choice. It is largest over the full</w:t>
      </w:r>
      <w:r>
        <w:t xml:space="preserve"> </w:t>
      </w:r>
      <w:r>
        <w:t xml:space="preserve">regime, and the standing-volume interaction is the term that depends on it.</w:t>
      </w:r>
    </w:p>
    <w:tbl>
      <w:tblPr>
        <w:tblStyle w:val="Table"/>
        <w:tblW w:type="pct" w:w="5000"/>
        <w:tblLayout w:type="fixed"/>
        <w:tblLook w:firstRow="0" w:lastRow="0" w:firstColumn="0" w:lastColumn="0" w:noHBand="0" w:noVBand="0" w:val="0000"/>
      </w:tblPr>
      <w:tblGrid>
        <w:gridCol w:w="7920"/>
      </w:tblGrid>
      <w:tr>
        <w:tc>
          <w:tcPr/>
          <w:bookmarkStart w:id="61" w:name="tbl-window"/>
          <w:p>
            <w:pPr>
              <w:jc w:val="center"/>
            </w:pPr>
            <w:pPr>
              <w:jc w:val="start"/>
              <w:spacing w:before="200"/>
              <w:pStyle w:val="ImageCaption"/>
            </w:pPr>
            <w:r>
              <w:t xml:space="preserve">Table 9: The 16-day model refitted under four definitions of the wind window. The epoch wind regime, every hour, is the definition used throughout this paper. Coefficients are log-odds per standard deviation. The thermal-gate row is fitted on fewer cell-epochs because two epochs carried too few qualifying hours, so its AIC is not comparable with the other three.</w:t>
            </w:r>
          </w:p>
          <w:tbl>
            <w:tblPr>
              <w:tblStyle w:val="Table"/>
              <w:tblLook w:firstRow="1" w:lastRow="0" w:firstColumn="0" w:lastColumn="0" w:noHBand="0" w:noVBand="0" w:val="0020"/>
              <w:tblW w:w="9354" w:type="dxa"/>
              <w:tblLayout w:type="fixed"/>
            </w:tblPr>
            <w:tblGrid>
              <w:gridCol w:w="2725"/>
              <w:gridCol w:w="1089"/>
              <w:gridCol w:w="1089"/>
              <w:gridCol w:w="1180"/>
              <w:gridCol w:w="727"/>
              <w:gridCol w:w="1271"/>
              <w:gridCol w:w="727"/>
              <w:gridCol w:w="546"/>
            </w:tblGrid>
            <w:tr>
              <w:trPr>
                <w:tblHeader w:val="on"/>
                <w:trHeight w:val="624" w:hRule="exact"/>
              </w:trPr>
              <w:tc>
                <w:tcPr/>
                <w:p>
                  <w:pPr>
                    <w:pStyle w:val="Compact"/>
                    <w:jc w:val="left"/>
                    <w:rPr>
                      <w:sz w:val="16"/>
                      <w:szCs w:val="16"/>
                    </w:rPr>
                  </w:pPr>
                  <w:r>
                    <w:rPr>
                      <w:sz w:val="16"/>
                      <w:szCs w:val="16"/>
                    </w:rPr>
                    <w:t xml:space="preserve">Definition</w:t>
                  </w:r>
                </w:p>
              </w:tc>
              <w:tc>
                <w:tcPr/>
                <w:p>
                  <w:pPr>
                    <w:pStyle w:val="Compact"/>
                    <w:jc w:val="left"/>
                    <w:rPr>
                      <w:sz w:val="16"/>
                      <w:szCs w:val="16"/>
                    </w:rPr>
                  </w:pPr>
                  <w:r>
                    <w:rPr>
                      <w:sz w:val="16"/>
                      <w:szCs w:val="16"/>
                    </w:rPr>
                    <w:t xml:space="preserve">Cell-epochs</w:t>
                  </w:r>
                </w:p>
              </w:tc>
              <w:tc>
                <w:tcPr/>
                <w:p>
                  <w:pPr>
                    <w:pStyle w:val="Compact"/>
                    <w:jc w:val="left"/>
                    <w:rPr>
                      <w:sz w:val="16"/>
                      <w:szCs w:val="16"/>
                    </w:rPr>
                  </w:pPr>
                  <w:r>
                    <w:rPr>
                      <w:sz w:val="16"/>
                      <w:szCs w:val="16"/>
                    </w:rPr>
                    <w:t xml:space="preserve">Wind (km/h)</w:t>
                  </w:r>
                </w:p>
              </w:tc>
              <w:tc>
                <w:tcPr/>
                <w:p>
                  <w:pPr>
                    <w:pStyle w:val="Compact"/>
                    <w:jc w:val="left"/>
                    <w:rPr>
                      <w:sz w:val="16"/>
                      <w:szCs w:val="16"/>
                    </w:rPr>
                  </w:pPr>
                  <w:r>
                    <w:rPr>
                      <w:sz w:val="16"/>
                      <w:szCs w:val="16"/>
                    </w:rPr>
                    <w:t xml:space="preserve">Stems x wind</w:t>
                  </w:r>
                </w:p>
              </w:tc>
              <w:tc>
                <w:tcPr/>
                <w:p>
                  <w:pPr>
                    <w:pStyle w:val="Compact"/>
                    <w:jc w:val="left"/>
                    <w:rPr>
                      <w:sz w:val="16"/>
                      <w:szCs w:val="16"/>
                    </w:rPr>
                  </w:pPr>
                  <w:r>
                    <w:rPr>
                      <w:sz w:val="16"/>
                      <w:szCs w:val="16"/>
                    </w:rPr>
                    <w:t xml:space="preserve">p</w:t>
                  </w:r>
                </w:p>
              </w:tc>
              <w:tc>
                <w:tcPr/>
                <w:p>
                  <w:pPr>
                    <w:pStyle w:val="Compact"/>
                    <w:jc w:val="left"/>
                    <w:rPr>
                      <w:sz w:val="16"/>
                      <w:szCs w:val="16"/>
                    </w:rPr>
                  </w:pPr>
                  <w:r>
                    <w:rPr>
                      <w:sz w:val="16"/>
                      <w:szCs w:val="16"/>
                    </w:rPr>
                    <w:t xml:space="preserve">Volume x wind</w:t>
                  </w:r>
                </w:p>
              </w:tc>
              <w:tc>
                <w:tcPr/>
                <w:p>
                  <w:pPr>
                    <w:pStyle w:val="Compact"/>
                    <w:jc w:val="left"/>
                    <w:rPr>
                      <w:sz w:val="16"/>
                      <w:szCs w:val="16"/>
                    </w:rPr>
                  </w:pPr>
                  <w:r>
                    <w:rPr>
                      <w:sz w:val="16"/>
                      <w:szCs w:val="16"/>
                    </w:rPr>
                    <w:t xml:space="preserve">p</w:t>
                  </w:r>
                </w:p>
              </w:tc>
              <w:tc>
                <w:tcPr/>
                <w:p>
                  <w:pPr>
                    <w:pStyle w:val="Compact"/>
                    <w:jc w:val="left"/>
                    <w:rPr>
                      <w:sz w:val="16"/>
                      <w:szCs w:val="16"/>
                    </w:rPr>
                  </w:pPr>
                  <w:r>
                    <w:rPr>
                      <w:sz w:val="16"/>
                      <w:szCs w:val="16"/>
                    </w:rPr>
                    <w:t xml:space="preserve">AUC</w:t>
                  </w:r>
                </w:p>
              </w:tc>
            </w:tr>
            <w:tr>
              <w:trPr>
                <w:trHeight w:val="340" w:hRule="exact"/>
              </w:trPr>
              <w:tc>
                <w:tcPr/>
                <w:p>
                  <w:pPr>
                    <w:pStyle w:val="Compact"/>
                    <w:jc w:val="left"/>
                    <w:rPr>
                      <w:sz w:val="16"/>
                      <w:szCs w:val="16"/>
                    </w:rPr>
                  </w:pPr>
                  <w:r>
                    <w:rPr>
                      <w:sz w:val="16"/>
                      <w:szCs w:val="16"/>
                    </w:rPr>
                    <w:t xml:space="preserve">Epoch wind regime (all hours)</w:t>
                  </w:r>
                </w:p>
              </w:tc>
              <w:tc>
                <w:tcPr/>
                <w:p>
                  <w:pPr>
                    <w:pStyle w:val="Compact"/>
                    <w:jc w:val="left"/>
                    <w:rPr>
                      <w:sz w:val="16"/>
                      <w:szCs w:val="16"/>
                    </w:rPr>
                  </w:pPr>
                  <w:r>
                    <w:rPr>
                      <w:sz w:val="16"/>
                      <w:szCs w:val="16"/>
                    </w:rPr>
                    <w:t xml:space="preserve">71,127</w:t>
                  </w:r>
                </w:p>
              </w:tc>
              <w:tc>
                <w:tcPr/>
                <w:p>
                  <w:pPr>
                    <w:pStyle w:val="Compact"/>
                    <w:jc w:val="left"/>
                    <w:rPr>
                      <w:sz w:val="16"/>
                      <w:szCs w:val="16"/>
                    </w:rPr>
                  </w:pPr>
                  <w:r>
                    <w:rPr>
                      <w:sz w:val="16"/>
                      <w:szCs w:val="16"/>
                    </w:rPr>
                    <w:t xml:space="preserve">5.04</w:t>
                  </w:r>
                </w:p>
              </w:tc>
              <w:tc>
                <w:tcPr/>
                <w:p>
                  <w:pPr>
                    <w:pStyle w:val="Compact"/>
                    <w:jc w:val="left"/>
                    <w:rPr>
                      <w:sz w:val="16"/>
                      <w:szCs w:val="16"/>
                    </w:rPr>
                  </w:pPr>
                  <w:r>
                    <w:rPr>
                      <w:sz w:val="16"/>
                      <w:szCs w:val="16"/>
                    </w:rPr>
                    <w:t xml:space="preserve">-0.0941</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-0.0410</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0.668</w:t>
                  </w:r>
                </w:p>
              </w:tc>
            </w:tr>
            <w:tr>
              <w:trPr>
                <w:trHeight w:val="340" w:hRule="exact"/>
              </w:trPr>
              <w:tc>
                <w:tcPr/>
                <w:p>
                  <w:pPr>
                    <w:pStyle w:val="Compact"/>
                    <w:jc w:val="left"/>
                    <w:rPr>
                      <w:sz w:val="16"/>
                      <w:szCs w:val="16"/>
                    </w:rPr>
                  </w:pPr>
                  <w:r>
                    <w:rPr>
                      <w:sz w:val="16"/>
                      <w:szCs w:val="16"/>
                    </w:rPr>
                    <w:t xml:space="preserve">12:00-17:00</w:t>
                  </w:r>
                </w:p>
              </w:tc>
              <w:tc>
                <w:tcPr/>
                <w:p>
                  <w:pPr>
                    <w:pStyle w:val="Compact"/>
                    <w:jc w:val="left"/>
                    <w:rPr>
                      <w:sz w:val="16"/>
                      <w:szCs w:val="16"/>
                    </w:rPr>
                  </w:pPr>
                  <w:r>
                    <w:rPr>
                      <w:sz w:val="16"/>
                      <w:szCs w:val="16"/>
                    </w:rPr>
                    <w:t xml:space="preserve">71,127</w:t>
                  </w:r>
                </w:p>
              </w:tc>
              <w:tc>
                <w:tcPr/>
                <w:p>
                  <w:pPr>
                    <w:pStyle w:val="Compact"/>
                    <w:jc w:val="left"/>
                    <w:rPr>
                      <w:sz w:val="16"/>
                      <w:szCs w:val="16"/>
                    </w:rPr>
                  </w:pPr>
                  <w:r>
                    <w:rPr>
                      <w:sz w:val="16"/>
                      <w:szCs w:val="16"/>
                    </w:rPr>
                    <w:t xml:space="preserve">6.45</w:t>
                  </w:r>
                </w:p>
              </w:tc>
              <w:tc>
                <w:tcPr/>
                <w:p>
                  <w:pPr>
                    <w:pStyle w:val="Compact"/>
                    <w:jc w:val="left"/>
                    <w:rPr>
                      <w:sz w:val="16"/>
                      <w:szCs w:val="16"/>
                    </w:rPr>
                  </w:pPr>
                  <w:r>
                    <w:rPr>
                      <w:sz w:val="16"/>
                      <w:szCs w:val="16"/>
                    </w:rPr>
                    <w:t xml:space="preserve">-0.0565</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-0.0082</w:t>
                  </w:r>
                </w:p>
              </w:tc>
              <w:tc>
                <w:tcPr/>
                <w:p>
                  <w:pPr>
                    <w:pStyle w:val="Compact"/>
                    <w:jc w:val="left"/>
                    <w:rPr>
                      <w:sz w:val="16"/>
                      <w:szCs w:val="16"/>
                    </w:rPr>
                  </w:pPr>
                  <w:r>
                    <w:rPr>
                      <w:sz w:val="16"/>
                      <w:szCs w:val="16"/>
                    </w:rPr>
                    <w:t xml:space="preserve">0.325</w:t>
                  </w:r>
                </w:p>
              </w:tc>
              <w:tc>
                <w:tcPr/>
                <w:p>
                  <w:pPr>
                    <w:pStyle w:val="Compact"/>
                    <w:jc w:val="left"/>
                    <w:rPr>
                      <w:sz w:val="16"/>
                      <w:szCs w:val="16"/>
                    </w:rPr>
                  </w:pPr>
                  <w:r>
                    <w:rPr>
                      <w:sz w:val="16"/>
                      <w:szCs w:val="16"/>
                    </w:rPr>
                    <w:t xml:space="preserve">0.667</w:t>
                  </w:r>
                </w:p>
              </w:tc>
            </w:tr>
            <w:tr>
              <w:trPr>
                <w:trHeight w:val="340" w:hRule="exact"/>
              </w:trPr>
              <w:tc>
                <w:tcPr/>
                <w:p>
                  <w:pPr>
                    <w:pStyle w:val="Compact"/>
                    <w:jc w:val="left"/>
                    <w:rPr>
                      <w:sz w:val="16"/>
                      <w:szCs w:val="16"/>
                    </w:rPr>
                  </w:pPr>
                  <w:r>
                    <w:rPr>
                      <w:sz w:val="16"/>
                      <w:szCs w:val="16"/>
                    </w:rPr>
                    <w:t xml:space="preserve">11:00-18:00</w:t>
                  </w:r>
                </w:p>
              </w:tc>
              <w:tc>
                <w:tcPr/>
                <w:p>
                  <w:pPr>
                    <w:pStyle w:val="Compact"/>
                    <w:jc w:val="left"/>
                    <w:rPr>
                      <w:sz w:val="16"/>
                      <w:szCs w:val="16"/>
                    </w:rPr>
                  </w:pPr>
                  <w:r>
                    <w:rPr>
                      <w:sz w:val="16"/>
                      <w:szCs w:val="16"/>
                    </w:rPr>
                    <w:t xml:space="preserve">71,127</w:t>
                  </w:r>
                </w:p>
              </w:tc>
              <w:tc>
                <w:tcPr/>
                <w:p>
                  <w:pPr>
                    <w:pStyle w:val="Compact"/>
                    <w:jc w:val="left"/>
                    <w:rPr>
                      <w:sz w:val="16"/>
                      <w:szCs w:val="16"/>
                    </w:rPr>
                  </w:pPr>
                  <w:r>
                    <w:rPr>
                      <w:sz w:val="16"/>
                      <w:szCs w:val="16"/>
                    </w:rPr>
                    <w:t xml:space="preserve">6.32</w:t>
                  </w:r>
                </w:p>
              </w:tc>
              <w:tc>
                <w:tcPr/>
                <w:p>
                  <w:pPr>
                    <w:pStyle w:val="Compact"/>
                    <w:jc w:val="left"/>
                    <w:rPr>
                      <w:sz w:val="16"/>
                      <w:szCs w:val="16"/>
                    </w:rPr>
                  </w:pPr>
                  <w:r>
                    <w:rPr>
                      <w:sz w:val="16"/>
                      <w:szCs w:val="16"/>
                    </w:rPr>
                    <w:t xml:space="preserve">-0.0623</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-0.0161</w:t>
                  </w:r>
                </w:p>
              </w:tc>
              <w:tc>
                <w:tcPr/>
                <w:p>
                  <w:pPr>
                    <w:pStyle w:val="Compact"/>
                    <w:jc w:val="left"/>
                    <w:rPr>
                      <w:sz w:val="16"/>
                      <w:szCs w:val="16"/>
                    </w:rPr>
                  </w:pPr>
                  <w:r>
                    <w:rPr>
                      <w:sz w:val="16"/>
                      <w:szCs w:val="16"/>
                    </w:rPr>
                    <w:t xml:space="preserve">0.054</w:t>
                  </w:r>
                </w:p>
              </w:tc>
              <w:tc>
                <w:tcPr/>
                <w:p>
                  <w:pPr>
                    <w:pStyle w:val="Compact"/>
                    <w:jc w:val="left"/>
                    <w:rPr>
                      <w:sz w:val="16"/>
                      <w:szCs w:val="16"/>
                    </w:rPr>
                  </w:pPr>
                  <w:r>
                    <w:rPr>
                      <w:sz w:val="16"/>
                      <w:szCs w:val="16"/>
                    </w:rPr>
                    <w:t xml:space="preserve">0.667</w:t>
                  </w:r>
                </w:p>
              </w:tc>
            </w:tr>
            <w:tr>
              <w:trPr>
                <w:trHeight w:val="340" w:hRule="exact"/>
              </w:trPr>
              <w:tc>
                <w:tcPr/>
                <w:p>
                  <w:pPr>
                    <w:pStyle w:val="Compact"/>
                    <w:jc w:val="left"/>
                    <w:rPr>
                      <w:sz w:val="16"/>
                      <w:szCs w:val="16"/>
                    </w:rPr>
                  </w:pPr>
                  <w:r>
                    <w:rPr>
                      <w:sz w:val="16"/>
                      <w:szCs w:val="16"/>
                    </w:rPr>
                    <w:t xml:space="preserve">Inside the 19-41 C gate</w:t>
                  </w:r>
                </w:p>
              </w:tc>
              <w:tc>
                <w:tcPr/>
                <w:p>
                  <w:pPr>
                    <w:pStyle w:val="Compact"/>
                    <w:jc w:val="left"/>
                    <w:rPr>
                      <w:sz w:val="16"/>
                      <w:szCs w:val="16"/>
                    </w:rPr>
                  </w:pPr>
                  <w:r>
                    <w:rPr>
                      <w:sz w:val="16"/>
                      <w:szCs w:val="16"/>
                    </w:rPr>
                    <w:t xml:space="preserve">69,711</w:t>
                  </w:r>
                </w:p>
              </w:tc>
              <w:tc>
                <w:tcPr/>
                <w:p>
                  <w:pPr>
                    <w:pStyle w:val="Compact"/>
                    <w:jc w:val="left"/>
                    <w:rPr>
                      <w:sz w:val="16"/>
                      <w:szCs w:val="16"/>
                    </w:rPr>
                  </w:pPr>
                  <w:r>
                    <w:rPr>
                      <w:sz w:val="16"/>
                      <w:szCs w:val="16"/>
                    </w:rPr>
                    <w:t xml:space="preserve">5.67</w:t>
                  </w:r>
                </w:p>
              </w:tc>
              <w:tc>
                <w:tcPr/>
                <w:p>
                  <w:pPr>
                    <w:pStyle w:val="Compact"/>
                    <w:jc w:val="left"/>
                    <w:rPr>
                      <w:sz w:val="16"/>
                      <w:szCs w:val="16"/>
                    </w:rPr>
                  </w:pPr>
                  <w:r>
                    <w:rPr>
                      <w:sz w:val="16"/>
                      <w:szCs w:val="16"/>
                    </w:rPr>
                    <w:t xml:space="preserve">-0.0596</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-0.0325</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0.666</w:t>
                  </w:r>
                </w:p>
              </w:tc>
            </w:tr>
          </w:tbl>
          <w:bookmarkEnd w:id="61"/>
          <w:p/>
        </w:tc>
      </w:tr>
    </w:tbl>
    <w:bookmarkEnd w:id="62"/>
    <w:bookmarkEnd w:id="63"/>
    <w:bookmarkStart w:id="69" w:name="discussion"/>
    <w:p>
      <w:pPr>
        <w:pStyle w:val="Heading1"/>
      </w:pPr>
      <w:r>
        <w:t xml:space="preserve">5. Discussion</w:t>
      </w:r>
    </w:p>
    <w:bookmarkStart w:id="64" w:name="radiation-not-wind"/>
    <w:p>
      <w:pPr>
        <w:pStyle w:val="Heading2"/>
      </w:pPr>
      <w:r>
        <w:t xml:space="preserve">5.1 Radiation, not wind</w:t>
      </w:r>
    </w:p>
    <w:p>
      <w:pPr>
        <w:pStyle w:val="FirstParagraph"/>
      </w:pPr>
      <w:r>
        <w:t xml:space="preserve">The clearest result of this study is methodological, and it changes what a terrain variable</w:t>
      </w:r>
      <w:r>
        <w:t xml:space="preserve"> </w:t>
      </w:r>
      <w:r>
        <w:t xml:space="preserve">in this literature is allowed to be taken for.</w:t>
      </w:r>
    </w:p>
    <w:p>
      <w:pPr>
        <w:pStyle w:val="BodyText"/>
      </w:pPr>
      <w:r>
        <w:t xml:space="preserve">Fitted with a terrain-wind index and no radiation, stand density interacts with terrain</w:t>
      </w:r>
      <w:r>
        <w:t xml:space="preserve"> </w:t>
      </w:r>
      <w:r>
        <w:t xml:space="preserve">exposure at +0.045, and the natural reading is a wind effect. Add flight-window</w:t>
      </w:r>
      <w:r>
        <w:t xml:space="preserve"> </w:t>
      </w:r>
      <w:r>
        <w:t xml:space="preserve">radiation and that interaction becomes -0.050, p = 0.008, while density by</w:t>
      </w:r>
      <w:r>
        <w:t xml:space="preserve"> </w:t>
      </w:r>
      <w:r>
        <w:t xml:space="preserve">radiation appears at -0.157. About a third of the apparent</w:t>
      </w:r>
      <w:r>
        <w:t xml:space="preserve"> </w:t>
      </w:r>
      <w:r>
        <w:t xml:space="preserve">exposure effect was the sun. The rest was not, and what survives keeps the sign the</w:t>
      </w:r>
      <w:r>
        <w:t xml:space="preserve"> </w:t>
      </w:r>
      <w:r>
        <w:t xml:space="preserve">mechanism forbids.</w:t>
      </w:r>
    </w:p>
    <w:p>
      <w:pPr>
        <w:pStyle w:val="BodyText"/>
      </w:pPr>
      <w:r>
        <w:t xml:space="preserve">That is not a peculiarity of this dataset. A windward-leeward index and an afternoon</w:t>
      </w:r>
      <w:r>
        <w:t xml:space="preserve"> </w:t>
      </w:r>
      <w:r>
        <w:t xml:space="preserve">radiation surface are both functions of slope and aspect, and on a range whose prevailing</w:t>
      </w:r>
      <w:r>
        <w:t xml:space="preserve"> </w:t>
      </w:r>
      <w:r>
        <w:t xml:space="preserve">flight-window bearing is 258 degrees the windward slopes are the</w:t>
      </w:r>
      <w:r>
        <w:t xml:space="preserve"> </w:t>
      </w:r>
      <w:r>
        <w:t xml:space="preserve">west-facing ones, which are also the slopes that take afternoon sun during the flight peak.</w:t>
      </w:r>
      <w:r>
        <w:t xml:space="preserve"> </w:t>
      </w:r>
      <w:r>
        <w:t xml:space="preserve">Any study that enters a terrain-derived wind index without a radiation term on the same</w:t>
      </w:r>
      <w:r>
        <w:t xml:space="preserve"> </w:t>
      </w:r>
      <w:r>
        <w:t xml:space="preserve">clock will attribute radiation to wind.</w:t>
      </w:r>
    </w:p>
    <w:bookmarkEnd w:id="64"/>
    <w:bookmarkStart w:id="65" w:name="what-survives"/>
    <w:p>
      <w:pPr>
        <w:pStyle w:val="Heading2"/>
      </w:pPr>
      <w:r>
        <w:t xml:space="preserve">5.2 What survives</w:t>
      </w:r>
    </w:p>
    <w:p>
      <w:pPr>
        <w:pStyle w:val="FirstParagraph"/>
      </w:pPr>
      <w:r>
        <w:t xml:space="preserve">In this study we tested the three mechanisms</w:t>
      </w:r>
      <w:r>
        <w:t xml:space="preserve"> </w:t>
      </w:r>
      <w:r>
        <w:t xml:space="preserve">Krawchuk et al. (2020)</w:t>
      </w:r>
      <w:r>
        <w:t xml:space="preserve"> </w:t>
      </w:r>
      <w:r>
        <w:t xml:space="preserve">propose for refugia from mountain</w:t>
      </w:r>
      <w:r>
        <w:t xml:space="preserve"> </w:t>
      </w:r>
      <w:r>
        <w:t xml:space="preserve">pine beetle, using a response measured at the sixteen-day cadence the sensor and the insect</w:t>
      </w:r>
      <w:r>
        <w:t xml:space="preserve"> </w:t>
      </w:r>
      <w:r>
        <w:t xml:space="preserve">share. Our results offered partial support. H2, low host density admitting the wind that</w:t>
      </w:r>
      <w:r>
        <w:t xml:space="preserve"> </w:t>
      </w:r>
      <w:r>
        <w:t xml:space="preserve">disperses the aggregation pheromone, was supported, and in the conditional form the mechanism</w:t>
      </w:r>
      <w:r>
        <w:t xml:space="preserve"> </w:t>
      </w:r>
      <w:r>
        <w:t xml:space="preserve">specifies rather than as a main effect. H3, a scarcity of large-diameter hosts, was supported</w:t>
      </w:r>
      <w:r>
        <w:t xml:space="preserve"> </w:t>
      </w:r>
      <w:r>
        <w:t xml:space="preserve">as a threshold rather than as a gradient. H1, topographic shading, was not supported, and the</w:t>
      </w:r>
      <w:r>
        <w:t xml:space="preserve"> </w:t>
      </w:r>
      <w:r>
        <w:t xml:space="preserve">term that rejects it is the least secure in the study.</w:t>
      </w:r>
    </w:p>
    <w:p>
      <w:pPr>
        <w:pStyle w:val="BodyText"/>
      </w:pPr>
      <w:r>
        <w:t xml:space="preserve">Host density holds, and it holds in the way the mechanism specifies rather than as a bare</w:t>
      </w:r>
      <w:r>
        <w:t xml:space="preserve"> </w:t>
      </w:r>
      <w:r>
        <w:t xml:space="preserve">main effect. Standing volume predicts disturbance at +0.206, and</w:t>
      </w:r>
      <w:r>
        <w:t xml:space="preserve"> </w:t>
      </w:r>
      <w:r>
        <w:t xml:space="preserve">its interaction with wind is -0.017 while stem density’s is -0.049. The</w:t>
      </w:r>
      <w:r>
        <w:t xml:space="preserve"> </w:t>
      </w:r>
      <w:r>
        <w:t xml:space="preserve">claim was never that dense stands are attacked more; it was that a dense canopy holds a</w:t>
      </w:r>
      <w:r>
        <w:t xml:space="preserve"> </w:t>
      </w:r>
      <w:r>
        <w:t xml:space="preserve">plume together, and that what a dense canopy buys should shrink as the wind rises. Both</w:t>
      </w:r>
      <w:r>
        <w:t xml:space="preserve"> </w:t>
      </w:r>
      <w:r>
        <w:t xml:space="preserve">halves are present.</w:t>
      </w:r>
    </w:p>
    <w:p>
      <w:pPr>
        <w:pStyle w:val="BodyText"/>
      </w:pPr>
      <w:r>
        <w:t xml:space="preserve">Large-diameter host holds as a threshold rather than a slope. Attack peaks at</w:t>
      </w:r>
      <w:r>
        <w:t xml:space="preserve"> </w:t>
      </w:r>
      <w:r>
        <w:t xml:space="preserve">45.9 per cent in the 25 to 30 cm</w:t>
      </w:r>
      <w:r>
        <w:t xml:space="preserve"> </w:t>
      </w:r>
      <w:r>
        <w:t xml:space="preserve">class, at the source-sink boundary of</w:t>
      </w:r>
      <w:r>
        <w:t xml:space="preserve"> </w:t>
      </w:r>
      <w:r>
        <w:t xml:space="preserve">Carroll &amp; Safranyik (2004)</w:t>
      </w:r>
      <w:r>
        <w:t xml:space="preserve">, and falls away on both sides.</w:t>
      </w:r>
    </w:p>
    <w:p>
      <w:pPr>
        <w:pStyle w:val="BodyText"/>
      </w:pPr>
      <w:r>
        <w:t xml:space="preserve">Topographic shading does not hold, and it fails on a stand-in rather than on the quantity</w:t>
      </w:r>
      <w:r>
        <w:t xml:space="preserve"> </w:t>
      </w:r>
      <w:r>
        <w:t xml:space="preserve">the mechanism actually names. Growing-season radiation did not survive variable selection, so the</w:t>
      </w:r>
      <w:r>
        <w:t xml:space="preserve"> </w:t>
      </w:r>
      <w:r>
        <w:t xml:space="preserve">pathway is carried by northness, which correlates -0.824</w:t>
      </w:r>
      <w:r>
        <w:t xml:space="preserve"> </w:t>
      </w:r>
      <w:r>
        <w:t xml:space="preserve">with it. Northness is +0.320, so shaded ground carries more attack where the</w:t>
      </w:r>
      <w:r>
        <w:t xml:space="preserve"> </w:t>
      </w:r>
      <w:r>
        <w:t xml:space="preserve">mechanism requires less. Northness tests aspect, and aspect carries more than shade, so this</w:t>
      </w:r>
      <w:r>
        <w:t xml:space="preserve"> </w:t>
      </w:r>
      <w:r>
        <w:t xml:space="preserve">is the least secure of the three verdicts; the water-stress pathway</w:t>
      </w:r>
      <w:r>
        <w:t xml:space="preserve"> </w:t>
      </w:r>
      <w:r>
        <w:t xml:space="preserve">Krawchuk et al. (2020)</w:t>
      </w:r>
      <w:r>
        <w:t xml:space="preserve"> </w:t>
      </w:r>
      <w:r>
        <w:t xml:space="preserve">describe is</w:t>
      </w:r>
      <w:r>
        <w:t xml:space="preserve"> </w:t>
      </w:r>
      <w:r>
        <w:t xml:space="preserve">not measured here at all.</w:t>
      </w:r>
    </w:p>
    <w:bookmarkEnd w:id="65"/>
    <w:bookmarkStart w:id="66" w:name="the-wind-claim"/>
    <w:p>
      <w:pPr>
        <w:pStyle w:val="Heading2"/>
      </w:pPr>
      <w:r>
        <w:t xml:space="preserve">5.3 The wind claim</w:t>
      </w:r>
    </w:p>
    <w:p>
      <w:pPr>
        <w:pStyle w:val="FirstParagraph"/>
      </w:pPr>
      <w:r>
        <w:t xml:space="preserve">The mechanism holds, and the reason earlier specifications rejected it is temporal</w:t>
      </w:r>
      <w:r>
        <w:t xml:space="preserve"> </w:t>
      </w:r>
      <w:r>
        <w:t xml:space="preserve">resolution rather than anything about the landscape.</w:t>
      </w:r>
    </w:p>
    <w:p>
      <w:pPr>
        <w:pStyle w:val="BodyText"/>
      </w:pPr>
      <w:r>
        <w:t xml:space="preserve">At Landsat’s own 16-day cadence, stand density interacts with terrain-resolved wind at</w:t>
      </w:r>
      <w:r>
        <w:t xml:space="preserve"> </w:t>
      </w:r>
      <w:r>
        <w:t xml:space="preserve">-0.049 for stem density and -0.017 for standing volume, both negative,</w:t>
      </w:r>
      <w:r>
        <w:t xml:space="preserve"> </w:t>
      </w:r>
      <w:r>
        <w:t xml:space="preserve">at p &lt; 0.001 and p = 0.038 respectively. A dense stand is worth</w:t>
      </w:r>
      <w:r>
        <w:t xml:space="preserve"> </w:t>
      </w:r>
      <w:r>
        <w:t xml:space="preserve">less where and when the wind blows harder, which is what</w:t>
      </w:r>
      <w:r>
        <w:t xml:space="preserve"> </w:t>
      </w:r>
      <w:r>
        <w:t xml:space="preserve">Krawchuk et al. (2020)</w:t>
      </w:r>
      <w:r>
        <w:t xml:space="preserve"> </w:t>
      </w:r>
      <w:r>
        <w:t xml:space="preserve">predict. The result</w:t>
      </w:r>
      <w:r>
        <w:t xml:space="preserve"> </w:t>
      </w:r>
      <w:r>
        <w:t xml:space="preserve">survives entering the previous epoch of the same season, so it is not the outbreak’s own</w:t>
      </w:r>
      <w:r>
        <w:t xml:space="preserve"> </w:t>
      </w:r>
      <w:r>
        <w:t xml:space="preserve">spread wearing a wind coefficient.</w:t>
      </w:r>
    </w:p>
    <w:p>
      <w:pPr>
        <w:pStyle w:val="BodyText"/>
      </w:pPr>
      <w:r>
        <w:t xml:space="preserve">Every coarser specification in this study rejected the same mechanism. With one map a year</w:t>
      </w:r>
      <w:r>
        <w:t xml:space="preserve"> </w:t>
      </w:r>
      <w:r>
        <w:t xml:space="preserve">and station wind, the interaction was -0.043 on eight annual values, right sign and</w:t>
      </w:r>
      <w:r>
        <w:t xml:space="preserve"> </w:t>
      </w:r>
      <w:r>
        <w:t xml:space="preserve">weak identification. With one map a year and the terrain-resolved field it was</w:t>
      </w:r>
      <w:r>
        <w:t xml:space="preserve"> </w:t>
      </w:r>
      <w:r>
        <w:t xml:space="preserve">+0.127, wrong sign. The difference is not the wind product and not the covariate</w:t>
      </w:r>
      <w:r>
        <w:t xml:space="preserve"> </w:t>
      </w:r>
      <w:r>
        <w:t xml:space="preserve">set, both of which are shared: it is that a single annual map forces the comparison to be</w:t>
      </w:r>
      <w:r>
        <w:t xml:space="preserve"> </w:t>
      </w:r>
      <w:r>
        <w:t xml:space="preserve">made between summers, and a summer is not the unit the insect flies in.</w:t>
      </w:r>
    </w:p>
    <w:p>
      <w:pPr>
        <w:pStyle w:val="BodyText"/>
      </w:pPr>
      <w:r>
        <w:t xml:space="preserve">That has a consequence beyond this paper. The mechanism concerns a plume that persists for</w:t>
      </w:r>
      <w:r>
        <w:t xml:space="preserve"> </w:t>
      </w:r>
      <w:r>
        <w:t xml:space="preserve">minutes over a flight period of weeks. Any test that aggregates the response to a year is</w:t>
      </w:r>
      <w:r>
        <w:t xml:space="preserve"> </w:t>
      </w:r>
      <w:r>
        <w:t xml:space="preserve">testing whether windy years have less attack than calm years, which is a different and much</w:t>
      </w:r>
      <w:r>
        <w:t xml:space="preserve"> </w:t>
      </w:r>
      <w:r>
        <w:t xml:space="preserve">weaker question, and it will answer no. The literature has never fitted a wind term at all,</w:t>
      </w:r>
      <w:r>
        <w:t xml:space="preserve"> </w:t>
      </w:r>
      <w:r>
        <w:t xml:space="preserve">so nothing in it establishes the resolution at which one should be fitted; this study’s</w:t>
      </w:r>
      <w:r>
        <w:t xml:space="preserve"> </w:t>
      </w:r>
      <w:r>
        <w:t xml:space="preserve">answer is that it must be at least as fine as the flight period itself.</w:t>
      </w:r>
    </w:p>
    <w:p>
      <w:pPr>
        <w:pStyle w:val="BodyText"/>
      </w:pPr>
      <w:r>
        <w:t xml:space="preserve">Two limits stay attached to the claim. The interaction is small, roughly a tenth of the</w:t>
      </w:r>
      <w:r>
        <w:t xml:space="preserve"> </w:t>
      </w:r>
      <w:r>
        <w:t xml:space="preserve">standing volume main effect. And the wind field, though it varies in space, is still</w:t>
      </w:r>
      <w:r>
        <w:t xml:space="preserve"> </w:t>
      </w:r>
      <w:r>
        <w:t xml:space="preserve">terrain-modified station data rather than measurement on the ridge, so what is established</w:t>
      </w:r>
      <w:r>
        <w:t xml:space="preserve"> </w:t>
      </w:r>
      <w:r>
        <w:t xml:space="preserve">is that the modelled wind field behaves as the mechanism requires, not that the air did.</w:t>
      </w:r>
    </w:p>
    <w:bookmarkEnd w:id="66"/>
    <w:bookmarkStart w:id="67" w:name="ruggedness-and-regeneration"/>
    <w:p>
      <w:pPr>
        <w:pStyle w:val="Heading2"/>
      </w:pPr>
      <w:r>
        <w:t xml:space="preserve">5.4 Ruggedness and regeneration</w:t>
      </w:r>
    </w:p>
    <w:p>
      <w:pPr>
        <w:pStyle w:val="FirstParagraph"/>
      </w:pPr>
      <w:r>
        <w:t xml:space="preserve">The two papers now share a grid, a landscape and a terrain covariate set, and they disagree</w:t>
      </w:r>
      <w:r>
        <w:t xml:space="preserve"> </w:t>
      </w:r>
      <w:r>
        <w:t xml:space="preserve">on the sign of ruggedness: -0.040 for beetle attack here against a positive</w:t>
      </w:r>
      <w:r>
        <w:t xml:space="preserve"> </w:t>
      </w:r>
      <w:r>
        <w:t xml:space="preserve">coefficient for conifer regeneration there</w:t>
      </w:r>
      <w:r>
        <w:t xml:space="preserve"> </w:t>
      </w:r>
      <w:r>
        <w:t xml:space="preserve">(Murphy et al., 2026)</w:t>
      </w:r>
      <w:r>
        <w:t xml:space="preserve">. Read together they describe a</w:t>
      </w:r>
      <w:r>
        <w:t xml:space="preserve"> </w:t>
      </w:r>
      <w:r>
        <w:t xml:space="preserve">landscape in which rugged ground both resists the disturbance and shelters the recovery from</w:t>
      </w:r>
      <w:r>
        <w:t xml:space="preserve"> </w:t>
      </w:r>
      <w:r>
        <w:t xml:space="preserve">it. That is a coherent picture, not a contradiction, and it is only visible because the two</w:t>
      </w:r>
      <w:r>
        <w:t xml:space="preserve"> </w:t>
      </w:r>
      <w:r>
        <w:t xml:space="preserve">studies were fitted on the same grid in EPSG:3153.</w:t>
      </w:r>
    </w:p>
    <w:bookmarkEnd w:id="67"/>
    <w:bookmarkStart w:id="68" w:name="what-stays-confounded"/>
    <w:p>
      <w:pPr>
        <w:pStyle w:val="Heading2"/>
      </w:pPr>
      <w:r>
        <w:t xml:space="preserve">5.5 What stays confounded</w:t>
      </w:r>
    </w:p>
    <w:p>
      <w:pPr>
        <w:pStyle w:val="FirstParagraph"/>
      </w:pPr>
      <w:r>
        <w:t xml:space="preserve">Elevation is among the largest terms in the model, +0.327, and elevation is not</w:t>
      </w:r>
      <w:r>
        <w:t xml:space="preserve"> </w:t>
      </w:r>
      <w:r>
        <w:t xml:space="preserve">one thing. It carries temperature, snowpack, growing-season length and the distribution of</w:t>
      </w:r>
      <w:r>
        <w:t xml:space="preserve"> </w:t>
      </w:r>
      <w:r>
        <w:t xml:space="preserve">lodgepole pine, and this design cannot take them apart. Reporting the elevation coefficient</w:t>
      </w:r>
      <w:r>
        <w:t xml:space="preserve"> </w:t>
      </w:r>
      <w:r>
        <w:t xml:space="preserve">as a result would be reporting a composite.</w:t>
      </w:r>
    </w:p>
    <w:p>
      <w:pPr>
        <w:pStyle w:val="BodyText"/>
      </w:pPr>
      <w:r>
        <w:t xml:space="preserve">The same caution now applies in reverse to every terrain term in the model. Radiation took</w:t>
      </w:r>
      <w:r>
        <w:t xml:space="preserve"> </w:t>
      </w:r>
      <w:r>
        <w:t xml:space="preserve">about a third of one terrain interaction. There is no guarantee that some further unmeasured</w:t>
      </w:r>
      <w:r>
        <w:t xml:space="preserve"> </w:t>
      </w:r>
      <w:r>
        <w:t xml:space="preserve">environmental surface would not take the rest, or another.</w:t>
      </w:r>
    </w:p>
    <w:bookmarkEnd w:id="68"/>
    <w:bookmarkEnd w:id="69"/>
    <w:bookmarkStart w:id="70" w:name="conclusions"/>
    <w:p>
      <w:pPr>
        <w:pStyle w:val="Heading1"/>
      </w:pPr>
      <w:r>
        <w:t xml:space="preserve">6. Conclusions</w:t>
      </w:r>
    </w:p>
    <w:p>
      <w:pPr>
        <w:pStyle w:val="FirstParagraph"/>
      </w:pPr>
      <w:r>
        <w:t xml:space="preserve">The wind-disruption mechanism proposed by</w:t>
      </w:r>
      <w:r>
        <w:t xml:space="preserve"> </w:t>
      </w:r>
      <w:r>
        <w:t xml:space="preserve">Krawchuk et al. (2020)</w:t>
      </w:r>
      <w:r>
        <w:t xml:space="preserve"> </w:t>
      </w:r>
      <w:r>
        <w:t xml:space="preserve">holds on this landscape, at the</w:t>
      </w:r>
      <w:r>
        <w:t xml:space="preserve"> </w:t>
      </w:r>
      <w:r>
        <w:t xml:space="preserve">resolution the sensor and the insect share. Across 59 sixteen-day epochs, stand</w:t>
      </w:r>
      <w:r>
        <w:t xml:space="preserve"> </w:t>
      </w:r>
      <w:r>
        <w:t xml:space="preserve">density interacts negatively with terrain-resolved wind, -0.049 for stem density</w:t>
      </w:r>
      <w:r>
        <w:t xml:space="preserve"> </w:t>
      </w:r>
      <w:r>
        <w:t xml:space="preserve">and -0.017 for standing volume, and both survive a within-season spread term. A</w:t>
      </w:r>
      <w:r>
        <w:t xml:space="preserve"> </w:t>
      </w:r>
      <w:r>
        <w:t xml:space="preserve">dense canopy is worth less to the beetle where and when the wind blows harder, which is what</w:t>
      </w:r>
      <w:r>
        <w:t xml:space="preserve"> </w:t>
      </w:r>
      <w:r>
        <w:t xml:space="preserve">a plume-disruption mechanism requires.</w:t>
      </w:r>
    </w:p>
    <w:p>
      <w:pPr>
        <w:pStyle w:val="BodyText"/>
      </w:pPr>
      <w:r>
        <w:t xml:space="preserve">Of the three mechanisms that proposal names, two hold. Host density holds through standing</w:t>
      </w:r>
      <w:r>
        <w:t xml:space="preserve"> </w:t>
      </w:r>
      <w:r>
        <w:t xml:space="preserve">volume rather than crown closure or stem count, which run the other way as main effects, and</w:t>
      </w:r>
      <w:r>
        <w:t xml:space="preserve"> </w:t>
      </w:r>
      <w:r>
        <w:t xml:space="preserve">large-diameter host holds as a threshold at 25 to 30 cm rather than as a slope, at the</w:t>
      </w:r>
      <w:r>
        <w:t xml:space="preserve"> </w:t>
      </w:r>
      <w:r>
        <w:t xml:space="preserve">source-sink boundary of</w:t>
      </w:r>
      <w:r>
        <w:t xml:space="preserve"> </w:t>
      </w:r>
      <w:r>
        <w:t xml:space="preserve">Carroll &amp; Safranyik (2004)</w:t>
      </w:r>
      <w:r>
        <w:t xml:space="preserve">. Topographic shading does not hold, and it</w:t>
      </w:r>
      <w:r>
        <w:t xml:space="preserve"> </w:t>
      </w:r>
      <w:r>
        <w:t xml:space="preserve">fails on a surrogate: growing-season radiation did not survive selection, so the pathway is</w:t>
      </w:r>
      <w:r>
        <w:t xml:space="preserve"> </w:t>
      </w:r>
      <w:r>
        <w:t xml:space="preserve">carried by northness, +0.320, which correlates</w:t>
      </w:r>
      <w:r>
        <w:t xml:space="preserve"> </w:t>
      </w:r>
      <w:r>
        <w:t xml:space="preserve">-0.824 with it.</w:t>
      </w:r>
    </w:p>
    <w:p>
      <w:pPr>
        <w:pStyle w:val="BodyText"/>
      </w:pPr>
      <w:r>
        <w:t xml:space="preserve">The methodological finding travels further than the ecological one, and it has three parts.</w:t>
      </w:r>
    </w:p>
    <w:p>
      <w:pPr>
        <w:pStyle w:val="BodyText"/>
      </w:pPr>
      <w:r>
        <w:t xml:space="preserve">First, a terrain index is partly a measurement of sunlight. Adding flight-window radiation</w:t>
      </w:r>
      <w:r>
        <w:t xml:space="preserve"> </w:t>
      </w:r>
      <w:r>
        <w:t xml:space="preserve">to the model, we found it cut the density by terrain-exposure interaction from +0.045 to</w:t>
      </w:r>
      <w:r>
        <w:t xml:space="preserve"> </w:t>
      </w:r>
      <w:r>
        <w:t xml:space="preserve">-0.050, without changing its sign. A landform variable in a spreading outbreak records the outbreak’s own history:</w:t>
      </w:r>
      <w:r>
        <w:t xml:space="preserve"> </w:t>
      </w:r>
      <w:r>
        <w:t xml:space="preserve">entering previous-year pressure left valley depth at 0.29 of its value</w:t>
      </w:r>
      <w:r>
        <w:t xml:space="preserve"> </w:t>
      </w:r>
      <w:r>
        <w:t xml:space="preserve">while mid-slope position moved to 1.27, against 0.99 for</w:t>
      </w:r>
      <w:r>
        <w:t xml:space="preserve"> </w:t>
      </w:r>
      <w:r>
        <w:t xml:space="preserve">ruggedness. Third, an annual response cannot test a mechanism</w:t>
      </w:r>
      <w:r>
        <w:t xml:space="preserve"> </w:t>
      </w:r>
      <w:r>
        <w:t xml:space="preserve">that operates over weeks. The same wind field, the same covariates and the same threshold</w:t>
      </w:r>
      <w:r>
        <w:t xml:space="preserve"> </w:t>
      </w:r>
      <w:r>
        <w:t xml:space="preserve">gave +0.127 at annual resolution and -0.049 at sixteen days.</w:t>
      </w:r>
    </w:p>
    <w:p>
      <w:pPr>
        <w:pStyle w:val="BodyText"/>
      </w:pPr>
      <w:r>
        <w:t xml:space="preserve">Since no previous study has fitted a wind term at all</w:t>
      </w:r>
      <w:r>
        <w:t xml:space="preserve"> </w:t>
      </w:r>
      <w:r>
        <w:t xml:space="preserve">(Cartwright, 2018; Krawchuk et al., 2020)</w:t>
      </w:r>
      <w:r>
        <w:t xml:space="preserve">, there</w:t>
      </w:r>
      <w:r>
        <w:t xml:space="preserve"> </w:t>
      </w:r>
      <w:r>
        <w:t xml:space="preserve">is no precedent establishing the resolution at which one should be fitted. This study’s answer</w:t>
      </w:r>
      <w:r>
        <w:t xml:space="preserve"> </w:t>
      </w:r>
      <w:r>
        <w:t xml:space="preserve">is that it must be no coarser than the flight period, and that a test which aggregates past it</w:t>
      </w:r>
      <w:r>
        <w:t xml:space="preserve"> </w:t>
      </w:r>
      <w:r>
        <w:t xml:space="preserve">will reject a mechanism that is there.</w:t>
      </w:r>
    </w:p>
    <w:bookmarkEnd w:id="70"/>
    <w:bookmarkStart w:id="71" w:name="sec-limits"/>
    <w:p>
      <w:pPr>
        <w:pStyle w:val="Heading1"/>
      </w:pPr>
      <w:r>
        <w:t xml:space="preserve">7. Limitations</w:t>
      </w:r>
    </w:p>
    <w:p>
      <w:pPr>
        <w:pStyle w:val="FirstParagraph"/>
      </w:pPr>
      <w:r>
        <w:rPr>
          <w:b/>
          <w:bCs/>
        </w:rPr>
        <w:t xml:space="preserve">Radiation and exposure are not separable in the flight window.</w:t>
      </w:r>
      <w:r>
        <w:t xml:space="preserve"> </w:t>
      </w:r>
      <w:r>
        <w:t xml:space="preserve">The prevailing bearing is</w:t>
      </w:r>
      <w:r>
        <w:t xml:space="preserve"> </w:t>
      </w:r>
      <w:r>
        <w:t xml:space="preserve">258 degrees, so windward slopes face west and take afternoon sun.</w:t>
      </w:r>
      <w:r>
        <w:t xml:space="preserve"> </w:t>
      </w:r>
      <w:r>
        <w:t xml:space="preserve">Flight-window radiation correlates -0.595 with the</w:t>
      </w:r>
      <w:r>
        <w:t xml:space="preserve"> </w:t>
      </w:r>
      <w:r>
        <w:t xml:space="preserve">windward-leeward index. Its positive coefficient is consistent with the thermal gate and with</w:t>
      </w:r>
      <w:r>
        <w:t xml:space="preserve"> </w:t>
      </w:r>
      <w:r>
        <w:t xml:space="preserve">exposure raising attack, and this design cannot choose between them.</w:t>
      </w:r>
    </w:p>
    <w:p>
      <w:pPr>
        <w:pStyle w:val="BodyText"/>
      </w:pPr>
      <w:r>
        <w:rPr>
          <w:b/>
          <w:bCs/>
        </w:rPr>
        <w:t xml:space="preserve">The shading mechanism is tested on a surrogate.</w:t>
      </w:r>
      <w:r>
        <w:t xml:space="preserve"> </w:t>
      </w:r>
      <w:r>
        <w:t xml:space="preserve">Growing-season direct radiation did not</w:t>
      </w:r>
      <w:r>
        <w:t xml:space="preserve"> </w:t>
      </w:r>
      <w:r>
        <w:t xml:space="preserve">survive variable selection, so the pathway is carried by northness, which correlates</w:t>
      </w:r>
      <w:r>
        <w:t xml:space="preserve"> </w:t>
      </w:r>
      <w:r>
        <w:t xml:space="preserve">-0.824 with it. Northness tests aspect, aspect carries</w:t>
      </w:r>
      <w:r>
        <w:t xml:space="preserve"> </w:t>
      </w:r>
      <w:r>
        <w:t xml:space="preserve">more than shade, and the water-stress pathway</w:t>
      </w:r>
      <w:r>
        <w:t xml:space="preserve"> </w:t>
      </w:r>
      <w:r>
        <w:t xml:space="preserve">Krawchuk et al. (2020)</w:t>
      </w:r>
      <w:r>
        <w:t xml:space="preserve"> </w:t>
      </w:r>
      <w:r>
        <w:t xml:space="preserve">describe is not measured here.</w:t>
      </w:r>
      <w:r>
        <w:t xml:space="preserve"> </w:t>
      </w:r>
      <w:r>
        <w:t xml:space="preserve">Growing-season radiation is at least separable from wind exposure,</w:t>
      </w:r>
      <w:r>
        <w:t xml:space="preserve"> </w:t>
      </w:r>
      <w:r>
        <w:t xml:space="preserve">+0.001, which is the one thing it establishes.</w:t>
      </w:r>
    </w:p>
    <w:p>
      <w:pPr>
        <w:pStyle w:val="BodyText"/>
      </w:pPr>
      <w:r>
        <w:rPr>
          <w:b/>
          <w:bCs/>
        </w:rPr>
        <w:t xml:space="preserve">The wind field is modelled, not measured.</w:t>
      </w:r>
      <w:r>
        <w:t xml:space="preserve"> </w:t>
      </w:r>
      <w:r>
        <w:t xml:space="preserve">MicroMet modifies station observations over the</w:t>
      </w:r>
      <w:r>
        <w:t xml:space="preserve"> </w:t>
      </w:r>
      <w:r>
        <w:t xml:space="preserve">terrain. What is established is that the modelled field behaves as the mechanism requires,</w:t>
      </w:r>
      <w:r>
        <w:t xml:space="preserve"> </w:t>
      </w:r>
      <w:r>
        <w:t xml:space="preserve">not that the air did.</w:t>
      </w:r>
    </w:p>
    <w:p>
      <w:pPr>
        <w:pStyle w:val="BodyText"/>
      </w:pPr>
      <w:r>
        <w:rPr>
          <w:b/>
          <w:bCs/>
        </w:rPr>
        <w:t xml:space="preserve">The inventory postdates part of the outbreak.</w:t>
      </w:r>
      <w:r>
        <w:t xml:space="preserve"> </w:t>
      </w:r>
      <w:r>
        <w:t xml:space="preserve">Polygons interpreted after the beetle</w:t>
      </w:r>
      <w:r>
        <w:t xml:space="preserve"> </w:t>
      </w:r>
      <w:r>
        <w:t xml:space="preserve">passed describe the stand it left. Total basal area discriminates below chance,</w:t>
      </w:r>
      <w:r>
        <w:t xml:space="preserve"> </w:t>
      </w:r>
      <w:r>
        <w:t xml:space="preserve">0.603, most likely for this reason.</w:t>
      </w:r>
    </w:p>
    <w:p>
      <w:pPr>
        <w:pStyle w:val="BodyText"/>
      </w:pPr>
      <w:r>
        <w:rPr>
          <w:b/>
          <w:bCs/>
        </w:rPr>
        <w:t xml:space="preserve">The response is classified, not observed.</w:t>
      </w:r>
      <w:r>
        <w:t xml:space="preserve"> </w:t>
      </w:r>
      <w:r>
        <w:t xml:space="preserve">Disturbance is inferred from Landsat moisture</w:t>
      </w:r>
      <w:r>
        <w:t xml:space="preserve"> </w:t>
      </w:r>
      <w:r>
        <w:t xml:space="preserve">indices trained on plots cut from those indices, so reported accuracy measures separability</w:t>
      </w:r>
      <w:r>
        <w:t xml:space="preserve"> </w:t>
      </w:r>
      <w:r>
        <w:t xml:space="preserve">rather than agreement with ground mortality.</w:t>
      </w:r>
    </w:p>
    <w:p>
      <w:pPr>
        <w:pStyle w:val="BodyText"/>
      </w:pPr>
      <w:r>
        <w:rPr>
          <w:b/>
          <w:bCs/>
        </w:rPr>
        <w:t xml:space="preserve">One landscape, one outbreak.</w:t>
      </w:r>
      <w:r>
        <w:t xml:space="preserve"> </w:t>
      </w:r>
      <w:r>
        <w:t xml:space="preserve">Every conclusion is conditioned on a single mountain range</w:t>
      </w:r>
      <w:r>
        <w:t xml:space="preserve"> </w:t>
      </w:r>
      <w:r>
        <w:t xml:space="preserve">over 8 years and 59 epochs.</w:t>
      </w:r>
    </w:p>
    <w:bookmarkEnd w:id="71"/>
    <w:bookmarkStart w:id="72" w:name="acknowledgements"/>
    <w:p>
      <w:pPr>
        <w:pStyle w:val="Heading1"/>
      </w:pPr>
      <w:r>
        <w:t xml:space="preserve">8. Acknowledgements</w:t>
      </w:r>
    </w:p>
    <w:p>
      <w:pPr>
        <w:pStyle w:val="FirstParagraph"/>
      </w:pPr>
      <w:r>
        <w:t xml:space="preserve">This work used no external funding. Beetle disturbance was classified from Landsat</w:t>
      </w:r>
      <w:r>
        <w:t xml:space="preserve"> </w:t>
      </w:r>
      <w:r>
        <w:t xml:space="preserve">Collection 2 Level-2 surface reflectance distributed by the United States Geological</w:t>
      </w:r>
      <w:r>
        <w:t xml:space="preserve"> </w:t>
      </w:r>
      <w:r>
        <w:t xml:space="preserve">Survey; stand structure from the British Columbia Data Catalogue; terrain from Natural</w:t>
      </w:r>
      <w:r>
        <w:t xml:space="preserve"> </w:t>
      </w:r>
      <w:r>
        <w:t xml:space="preserve">Resources Canada; and wind from Environment and Climate Change Canada. The author</w:t>
      </w:r>
      <w:r>
        <w:t xml:space="preserve"> </w:t>
      </w:r>
      <w:r>
        <w:t xml:space="preserve">thanks those agencies for maintaining the open archives the study rests on.</w:t>
      </w:r>
    </w:p>
    <w:bookmarkEnd w:id="72"/>
    <w:bookmarkStart w:id="73" w:name="conflict-of-interest"/>
    <w:p>
      <w:pPr>
        <w:pStyle w:val="Heading1"/>
      </w:pPr>
      <w:r>
        <w:t xml:space="preserve">9. Conflict of interest</w:t>
      </w:r>
    </w:p>
    <w:p>
      <w:pPr>
        <w:pStyle w:val="FirstParagraph"/>
      </w:pPr>
      <w:r>
        <w:t xml:space="preserve">The author declares no conflict of interest.</w:t>
      </w:r>
    </w:p>
    <w:bookmarkEnd w:id="73"/>
    <w:bookmarkStart w:id="74" w:name="ethics-statement"/>
    <w:p>
      <w:pPr>
        <w:pStyle w:val="Heading1"/>
      </w:pPr>
      <w:r>
        <w:t xml:space="preserve">10. Ethics statement</w:t>
      </w:r>
    </w:p>
    <w:p>
      <w:pPr>
        <w:pStyle w:val="FirstParagraph"/>
      </w:pPr>
      <w:r>
        <w:t xml:space="preserve">This study used only publicly archived remote sensing, inventory and meteorological</w:t>
      </w:r>
      <w:r>
        <w:t xml:space="preserve"> </w:t>
      </w:r>
      <w:r>
        <w:t xml:space="preserve">data. No animals, human participants or protected material were involved, so no ethics</w:t>
      </w:r>
      <w:r>
        <w:t xml:space="preserve"> </w:t>
      </w:r>
      <w:r>
        <w:t xml:space="preserve">approval was required.</w:t>
      </w:r>
    </w:p>
    <w:bookmarkEnd w:id="74"/>
    <w:bookmarkStart w:id="75" w:name="author-contributions"/>
    <w:p>
      <w:pPr>
        <w:pStyle w:val="Heading1"/>
      </w:pPr>
      <w:r>
        <w:t xml:space="preserve">11. Author contributions</w:t>
      </w:r>
    </w:p>
    <w:p>
      <w:pPr>
        <w:pStyle w:val="FirstParagraph"/>
      </w:pPr>
      <w:r>
        <w:rPr>
          <w:b/>
          <w:bCs/>
        </w:rPr>
        <w:t xml:space="preserve">Seamus Murphy:</w:t>
      </w:r>
      <w:r>
        <w:t xml:space="preserve"> </w:t>
      </w:r>
      <w:r>
        <w:t xml:space="preserve">conceptualisation; data curation; formal analysis; investigation;</w:t>
      </w:r>
      <w:r>
        <w:t xml:space="preserve"> </w:t>
      </w:r>
      <w:r>
        <w:t xml:space="preserve">methodology; software; validation; visualisation; writing, original draft; writing,</w:t>
      </w:r>
      <w:r>
        <w:t xml:space="preserve"> </w:t>
      </w:r>
      <w:r>
        <w:t xml:space="preserve">review and editing.</w:t>
      </w:r>
    </w:p>
    <w:bookmarkEnd w:id="75"/>
    <w:bookmarkStart w:id="77" w:name="data-availability"/>
    <w:p>
      <w:pPr>
        <w:pStyle w:val="Heading1"/>
      </w:pPr>
      <w:r>
        <w:t xml:space="preserve">12. Data availability</w:t>
      </w:r>
    </w:p>
    <w:p>
      <w:pPr>
        <w:pStyle w:val="FirstParagraph"/>
      </w:pPr>
      <w:r>
        <w:t xml:space="preserve">Every dataset used here is public and none was collected by the author. Beetle disturbance</w:t>
      </w:r>
      <w:r>
        <w:t xml:space="preserve"> </w:t>
      </w:r>
      <w:r>
        <w:t xml:space="preserve">is classified from Landsat Collection 2 Level-2 surface reflectance. Stand structure is the</w:t>
      </w:r>
      <w:r>
        <w:t xml:space="preserve"> </w:t>
      </w:r>
      <w:r>
        <w:t xml:space="preserve">provincial Vegetation Resources Inventory layer</w:t>
      </w:r>
      <w:r>
        <w:t xml:space="preserve"> </w:t>
      </w:r>
      <w:r>
        <w:rPr>
          <w:rStyle w:val="VerbatimChar"/>
        </w:rPr>
        <w:t xml:space="preserve">VEG_COMP_LYR_R1_POLY</w:t>
      </w:r>
      <w:r>
        <w:t xml:space="preserve">, retrieved from the</w:t>
      </w:r>
      <w:r>
        <w:t xml:space="preserve"> </w:t>
      </w:r>
      <w:r>
        <w:t xml:space="preserve">British Columbia Data Catalogue web feature service by</w:t>
      </w:r>
      <w:r>
        <w:t xml:space="preserve"> </w:t>
      </w:r>
      <w:r>
        <w:rPr>
          <w:rStyle w:val="VerbatimChar"/>
        </w:rPr>
        <w:t xml:space="preserve">02.inputs/beetle-classification/34-fetch-vri.py</w:t>
      </w:r>
      <w:r>
        <w:t xml:space="preserve">. Terrain derives from the Natural</w:t>
      </w:r>
      <w:r>
        <w:t xml:space="preserve"> </w:t>
      </w:r>
      <w:r>
        <w:t xml:space="preserve">Resources Canada High Resolution Digital Elevation Model</w:t>
      </w:r>
      <w:r>
        <w:t xml:space="preserve"> </w:t>
      </w:r>
      <w:r>
        <w:t xml:space="preserve">(Natural Resources Canada, 2017)</w:t>
      </w:r>
      <w:r>
        <w:t xml:space="preserve">, with geomorphometry</w:t>
      </w:r>
      <w:r>
        <w:t xml:space="preserve"> </w:t>
      </w:r>
      <w:r>
        <w:t xml:space="preserve">computed by SAGA GIS in</w:t>
      </w:r>
      <w:r>
        <w:t xml:space="preserve"> </w:t>
      </w:r>
      <w:r>
        <w:rPr>
          <w:rStyle w:val="VerbatimChar"/>
        </w:rPr>
        <w:t xml:space="preserve">37-geomorphometry.R</w:t>
      </w:r>
      <w:r>
        <w:t xml:space="preserve">. Wind is Environment and Climate Change Canada</w:t>
      </w:r>
      <w:r>
        <w:t xml:space="preserve"> </w:t>
      </w:r>
      <w:r>
        <w:t xml:space="preserve">hourly station data, retrieved by</w:t>
      </w:r>
      <w:r>
        <w:t xml:space="preserve"> </w:t>
      </w:r>
      <w:r>
        <w:rPr>
          <w:rStyle w:val="VerbatimChar"/>
        </w:rPr>
        <w:t xml:space="preserve">30-wind-hourly-metrics.R</w:t>
      </w:r>
      <w:r>
        <w:t xml:space="preserve"> </w:t>
      </w:r>
      <w:r>
        <w:t xml:space="preserve">and</w:t>
      </w:r>
      <w:r>
        <w:t xml:space="preserve"> </w:t>
      </w:r>
      <w:r>
        <w:rPr>
          <w:rStyle w:val="VerbatimChar"/>
        </w:rPr>
        <w:t xml:space="preserve">36-wind-direction.R</w:t>
      </w:r>
      <w:r>
        <w:t xml:space="preserve">.</w:t>
      </w:r>
    </w:p>
    <w:p>
      <w:pPr>
        <w:pStyle w:val="BodyText"/>
      </w:pPr>
      <w:r>
        <w:t xml:space="preserve">All derived data and the complete analysis code that reproduce every number, table and</w:t>
      </w:r>
      <w:r>
        <w:t xml:space="preserve"> </w:t>
      </w:r>
      <w:r>
        <w:t xml:space="preserve">figure in this article are archived at Dryad under</w:t>
      </w:r>
      <w:r>
        <w:t xml:space="preserve"> </w:t>
      </w:r>
      <w:r>
        <w:t xml:space="preserve">doi:PLACEHOLDER-DRYAD-DOI, and are mirrored at</w:t>
      </w:r>
      <w:r>
        <w:t xml:space="preserve"> </w:t>
      </w:r>
      <w:hyperlink r:id="rId76">
        <w:r>
          <w:rPr>
            <w:rStyle w:val="Hyperlink"/>
          </w:rPr>
          <w:t xml:space="preserve">https://github.com/seamusrobertmurphy/beetle-topography-and-wind-study</w:t>
        </w:r>
      </w:hyperlink>
      <w:r>
        <w:t xml:space="preserve">.</w:t>
      </w:r>
    </w:p>
    <w:bookmarkEnd w:id="77"/>
    <w:bookmarkStart w:id="78" w:name="figure-legends"/>
    <w:p>
      <w:pPr>
        <w:pStyle w:val="Heading1"/>
      </w:pPr>
      <w:r>
        <w:t xml:space="preserve">13. Figure legends</w:t>
      </w:r>
    </w:p>
    <w:p>
      <w:pPr>
        <w:pStyle w:val="FirstParagraph"/>
      </w:pPr>
      <w:r>
        <w:rPr>
          <w:b/>
          <w:bCs/>
        </w:rPr>
        <w:t xml:space="preserve">Figure 1.</w:t>
      </w:r>
      <w:r>
        <w:t xml:space="preserve"> </w:t>
      </w:r>
      <w:r>
        <w:t xml:space="preserve">The study area, all panels EPSG:3153 at 30 m, with the 2015 Mt Midgeley</w:t>
      </w:r>
      <w:r>
        <w:t xml:space="preserve"> </w:t>
      </w:r>
      <w:r>
        <w:t xml:space="preserve">burn outlined in red and Kootenay Lake and the Kootenay River from the British Columbia</w:t>
      </w:r>
      <w:r>
        <w:t xml:space="preserve"> </w:t>
      </w:r>
      <w:r>
        <w:t xml:space="preserve">Freshwater Atlas. (a) elevation; (b) terrain ruggedness index; (c) stand basal area from</w:t>
      </w:r>
      <w:r>
        <w:t xml:space="preserve"> </w:t>
      </w:r>
      <w:r>
        <w:t xml:space="preserve">the Vegetation Resources Inventory.</w:t>
      </w:r>
    </w:p>
    <w:p>
      <w:pPr>
        <w:pStyle w:val="BodyText"/>
      </w:pPr>
      <w:r>
        <w:rPr>
          <w:b/>
          <w:bCs/>
        </w:rPr>
        <w:t xml:space="preserve">Figure 2.</w:t>
      </w:r>
      <w:r>
        <w:t xml:space="preserve"> </w:t>
      </w:r>
      <w:r>
        <w:t xml:space="preserve">The predictor surfaces, all EPSG:3153 at 30 m. (a) flight-window direct</w:t>
      </w:r>
      <w:r>
        <w:t xml:space="preserve"> </w:t>
      </w:r>
      <w:r>
        <w:t xml:space="preserve">radiation; (b) growing-season direct radiation; (c) the MicroMet wind weighting factor at</w:t>
      </w:r>
      <w:r>
        <w:t xml:space="preserve"> </w:t>
      </w:r>
      <w:r>
        <w:t xml:space="preserve">the prevailing bearing; (d) terrain ruggedness; (e) stand basal area; (f) quadratic mean</w:t>
      </w:r>
      <w:r>
        <w:t xml:space="preserve"> </w:t>
      </w:r>
      <w:r>
        <w:t xml:space="preserve">diameter.</w:t>
      </w:r>
    </w:p>
    <w:p>
      <w:pPr>
        <w:pStyle w:val="BodyText"/>
      </w:pPr>
      <w:r>
        <w:rPr>
          <w:b/>
          <w:bCs/>
        </w:rPr>
        <w:t xml:space="preserve">Figure 3.</w:t>
      </w:r>
      <w:r>
        <w:t xml:space="preserve"> </w:t>
      </w:r>
      <w:r>
        <w:t xml:space="preserve">The refugia mechanism as fitted. (a) Predicted probability of</w:t>
      </w:r>
      <w:r>
        <w:t xml:space="preserve"> </w:t>
      </w:r>
      <w:r>
        <w:t xml:space="preserve">moderate-to-high disturbance against terrain-resolved epoch wind, at the 10th and 90th</w:t>
      </w:r>
      <w:r>
        <w:t xml:space="preserve"> </w:t>
      </w:r>
      <w:r>
        <w:t xml:space="preserve">percentiles of stem density, all other terms held at their means. (b) The same for</w:t>
      </w:r>
      <w:r>
        <w:t xml:space="preserve"> </w:t>
      </w:r>
      <w:r>
        <w:t xml:space="preserve">standing volume. (c) Coefficients of the 16-day model, with and without the within-season</w:t>
      </w:r>
      <w:r>
        <w:t xml:space="preserve"> </w:t>
      </w:r>
      <w:r>
        <w:t xml:space="preserve">spread term. (d) Epoch prevalence against epoch mean wind, one point per epoch.</w:t>
      </w:r>
    </w:p>
    <w:p>
      <w:pPr>
        <w:pStyle w:val="SourceCode"/>
      </w:pPr>
      <w:r>
        <w:rPr>
          <w:rStyle w:val="VerbatimChar"/>
        </w:rPr>
        <w:t xml:space="preserve">R version 4.4.1 (2024-06-14)</w:t>
      </w:r>
      <w:r>
        <w:br/>
      </w:r>
      <w:r>
        <w:rPr>
          <w:rStyle w:val="VerbatimChar"/>
        </w:rPr>
        <w:t xml:space="preserve">Platform: aarch64-apple-darwin20</w:t>
      </w:r>
      <w:r>
        <w:br/>
      </w:r>
      <w:r>
        <w:rPr>
          <w:rStyle w:val="VerbatimChar"/>
        </w:rPr>
        <w:t xml:space="preserve">Running under: macOS 15.7.7</w:t>
      </w:r>
      <w:r>
        <w:br/>
      </w:r>
      <w:r>
        <w:br/>
      </w:r>
      <w:r>
        <w:rPr>
          <w:rStyle w:val="VerbatimChar"/>
        </w:rPr>
        <w:t xml:space="preserve">Matrix products: default</w:t>
      </w:r>
      <w:r>
        <w:br/>
      </w:r>
      <w:r>
        <w:rPr>
          <w:rStyle w:val="VerbatimChar"/>
        </w:rPr>
        <w:t xml:space="preserve">BLAS:   /opt/local/Library/Frameworks/R.framework/Versions/4.4-arm64/Resources/lib/libRblas.0.dylib </w:t>
      </w:r>
      <w:r>
        <w:br/>
      </w:r>
      <w:r>
        <w:rPr>
          <w:rStyle w:val="VerbatimChar"/>
        </w:rPr>
        <w:t xml:space="preserve">LAPACK: /opt/local/Library/Frameworks/R.framework/Versions/4.4-arm64/Resources/lib/libRlapack.dylib;  LAPACK version 3.12.0</w:t>
      </w:r>
      <w:r>
        <w:br/>
      </w:r>
      <w:r>
        <w:br/>
      </w:r>
      <w:r>
        <w:rPr>
          <w:rStyle w:val="VerbatimChar"/>
        </w:rPr>
        <w:t xml:space="preserve">locale:</w:t>
      </w:r>
      <w:r>
        <w:br/>
      </w:r>
      <w:r>
        <w:rPr>
          <w:rStyle w:val="VerbatimChar"/>
        </w:rPr>
        <w:t xml:space="preserve">[1] en_CA.UTF-8/en_CA.UTF-8/en_CA.UTF-8/C/en_CA.UTF-8/en_CA.UTF-8</w:t>
      </w:r>
      <w:r>
        <w:br/>
      </w:r>
      <w:r>
        <w:br/>
      </w:r>
      <w:r>
        <w:rPr>
          <w:rStyle w:val="VerbatimChar"/>
        </w:rPr>
        <w:t xml:space="preserve">time zone: America/Vancouver</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utils     datasets  methods   base     </w:t>
      </w:r>
      <w:r>
        <w:br/>
      </w:r>
      <w:r>
        <w:br/>
      </w:r>
      <w:r>
        <w:rPr>
          <w:rStyle w:val="VerbatimChar"/>
        </w:rPr>
        <w:t xml:space="preserve">other attached packages:</w:t>
      </w:r>
      <w:r>
        <w:br/>
      </w:r>
      <w:r>
        <w:rPr>
          <w:rStyle w:val="VerbatimChar"/>
        </w:rPr>
        <w:t xml:space="preserve"> [1] ggnewscale_0.5.2 e1071_1.7-17     ggspatial_1.1.10 tidyterra_1.1.0 </w:t>
      </w:r>
      <w:r>
        <w:br/>
      </w:r>
      <w:r>
        <w:rPr>
          <w:rStyle w:val="VerbatimChar"/>
        </w:rPr>
        <w:t xml:space="preserve"> [5] patchwork_1.3.2  ranger_0.18.0    car_3.1-5        carData_3.0-6   </w:t>
      </w:r>
      <w:r>
        <w:br/>
      </w:r>
      <w:r>
        <w:rPr>
          <w:rStyle w:val="VerbatimChar"/>
        </w:rPr>
        <w:t xml:space="preserve"> [9] mgcv_1.9-4       nlme_3.1-168     knitr_1.51       ggplot2_4.0.2   </w:t>
      </w:r>
      <w:r>
        <w:br/>
      </w:r>
      <w:r>
        <w:rPr>
          <w:rStyle w:val="VerbatimChar"/>
        </w:rPr>
        <w:t xml:space="preserve">[13] tidyr_1.3.2      dplyr_1.2.0      sf_1.1-0         terra_1.9-1     </w:t>
      </w:r>
      <w:r>
        <w:br/>
      </w:r>
      <w:r>
        <w:br/>
      </w:r>
      <w:r>
        <w:rPr>
          <w:rStyle w:val="VerbatimChar"/>
        </w:rPr>
        <w:t xml:space="preserve">loaded via a namespace (and not attached):</w:t>
      </w:r>
      <w:r>
        <w:br/>
      </w:r>
      <w:r>
        <w:rPr>
          <w:rStyle w:val="VerbatimChar"/>
        </w:rPr>
        <w:t xml:space="preserve"> [1] s2_1.1.9            generics_0.1.4      class_7.3-23       </w:t>
      </w:r>
      <w:r>
        <w:br/>
      </w:r>
      <w:r>
        <w:rPr>
          <w:rStyle w:val="VerbatimChar"/>
        </w:rPr>
        <w:t xml:space="preserve"> [4] KernSmooth_2.23-26  lattice_0.22-9      pROC_1.19.0.1      </w:t>
      </w:r>
      <w:r>
        <w:br/>
      </w:r>
      <w:r>
        <w:rPr>
          <w:rStyle w:val="VerbatimChar"/>
        </w:rPr>
        <w:t xml:space="preserve"> [7] digest_0.6.39       magrittr_2.0.4      evaluate_1.0.5     </w:t>
      </w:r>
      <w:r>
        <w:br/>
      </w:r>
      <w:r>
        <w:rPr>
          <w:rStyle w:val="VerbatimChar"/>
        </w:rPr>
        <w:t xml:space="preserve">[10] grid_4.4.1          RColorBrewer_1.1-3  fastmap_1.2.0      </w:t>
      </w:r>
      <w:r>
        <w:br/>
      </w:r>
      <w:r>
        <w:rPr>
          <w:rStyle w:val="VerbatimChar"/>
        </w:rPr>
        <w:t xml:space="preserve">[13] jsonlite_2.0.0      Matrix_1.7-5        Formula_1.2-5      </w:t>
      </w:r>
      <w:r>
        <w:br/>
      </w:r>
      <w:r>
        <w:rPr>
          <w:rStyle w:val="VerbatimChar"/>
        </w:rPr>
        <w:t xml:space="preserve">[16] DBI_1.3.0           purrr_1.2.1         viridisLite_0.4.3  </w:t>
      </w:r>
      <w:r>
        <w:br/>
      </w:r>
      <w:r>
        <w:rPr>
          <w:rStyle w:val="VerbatimChar"/>
        </w:rPr>
        <w:t xml:space="preserve">[19] scales_1.4.0        codetools_0.2-20    abind_1.4-8        </w:t>
      </w:r>
      <w:r>
        <w:br/>
      </w:r>
      <w:r>
        <w:rPr>
          <w:rStyle w:val="VerbatimChar"/>
        </w:rPr>
        <w:t xml:space="preserve">[22] cli_3.6.5           rlang_1.1.7         units_1.0-1        </w:t>
      </w:r>
      <w:r>
        <w:br/>
      </w:r>
      <w:r>
        <w:rPr>
          <w:rStyle w:val="VerbatimChar"/>
        </w:rPr>
        <w:t xml:space="preserve">[25] splines_4.4.1       withr_3.0.2         yaml_2.3.12        </w:t>
      </w:r>
      <w:r>
        <w:br/>
      </w:r>
      <w:r>
        <w:rPr>
          <w:rStyle w:val="VerbatimChar"/>
        </w:rPr>
        <w:t xml:space="preserve">[28] otel_0.2.0          tools_4.4.1         vctrs_0.7.2        </w:t>
      </w:r>
      <w:r>
        <w:br/>
      </w:r>
      <w:r>
        <w:rPr>
          <w:rStyle w:val="VerbatimChar"/>
        </w:rPr>
        <w:t xml:space="preserve">[31] R6_2.6.1            proxy_0.4-29        lifecycle_1.0.5    </w:t>
      </w:r>
      <w:r>
        <w:br/>
      </w:r>
      <w:r>
        <w:rPr>
          <w:rStyle w:val="VerbatimChar"/>
        </w:rPr>
        <w:t xml:space="preserve">[34] classInt_0.4-11     pkgconfig_2.0.3     pillar_1.11.1      </w:t>
      </w:r>
      <w:r>
        <w:br/>
      </w:r>
      <w:r>
        <w:rPr>
          <w:rStyle w:val="VerbatimChar"/>
        </w:rPr>
        <w:t xml:space="preserve">[37] gtable_0.3.6        data.table_1.18.2.1 glue_1.8.0         </w:t>
      </w:r>
      <w:r>
        <w:br/>
      </w:r>
      <w:r>
        <w:rPr>
          <w:rStyle w:val="VerbatimChar"/>
        </w:rPr>
        <w:t xml:space="preserve">[40] Rcpp_1.1.1          xfun_0.57           tibble_3.3.1       </w:t>
      </w:r>
      <w:r>
        <w:br/>
      </w:r>
      <w:r>
        <w:rPr>
          <w:rStyle w:val="VerbatimChar"/>
        </w:rPr>
        <w:t xml:space="preserve">[43] tidyselect_1.2.1    farver_2.1.2        htmltools_0.5.9    </w:t>
      </w:r>
      <w:r>
        <w:br/>
      </w:r>
      <w:r>
        <w:rPr>
          <w:rStyle w:val="VerbatimChar"/>
        </w:rPr>
        <w:t xml:space="preserve">[46] labeling_0.4.3      rmarkdown_2.30      wk_0.9.5           </w:t>
      </w:r>
      <w:r>
        <w:br/>
      </w:r>
      <w:r>
        <w:rPr>
          <w:rStyle w:val="VerbatimChar"/>
        </w:rPr>
        <w:t xml:space="preserve">[49] compiler_4.4.1      S7_0.2.1           </w:t>
      </w:r>
    </w:p>
    <w:bookmarkEnd w:id="78"/>
    <w:bookmarkStart w:id="119" w:name="references"/>
    <w:p>
      <w:pPr>
        <w:pStyle w:val="Heading1"/>
      </w:pPr>
      <w:r>
        <w:t xml:space="preserve">14. References</w:t>
      </w:r>
    </w:p>
    <w:bookmarkStart w:id="118" w:name="refs"/>
    <w:bookmarkStart w:id="80" w:name="ref-ainslie2010"/>
    <w:p>
      <w:pPr>
        <w:pStyle w:val="Bibliography"/>
      </w:pPr>
      <w:r>
        <w:t xml:space="preserve">Ainslie, B., &amp; Jackson, P. L. (2010). Investigation into mountain pine beetle above-canopy dispersion using weather radar and an atmospheric dispersion model.</w:t>
      </w:r>
      <w:r>
        <w:t xml:space="preserve"> </w:t>
      </w:r>
      <w:r>
        <w:rPr>
          <w:i/>
          <w:iCs/>
        </w:rPr>
        <w:t xml:space="preserve">Aerobiologia</w:t>
      </w:r>
      <w:r>
        <w:t xml:space="preserve">,</w:t>
      </w:r>
      <w:r>
        <w:t xml:space="preserve"> </w:t>
      </w:r>
      <w:r>
        <w:rPr>
          <w:i/>
          <w:iCs/>
        </w:rPr>
        <w:t xml:space="preserve">27</w:t>
      </w:r>
      <w:r>
        <w:t xml:space="preserve">, 51–65.</w:t>
      </w:r>
      <w:r>
        <w:t xml:space="preserve"> </w:t>
      </w:r>
      <w:hyperlink r:id="rId79">
        <w:r>
          <w:rPr>
            <w:rStyle w:val="Hyperlink"/>
          </w:rPr>
          <w:t xml:space="preserve">https://doi.org/10.1007/s10453-010-9176-9</w:t>
        </w:r>
      </w:hyperlink>
    </w:p>
    <w:bookmarkEnd w:id="80"/>
    <w:bookmarkStart w:id="82" w:name="ref-badger2014"/>
    <w:p>
      <w:pPr>
        <w:pStyle w:val="Bibliography"/>
      </w:pPr>
      <w:r>
        <w:t xml:space="preserve">Badger, J., Frank, H., Hahmann, A. N., &amp; Giebel, G. (2014). Wind-climate estimation based on mesoscale and microscale modeling: Statistical–dynamical downscaling for wind energy applications.</w:t>
      </w:r>
      <w:r>
        <w:t xml:space="preserve"> </w:t>
      </w:r>
      <w:r>
        <w:rPr>
          <w:i/>
          <w:iCs/>
        </w:rPr>
        <w:t xml:space="preserve">Journal of Applied Meteorology and Climatology</w:t>
      </w:r>
      <w:r>
        <w:t xml:space="preserve">,</w:t>
      </w:r>
      <w:r>
        <w:t xml:space="preserve"> </w:t>
      </w:r>
      <w:r>
        <w:rPr>
          <w:i/>
          <w:iCs/>
        </w:rPr>
        <w:t xml:space="preserve">53</w:t>
      </w:r>
      <w:r>
        <w:t xml:space="preserve">(8), 1901–1919.</w:t>
      </w:r>
      <w:r>
        <w:t xml:space="preserve"> </w:t>
      </w:r>
      <w:hyperlink r:id="rId81">
        <w:r>
          <w:rPr>
            <w:rStyle w:val="Hyperlink"/>
          </w:rPr>
          <w:t xml:space="preserve">https://doi.org/10.1175/JAMC-D-13-0147.1</w:t>
        </w:r>
      </w:hyperlink>
    </w:p>
    <w:bookmarkEnd w:id="82"/>
    <w:bookmarkStart w:id="84" w:name="ref-bartos1989"/>
    <w:p>
      <w:pPr>
        <w:pStyle w:val="Bibliography"/>
      </w:pPr>
      <w:r>
        <w:t xml:space="preserve">Bartos, D. L., &amp; Amman, G. D. (1989).</w:t>
      </w:r>
      <w:r>
        <w:t xml:space="preserve"> </w:t>
      </w:r>
      <w:r>
        <w:rPr>
          <w:i/>
          <w:iCs/>
        </w:rPr>
        <w:t xml:space="preserve">Microclimate: An alternative to tree vigor as a basis for mountain pine beetle infestations</w:t>
      </w:r>
      <w:r>
        <w:t xml:space="preserve"> </w:t>
      </w:r>
      <w:r>
        <w:t xml:space="preserve">(Research Paper No. INT-400). Ogden, UT: U.S. Department of Agriculture, Forest Service, Intermountain Research Station.</w:t>
      </w:r>
      <w:r>
        <w:t xml:space="preserve"> </w:t>
      </w:r>
      <w:hyperlink r:id="rId83">
        <w:r>
          <w:rPr>
            <w:rStyle w:val="Hyperlink"/>
          </w:rPr>
          <w:t xml:space="preserve">https://doi.org/10.2737/int-rp-400</w:t>
        </w:r>
      </w:hyperlink>
    </w:p>
    <w:bookmarkEnd w:id="84"/>
    <w:bookmarkStart w:id="85" w:name="ref-carroll2004bionomics"/>
    <w:p>
      <w:pPr>
        <w:pStyle w:val="Bibliography"/>
      </w:pPr>
      <w:r>
        <w:t xml:space="preserve">Carroll, A. L., &amp; Safranyik, L. (2004). The bionomics of the mountain pine beetle in lodgepole pine forests: Establishing a context. In T. L. Shore, J. E. Brooks, &amp; J. E. Stone (Eds.),</w:t>
      </w:r>
      <w:r>
        <w:t xml:space="preserve"> </w:t>
      </w:r>
      <w:r>
        <w:rPr>
          <w:i/>
          <w:iCs/>
        </w:rPr>
        <w:t xml:space="preserve">Mountain pine beetle symposium: Challenges and solutions, october 30–31, 2003, kelowna, british columbia</w:t>
      </w:r>
      <w:r>
        <w:t xml:space="preserve"> </w:t>
      </w:r>
      <w:r>
        <w:t xml:space="preserve">(pp. 21–32). Victoria, British Columbia:</w:t>
      </w:r>
      <w:r>
        <w:t xml:space="preserve"> </w:t>
      </w:r>
      <w:r>
        <w:t xml:space="preserve">Natural Resources Canada, Canadian Forest Service, Pacific Forestry Centre</w:t>
      </w:r>
      <w:r>
        <w:t xml:space="preserve">.</w:t>
      </w:r>
    </w:p>
    <w:bookmarkEnd w:id="85"/>
    <w:bookmarkStart w:id="87" w:name="ref-cartwright2018"/>
    <w:p>
      <w:pPr>
        <w:pStyle w:val="Bibliography"/>
      </w:pPr>
      <w:r>
        <w:t xml:space="preserve">Cartwright, J. M. (2018). Landscape topoedaphic features create refugia from drought and insect disturbance in a lodgepole and whitebark pine forest.</w:t>
      </w:r>
      <w:r>
        <w:t xml:space="preserve"> </w:t>
      </w:r>
      <w:r>
        <w:rPr>
          <w:i/>
          <w:iCs/>
        </w:rPr>
        <w:t xml:space="preserve">Forests</w:t>
      </w:r>
      <w:r>
        <w:t xml:space="preserve">,</w:t>
      </w:r>
      <w:r>
        <w:t xml:space="preserve"> </w:t>
      </w:r>
      <w:r>
        <w:rPr>
          <w:i/>
          <w:iCs/>
        </w:rPr>
        <w:t xml:space="preserve">9</w:t>
      </w:r>
      <w:r>
        <w:t xml:space="preserve">(11), 715.</w:t>
      </w:r>
      <w:r>
        <w:t xml:space="preserve"> </w:t>
      </w:r>
      <w:hyperlink r:id="rId86">
        <w:r>
          <w:rPr>
            <w:rStyle w:val="Hyperlink"/>
          </w:rPr>
          <w:t xml:space="preserve">https://doi.org/10.3390/f9110715</w:t>
        </w:r>
      </w:hyperlink>
    </w:p>
    <w:bookmarkEnd w:id="87"/>
    <w:bookmarkStart w:id="89" w:name="ref-cooke2025"/>
    <w:p>
      <w:pPr>
        <w:pStyle w:val="Bibliography"/>
      </w:pPr>
      <w:r>
        <w:t xml:space="preserve">Cooke, B. J., MacQuarrie, C. J. K., &amp; Carroll, A. L. (2025). On the deduction and quantification of irruptive dynamics in mountain pine beetle population and proxy data.</w:t>
      </w:r>
      <w:r>
        <w:t xml:space="preserve"> </w:t>
      </w:r>
      <w:r>
        <w:rPr>
          <w:i/>
          <w:iCs/>
        </w:rPr>
        <w:t xml:space="preserve">Journal of Applied Entomology</w:t>
      </w:r>
      <w:r>
        <w:t xml:space="preserve">,</w:t>
      </w:r>
      <w:r>
        <w:t xml:space="preserve"> </w:t>
      </w:r>
      <w:r>
        <w:rPr>
          <w:i/>
          <w:iCs/>
        </w:rPr>
        <w:t xml:space="preserve">149</w:t>
      </w:r>
      <w:r>
        <w:t xml:space="preserve">, 309–323.</w:t>
      </w:r>
      <w:r>
        <w:t xml:space="preserve"> </w:t>
      </w:r>
      <w:hyperlink r:id="rId88">
        <w:r>
          <w:rPr>
            <w:rStyle w:val="Hyperlink"/>
          </w:rPr>
          <w:t xml:space="preserve">https://doi.org/10.1111/jen.13262</w:t>
        </w:r>
      </w:hyperlink>
    </w:p>
    <w:bookmarkEnd w:id="89"/>
    <w:bookmarkStart w:id="91" w:name="ref-davis2023"/>
    <w:p>
      <w:pPr>
        <w:pStyle w:val="Bibliography"/>
      </w:pPr>
      <w:r>
        <w:t xml:space="preserve">Davis, N. N., Badger, J., Hahmann, A. N., Hansen, B. O., Mortensen, N. G., Kelly, M., … Drummond, R. (2023). The</w:t>
      </w:r>
      <w:r>
        <w:t xml:space="preserve"> </w:t>
      </w:r>
      <w:r>
        <w:t xml:space="preserve">Global Wind Atlas</w:t>
      </w:r>
      <w:r>
        <w:t xml:space="preserve">: A high-resolution dataset of climatologies and associated web-based application.</w:t>
      </w:r>
      <w:r>
        <w:t xml:space="preserve"> </w:t>
      </w:r>
      <w:r>
        <w:rPr>
          <w:i/>
          <w:iCs/>
        </w:rPr>
        <w:t xml:space="preserve">Bulletin of the American Meteorological Society</w:t>
      </w:r>
      <w:r>
        <w:t xml:space="preserve">,</w:t>
      </w:r>
      <w:r>
        <w:t xml:space="preserve"> </w:t>
      </w:r>
      <w:r>
        <w:rPr>
          <w:i/>
          <w:iCs/>
        </w:rPr>
        <w:t xml:space="preserve">104</w:t>
      </w:r>
      <w:r>
        <w:t xml:space="preserve">(8), E1507–E1525.</w:t>
      </w:r>
      <w:r>
        <w:t xml:space="preserve"> </w:t>
      </w:r>
      <w:hyperlink r:id="rId90">
        <w:r>
          <w:rPr>
            <w:rStyle w:val="Hyperlink"/>
          </w:rPr>
          <w:t xml:space="preserve">https://doi.org/10.1175/BAMS-D-21-0075.1</w:t>
        </w:r>
      </w:hyperlink>
    </w:p>
    <w:bookmarkEnd w:id="91"/>
    <w:bookmarkStart w:id="93" w:name="ref-gray1972"/>
    <w:p>
      <w:pPr>
        <w:pStyle w:val="Bibliography"/>
      </w:pPr>
      <w:r>
        <w:t xml:space="preserve">Gray, B., Billings, R. F., Gara, R. I., &amp; Johnsey, R. L. (1972). On the emergence and initial flight behaviour of the mountain pine beetle,</w:t>
      </w:r>
      <w:r>
        <w:t xml:space="preserve"> </w:t>
      </w:r>
      <w:r>
        <w:t xml:space="preserve">Dendroctonus ponderosae</w:t>
      </w:r>
      <w:r>
        <w:t xml:space="preserve">, in eastern</w:t>
      </w:r>
      <w:r>
        <w:t xml:space="preserve"> </w:t>
      </w:r>
      <w:r>
        <w:t xml:space="preserve">Washington</w:t>
      </w:r>
      <w:r>
        <w:t xml:space="preserve">.</w:t>
      </w:r>
      <w:r>
        <w:t xml:space="preserve"> </w:t>
      </w:r>
      <w:r>
        <w:rPr>
          <w:i/>
          <w:iCs/>
        </w:rPr>
        <w:t xml:space="preserve">Zeitschrift f</w:t>
      </w:r>
      <w:r>
        <w:rPr>
          <w:i/>
          <w:iCs/>
        </w:rPr>
        <w:t xml:space="preserve">ü</w:t>
      </w:r>
      <w:r>
        <w:rPr>
          <w:i/>
          <w:iCs/>
        </w:rPr>
        <w:t xml:space="preserve">r Angewandte Entomologie</w:t>
      </w:r>
      <w:r>
        <w:t xml:space="preserve">,</w:t>
      </w:r>
      <w:r>
        <w:t xml:space="preserve"> </w:t>
      </w:r>
      <w:r>
        <w:rPr>
          <w:i/>
          <w:iCs/>
        </w:rPr>
        <w:t xml:space="preserve">71</w:t>
      </w:r>
      <w:r>
        <w:t xml:space="preserve">, 250–259.</w:t>
      </w:r>
      <w:r>
        <w:t xml:space="preserve"> </w:t>
      </w:r>
      <w:hyperlink r:id="rId92">
        <w:r>
          <w:rPr>
            <w:rStyle w:val="Hyperlink"/>
          </w:rPr>
          <w:t xml:space="preserve">https://doi.org/10.1111/j.1439-0418.1972.tb01745.x</w:t>
        </w:r>
      </w:hyperlink>
    </w:p>
    <w:bookmarkEnd w:id="93"/>
    <w:bookmarkStart w:id="95" w:name="ref-howe2022"/>
    <w:p>
      <w:pPr>
        <w:pStyle w:val="Bibliography"/>
      </w:pPr>
      <w:r>
        <w:t xml:space="preserve">Howe, M., Raffa, K. F., Aukema, B. H., Gratton, C., &amp; Carroll, A. L. (2022). Numbers matter: How irruptive bark beetles initiate transition to self-sustaining behavior during landscape-altering outbreaks.</w:t>
      </w:r>
      <w:r>
        <w:t xml:space="preserve"> </w:t>
      </w:r>
      <w:r>
        <w:rPr>
          <w:i/>
          <w:iCs/>
        </w:rPr>
        <w:t xml:space="preserve">Oecologia</w:t>
      </w:r>
      <w:r>
        <w:t xml:space="preserve">,</w:t>
      </w:r>
      <w:r>
        <w:t xml:space="preserve"> </w:t>
      </w:r>
      <w:r>
        <w:rPr>
          <w:i/>
          <w:iCs/>
        </w:rPr>
        <w:t xml:space="preserve">198</w:t>
      </w:r>
      <w:r>
        <w:t xml:space="preserve">, 681–698.</w:t>
      </w:r>
      <w:r>
        <w:t xml:space="preserve"> </w:t>
      </w:r>
      <w:hyperlink r:id="rId94">
        <w:r>
          <w:rPr>
            <w:rStyle w:val="Hyperlink"/>
          </w:rPr>
          <w:t xml:space="preserve">https://doi.org/10.1007/s00442-022-05129-4</w:t>
        </w:r>
      </w:hyperlink>
    </w:p>
    <w:bookmarkEnd w:id="95"/>
    <w:bookmarkStart w:id="97" w:name="ref-jackson2008"/>
    <w:p>
      <w:pPr>
        <w:pStyle w:val="Bibliography"/>
      </w:pPr>
      <w:r>
        <w:t xml:space="preserve">Jackson, P. L., Straussfogel, D., Lindgren, B. S., Mitchell, S., &amp; Murphy, B. (2008). Radar observation and aerial capture of mountain pine beetle,</w:t>
      </w:r>
      <w:r>
        <w:t xml:space="preserve"> </w:t>
      </w:r>
      <w:r>
        <w:t xml:space="preserve">Dendroctonus ponderosae</w:t>
      </w:r>
      <w:r>
        <w:t xml:space="preserve"> </w:t>
      </w:r>
      <w:r>
        <w:t xml:space="preserve">Hopk</w:t>
      </w:r>
      <w:r>
        <w:t xml:space="preserve">. (</w:t>
      </w:r>
      <w:r>
        <w:t xml:space="preserve">Coleoptera</w:t>
      </w:r>
      <w:r>
        <w:t xml:space="preserve">:</w:t>
      </w:r>
      <w:r>
        <w:t xml:space="preserve"> </w:t>
      </w:r>
      <w:r>
        <w:t xml:space="preserve">Scolytidae</w:t>
      </w:r>
      <w:r>
        <w:t xml:space="preserve">) in flight above the forest canopy.</w:t>
      </w:r>
      <w:r>
        <w:t xml:space="preserve"> </w:t>
      </w:r>
      <w:r>
        <w:rPr>
          <w:i/>
          <w:iCs/>
        </w:rPr>
        <w:t xml:space="preserve">Canadian Journal of Forest Research</w:t>
      </w:r>
      <w:r>
        <w:t xml:space="preserve">,</w:t>
      </w:r>
      <w:r>
        <w:t xml:space="preserve"> </w:t>
      </w:r>
      <w:r>
        <w:rPr>
          <w:i/>
          <w:iCs/>
        </w:rPr>
        <w:t xml:space="preserve">38</w:t>
      </w:r>
      <w:r>
        <w:t xml:space="preserve">(8), 2313–2327.</w:t>
      </w:r>
      <w:r>
        <w:t xml:space="preserve"> </w:t>
      </w:r>
      <w:hyperlink r:id="rId96">
        <w:r>
          <w:rPr>
            <w:rStyle w:val="Hyperlink"/>
          </w:rPr>
          <w:t xml:space="preserve">https://doi.org/10.1139/X08-066</w:t>
        </w:r>
      </w:hyperlink>
    </w:p>
    <w:bookmarkEnd w:id="97"/>
    <w:bookmarkStart w:id="99" w:name="ref-jones2019"/>
    <w:p>
      <w:pPr>
        <w:pStyle w:val="Bibliography"/>
      </w:pPr>
      <w:r>
        <w:t xml:space="preserve">Jones, K. L., Shegelski, V. A., Marculis, N. G., Wijerathna, A. N., &amp; Evenden, M. L. (2019). Factors influencing dispersal by flight in bark beetles (</w:t>
      </w:r>
      <w:r>
        <w:t xml:space="preserve">Coleoptera</w:t>
      </w:r>
      <w:r>
        <w:t xml:space="preserve">:</w:t>
      </w:r>
      <w:r>
        <w:t xml:space="preserve"> </w:t>
      </w:r>
      <w:r>
        <w:t xml:space="preserve">Curculionidae</w:t>
      </w:r>
      <w:r>
        <w:t xml:space="preserve">:</w:t>
      </w:r>
      <w:r>
        <w:t xml:space="preserve"> </w:t>
      </w:r>
      <w:r>
        <w:t xml:space="preserve">Scolytinae</w:t>
      </w:r>
      <w:r>
        <w:t xml:space="preserve">): From genes to landscapes.</w:t>
      </w:r>
      <w:r>
        <w:t xml:space="preserve"> </w:t>
      </w:r>
      <w:r>
        <w:rPr>
          <w:i/>
          <w:iCs/>
        </w:rPr>
        <w:t xml:space="preserve">Canadian Journal of Forest Research</w:t>
      </w:r>
      <w:r>
        <w:t xml:space="preserve">,</w:t>
      </w:r>
      <w:r>
        <w:t xml:space="preserve"> </w:t>
      </w:r>
      <w:r>
        <w:rPr>
          <w:i/>
          <w:iCs/>
        </w:rPr>
        <w:t xml:space="preserve">49</w:t>
      </w:r>
      <w:r>
        <w:t xml:space="preserve">, 1024–1041.</w:t>
      </w:r>
      <w:r>
        <w:t xml:space="preserve"> </w:t>
      </w:r>
      <w:hyperlink r:id="rId98">
        <w:r>
          <w:rPr>
            <w:rStyle w:val="Hyperlink"/>
          </w:rPr>
          <w:t xml:space="preserve">https://doi.org/10.1139/cjfr-2018-0304</w:t>
        </w:r>
      </w:hyperlink>
    </w:p>
    <w:bookmarkEnd w:id="99"/>
    <w:bookmarkStart w:id="101" w:name="ref-krawchuk2020"/>
    <w:p>
      <w:pPr>
        <w:pStyle w:val="Bibliography"/>
      </w:pPr>
      <w:r>
        <w:t xml:space="preserve">Krawchuk, M. A., Meigs, G. W., Cartwright, J. M., Coop, J. D., Davis, R., Holz, A., … Meddens, A. J. H. (2020). Disturbance refugia within mosaics of forest fire, drought, and insect outbreaks.</w:t>
      </w:r>
      <w:r>
        <w:t xml:space="preserve"> </w:t>
      </w:r>
      <w:r>
        <w:rPr>
          <w:i/>
          <w:iCs/>
        </w:rPr>
        <w:t xml:space="preserve">Frontiers in Ecology and the Environment</w:t>
      </w:r>
      <w:r>
        <w:t xml:space="preserve">,</w:t>
      </w:r>
      <w:r>
        <w:t xml:space="preserve"> </w:t>
      </w:r>
      <w:r>
        <w:rPr>
          <w:i/>
          <w:iCs/>
        </w:rPr>
        <w:t xml:space="preserve">18</w:t>
      </w:r>
      <w:r>
        <w:t xml:space="preserve">(5), 235–244.</w:t>
      </w:r>
      <w:r>
        <w:t xml:space="preserve"> </w:t>
      </w:r>
      <w:hyperlink r:id="rId100">
        <w:r>
          <w:rPr>
            <w:rStyle w:val="Hyperlink"/>
          </w:rPr>
          <w:t xml:space="preserve">https://doi.org/10.1002/fee.2190</w:t>
        </w:r>
      </w:hyperlink>
    </w:p>
    <w:bookmarkEnd w:id="101"/>
    <w:bookmarkStart w:id="103" w:name="ref-liston2006"/>
    <w:p>
      <w:pPr>
        <w:pStyle w:val="Bibliography"/>
      </w:pPr>
      <w:r>
        <w:t xml:space="preserve">Liston, G. E., &amp; Elder, K. (2006). A meteorological distribution system for high-resolution terrestrial modeling (MicroMet).</w:t>
      </w:r>
      <w:r>
        <w:t xml:space="preserve"> </w:t>
      </w:r>
      <w:r>
        <w:rPr>
          <w:i/>
          <w:iCs/>
        </w:rPr>
        <w:t xml:space="preserve">Journal of Hydrometeorology</w:t>
      </w:r>
      <w:r>
        <w:t xml:space="preserve">,</w:t>
      </w:r>
      <w:r>
        <w:t xml:space="preserve"> </w:t>
      </w:r>
      <w:r>
        <w:rPr>
          <w:i/>
          <w:iCs/>
        </w:rPr>
        <w:t xml:space="preserve">7</w:t>
      </w:r>
      <w:r>
        <w:t xml:space="preserve">(2), 217–234.</w:t>
      </w:r>
      <w:r>
        <w:t xml:space="preserve"> </w:t>
      </w:r>
      <w:hyperlink r:id="rId102">
        <w:r>
          <w:rPr>
            <w:rStyle w:val="Hyperlink"/>
          </w:rPr>
          <w:t xml:space="preserve">https://doi.org/10.1175/JHM486.1</w:t>
        </w:r>
      </w:hyperlink>
    </w:p>
    <w:bookmarkEnd w:id="103"/>
    <w:bookmarkStart w:id="105" w:name="ref-mccambridge1971"/>
    <w:p>
      <w:pPr>
        <w:pStyle w:val="Bibliography"/>
      </w:pPr>
      <w:r>
        <w:t xml:space="preserve">McCambridge, W. F. (1971). Temperature limits of flight of the mountain pine beetle,</w:t>
      </w:r>
      <w:r>
        <w:t xml:space="preserve"> </w:t>
      </w:r>
      <w:r>
        <w:t xml:space="preserve">Dendroctonus ponderosae</w:t>
      </w:r>
      <w:r>
        <w:t xml:space="preserve">.</w:t>
      </w:r>
      <w:r>
        <w:t xml:space="preserve"> </w:t>
      </w:r>
      <w:r>
        <w:rPr>
          <w:i/>
          <w:iCs/>
        </w:rPr>
        <w:t xml:space="preserve">Annals of the Entomological Society of America</w:t>
      </w:r>
      <w:r>
        <w:t xml:space="preserve">,</w:t>
      </w:r>
      <w:r>
        <w:t xml:space="preserve"> </w:t>
      </w:r>
      <w:r>
        <w:rPr>
          <w:i/>
          <w:iCs/>
        </w:rPr>
        <w:t xml:space="preserve">64</w:t>
      </w:r>
      <w:r>
        <w:t xml:space="preserve">(2), 534–535.</w:t>
      </w:r>
      <w:r>
        <w:t xml:space="preserve"> </w:t>
      </w:r>
      <w:hyperlink r:id="rId104">
        <w:r>
          <w:rPr>
            <w:rStyle w:val="Hyperlink"/>
          </w:rPr>
          <w:t xml:space="preserve">https://doi.org/10.1093/aesa/64.2.534</w:t>
        </w:r>
      </w:hyperlink>
    </w:p>
    <w:bookmarkEnd w:id="105"/>
    <w:bookmarkStart w:id="107" w:name="ref-mccune2002"/>
    <w:p>
      <w:pPr>
        <w:pStyle w:val="Bibliography"/>
      </w:pPr>
      <w:r>
        <w:t xml:space="preserve">McCune, B., &amp; Keon, D. (2002). Equations for potential annual direct incident radiation and heat load.</w:t>
      </w:r>
      <w:r>
        <w:t xml:space="preserve"> </w:t>
      </w:r>
      <w:r>
        <w:rPr>
          <w:i/>
          <w:iCs/>
        </w:rPr>
        <w:t xml:space="preserve">Journal of Vegetation Science</w:t>
      </w:r>
      <w:r>
        <w:t xml:space="preserve">,</w:t>
      </w:r>
      <w:r>
        <w:t xml:space="preserve"> </w:t>
      </w:r>
      <w:r>
        <w:rPr>
          <w:i/>
          <w:iCs/>
        </w:rPr>
        <w:t xml:space="preserve">13</w:t>
      </w:r>
      <w:r>
        <w:t xml:space="preserve">(4), 603–606.</w:t>
      </w:r>
      <w:r>
        <w:t xml:space="preserve"> </w:t>
      </w:r>
      <w:hyperlink r:id="rId106">
        <w:r>
          <w:rPr>
            <w:rStyle w:val="Hyperlink"/>
          </w:rPr>
          <w:t xml:space="preserve">https://doi.org/10.1111/j.1654-1103.2002.tb02087.x</w:t>
        </w:r>
      </w:hyperlink>
    </w:p>
    <w:bookmarkEnd w:id="107"/>
    <w:bookmarkStart w:id="109" w:name="ref-murphy2026"/>
    <w:p>
      <w:pPr>
        <w:pStyle w:val="Bibliography"/>
      </w:pPr>
      <w:r>
        <w:t xml:space="preserve">Murphy, S., Leslie, A., Wilson, J., &amp; Banks, L. K. (2026). Spatial patterns of conifer regeneration following mountain pine beetle outbreak (</w:t>
      </w:r>
      <w:r>
        <w:rPr>
          <w:i/>
          <w:iCs/>
        </w:rPr>
        <w:t xml:space="preserve">Dendroctonus ponderosae</w:t>
      </w:r>
      <w:r>
        <w:t xml:space="preserve">) and mixed-severity wildfire: A point process model of disturbance interactions in the southern</w:t>
      </w:r>
      <w:r>
        <w:t xml:space="preserve"> </w:t>
      </w:r>
      <w:r>
        <w:t xml:space="preserve">Selkirk Mountains</w:t>
      </w:r>
      <w:r>
        <w:t xml:space="preserve">,</w:t>
      </w:r>
      <w:r>
        <w:t xml:space="preserve"> </w:t>
      </w:r>
      <w:r>
        <w:t xml:space="preserve">British Columbia</w:t>
      </w:r>
      <w:r>
        <w:t xml:space="preserve">.</w:t>
      </w:r>
      <w:r>
        <w:t xml:space="preserve"> </w:t>
      </w:r>
      <w:r>
        <w:rPr>
          <w:i/>
          <w:iCs/>
        </w:rPr>
        <w:t xml:space="preserve">Forest Ecology and Management</w:t>
      </w:r>
      <w:r>
        <w:t xml:space="preserve">,</w:t>
      </w:r>
      <w:r>
        <w:t xml:space="preserve"> </w:t>
      </w:r>
      <w:r>
        <w:rPr>
          <w:i/>
          <w:iCs/>
        </w:rPr>
        <w:t xml:space="preserve">618</w:t>
      </w:r>
      <w:r>
        <w:t xml:space="preserve">, 123985.</w:t>
      </w:r>
      <w:r>
        <w:t xml:space="preserve"> </w:t>
      </w:r>
      <w:hyperlink r:id="rId108">
        <w:r>
          <w:rPr>
            <w:rStyle w:val="Hyperlink"/>
          </w:rPr>
          <w:t xml:space="preserve">https://doi.org/10.1016/j.foreco.2026.123985</w:t>
        </w:r>
      </w:hyperlink>
    </w:p>
    <w:bookmarkEnd w:id="109"/>
    <w:bookmarkStart w:id="111" w:name="ref-nrcan2017"/>
    <w:p>
      <w:pPr>
        <w:pStyle w:val="Bibliography"/>
      </w:pPr>
      <w:r>
        <w:t xml:space="preserve">Natural Resources Canada. (2017). High resolution digital elevation model (</w:t>
      </w:r>
      <w:r>
        <w:t xml:space="preserve">HRDEM</w:t>
      </w:r>
      <w:r>
        <w:t xml:space="preserve">) –</w:t>
      </w:r>
      <w:r>
        <w:t xml:space="preserve"> </w:t>
      </w:r>
      <w:r>
        <w:t xml:space="preserve">CanElevation</w:t>
      </w:r>
      <w:r>
        <w:t xml:space="preserve"> </w:t>
      </w:r>
      <w:r>
        <w:t xml:space="preserve">series. Retrieved from</w:t>
      </w:r>
      <w:r>
        <w:t xml:space="preserve"> </w:t>
      </w:r>
      <w:hyperlink r:id="rId110">
        <w:r>
          <w:rPr>
            <w:rStyle w:val="Hyperlink"/>
          </w:rPr>
          <w:t xml:space="preserve">https://open.canada.ca/data/en/dataset/957782bf-847c-4644-a757-e383c0057995</w:t>
        </w:r>
      </w:hyperlink>
    </w:p>
    <w:bookmarkEnd w:id="111"/>
    <w:bookmarkStart w:id="113" w:name="ref-powell2014"/>
    <w:p>
      <w:pPr>
        <w:pStyle w:val="Bibliography"/>
      </w:pPr>
      <w:r>
        <w:t xml:space="preserve">Powell, J. A., &amp; Bentz, B. J. (2014). Phenology and density-dependent dispersal predict patterns of mountain pine beetle (</w:t>
      </w:r>
      <w:r>
        <w:t xml:space="preserve">Dendroctonus ponderosae</w:t>
      </w:r>
      <w:r>
        <w:t xml:space="preserve">) impact.</w:t>
      </w:r>
      <w:r>
        <w:t xml:space="preserve"> </w:t>
      </w:r>
      <w:r>
        <w:rPr>
          <w:i/>
          <w:iCs/>
        </w:rPr>
        <w:t xml:space="preserve">Ecological Modelling</w:t>
      </w:r>
      <w:r>
        <w:t xml:space="preserve">,</w:t>
      </w:r>
      <w:r>
        <w:t xml:space="preserve"> </w:t>
      </w:r>
      <w:r>
        <w:rPr>
          <w:i/>
          <w:iCs/>
        </w:rPr>
        <w:t xml:space="preserve">273</w:t>
      </w:r>
      <w:r>
        <w:t xml:space="preserve">, 173–185.</w:t>
      </w:r>
      <w:r>
        <w:t xml:space="preserve"> </w:t>
      </w:r>
      <w:hyperlink r:id="rId112">
        <w:r>
          <w:rPr>
            <w:rStyle w:val="Hyperlink"/>
          </w:rPr>
          <w:t xml:space="preserve">https://doi.org/10.1016/j.ecolmodel.2013.10.034</w:t>
        </w:r>
      </w:hyperlink>
    </w:p>
    <w:bookmarkEnd w:id="113"/>
    <w:bookmarkStart w:id="114" w:name="ref-safranyik2006chap1"/>
    <w:p>
      <w:pPr>
        <w:pStyle w:val="Bibliography"/>
      </w:pPr>
      <w:r>
        <w:t xml:space="preserve">Safranyik, L., &amp; Carroll, A. L. (2006). The biology and epidemiology of the mountain pine beetle in lodgepole pine forests. In L. Safranyik &amp; B. Wilson (Eds.),</w:t>
      </w:r>
      <w:r>
        <w:t xml:space="preserve"> </w:t>
      </w:r>
      <w:r>
        <w:rPr>
          <w:i/>
          <w:iCs/>
        </w:rPr>
        <w:t xml:space="preserve">The mountain pine beetle: A synthesis of biology, management, and impacts on lodgepole pine</w:t>
      </w:r>
      <w:r>
        <w:t xml:space="preserve"> </w:t>
      </w:r>
      <w:r>
        <w:t xml:space="preserve">(pp. 3–66). Victoria, British Columbia:</w:t>
      </w:r>
      <w:r>
        <w:t xml:space="preserve"> </w:t>
      </w:r>
      <w:r>
        <w:t xml:space="preserve">Natural Resources Canada, Canadian Forest Service, Pacific Forestry Centre</w:t>
      </w:r>
      <w:r>
        <w:t xml:space="preserve">.</w:t>
      </w:r>
    </w:p>
    <w:bookmarkEnd w:id="114"/>
    <w:bookmarkStart w:id="116" w:name="ref-sambaraju2021"/>
    <w:p>
      <w:pPr>
        <w:pStyle w:val="Bibliography"/>
      </w:pPr>
      <w:r>
        <w:t xml:space="preserve">Sambaraju, K. R., &amp; Goodsman, D. W. (2021). Mountain pine beetle: An example of a climate-driven eruptive insect impacting conifer forest ecosystems.</w:t>
      </w:r>
      <w:r>
        <w:t xml:space="preserve"> </w:t>
      </w:r>
      <w:r>
        <w:rPr>
          <w:i/>
          <w:iCs/>
        </w:rPr>
        <w:t xml:space="preserve">CAB Reviews</w:t>
      </w:r>
      <w:r>
        <w:t xml:space="preserve">,</w:t>
      </w:r>
      <w:r>
        <w:t xml:space="preserve"> </w:t>
      </w:r>
      <w:r>
        <w:rPr>
          <w:i/>
          <w:iCs/>
        </w:rPr>
        <w:t xml:space="preserve">16</w:t>
      </w:r>
      <w:r>
        <w:t xml:space="preserve">(018).</w:t>
      </w:r>
      <w:r>
        <w:t xml:space="preserve"> </w:t>
      </w:r>
      <w:hyperlink r:id="rId115">
        <w:r>
          <w:rPr>
            <w:rStyle w:val="Hyperlink"/>
          </w:rPr>
          <w:t xml:space="preserve">https://doi.org/10.1079/PAVSNNR202116018</w:t>
        </w:r>
      </w:hyperlink>
    </w:p>
    <w:bookmarkEnd w:id="116"/>
    <w:bookmarkStart w:id="117" w:name="ref-taylor2003"/>
    <w:p>
      <w:pPr>
        <w:pStyle w:val="Bibliography"/>
      </w:pPr>
      <w:r>
        <w:t xml:space="preserve">Taylor, S. W., &amp; Carroll, A. L. (2003). Disturbance, forest age, and mountain pine beetle outbreak dynamics in</w:t>
      </w:r>
      <w:r>
        <w:t xml:space="preserve"> </w:t>
      </w:r>
      <w:r>
        <w:t xml:space="preserve">BC</w:t>
      </w:r>
      <w:r>
        <w:t xml:space="preserve">: A historical perspective. In</w:t>
      </w:r>
      <w:r>
        <w:t xml:space="preserve"> </w:t>
      </w:r>
      <w:r>
        <w:rPr>
          <w:i/>
          <w:iCs/>
        </w:rPr>
        <w:t xml:space="preserve">Mountain pine beetle symposium: Challenges and solutions, october 30–31, 2003, kelowna, british columbia</w:t>
      </w:r>
      <w:r>
        <w:t xml:space="preserve"> </w:t>
      </w:r>
      <w:r>
        <w:t xml:space="preserve">(pp. 41–51). Victoria, British Columbia: Natural Resources Canada, Canadian Forest Service, Pacific Forestry Centre.</w:t>
      </w:r>
    </w:p>
    <w:bookmarkEnd w:id="117"/>
    <w:bookmarkEnd w:id="118"/>
    <w:bookmarkEnd w:id="119"/>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B92A44"/>
  </w:style>
  <w:style w:customStyle="1" w:styleId="FirstParagraph" w:type="paragraph">
    <w:name w:val="First Paragraph"/>
    <w:basedOn w:val="BodyText"/>
    <w:next w:val="BodyText"/>
    <w:qFormat/>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24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Pr>
      <w:sz w:val="16"/>
      <w:szCs w:val="16"/>
      <w:lang w:val="en-CA"/>
    </w:rPr>
    <w:tblPr>
      <w:tblInd w:type="dxa" w:w="0"/>
      <w:tblCellMar>
        <w:top w:type="dxa" w:w="0"/>
        <w:left w:type="dxa" w:w="108"/>
        <w:bottom w:type="dxa" w:w="0"/>
        <w:right w:type="dxa" w:w="108"/>
      </w:tblCellMar>
    </w:tblPr>
    <w:trPr>
      <w:trHeight w:hRule="atLeast" w:val="3402"/>
    </w:trPr>
    <w:tblStylePr w:type="firstRow">
      <w:tblPr>
        <w:jc w:val="left"/>
      </w:tblPr>
      <w:trPr>
        <w:trHeight w:hRule="atLeast" w:val="680"/>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jc w:val="left"/>
      <w:keepNext/>
    </w:pPr>
    <w:rPr>
      <w:sz w:val="20"/>
      <w:szCs w:val="20"/>
    </w:rPr>
  </w:style>
  <w:style w:customStyle="1" w:styleId="ImageCaption" w:type="paragraph">
    <w:name w:val="Image Caption"/>
    <w:basedOn w:val="Caption"/>
    <w:rsid w:val="00B92A44"/>
    <w:pPr>
      <w:jc w:val="left"/>
      <w:spacing w:after="0" w:before="60"/>
    </w:pPr>
    <w:rPr>
      <w:sz w:val="20"/>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39" Target="media/rId39.png" /><Relationship Type="http://schemas.openxmlformats.org/officeDocument/2006/relationships/image" Id="rId51" Target="media/rId51.png" /><Relationship Type="http://schemas.openxmlformats.org/officeDocument/2006/relationships/image" Id="rId24" Target="media/rId24.png" /><Relationship Type="http://schemas.openxmlformats.org/officeDocument/2006/relationships/hyperlink" Id="rId100" Target="https://doi.org/10.1002/fee.2190" TargetMode="External" /><Relationship Type="http://schemas.openxmlformats.org/officeDocument/2006/relationships/hyperlink" Id="rId94" Target="https://doi.org/10.1007/s00442-022-05129-4" TargetMode="External" /><Relationship Type="http://schemas.openxmlformats.org/officeDocument/2006/relationships/hyperlink" Id="rId79" Target="https://doi.org/10.1007/s10453-010-9176-9" TargetMode="External" /><Relationship Type="http://schemas.openxmlformats.org/officeDocument/2006/relationships/hyperlink" Id="rId112" Target="https://doi.org/10.1016/j.ecolmodel.2013.10.034" TargetMode="External" /><Relationship Type="http://schemas.openxmlformats.org/officeDocument/2006/relationships/hyperlink" Id="rId108" Target="https://doi.org/10.1016/j.foreco.2026.123985" TargetMode="External" /><Relationship Type="http://schemas.openxmlformats.org/officeDocument/2006/relationships/hyperlink" Id="rId115" Target="https://doi.org/10.1079/PAVSNNR202116018" TargetMode="External" /><Relationship Type="http://schemas.openxmlformats.org/officeDocument/2006/relationships/hyperlink" Id="rId104" Target="https://doi.org/10.1093/aesa/64.2.534" TargetMode="External" /><Relationship Type="http://schemas.openxmlformats.org/officeDocument/2006/relationships/hyperlink" Id="rId92" Target="https://doi.org/10.1111/j.1439-0418.1972.tb01745.x" TargetMode="External" /><Relationship Type="http://schemas.openxmlformats.org/officeDocument/2006/relationships/hyperlink" Id="rId106" Target="https://doi.org/10.1111/j.1654-1103.2002.tb02087.x" TargetMode="External" /><Relationship Type="http://schemas.openxmlformats.org/officeDocument/2006/relationships/hyperlink" Id="rId88" Target="https://doi.org/10.1111/jen.13262" TargetMode="External" /><Relationship Type="http://schemas.openxmlformats.org/officeDocument/2006/relationships/hyperlink" Id="rId96" Target="https://doi.org/10.1139/X08-066" TargetMode="External" /><Relationship Type="http://schemas.openxmlformats.org/officeDocument/2006/relationships/hyperlink" Id="rId98" Target="https://doi.org/10.1139/cjfr-2018-0304" TargetMode="External" /><Relationship Type="http://schemas.openxmlformats.org/officeDocument/2006/relationships/hyperlink" Id="rId90" Target="https://doi.org/10.1175/BAMS-D-21-0075.1" TargetMode="External" /><Relationship Type="http://schemas.openxmlformats.org/officeDocument/2006/relationships/hyperlink" Id="rId81" Target="https://doi.org/10.1175/JAMC-D-13-0147.1" TargetMode="External" /><Relationship Type="http://schemas.openxmlformats.org/officeDocument/2006/relationships/hyperlink" Id="rId102" Target="https://doi.org/10.1175/JHM486.1" TargetMode="External" /><Relationship Type="http://schemas.openxmlformats.org/officeDocument/2006/relationships/hyperlink" Id="rId83" Target="https://doi.org/10.2737/int-rp-400" TargetMode="External" /><Relationship Type="http://schemas.openxmlformats.org/officeDocument/2006/relationships/hyperlink" Id="rId86" Target="https://doi.org/10.3390/f9110715" TargetMode="External" /><Relationship Type="http://schemas.openxmlformats.org/officeDocument/2006/relationships/hyperlink" Id="rId76" Target="https://github.com/seamusrobertmurphy/beetle-topography-and-wind-study" TargetMode="External" /><Relationship Type="http://schemas.openxmlformats.org/officeDocument/2006/relationships/hyperlink" Id="rId110" Target="https://open.canada.ca/data/en/dataset/957782bf-847c-4644-a757-e383c0057995"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100" Target="https://doi.org/10.1002/fee.2190" TargetMode="External" /><Relationship Type="http://schemas.openxmlformats.org/officeDocument/2006/relationships/hyperlink" Id="rId94" Target="https://doi.org/10.1007/s00442-022-05129-4" TargetMode="External" /><Relationship Type="http://schemas.openxmlformats.org/officeDocument/2006/relationships/hyperlink" Id="rId79" Target="https://doi.org/10.1007/s10453-010-9176-9" TargetMode="External" /><Relationship Type="http://schemas.openxmlformats.org/officeDocument/2006/relationships/hyperlink" Id="rId112" Target="https://doi.org/10.1016/j.ecolmodel.2013.10.034" TargetMode="External" /><Relationship Type="http://schemas.openxmlformats.org/officeDocument/2006/relationships/hyperlink" Id="rId108" Target="https://doi.org/10.1016/j.foreco.2026.123985" TargetMode="External" /><Relationship Type="http://schemas.openxmlformats.org/officeDocument/2006/relationships/hyperlink" Id="rId115" Target="https://doi.org/10.1079/PAVSNNR202116018" TargetMode="External" /><Relationship Type="http://schemas.openxmlformats.org/officeDocument/2006/relationships/hyperlink" Id="rId104" Target="https://doi.org/10.1093/aesa/64.2.534" TargetMode="External" /><Relationship Type="http://schemas.openxmlformats.org/officeDocument/2006/relationships/hyperlink" Id="rId92" Target="https://doi.org/10.1111/j.1439-0418.1972.tb01745.x" TargetMode="External" /><Relationship Type="http://schemas.openxmlformats.org/officeDocument/2006/relationships/hyperlink" Id="rId106" Target="https://doi.org/10.1111/j.1654-1103.2002.tb02087.x" TargetMode="External" /><Relationship Type="http://schemas.openxmlformats.org/officeDocument/2006/relationships/hyperlink" Id="rId88" Target="https://doi.org/10.1111/jen.13262" TargetMode="External" /><Relationship Type="http://schemas.openxmlformats.org/officeDocument/2006/relationships/hyperlink" Id="rId96" Target="https://doi.org/10.1139/X08-066" TargetMode="External" /><Relationship Type="http://schemas.openxmlformats.org/officeDocument/2006/relationships/hyperlink" Id="rId98" Target="https://doi.org/10.1139/cjfr-2018-0304" TargetMode="External" /><Relationship Type="http://schemas.openxmlformats.org/officeDocument/2006/relationships/hyperlink" Id="rId90" Target="https://doi.org/10.1175/BAMS-D-21-0075.1" TargetMode="External" /><Relationship Type="http://schemas.openxmlformats.org/officeDocument/2006/relationships/hyperlink" Id="rId81" Target="https://doi.org/10.1175/JAMC-D-13-0147.1" TargetMode="External" /><Relationship Type="http://schemas.openxmlformats.org/officeDocument/2006/relationships/hyperlink" Id="rId102" Target="https://doi.org/10.1175/JHM486.1" TargetMode="External" /><Relationship Type="http://schemas.openxmlformats.org/officeDocument/2006/relationships/hyperlink" Id="rId83" Target="https://doi.org/10.2737/int-rp-400" TargetMode="External" /><Relationship Type="http://schemas.openxmlformats.org/officeDocument/2006/relationships/hyperlink" Id="rId86" Target="https://doi.org/10.3390/f9110715" TargetMode="External" /><Relationship Type="http://schemas.openxmlformats.org/officeDocument/2006/relationships/hyperlink" Id="rId76" Target="https://github.com/seamusrobertmurphy/beetle-topography-and-wind-study" TargetMode="External" /><Relationship Type="http://schemas.openxmlformats.org/officeDocument/2006/relationships/hyperlink" Id="rId110" Target="https://open.canada.ca/data/en/dataset/957782bf-847c-4644-a757-e383c00579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beetle refugia</dc:title>
  <dc:creator>Seamus Murphy</dc:creator>
  <cp:keywords>Dendroctonus ponderosae, Landsat time series, stand density, geomorphometry, temporal resolution, pheromone communication</cp:keywords>
  <dcterms:created xsi:type="dcterms:W3CDTF">2026-08-29T02:05:51Z</dcterms:created>
  <dcterms:modified xsi:type="dcterms:W3CDTF">2026-08-29T02:05:51Z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../04.references/references-beetle.bib</vt:lpwstr>
  </property>
  <property fmtid="{D5CDD505-2E9C-101B-9397-08002B2CF9AE}" pid="6" name="by-author">
    <vt:lpwstr/>
  </property>
  <property fmtid="{D5CDD505-2E9C-101B-9397-08002B2CF9AE}" pid="7" name="csl">
    <vt:lpwstr>../04.references/apa-6th-edition.csl</vt:lpwstr>
  </property>
  <property fmtid="{D5CDD505-2E9C-101B-9397-08002B2CF9AE}" pid="8" name="date">
    <vt:lpwstr>2026-08-28</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Stand density, terrain shape and flight-window wind as competing controls on mountain pine beetle attack (Dendroctonus ponderosae) in the Selkirk Mountains of British Columbia</vt:lpwstr>
  </property>
  <property fmtid="{D5CDD505-2E9C-101B-9397-08002B2CF9AE}" pid="16" name="toc-title">
    <vt:lpwstr>Table of contents</vt:lpwstr>
  </property>
</Properties>
</file>