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2.xml" ContentType="application/vnd.openxmlformats-officedocument.wordprocessingml.footer+xml"/>
  <Override PartName="/word/footer1.xml" ContentType="application/vnd.openxmlformats-officedocument.wordprocessingml.footer+xml"/>
  <Override PartName="/word/media/rId40.png" ContentType="image/png"/>
  <Override PartName="/word/media/rId52.png" ContentType="image/png"/>
  <Override PartName="/word/media/rId25.png" ContentType="image/png"/>
  <Override PartName="/word/media/image1.png" ContentType="image/png"/>
  <Override PartName="/word/media/image2.png" ContentType="image/png"/>
  <Override PartName="/word/media/image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Testing the wind disruption hypothesis for beetle refugia</w:t>
      </w:r>
    </w:p>
    <w:p>
      <w:pPr>
        <w:pStyle w:val="Subtitle"/>
      </w:pPr>
      <w:r>
        <w:t xml:space="preserve">Stand density, terrain and wind as competing controls on mountain pine beetle attack (Dendroctonus ponderosae) in the Selkirk Mountains of British Columbia</w:t>
      </w:r>
    </w:p>
    <w:p>
      <w:pPr>
        <w:pStyle w:val="Author"/>
      </w:pPr>
      <w:r>
        <w:t xml:space="preserve">Seamus Murphy</w:t>
      </w:r>
    </w:p>
    <w:p>
      <w:pPr>
        <w:pStyle w:val="Date"/>
      </w:pPr>
      <w:r>
        <w:t xml:space="preserve">2026-08-30</w:t>
      </w:r>
    </w:p>
    <w:bookmarkStart w:id="20" w:name="abstract"/>
    <w:p>
      <w:pPr>
        <w:pStyle w:val="Heading1"/>
      </w:pPr>
      <w:r>
        <w:t xml:space="preserve">Abstract</w:t>
      </w:r>
    </w:p>
    <w:p>
      <w:pPr>
        <w:pStyle w:val="FirstParagraph"/>
      </w:pPr>
      <w:r>
        <w:t xml:space="preserve">Refugia from mountain pine beetle (</w:t>
      </w:r>
      <w:r>
        <w:rPr>
          <w:i/>
          <w:iCs/>
        </w:rPr>
        <w:t xml:space="preserve">Dendroctonus ponderosae</w:t>
      </w:r>
      <w:r>
        <w:t xml:space="preserve"> </w:t>
      </w:r>
      <w:r>
        <w:t xml:space="preserve">Hopkins) are hypothesised to</w:t>
      </w:r>
      <w:r>
        <w:t xml:space="preserve"> </w:t>
      </w:r>
      <w:r>
        <w:t xml:space="preserve">form where tree defences hold, on shaded ground that spares trees water stress, or in thin</w:t>
      </w:r>
      <w:r>
        <w:t xml:space="preserve"> </w:t>
      </w:r>
      <w:r>
        <w:t xml:space="preserve">stands with few large hosts, where wind may disrupt the aggregation pheromone or vigour</w:t>
      </w:r>
      <w:r>
        <w:t xml:space="preserve"> </w:t>
      </w:r>
      <w:r>
        <w:t xml:space="preserve">sustain chemical defence. None has been fitted spatially. All three were tested across</w:t>
      </w:r>
      <w:r>
        <w:t xml:space="preserve"> </w:t>
      </w:r>
      <w:r>
        <w:t xml:space="preserve">5,573 ha of the Selkirk Mountains, British Columbia, using 59</w:t>
      </w:r>
      <w:r>
        <w:t xml:space="preserve"> </w:t>
      </w:r>
      <w:r>
        <w:t xml:space="preserve">sixteen-day Landsat epochs over eight outbreak years, year-matched forest</w:t>
      </w:r>
      <w:r>
        <w:t xml:space="preserve"> </w:t>
      </w:r>
      <w:r>
        <w:t xml:space="preserve">inventory, 29 geomorphometric variables, and a terrain-resolved MicroMet wind</w:t>
      </w:r>
      <w:r>
        <w:t xml:space="preserve"> </w:t>
      </w:r>
      <w:r>
        <w:t xml:space="preserve">field from hourly station records. The wind disruption hypothesis held, conditionally.</w:t>
      </w:r>
      <w:r>
        <w:t xml:space="preserve"> </w:t>
      </w:r>
      <w:r>
        <w:t xml:space="preserve">Attack fell where a thin stand and strong flight-period wind coincided, the density-by-wind</w:t>
      </w:r>
      <w:r>
        <w:t xml:space="preserve"> </w:t>
      </w:r>
      <w:r>
        <w:t xml:space="preserve">interaction -0.049 for stem density (p &lt; 0.001) and -0.017 for</w:t>
      </w:r>
      <w:r>
        <w:t xml:space="preserve"> </w:t>
      </w:r>
      <w:r>
        <w:t xml:space="preserve">standing volume (p &lt; 0.05), both surviving a within-season contagion term. Neither</w:t>
      </w:r>
      <w:r>
        <w:t xml:space="preserve"> </w:t>
      </w:r>
      <w:r>
        <w:t xml:space="preserve">protected alone. Wind alone carried marginally more attack (+0.022), and</w:t>
      </w:r>
      <w:r>
        <w:t xml:space="preserve"> </w:t>
      </w:r>
      <w:r>
        <w:t xml:space="preserve">thin stands in still air did not. A refugium here is a conjunction of stand and weather, not</w:t>
      </w:r>
      <w:r>
        <w:t xml:space="preserve"> </w:t>
      </w:r>
      <w:r>
        <w:t xml:space="preserve">a fixed place. The model cannot separate plume disruption from the vigour that also</w:t>
      </w:r>
      <w:r>
        <w:t xml:space="preserve"> </w:t>
      </w:r>
      <w:r>
        <w:t xml:space="preserve">accompanies low density. Host size held as a threshold, not a gradient. Attack peaked at</w:t>
      </w:r>
      <w:r>
        <w:t xml:space="preserve"> </w:t>
      </w:r>
      <w:r>
        <w:t xml:space="preserve">39.7 per cent in the 25 to 30 cm quadratic mean diameter class, the</w:t>
      </w:r>
      <w:r>
        <w:t xml:space="preserve"> </w:t>
      </w:r>
      <w:r>
        <w:t xml:space="preserve">source-sink boundary of</w:t>
      </w:r>
      <w:r>
        <w:t xml:space="preserve"> </w:t>
      </w:r>
      <w:r>
        <w:t xml:space="preserve">Carroll &amp; Safranyik (2004)</w:t>
      </w:r>
      <w:r>
        <w:t xml:space="preserve">, and fell away on both sides. Above that class</w:t>
      </w:r>
      <w:r>
        <w:t xml:space="preserve"> </w:t>
      </w:r>
      <w:r>
        <w:t xml:space="preserve">pine basal area falls from 10.2 to 1.4 square</w:t>
      </w:r>
      <w:r>
        <w:t xml:space="preserve"> </w:t>
      </w:r>
      <w:r>
        <w:t xml:space="preserve">metres per hectare while total basal area rises, as expected of a pioneer, because the</w:t>
      </w:r>
      <w:r>
        <w:t xml:space="preserve"> </w:t>
      </w:r>
      <w:r>
        <w:t xml:space="preserve">larger stands are not pine. The rise across 25 cm is the size threshold, the</w:t>
      </w:r>
      <w:r>
        <w:t xml:space="preserve"> </w:t>
      </w:r>
      <w:r>
        <w:t xml:space="preserve">fall above it host scarcity. Temperature and hydrology failed in reverse. North-facing</w:t>
      </w:r>
      <w:r>
        <w:t xml:space="preserve"> </w:t>
      </w:r>
      <w:r>
        <w:t xml:space="preserve">slopes, which the water-stress mechanism predicts should escape, carried more attack,</w:t>
      </w:r>
      <w:r>
        <w:t xml:space="preserve"> </w:t>
      </w:r>
      <w:r>
        <w:t xml:space="preserve">+0.305. Refugia here were warm, not cool, so terrain wind indices at these</w:t>
      </w:r>
      <w:r>
        <w:t xml:space="preserve"> </w:t>
      </w:r>
      <w:r>
        <w:t xml:space="preserve">elevations partly carry insolation.</w:t>
      </w:r>
    </w:p>
    <w:bookmarkEnd w:id="20"/>
    <w:bookmarkStart w:id="21" w:name="keywords"/>
    <w:p>
      <w:pPr>
        <w:pStyle w:val="Heading1"/>
      </w:pPr>
      <w:r>
        <w:t xml:space="preserve">Keywords</w:t>
      </w:r>
    </w:p>
    <w:p>
      <w:pPr>
        <w:pStyle w:val="FirstParagraph"/>
      </w:pPr>
      <w:r>
        <w:t xml:space="preserve">Dendroctonus ponderosae, forest disturbance, insect outbreaks, Landsat time series,</w:t>
      </w:r>
      <w:r>
        <w:t xml:space="preserve"> </w:t>
      </w:r>
      <w:r>
        <w:t xml:space="preserve">refugia, British Columbia</w:t>
      </w:r>
    </w:p>
    <w:bookmarkEnd w:id="21"/>
    <w:bookmarkStart w:id="23" w:name="introduction"/>
    <w:p>
      <w:pPr>
        <w:pStyle w:val="Heading1"/>
      </w:pPr>
      <w:r>
        <w:t xml:space="preserve">1. Introduction</w:t>
      </w:r>
    </w:p>
    <w:p>
      <w:pPr>
        <w:pStyle w:val="FirstParagraph"/>
      </w:pPr>
      <w:r>
        <w:t xml:space="preserve">Mountain pine beetle (</w:t>
      </w:r>
      <w:r>
        <w:rPr>
          <w:i/>
          <w:iCs/>
        </w:rPr>
        <w:t xml:space="preserve">Dendroctonus ponderosae</w:t>
      </w:r>
      <w:r>
        <w:t xml:space="preserve"> </w:t>
      </w:r>
      <w:r>
        <w:t xml:space="preserve">Hopkins) has killed more lodgepole pine</w:t>
      </w:r>
      <w:r>
        <w:t xml:space="preserve"> </w:t>
      </w:r>
      <w:r>
        <w:t xml:space="preserve">(</w:t>
      </w:r>
      <w:r>
        <w:rPr>
          <w:i/>
          <w:iCs/>
        </w:rPr>
        <w:t xml:space="preserve">Pinus contorta</w:t>
      </w:r>
      <w:r>
        <w:t xml:space="preserve"> </w:t>
      </w:r>
      <w:r>
        <w:t xml:space="preserve">Douglas ex Loudon) in British Columbia than any other agent on record</w:t>
      </w:r>
      <w:r>
        <w:t xml:space="preserve"> </w:t>
      </w:r>
      <w:r>
        <w:t xml:space="preserve">(Sambaraju &amp; Goodsman, 2021; Taylor &amp; Carroll, 2003)</w:t>
      </w:r>
      <w:r>
        <w:t xml:space="preserve">. An outbreak never kills a landscape evenly. The patches that</w:t>
      </w:r>
      <w:r>
        <w:t xml:space="preserve"> </w:t>
      </w:r>
      <w:r>
        <w:t xml:space="preserve">survive are the source of structure and seed for the next forest, and they are called</w:t>
      </w:r>
      <w:r>
        <w:t xml:space="preserve"> </w:t>
      </w:r>
      <w:r>
        <w:t xml:space="preserve">disturbance refugia, places buffered from disturbance over time</w:t>
      </w:r>
      <w:r>
        <w:t xml:space="preserve"> </w:t>
      </w:r>
      <w:r>
        <w:t xml:space="preserve">(Krawchuk et al., 2020)</w:t>
      </w:r>
      <w:r>
        <w:t xml:space="preserve">. Finding a</w:t>
      </w:r>
      <w:r>
        <w:t xml:space="preserve"> </w:t>
      </w:r>
      <w:r>
        <w:t xml:space="preserve">refugium is not the same as explaining one. Explanation needs a mechanism that ties survival</w:t>
      </w:r>
      <w:r>
        <w:t xml:space="preserve"> </w:t>
      </w:r>
      <w:r>
        <w:t xml:space="preserve">to something measurable on the ground, such as terrain, soil or the structure of the stand</w:t>
      </w:r>
      <w:r>
        <w:t xml:space="preserve"> </w:t>
      </w:r>
      <w:r>
        <w:t xml:space="preserve">itself</w:t>
      </w:r>
      <w:r>
        <w:t xml:space="preserve"> </w:t>
      </w:r>
      <w:r>
        <w:t xml:space="preserve">(Cartwright, 2018)</w:t>
      </w:r>
      <w:r>
        <w:t xml:space="preserve">.</w:t>
      </w:r>
    </w:p>
    <w:p>
      <w:pPr>
        <w:pStyle w:val="BodyText"/>
      </w:pPr>
      <w:r>
        <w:t xml:space="preserve">Krawchuk et al. (2020)</w:t>
      </w:r>
      <w:r>
        <w:t xml:space="preserve"> </w:t>
      </w:r>
      <w:r>
        <w:t xml:space="preserve">proposed such a mechanism, that refugia could occur</w:t>
      </w:r>
      <w:r>
        <w:t xml:space="preserve"> </w:t>
      </w:r>
      <w:r>
        <w:t xml:space="preserve">“in areas with cooler</w:t>
      </w:r>
      <w:r>
        <w:t xml:space="preserve"> </w:t>
      </w:r>
      <w:r>
        <w:t xml:space="preserve">temperatures (eg from topographic shading) that protect trees from water stress; in areas</w:t>
      </w:r>
      <w:r>
        <w:t xml:space="preserve"> </w:t>
      </w:r>
      <w:r>
        <w:t xml:space="preserve">with lower host density, allowing for greater wind disruption of beetle pheromone</w:t>
      </w:r>
      <w:r>
        <w:t xml:space="preserve"> </w:t>
      </w:r>
      <w:r>
        <w:t xml:space="preserve">communication and more vigorous tree growth and chemical defenses; and in areas with fewer</w:t>
      </w:r>
      <w:r>
        <w:t xml:space="preserve"> </w:t>
      </w:r>
      <w:r>
        <w:t xml:space="preserve">large-diameter host trees”</w:t>
      </w:r>
      <w:r>
        <w:t xml:space="preserve"> </w:t>
      </w:r>
      <w:r>
        <w:t xml:space="preserve">(p. 239). These are treated here as three testable hypotheses.</w:t>
      </w:r>
      <w:r>
        <w:t xml:space="preserve"> </w:t>
      </w:r>
      <w:r>
        <w:t xml:space="preserve">Under H1, topographic shading reduces attack by relieving water stress on cool ground. Under</w:t>
      </w:r>
      <w:r>
        <w:t xml:space="preserve"> </w:t>
      </w:r>
      <w:r>
        <w:t xml:space="preserve">H2, low host density reduces attack by admitting the wind that disperses the aggregation</w:t>
      </w:r>
      <w:r>
        <w:t xml:space="preserve"> </w:t>
      </w:r>
      <w:r>
        <w:t xml:space="preserve">pheromone. Under H3, a scarcity of large-diameter hosts reduces attack by limiting brood</w:t>
      </w:r>
      <w:r>
        <w:t xml:space="preserve"> </w:t>
      </w:r>
      <w:r>
        <w:t xml:space="preserve">production. Two of the three act through terrain, and none has been fitted to a map. Only</w:t>
      </w:r>
      <w:r>
        <w:t xml:space="preserve"> </w:t>
      </w:r>
      <w:r>
        <w:t xml:space="preserve">one of the studies the screen retained enters a wind term, a companion study on this same</w:t>
      </w:r>
      <w:r>
        <w:t xml:space="preserve"> </w:t>
      </w:r>
      <w:r>
        <w:t xml:space="preserve">landscape whose response is conifer regeneration rather than beetle attack</w:t>
      </w:r>
      <w:r>
        <w:t xml:space="preserve"> </w:t>
      </w:r>
      <w:r>
        <w:t xml:space="preserve">(Murphy, Leslie, Wilson, &amp; Banks, 2026)</w:t>
      </w:r>
      <w:r>
        <w:t xml:space="preserve">.</w:t>
      </w:r>
    </w:p>
    <w:p>
      <w:pPr>
        <w:pStyle w:val="BodyText"/>
      </w:pPr>
      <w:r>
        <w:t xml:space="preserve">The wind half is a claim about canopy, not open air.</w:t>
      </w:r>
      <w:r>
        <w:t xml:space="preserve"> </w:t>
      </w:r>
      <w:r>
        <w:t xml:space="preserve">Cartwright (2018)</w:t>
      </w:r>
      <w:r>
        <w:t xml:space="preserve"> </w:t>
      </w:r>
      <w:r>
        <w:t xml:space="preserve">is the one retained study designed</w:t>
      </w:r>
      <w:r>
        <w:t xml:space="preserve"> </w:t>
      </w:r>
      <w:r>
        <w:t xml:space="preserve">to model what controls an insect refugium, and it located refugia in stands of low basal</w:t>
      </w:r>
      <w:r>
        <w:t xml:space="preserve"> </w:t>
      </w:r>
      <w:r>
        <w:t xml:space="preserve">area, reasoning that</w:t>
      </w:r>
      <w:r>
        <w:t xml:space="preserve"> </w:t>
      </w:r>
      <w:r>
        <w:t xml:space="preserve">“thinner stands also increase wind penetration, helping to disperse</w:t>
      </w:r>
      <w:r>
        <w:t xml:space="preserve"> </w:t>
      </w:r>
      <w:r>
        <w:t xml:space="preserve">beetle pheromones and disrupt chemical communications needed to coordinate attacks.”</w:t>
      </w:r>
      <w:r>
        <w:t xml:space="preserve"> </w:t>
      </w:r>
      <w:r>
        <w:t xml:space="preserve">Powell &amp; Bentz (2014)</w:t>
      </w:r>
      <w:r>
        <w:t xml:space="preserve"> </w:t>
      </w:r>
      <w:r>
        <w:t xml:space="preserve">state the converse as the</w:t>
      </w:r>
      <w:r>
        <w:t xml:space="preserve"> </w:t>
      </w:r>
      <w:r>
        <w:t xml:space="preserve">condition for outbreak, that</w:t>
      </w:r>
      <w:r>
        <w:t xml:space="preserve"> </w:t>
      </w:r>
      <w:r>
        <w:t xml:space="preserve">“higher local host density, which minimizes pheromone plume</w:t>
      </w:r>
      <w:r>
        <w:t xml:space="preserve"> </w:t>
      </w:r>
      <w:r>
        <w:t xml:space="preserve">dispersion, reduces wind, and promotes successful switching to nearby hosts, positively</w:t>
      </w:r>
      <w:r>
        <w:t xml:space="preserve"> </w:t>
      </w:r>
      <w:r>
        <w:t xml:space="preserve">influences outbreak propensity.”</w:t>
      </w:r>
      <w:r>
        <w:t xml:space="preserve"> </w:t>
      </w:r>
      <w:r>
        <w:t xml:space="preserve">A model that controls stand density out and then reads a</w:t>
      </w:r>
      <w:r>
        <w:t xml:space="preserve"> </w:t>
      </w:r>
      <w:r>
        <w:t xml:space="preserve">terrain coefficient as a wind effect has removed the pathway it set out to test.</w:t>
      </w:r>
    </w:p>
    <w:p>
      <w:pPr>
        <w:pStyle w:val="BodyText"/>
      </w:pPr>
      <w:r>
        <w:t xml:space="preserve">Terrain acts through more than airflow. Flight has a temperature window. The beetle flies</w:t>
      </w:r>
      <w:r>
        <w:t xml:space="preserve"> </w:t>
      </w:r>
      <w:r>
        <w:t xml:space="preserve">between 19 and 41 degrees C, mostly between 22 and 32, and</w:t>
      </w:r>
      <w:r>
        <w:t xml:space="preserve"> </w:t>
      </w:r>
      <w:r>
        <w:t xml:space="preserve">Safranyik &amp; Carroll (2006)</w:t>
      </w:r>
      <w:r>
        <w:t xml:space="preserve"> </w:t>
      </w:r>
      <w:r>
        <w:t xml:space="preserve">and</w:t>
      </w:r>
      <w:r>
        <w:t xml:space="preserve"> </w:t>
      </w:r>
      <w:r>
        <w:t xml:space="preserve">McCambridge (1971)</w:t>
      </w:r>
      <w:r>
        <w:t xml:space="preserve"> </w:t>
      </w:r>
      <w:r>
        <w:t xml:space="preserve">report that</w:t>
      </w:r>
      <w:r>
        <w:t xml:space="preserve"> </w:t>
      </w:r>
      <w:r>
        <w:t xml:space="preserve">“most flights occur on bright sunny days, and peak flight is in</w:t>
      </w:r>
      <w:r>
        <w:t xml:space="preserve"> </w:t>
      </w:r>
      <w:r>
        <w:t xml:space="preserve">the early to mid afternoon”</w:t>
      </w:r>
      <w:r>
        <w:t xml:space="preserve">. Radiation during the</w:t>
      </w:r>
      <w:r>
        <w:t xml:space="preserve"> </w:t>
      </w:r>
      <w:r>
        <w:t xml:space="preserve">flight window is therefore a different quantity from radiation across the season, and the</w:t>
      </w:r>
      <w:r>
        <w:t xml:space="preserve"> </w:t>
      </w:r>
      <w:r>
        <w:t xml:space="preserve">season quantity is the one the shading pathway concerns. Light, temperature and wind are not</w:t>
      </w:r>
      <w:r>
        <w:t xml:space="preserve"> </w:t>
      </w:r>
      <w:r>
        <w:t xml:space="preserve">competing explanations but one bundle. Stand density governs</w:t>
      </w:r>
      <w:r>
        <w:t xml:space="preserve"> </w:t>
      </w:r>
      <w:r>
        <w:t xml:space="preserve">“tree vigour and within-stand</w:t>
      </w:r>
      <w:r>
        <w:t xml:space="preserve"> </w:t>
      </w:r>
      <w:r>
        <w:t xml:space="preserve">microclimate, which in turn influence success of bark beetle dispersal, host selection, attack</w:t>
      </w:r>
      <w:r>
        <w:t xml:space="preserve"> </w:t>
      </w:r>
      <w:r>
        <w:t xml:space="preserve">or brood development”</w:t>
      </w:r>
      <w:r>
        <w:t xml:space="preserve"> </w:t>
      </w:r>
      <w:r>
        <w:t xml:space="preserve">(Safranyik &amp; Carroll, 2006)</w:t>
      </w:r>
      <w:r>
        <w:t xml:space="preserve">;</w:t>
      </w:r>
      <w:r>
        <w:t xml:space="preserve"> </w:t>
      </w:r>
      <w:r>
        <w:t xml:space="preserve">Bartos &amp; Amman (1989)</w:t>
      </w:r>
      <w:r>
        <w:t xml:space="preserve"> </w:t>
      </w:r>
      <w:r>
        <w:t xml:space="preserve">set the two halves of that bundle</w:t>
      </w:r>
      <w:r>
        <w:t xml:space="preserve"> </w:t>
      </w:r>
      <w:r>
        <w:t xml:space="preserve">against each other in their own title, microclimate against tree vigour. A third route leads</w:t>
      </w:r>
      <w:r>
        <w:t xml:space="preserve"> </w:t>
      </w:r>
      <w:r>
        <w:t xml:space="preserve">to the same place. Cool sites slow development enough to push the beetle onto a two-year</w:t>
      </w:r>
      <w:r>
        <w:t xml:space="preserve"> </w:t>
      </w:r>
      <w:r>
        <w:t xml:space="preserve">cycle</w:t>
      </w:r>
      <w:r>
        <w:t xml:space="preserve"> </w:t>
      </w:r>
      <w:r>
        <w:t xml:space="preserve">(Sambaraju &amp; Goodsman, 2021)</w:t>
      </w:r>
      <w:r>
        <w:t xml:space="preserve">. So shade and vigour both predict less attack on cool ground, by</w:t>
      </w:r>
      <w:r>
        <w:t xml:space="preserve"> </w:t>
      </w:r>
      <w:r>
        <w:t xml:space="preserve">routes this design cannot separate.</w:t>
      </w:r>
    </w:p>
    <w:p>
      <w:pPr>
        <w:pStyle w:val="BodyText"/>
      </w:pPr>
      <w:r>
        <w:t xml:space="preserve">Two further constraints decide what a wind term can be measured over, and both are</w:t>
      </w:r>
      <w:r>
        <w:t xml:space="preserve"> </w:t>
      </w:r>
      <w:r>
        <w:t xml:space="preserve">temporal rather than spatial. The first is the day.</w:t>
      </w:r>
      <w:r>
        <w:t xml:space="preserve"> </w:t>
      </w:r>
      <w:r>
        <w:t xml:space="preserve">Gray, Billings, Gara, &amp; Johnsey (1972)</w:t>
      </w:r>
      <w:r>
        <w:t xml:space="preserve"> </w:t>
      </w:r>
      <w:r>
        <w:t xml:space="preserve">recorded emergence in</w:t>
      </w:r>
      <w:r>
        <w:t xml:space="preserve"> </w:t>
      </w:r>
      <w:r>
        <w:rPr>
          <w:i/>
          <w:iCs/>
        </w:rPr>
        <w:t xml:space="preserve">D. ponderosae</w:t>
      </w:r>
      <w:r>
        <w:t xml:space="preserve"> </w:t>
      </w:r>
      <w:r>
        <w:t xml:space="preserve">against ambient temperature and found that on days whose maximum stayed</w:t>
      </w:r>
      <w:r>
        <w:t xml:space="preserve"> </w:t>
      </w:r>
      <w:r>
        <w:t xml:space="preserve">within optimal limits, emergence</w:t>
      </w:r>
      <w:r>
        <w:t xml:space="preserve"> </w:t>
      </w:r>
      <w:r>
        <w:t xml:space="preserve">“began when temperatures rose above 20’ C, then increased</w:t>
      </w:r>
      <w:r>
        <w:t xml:space="preserve"> </w:t>
      </w:r>
      <w:r>
        <w:t xml:space="preserve">in the morning hours with increasing temperatures, and ceased in the afternoon at about the</w:t>
      </w:r>
      <w:r>
        <w:t xml:space="preserve"> </w:t>
      </w:r>
      <w:r>
        <w:t xml:space="preserve">same threshold temperature”</w:t>
      </w:r>
      <w:r>
        <w:t xml:space="preserve">, with</w:t>
      </w:r>
      <w:r>
        <w:t xml:space="preserve"> </w:t>
      </w:r>
      <w:r>
        <w:t xml:space="preserve">“Peak emergence occurred between 11 a. m. and 2 p. m.</w:t>
      </w:r>
      <w:r>
        <w:t xml:space="preserve"> </w:t>
      </w:r>
      <w:r>
        <w:t xml:space="preserve">when 61 percent (232 out of 379) of the beetles were collected”</w:t>
      </w:r>
      <w:r>
        <w:t xml:space="preserve">. They also record</w:t>
      </w:r>
      <w:r>
        <w:t xml:space="preserve"> </w:t>
      </w:r>
      <w:r>
        <w:t xml:space="preserve">“the</w:t>
      </w:r>
      <w:r>
        <w:t xml:space="preserve"> </w:t>
      </w:r>
      <w:r>
        <w:t xml:space="preserve">sharp decline in activity which occurred when ambient temperatures exceeded 30’ C”</w:t>
      </w:r>
      <w:r>
        <w:t xml:space="preserve">. Flight</w:t>
      </w:r>
      <w:r>
        <w:t xml:space="preserve"> </w:t>
      </w:r>
      <w:r>
        <w:t xml:space="preserve">is therefore gated at both ends and confined to a few hours, and a daily or monthly mean</w:t>
      </w:r>
      <w:r>
        <w:t xml:space="preserve"> </w:t>
      </w:r>
      <w:r>
        <w:t xml:space="preserve">wind speed averages across hours in which no beetle is flying.</w:t>
      </w:r>
    </w:p>
    <w:p>
      <w:pPr>
        <w:pStyle w:val="BodyText"/>
      </w:pPr>
      <w:r>
        <w:t xml:space="preserve">The second is the season, and it is a population constraint rather than an individual one.</w:t>
      </w:r>
      <w:r>
        <w:t xml:space="preserve"> </w:t>
      </w:r>
      <w:r>
        <w:t xml:space="preserve">Mass attack is a threshold phenomenon.</w:t>
      </w:r>
      <w:r>
        <w:t xml:space="preserve"> </w:t>
      </w:r>
      <w:r>
        <w:t xml:space="preserve">Howe, Raffa, Aukema, Gratton, &amp; Carroll (2022)</w:t>
      </w:r>
      <w:r>
        <w:t xml:space="preserve"> </w:t>
      </w:r>
      <w:r>
        <w:t xml:space="preserve">conclude that</w:t>
      </w:r>
      <w:r>
        <w:t xml:space="preserve"> </w:t>
      </w:r>
      <w:r>
        <w:t xml:space="preserve">“a combination of</w:t>
      </w:r>
      <w:r>
        <w:t xml:space="preserve"> </w:t>
      </w:r>
      <w:r>
        <w:t xml:space="preserve">stand-level spatial aggregation, behavioral shifts, and higher quality of attainable hosts</w:t>
      </w:r>
      <w:r>
        <w:t xml:space="preserve"> </w:t>
      </w:r>
      <w:r>
        <w:t xml:space="preserve">defines a critical threshold beyond which continual population growth becomes</w:t>
      </w:r>
      <w:r>
        <w:t xml:space="preserve"> </w:t>
      </w:r>
      <w:r>
        <w:t xml:space="preserve">self-driving”</w:t>
      </w:r>
      <w:r>
        <w:t xml:space="preserve">, and</w:t>
      </w:r>
      <w:r>
        <w:t xml:space="preserve"> </w:t>
      </w:r>
      <w:r>
        <w:t xml:space="preserve">Cooke, MacQuarrie, &amp; Carroll (2025)</w:t>
      </w:r>
      <w:r>
        <w:t xml:space="preserve"> </w:t>
      </w:r>
      <w:r>
        <w:t xml:space="preserve">define the irruption threshold as</w:t>
      </w:r>
      <w:r>
        <w:t xml:space="preserve"> </w:t>
      </w:r>
      <w:r>
        <w:t xml:space="preserve">“the population density at</w:t>
      </w:r>
      <w:r>
        <w:t xml:space="preserve"> </w:t>
      </w:r>
      <w:r>
        <w:t xml:space="preserve">which endemic populations may transition towards the epidemic state”</w:t>
      </w:r>
      <w:r>
        <w:t xml:space="preserve">.</w:t>
      </w:r>
      <w:r>
        <w:t xml:space="preserve"> </w:t>
      </w:r>
      <w:r>
        <w:t xml:space="preserve">Carroll &amp; Safranyik (2004)</w:t>
      </w:r>
      <w:r>
        <w:t xml:space="preserve"> </w:t>
      </w:r>
      <w:r>
        <w:t xml:space="preserve">place the same argument on the thermal side, requiring</w:t>
      </w:r>
      <w:r>
        <w:t xml:space="preserve"> </w:t>
      </w:r>
      <w:r>
        <w:t xml:space="preserve">“thermal environments conducive to</w:t>
      </w:r>
      <w:r>
        <w:t xml:space="preserve"> </w:t>
      </w:r>
      <w:r>
        <w:t xml:space="preserve">overwintering survival and with sufficient heat accumulation to maintain a synchronous</w:t>
      </w:r>
      <w:r>
        <w:t xml:space="preserve"> </w:t>
      </w:r>
      <w:r>
        <w:t xml:space="preserve">univoltine life cycle”</w:t>
      </w:r>
      <w:r>
        <w:t xml:space="preserve">. Two things follow for this design. Attack in one year is not</w:t>
      </w:r>
      <w:r>
        <w:t xml:space="preserve"> </w:t>
      </w:r>
      <w:r>
        <w:t xml:space="preserve">independent of attack in the year before, which is why previous-year and neighbourhood</w:t>
      </w:r>
      <w:r>
        <w:t xml:space="preserve"> </w:t>
      </w:r>
      <w:r>
        <w:t xml:space="preserve">pressure enter the models. And an environmental variable that acts on this system acts by</w:t>
      </w:r>
      <w:r>
        <w:t xml:space="preserve"> </w:t>
      </w:r>
      <w:r>
        <w:t xml:space="preserve">regulating that threshold rather than by adding to attack.</w:t>
      </w:r>
      <w:r>
        <w:t xml:space="preserve"> </w:t>
      </w:r>
      <w:r>
        <w:t xml:space="preserve">Cooke et al. (2025)</w:t>
      </w:r>
      <w:r>
        <w:t xml:space="preserve"> </w:t>
      </w:r>
      <w:r>
        <w:t xml:space="preserve">report that</w:t>
      </w:r>
      <w:r>
        <w:t xml:space="preserve"> </w:t>
      </w:r>
      <w:r>
        <w:t xml:space="preserve">“in every</w:t>
      </w:r>
      <w:r>
        <w:t xml:space="preserve"> </w:t>
      </w:r>
      <w:r>
        <w:t xml:space="preserve">study where an Allee effect was demonstrated, investigators also identified at least one</w:t>
      </w:r>
      <w:r>
        <w:t xml:space="preserve"> </w:t>
      </w:r>
      <w:r>
        <w:t xml:space="preserve">extrinsic environmental factor (e.g., winter weather, summer drought, microclimatic effect)</w:t>
      </w:r>
      <w:r>
        <w:t xml:space="preserve"> </w:t>
      </w:r>
      <w:r>
        <w:t xml:space="preserve">that was regulating its strength”</w:t>
      </w:r>
      <w:r>
        <w:t xml:space="preserve">. A wind effect on mass attack is therefore expected as an</w:t>
      </w:r>
      <w:r>
        <w:t xml:space="preserve"> </w:t>
      </w:r>
      <w:r>
        <w:t xml:space="preserve">interaction with host density, which is what this study fits, and not as a main effect.</w:t>
      </w:r>
    </w:p>
    <w:p>
      <w:pPr>
        <w:pStyle w:val="BodyText"/>
      </w:pPr>
      <w:r>
        <w:t xml:space="preserve">No product reports the wind the hypothesis concerns, an instantaneous below-canopy speed at</w:t>
      </w:r>
      <w:r>
        <w:t xml:space="preserve"> </w:t>
      </w:r>
      <w:r>
        <w:t xml:space="preserve">flight height during the flight period. Gridded climatologies report a long-run mean at 10 m</w:t>
      </w:r>
      <w:r>
        <w:t xml:space="preserve"> </w:t>
      </w:r>
      <w:r>
        <w:t xml:space="preserve">over open ground and are downscaled over a digital elevation model, making them partly a</w:t>
      </w:r>
      <w:r>
        <w:t xml:space="preserve"> </w:t>
      </w:r>
      <w:r>
        <w:t xml:space="preserve">transform of the terrain offered alongside them</w:t>
      </w:r>
      <w:r>
        <w:t xml:space="preserve"> </w:t>
      </w:r>
      <w:r>
        <w:t xml:space="preserve">(Badger, Frank, Hahmann, &amp; Giebel, 2014; Davis et al., 2023)</w:t>
      </w:r>
      <w:r>
        <w:t xml:space="preserve">. Nor does the</w:t>
      </w:r>
      <w:r>
        <w:t xml:space="preserve"> </w:t>
      </w:r>
      <w:r>
        <w:t xml:space="preserve">literature state the interval over which wind should be summarised. Wind is therefore taken</w:t>
      </w:r>
      <w:r>
        <w:t xml:space="preserve"> </w:t>
      </w:r>
      <w:r>
        <w:t xml:space="preserve">from station observations of each 16-day period, modified over the terrain with the MicroMet</w:t>
      </w:r>
      <w:r>
        <w:t xml:space="preserve"> </w:t>
      </w:r>
      <w:r>
        <w:t xml:space="preserve">model of</w:t>
      </w:r>
      <w:r>
        <w:t xml:space="preserve"> </w:t>
      </w:r>
      <w:r>
        <w:t xml:space="preserve">Liston &amp; Elder (2006)</w:t>
      </w:r>
      <w:r>
        <w:t xml:space="preserve">, and the response is measured at Landsat’s own 16-day repeat, which is</w:t>
      </w:r>
      <w:r>
        <w:t xml:space="preserve"> </w:t>
      </w:r>
      <w:r>
        <w:t xml:space="preserve">the finest interval the sensor and the flight period share.</w:t>
      </w:r>
    </w:p>
    <w:p>
      <w:pPr>
        <w:pStyle w:val="BodyText"/>
      </w:pPr>
      <w:hyperlink w:anchor="tbl-hypotheses">
        <w:r>
          <w:rPr>
            <w:rStyle w:val="Hyperlink"/>
          </w:rPr>
          <w:t xml:space="preserve">Table 1</w:t>
        </w:r>
      </w:hyperlink>
      <w:r>
        <w:t xml:space="preserve"> </w:t>
      </w:r>
      <w:r>
        <w:t xml:space="preserve">gives the direction expected of each attribute and the reasoning behind it.</w:t>
      </w:r>
      <w:r>
        <w:t xml:space="preserve"> </w:t>
      </w:r>
      <w:r>
        <w:t xml:space="preserve">This study asks five questions. Does stand density predict moderate-to-high disturbance, as</w:t>
      </w:r>
      <w:r>
        <w:t xml:space="preserve"> </w:t>
      </w:r>
      <w:r>
        <w:t xml:space="preserve">the pheromone mechanism requires? Does topographic shading predict it, against the competing</w:t>
      </w:r>
      <w:r>
        <w:t xml:space="preserve"> </w:t>
      </w:r>
      <w:r>
        <w:t xml:space="preserve">microclimate and adaptive-seasonality arguments? Does terrain shape predict it once density</w:t>
      </w:r>
      <w:r>
        <w:t xml:space="preserve"> </w:t>
      </w:r>
      <w:r>
        <w:t xml:space="preserve">and radiation are already in the model? Is the density effect conditional on wind, which is</w:t>
      </w:r>
      <w:r>
        <w:t xml:space="preserve"> </w:t>
      </w:r>
      <w:r>
        <w:t xml:space="preserve">the form the mechanism actually takes?</w:t>
      </w:r>
    </w:p>
    <w:tbl>
      <w:tblPr>
        <w:tblStyle w:val="Table"/>
        <w:tblW w:type="pct" w:w="5000"/>
        <w:tblLayout w:type="fixed"/>
        <w:tblLook w:firstRow="0" w:lastRow="0" w:firstColumn="0" w:lastColumn="0" w:noHBand="0" w:noVBand="0" w:val="0000"/>
      </w:tblPr>
      <w:tblGrid>
        <w:gridCol w:w="7920"/>
      </w:tblGrid>
      <w:tr>
        <w:tc>
          <w:tcPr/>
          <w:bookmarkStart w:id="22" w:name="tbl-hypotheses"/>
          <w:p>
            <w:pPr>
              <w:jc w:val="center"/>
            </w:pPr>
            <w:pPr>
              <w:jc w:val="start"/>
              <w:spacing w:before="200"/>
              <w:pStyle w:val="ImageCaption"/>
            </w:pPr>
            <w:r>
              <w:t xml:space="preserve">Table 1: Landscape attributes entered in this study, the direction expected of each, and the reasoning behind that expectation.</w:t>
            </w:r>
          </w:p>
          <w:tbl>
            <w:tblPr>
              <w:tblStyle w:val="Table"/>
              <w:tblLook w:firstRow="1" w:lastRow="0" w:firstColumn="0" w:lastColumn="0" w:noHBand="0" w:noVBand="0" w:val="0020"/>
              <w:tblW w:w="9354" w:type="dxa"/>
              <w:tblLayout w:type="fixed"/>
            </w:tblPr>
            <w:tblGrid>
              <w:gridCol w:w="2039"/>
              <w:gridCol w:w="1239"/>
              <w:gridCol w:w="6076"/>
            </w:tblGrid>
            <w:tr>
              <w:trPr>
                <w:tblHeader w:val="on"/>
                <w:trHeight w:val="624" w:hRule="exact"/>
              </w:trPr>
              <w:tc>
                <w:tcPr/>
                <w:p>
                  <w:pPr>
                    <w:pStyle w:val="Compact"/>
                    <w:jc w:val="left"/>
                    <w:rPr>
                      <w:sz w:val="16"/>
                      <w:szCs w:val="16"/>
                    </w:rPr>
                  </w:pPr>
                  <w:r>
                    <w:rPr>
                      <w:sz w:val="16"/>
                      <w:szCs w:val="16"/>
                    </w:rPr>
                    <w:t xml:space="preserve">Attribute</w:t>
                  </w:r>
                </w:p>
              </w:tc>
              <w:tc>
                <w:tcPr/>
                <w:p>
                  <w:pPr>
                    <w:pStyle w:val="Compact"/>
                    <w:jc w:val="left"/>
                    <w:rPr>
                      <w:sz w:val="16"/>
                      <w:szCs w:val="16"/>
                    </w:rPr>
                  </w:pPr>
                  <w:r>
                    <w:rPr>
                      <w:sz w:val="16"/>
                      <w:szCs w:val="16"/>
                    </w:rPr>
                    <w:t xml:space="preserve">Expected</w:t>
                  </w:r>
                </w:p>
              </w:tc>
              <w:tc>
                <w:tcPr/>
                <w:p>
                  <w:pPr>
                    <w:pStyle w:val="Compact"/>
                    <w:jc w:val="left"/>
                    <w:rPr>
                      <w:sz w:val="16"/>
                      <w:szCs w:val="16"/>
                    </w:rPr>
                  </w:pPr>
                  <w:r>
                    <w:rPr>
                      <w:sz w:val="16"/>
                      <w:szCs w:val="16"/>
                    </w:rPr>
                    <w:t xml:space="preserve">Rationale</w:t>
                  </w:r>
                </w:p>
              </w:tc>
            </w:tr>
            <w:tr>
              <w:trPr>
                <w:trHeight w:val="340" w:hRule="exact"/>
              </w:trPr>
              <w:tc>
                <w:tcPr/>
                <w:p>
                  <w:pPr>
                    <w:pStyle w:val="Compact"/>
                    <w:jc w:val="left"/>
                    <w:rPr>
                      <w:sz w:val="16"/>
                      <w:szCs w:val="16"/>
                    </w:rPr>
                  </w:pPr>
                  <w:r>
                    <w:rPr>
                      <w:sz w:val="16"/>
                      <w:szCs w:val="16"/>
                    </w:rPr>
                    <w:t xml:space="preserve">Stand basal area, volume, crown closure, stems</w:t>
                  </w:r>
                </w:p>
              </w:tc>
              <w:tc>
                <w:tcPr/>
                <w:p>
                  <w:pPr>
                    <w:pStyle w:val="Compact"/>
                    <w:jc w:val="left"/>
                    <w:rPr>
                      <w:sz w:val="16"/>
                      <w:szCs w:val="16"/>
                    </w:rPr>
                  </w:pPr>
                  <w:r>
                    <w:rPr>
                      <w:sz w:val="16"/>
                      <w:szCs w:val="16"/>
                    </w:rPr>
                    <w:t xml:space="preserve">positive</w:t>
                  </w:r>
                </w:p>
              </w:tc>
              <w:tc>
                <w:tcPr/>
                <w:p>
                  <w:pPr>
                    <w:pStyle w:val="Compact"/>
                    <w:jc w:val="left"/>
                    <w:rPr>
                      <w:sz w:val="16"/>
                      <w:szCs w:val="16"/>
                    </w:rPr>
                  </w:pPr>
                  <w:r>
                    <w:rPr>
                      <w:sz w:val="16"/>
                      <w:szCs w:val="16"/>
                    </w:rPr>
                    <w:t xml:space="preserve">Denser canopy holds the pheromone plume together; thinner stands admit wind that disperses it</w:t>
                  </w:r>
                  <w:r>
                    <w:rPr>
                      <w:sz w:val="16"/>
                      <w:szCs w:val="16"/>
                    </w:rPr>
                    <w:t xml:space="preserve"> </w:t>
                  </w:r>
                  <w:r>
                    <w:rPr>
                      <w:sz w:val="16"/>
                      <w:szCs w:val="16"/>
                    </w:rPr>
                    <w:t xml:space="preserve">(Cartwright, 2018; Krawchuk et al., 2020; Powell &amp; Bentz, 2014)</w:t>
                  </w:r>
                  <w:r>
                    <w:rPr>
                      <w:sz w:val="16"/>
                      <w:szCs w:val="16"/>
                    </w:rPr>
                    <w:t xml:space="preserve">.</w:t>
                  </w:r>
                </w:p>
              </w:tc>
            </w:tr>
            <w:tr>
              <w:trPr>
                <w:trHeight w:val="340" w:hRule="exact"/>
              </w:trPr>
              <w:tc>
                <w:tcPr/>
                <w:p>
                  <w:pPr>
                    <w:pStyle w:val="Compact"/>
                    <w:jc w:val="left"/>
                    <w:rPr>
                      <w:sz w:val="16"/>
                      <w:szCs w:val="16"/>
                    </w:rPr>
                  </w:pPr>
                  <w:r>
                    <w:rPr>
                      <w:sz w:val="16"/>
                      <w:szCs w:val="16"/>
                    </w:rPr>
                    <w:t xml:space="preserve">Quadratic mean diameter</w:t>
                  </w:r>
                </w:p>
              </w:tc>
              <w:tc>
                <w:tcPr/>
                <w:p>
                  <w:pPr>
                    <w:pStyle w:val="Compact"/>
                    <w:jc w:val="left"/>
                    <w:rPr>
                      <w:sz w:val="16"/>
                      <w:szCs w:val="16"/>
                    </w:rPr>
                  </w:pPr>
                  <w:r>
                    <w:rPr>
                      <w:sz w:val="16"/>
                      <w:szCs w:val="16"/>
                    </w:rPr>
                    <w:t xml:space="preserve">positive above 25 cm</w:t>
                  </w:r>
                </w:p>
              </w:tc>
              <w:tc>
                <w:tcPr/>
                <w:p>
                  <w:pPr>
                    <w:pStyle w:val="Compact"/>
                    <w:jc w:val="left"/>
                    <w:rPr>
                      <w:sz w:val="16"/>
                      <w:szCs w:val="16"/>
                    </w:rPr>
                  </w:pPr>
                  <w:r>
                    <w:rPr>
                      <w:sz w:val="16"/>
                      <w:szCs w:val="16"/>
                    </w:rPr>
                    <w:t xml:space="preserve">Trees under 25 cm are beetle sinks, over 25 cm are sources</w:t>
                  </w:r>
                  <w:r>
                    <w:rPr>
                      <w:sz w:val="16"/>
                      <w:szCs w:val="16"/>
                    </w:rPr>
                    <w:t xml:space="preserve"> </w:t>
                  </w:r>
                  <w:r>
                    <w:rPr>
                      <w:sz w:val="16"/>
                      <w:szCs w:val="16"/>
                    </w:rPr>
                    <w:t xml:space="preserve">(Carroll &amp; Safranyik, 2004)</w:t>
                  </w:r>
                  <w:r>
                    <w:rPr>
                      <w:sz w:val="16"/>
                      <w:szCs w:val="16"/>
                    </w:rPr>
                    <w:t xml:space="preserve">.</w:t>
                  </w:r>
                </w:p>
              </w:tc>
            </w:tr>
            <w:tr>
              <w:trPr>
                <w:trHeight w:val="340" w:hRule="exact"/>
              </w:trPr>
              <w:tc>
                <w:tcPr/>
                <w:p>
                  <w:pPr>
                    <w:pStyle w:val="Compact"/>
                    <w:jc w:val="left"/>
                    <w:rPr>
                      <w:sz w:val="16"/>
                      <w:szCs w:val="16"/>
                    </w:rPr>
                  </w:pPr>
                  <w:r>
                    <w:rPr>
                      <w:sz w:val="16"/>
                      <w:szCs w:val="16"/>
                    </w:rPr>
                    <w:t xml:space="preserve">Lodgepole pine cover and basal area</w:t>
                  </w:r>
                </w:p>
              </w:tc>
              <w:tc>
                <w:tcPr/>
                <w:p>
                  <w:pPr>
                    <w:pStyle w:val="Compact"/>
                    <w:jc w:val="left"/>
                    <w:rPr>
                      <w:sz w:val="16"/>
                      <w:szCs w:val="16"/>
                    </w:rPr>
                  </w:pPr>
                  <w:r>
                    <w:rPr>
                      <w:sz w:val="16"/>
                      <w:szCs w:val="16"/>
                    </w:rPr>
                    <w:t xml:space="preserve">positive</w:t>
                  </w:r>
                </w:p>
              </w:tc>
              <w:tc>
                <w:tcPr/>
                <w:p>
                  <w:pPr>
                    <w:pStyle w:val="Compact"/>
                    <w:jc w:val="left"/>
                    <w:rPr>
                      <w:sz w:val="16"/>
                      <w:szCs w:val="16"/>
                    </w:rPr>
                  </w:pPr>
                  <w:r>
                    <w:rPr>
                      <w:sz w:val="16"/>
                      <w:szCs w:val="16"/>
                    </w:rPr>
                    <w:t xml:space="preserve">Attack cannot occur where the host is absent; a cell without pine is not a refugium</w:t>
                  </w:r>
                  <w:r>
                    <w:rPr>
                      <w:sz w:val="16"/>
                      <w:szCs w:val="16"/>
                    </w:rPr>
                    <w:t xml:space="preserve"> </w:t>
                  </w:r>
                  <w:r>
                    <w:rPr>
                      <w:sz w:val="16"/>
                      <w:szCs w:val="16"/>
                    </w:rPr>
                    <w:t xml:space="preserve">(Cartwright, 2018)</w:t>
                  </w:r>
                  <w:r>
                    <w:rPr>
                      <w:sz w:val="16"/>
                      <w:szCs w:val="16"/>
                    </w:rPr>
                    <w:t xml:space="preserve">.</w:t>
                  </w:r>
                </w:p>
              </w:tc>
            </w:tr>
            <w:tr>
              <w:trPr>
                <w:trHeight w:val="340" w:hRule="exact"/>
              </w:trPr>
              <w:tc>
                <w:tcPr/>
                <w:p>
                  <w:pPr>
                    <w:pStyle w:val="Compact"/>
                    <w:jc w:val="left"/>
                    <w:rPr>
                      <w:sz w:val="16"/>
                      <w:szCs w:val="16"/>
                    </w:rPr>
                  </w:pPr>
                  <w:r>
                    <w:rPr>
                      <w:sz w:val="16"/>
                      <w:szCs w:val="16"/>
                    </w:rPr>
                    <w:t xml:space="preserve">Flight-period direct radiation</w:t>
                  </w:r>
                </w:p>
              </w:tc>
              <w:tc>
                <w:tcPr/>
                <w:p>
                  <w:pPr>
                    <w:pStyle w:val="Compact"/>
                    <w:jc w:val="left"/>
                    <w:rPr>
                      <w:sz w:val="16"/>
                      <w:szCs w:val="16"/>
                    </w:rPr>
                  </w:pPr>
                  <w:r>
                    <w:rPr>
                      <w:sz w:val="16"/>
                      <w:szCs w:val="16"/>
                    </w:rPr>
                    <w:t xml:space="preserve">positive</w:t>
                  </w:r>
                </w:p>
              </w:tc>
              <w:tc>
                <w:tcPr/>
                <w:p>
                  <w:pPr>
                    <w:pStyle w:val="Compact"/>
                    <w:jc w:val="left"/>
                    <w:rPr>
                      <w:sz w:val="16"/>
                      <w:szCs w:val="16"/>
                    </w:rPr>
                  </w:pPr>
                  <w:r>
                    <w:rPr>
                      <w:sz w:val="16"/>
                      <w:szCs w:val="16"/>
                    </w:rPr>
                    <w:t xml:space="preserve">Flight is gated between 19 and 41 degrees C and peaks on bright afternoons, so sunlit slopes are reachable</w:t>
                  </w:r>
                  <w:r>
                    <w:rPr>
                      <w:sz w:val="16"/>
                      <w:szCs w:val="16"/>
                    </w:rPr>
                    <w:t xml:space="preserve"> </w:t>
                  </w:r>
                  <w:r>
                    <w:rPr>
                      <w:sz w:val="16"/>
                      <w:szCs w:val="16"/>
                    </w:rPr>
                    <w:t xml:space="preserve">(McCambridge, 1971; Safranyik &amp; Carroll, 2006)</w:t>
                  </w:r>
                  <w:r>
                    <w:rPr>
                      <w:sz w:val="16"/>
                      <w:szCs w:val="16"/>
                    </w:rPr>
                    <w:t xml:space="preserve">.</w:t>
                  </w:r>
                </w:p>
              </w:tc>
            </w:tr>
            <w:tr>
              <w:trPr>
                <w:trHeight w:val="340" w:hRule="exact"/>
              </w:trPr>
              <w:tc>
                <w:tcPr/>
                <w:p>
                  <w:pPr>
                    <w:pStyle w:val="Compact"/>
                    <w:jc w:val="left"/>
                    <w:rPr>
                      <w:sz w:val="16"/>
                      <w:szCs w:val="16"/>
                    </w:rPr>
                  </w:pPr>
                  <w:r>
                    <w:rPr>
                      <w:sz w:val="16"/>
                      <w:szCs w:val="16"/>
                    </w:rPr>
                    <w:t xml:space="preserve">Growing-season direct radiation</w:t>
                  </w:r>
                </w:p>
              </w:tc>
              <w:tc>
                <w:tcPr/>
                <w:p>
                  <w:pPr>
                    <w:pStyle w:val="Compact"/>
                    <w:jc w:val="left"/>
                    <w:rPr>
                      <w:sz w:val="16"/>
                      <w:szCs w:val="16"/>
                    </w:rPr>
                  </w:pPr>
                  <w:r>
                    <w:rPr>
                      <w:sz w:val="16"/>
                      <w:szCs w:val="16"/>
                    </w:rPr>
                    <w:t xml:space="preserve">negative</w:t>
                  </w:r>
                </w:p>
              </w:tc>
              <w:tc>
                <w:tcPr/>
                <w:p>
                  <w:pPr>
                    <w:pStyle w:val="Compact"/>
                    <w:jc w:val="left"/>
                    <w:rPr>
                      <w:sz w:val="16"/>
                      <w:szCs w:val="16"/>
                    </w:rPr>
                  </w:pPr>
                  <w:r>
                    <w:rPr>
                      <w:sz w:val="16"/>
                      <w:szCs w:val="16"/>
                    </w:rPr>
                    <w:t xml:space="preserve">Shading cools, relieving water stress and funding defence, and cool sites also push the beetle toward a two-year cycle</w:t>
                  </w:r>
                  <w:r>
                    <w:rPr>
                      <w:sz w:val="16"/>
                      <w:szCs w:val="16"/>
                    </w:rPr>
                    <w:t xml:space="preserve"> </w:t>
                  </w:r>
                  <w:r>
                    <w:rPr>
                      <w:sz w:val="16"/>
                      <w:szCs w:val="16"/>
                    </w:rPr>
                    <w:t xml:space="preserve">(Krawchuk et al., 2020; Sambaraju &amp; Goodsman, 2021)</w:t>
                  </w:r>
                  <w:r>
                    <w:rPr>
                      <w:sz w:val="16"/>
                      <w:szCs w:val="16"/>
                    </w:rPr>
                    <w:t xml:space="preserve">.</w:t>
                  </w:r>
                </w:p>
              </w:tc>
            </w:tr>
            <w:tr>
              <w:trPr>
                <w:trHeight w:val="340" w:hRule="exact"/>
              </w:trPr>
              <w:tc>
                <w:tcPr/>
                <w:p>
                  <w:pPr>
                    <w:pStyle w:val="Compact"/>
                    <w:jc w:val="left"/>
                    <w:rPr>
                      <w:sz w:val="16"/>
                      <w:szCs w:val="16"/>
                    </w:rPr>
                  </w:pPr>
                  <w:r>
                    <w:rPr>
                      <w:sz w:val="16"/>
                      <w:szCs w:val="16"/>
                    </w:rPr>
                    <w:t xml:space="preserve">Terrain exposure to wind</w:t>
                  </w:r>
                </w:p>
              </w:tc>
              <w:tc>
                <w:tcPr/>
                <w:p>
                  <w:pPr>
                    <w:pStyle w:val="Compact"/>
                    <w:jc w:val="left"/>
                    <w:rPr>
                      <w:sz w:val="16"/>
                      <w:szCs w:val="16"/>
                    </w:rPr>
                  </w:pPr>
                  <w:r>
                    <w:rPr>
                      <w:sz w:val="16"/>
                      <w:szCs w:val="16"/>
                    </w:rPr>
                    <w:t xml:space="preserve">negative</w:t>
                  </w:r>
                </w:p>
              </w:tc>
              <w:tc>
                <w:tcPr/>
                <w:p>
                  <w:pPr>
                    <w:pStyle w:val="Compact"/>
                    <w:jc w:val="left"/>
                    <w:rPr>
                      <w:sz w:val="16"/>
                      <w:szCs w:val="16"/>
                    </w:rPr>
                  </w:pPr>
                  <w:r>
                    <w:rPr>
                      <w:sz w:val="16"/>
                      <w:szCs w:val="16"/>
                    </w:rPr>
                    <w:t xml:space="preserve">Wind disrupts the pheromone plume, so exposed ground should carry less attack</w:t>
                  </w:r>
                  <w:r>
                    <w:rPr>
                      <w:sz w:val="16"/>
                      <w:szCs w:val="16"/>
                    </w:rPr>
                    <w:t xml:space="preserve"> </w:t>
                  </w:r>
                  <w:r>
                    <w:rPr>
                      <w:sz w:val="16"/>
                      <w:szCs w:val="16"/>
                    </w:rPr>
                    <w:t xml:space="preserve">(Krawchuk et al., 2020)</w:t>
                  </w:r>
                  <w:r>
                    <w:rPr>
                      <w:sz w:val="16"/>
                      <w:szCs w:val="16"/>
                    </w:rPr>
                    <w:t xml:space="preserve">.</w:t>
                  </w:r>
                </w:p>
              </w:tc>
            </w:tr>
            <w:tr>
              <w:trPr>
                <w:trHeight w:val="340" w:hRule="exact"/>
              </w:trPr>
              <w:tc>
                <w:tcPr/>
                <w:p>
                  <w:pPr>
                    <w:pStyle w:val="Compact"/>
                    <w:jc w:val="left"/>
                    <w:rPr>
                      <w:sz w:val="16"/>
                      <w:szCs w:val="16"/>
                    </w:rPr>
                  </w:pPr>
                  <w:r>
                    <w:rPr>
                      <w:sz w:val="16"/>
                      <w:szCs w:val="16"/>
                    </w:rPr>
                    <w:t xml:space="preserve">Terrain ruggedness</w:t>
                  </w:r>
                </w:p>
              </w:tc>
              <w:tc>
                <w:tcPr/>
                <w:p>
                  <w:pPr>
                    <w:pStyle w:val="Compact"/>
                    <w:jc w:val="left"/>
                    <w:rPr>
                      <w:sz w:val="16"/>
                      <w:szCs w:val="16"/>
                    </w:rPr>
                  </w:pPr>
                  <w:r>
                    <w:rPr>
                      <w:sz w:val="16"/>
                      <w:szCs w:val="16"/>
                    </w:rPr>
                    <w:t xml:space="preserve">uncertain</w:t>
                  </w:r>
                </w:p>
              </w:tc>
              <w:tc>
                <w:tcPr/>
                <w:p>
                  <w:pPr>
                    <w:pStyle w:val="Compact"/>
                    <w:jc w:val="left"/>
                    <w:rPr>
                      <w:sz w:val="16"/>
                      <w:szCs w:val="16"/>
                    </w:rPr>
                  </w:pPr>
                  <w:r>
                    <w:rPr>
                      <w:sz w:val="16"/>
                      <w:szCs w:val="16"/>
                    </w:rPr>
                    <w:t xml:space="preserve">The strongest terrain term in the companion study on this landscape, but fitted there against regeneration rather than attack</w:t>
                  </w:r>
                  <w:r>
                    <w:rPr>
                      <w:sz w:val="16"/>
                      <w:szCs w:val="16"/>
                    </w:rPr>
                    <w:t xml:space="preserve"> </w:t>
                  </w:r>
                  <w:r>
                    <w:rPr>
                      <w:sz w:val="16"/>
                      <w:szCs w:val="16"/>
                    </w:rPr>
                    <w:t xml:space="preserve">(Murphy et al., 2026)</w:t>
                  </w:r>
                  <w:r>
                    <w:rPr>
                      <w:sz w:val="16"/>
                      <w:szCs w:val="16"/>
                    </w:rPr>
                    <w:t xml:space="preserve">.</w:t>
                  </w:r>
                </w:p>
              </w:tc>
            </w:tr>
            <w:tr>
              <w:trPr>
                <w:trHeight w:val="340" w:hRule="exact"/>
              </w:trPr>
              <w:tc>
                <w:tcPr/>
                <w:p>
                  <w:pPr>
                    <w:pStyle w:val="Compact"/>
                    <w:jc w:val="left"/>
                    <w:rPr>
                      <w:sz w:val="16"/>
                      <w:szCs w:val="16"/>
                    </w:rPr>
                  </w:pPr>
                  <w:r>
                    <w:rPr>
                      <w:sz w:val="16"/>
                      <w:szCs w:val="16"/>
                    </w:rPr>
                    <w:t xml:space="preserve">Convergence, wetness, valley depth, slope position</w:t>
                  </w:r>
                </w:p>
              </w:tc>
              <w:tc>
                <w:tcPr/>
                <w:p>
                  <w:pPr>
                    <w:pStyle w:val="Compact"/>
                    <w:jc w:val="left"/>
                    <w:rPr>
                      <w:sz w:val="16"/>
                      <w:szCs w:val="16"/>
                    </w:rPr>
                  </w:pPr>
                  <w:r>
                    <w:rPr>
                      <w:sz w:val="16"/>
                      <w:szCs w:val="16"/>
                    </w:rPr>
                    <w:t xml:space="preserve">positive in convergent terrain</w:t>
                  </w:r>
                </w:p>
              </w:tc>
              <w:tc>
                <w:tcPr/>
                <w:p>
                  <w:pPr>
                    <w:pStyle w:val="Compact"/>
                    <w:jc w:val="left"/>
                    <w:rPr>
                      <w:sz w:val="16"/>
                      <w:szCs w:val="16"/>
                    </w:rPr>
                  </w:pPr>
                  <w:r>
                    <w:rPr>
                      <w:sz w:val="16"/>
                      <w:szCs w:val="16"/>
                    </w:rPr>
                    <w:t xml:space="preserve">Infested groups gather in draws and gullies, and deep snow insulates overwintering brood</w:t>
                  </w:r>
                  <w:r>
                    <w:rPr>
                      <w:sz w:val="16"/>
                      <w:szCs w:val="16"/>
                    </w:rPr>
                    <w:t xml:space="preserve"> </w:t>
                  </w:r>
                  <w:r>
                    <w:rPr>
                      <w:sz w:val="16"/>
                      <w:szCs w:val="16"/>
                    </w:rPr>
                    <w:t xml:space="preserve">(Safranyik &amp; Carroll, 2006)</w:t>
                  </w:r>
                  <w:r>
                    <w:rPr>
                      <w:sz w:val="16"/>
                      <w:szCs w:val="16"/>
                    </w:rPr>
                    <w:t xml:space="preserve">.</w:t>
                  </w:r>
                </w:p>
              </w:tc>
            </w:tr>
            <w:tr>
              <w:trPr>
                <w:trHeight w:val="340" w:hRule="exact"/>
              </w:trPr>
              <w:tc>
                <w:tcPr/>
                <w:p>
                  <w:pPr>
                    <w:pStyle w:val="Compact"/>
                    <w:jc w:val="left"/>
                    <w:rPr>
                      <w:sz w:val="16"/>
                      <w:szCs w:val="16"/>
                    </w:rPr>
                  </w:pPr>
                  <w:r>
                    <w:rPr>
                      <w:sz w:val="16"/>
                      <w:szCs w:val="16"/>
                    </w:rPr>
                    <w:t xml:space="preserve">Flight-period wind speed</w:t>
                  </w:r>
                </w:p>
              </w:tc>
              <w:tc>
                <w:tcPr/>
                <w:p>
                  <w:pPr>
                    <w:pStyle w:val="Compact"/>
                    <w:jc w:val="left"/>
                    <w:rPr>
                      <w:sz w:val="16"/>
                      <w:szCs w:val="16"/>
                    </w:rPr>
                  </w:pPr>
                  <w:r>
                    <w:rPr>
                      <w:sz w:val="16"/>
                      <w:szCs w:val="16"/>
                    </w:rPr>
                    <w:t xml:space="preserve">negative</w:t>
                  </w:r>
                </w:p>
              </w:tc>
              <w:tc>
                <w:tcPr/>
                <w:p>
                  <w:pPr>
                    <w:pStyle w:val="Compact"/>
                    <w:jc w:val="left"/>
                    <w:rPr>
                      <w:sz w:val="16"/>
                      <w:szCs w:val="16"/>
                    </w:rPr>
                  </w:pPr>
                  <w:r>
                    <w:rPr>
                      <w:sz w:val="16"/>
                      <w:szCs w:val="16"/>
                    </w:rPr>
                    <w:t xml:space="preserve">The mechanism acts during dispersal, and no study specifies the interval, so it is taken at the flight period</w:t>
                  </w:r>
                  <w:r>
                    <w:rPr>
                      <w:sz w:val="16"/>
                      <w:szCs w:val="16"/>
                    </w:rPr>
                    <w:t xml:space="preserve"> </w:t>
                  </w:r>
                  <w:r>
                    <w:rPr>
                      <w:sz w:val="16"/>
                      <w:szCs w:val="16"/>
                    </w:rPr>
                    <w:t xml:space="preserve">(Jones, Shegelski, Marculis, Wijerathna, &amp; Evenden, 2019; Krawchuk et al., 2020)</w:t>
                  </w:r>
                  <w:r>
                    <w:rPr>
                      <w:sz w:val="16"/>
                      <w:szCs w:val="16"/>
                    </w:rPr>
                    <w:t xml:space="preserve">.</w:t>
                  </w:r>
                </w:p>
              </w:tc>
            </w:tr>
            <w:tr>
              <w:trPr>
                <w:trHeight w:val="340" w:hRule="exact"/>
              </w:trPr>
              <w:tc>
                <w:tcPr/>
                <w:p>
                  <w:pPr>
                    <w:pStyle w:val="Compact"/>
                    <w:jc w:val="left"/>
                    <w:rPr>
                      <w:sz w:val="16"/>
                      <w:szCs w:val="16"/>
                    </w:rPr>
                  </w:pPr>
                  <w:r>
                    <w:rPr>
                      <w:sz w:val="16"/>
                      <w:szCs w:val="16"/>
                    </w:rPr>
                    <w:t xml:space="preserve">Elevation</w:t>
                  </w:r>
                </w:p>
              </w:tc>
              <w:tc>
                <w:tcPr/>
                <w:p>
                  <w:pPr>
                    <w:pStyle w:val="Compact"/>
                    <w:jc w:val="left"/>
                    <w:rPr>
                      <w:sz w:val="16"/>
                      <w:szCs w:val="16"/>
                    </w:rPr>
                  </w:pPr>
                  <w:r>
                    <w:rPr>
                      <w:sz w:val="16"/>
                      <w:szCs w:val="16"/>
                    </w:rPr>
                    <w:t xml:space="preserve">uncertain</w:t>
                  </w:r>
                </w:p>
              </w:tc>
              <w:tc>
                <w:tcPr/>
                <w:p>
                  <w:pPr>
                    <w:pStyle w:val="Compact"/>
                    <w:jc w:val="left"/>
                    <w:rPr>
                      <w:sz w:val="16"/>
                      <w:szCs w:val="16"/>
                    </w:rPr>
                  </w:pPr>
                  <w:r>
                    <w:rPr>
                      <w:sz w:val="16"/>
                      <w:szCs w:val="16"/>
                    </w:rPr>
                    <w:t xml:space="preserve">A composite of temperature, snowpack, season length and host distribution that this design cannot separate</w:t>
                  </w:r>
                  <w:r>
                    <w:rPr>
                      <w:sz w:val="16"/>
                      <w:szCs w:val="16"/>
                    </w:rPr>
                    <w:t xml:space="preserve"> </w:t>
                  </w:r>
                  <w:r>
                    <w:rPr>
                      <w:sz w:val="16"/>
                      <w:szCs w:val="16"/>
                    </w:rPr>
                    <w:t xml:space="preserve">(Sambaraju &amp; Goodsman, 2021)</w:t>
                  </w:r>
                  <w:r>
                    <w:rPr>
                      <w:sz w:val="16"/>
                      <w:szCs w:val="16"/>
                    </w:rPr>
                    <w:t xml:space="preserve">.</w:t>
                  </w:r>
                </w:p>
              </w:tc>
            </w:tr>
          </w:tbl>
          <w:bookmarkEnd w:id="22"/>
          <w:p/>
        </w:tc>
      </w:tr>
    </w:tbl>
    <w:bookmarkEnd w:id="23"/>
    <w:bookmarkStart w:id="45" w:name="materials"/>
    <w:p>
      <w:pPr>
        <w:pStyle w:val="Heading1"/>
      </w:pPr>
      <w:r>
        <w:t xml:space="preserve">2. Materials</w:t>
      </w:r>
    </w:p>
    <w:bookmarkStart w:id="29" w:name="study-area"/>
    <w:p>
      <w:pPr>
        <w:pStyle w:val="Heading2"/>
      </w:pPr>
      <w:r>
        <w:t xml:space="preserve">2.1 Study area</w:t>
      </w:r>
    </w:p>
    <w:p>
      <w:pPr>
        <w:pStyle w:val="FirstParagraph"/>
      </w:pPr>
      <w:hyperlink w:anchor="tbl-inventory">
        <w:r>
          <w:rPr>
            <w:rStyle w:val="Hyperlink"/>
          </w:rPr>
          <w:t xml:space="preserve">Table 2</w:t>
        </w:r>
      </w:hyperlink>
      <w:r>
        <w:t xml:space="preserve"> </w:t>
      </w:r>
      <w:r>
        <w:t xml:space="preserve">sets out the datasets this study combines and the resolution of each. The</w:t>
      </w:r>
      <w:r>
        <w:t xml:space="preserve"> </w:t>
      </w:r>
      <w:r>
        <w:t xml:space="preserve">asymmetry it shows is the one the analysis depends on. The response varies every sixteen</w:t>
      </w:r>
      <w:r>
        <w:t xml:space="preserve"> </w:t>
      </w:r>
      <w:r>
        <w:t xml:space="preserve">days, the inventory once a year, the station wind every hour, and the terrain not at all.</w:t>
      </w:r>
    </w:p>
    <w:tbl>
      <w:tblPr>
        <w:tblStyle w:val="Table"/>
        <w:tblW w:type="pct" w:w="5000"/>
        <w:tblLayout w:type="fixed"/>
        <w:tblLook w:firstRow="0" w:lastRow="0" w:firstColumn="0" w:lastColumn="0" w:noHBand="0" w:noVBand="0" w:val="0000"/>
      </w:tblPr>
      <w:tblGrid>
        <w:gridCol w:w="7920"/>
      </w:tblGrid>
      <w:tr>
        <w:tc>
          <w:tcPr/>
          <w:bookmarkStart w:id="24" w:name="tbl-inventory"/>
          <w:p>
            <w:pPr>
              <w:jc w:val="center"/>
            </w:pPr>
            <w:pPr>
              <w:jc w:val="start"/>
              <w:spacing w:before="200"/>
              <w:pStyle w:val="ImageCaption"/>
            </w:pPr>
            <w:r>
              <w:t xml:space="preserve">Table 2: The datasets this study combines, with the structure and resolution of each. Every count is read from the files at render time. Spatial resolution is the grid the variable is analysed on; temporal resolution is the interval at which it varies. Note that the response varies every 16 days, the inventory once a year and the terrain not at all, which is the asymmetry the wind analysis depends on.</w:t>
            </w:r>
          </w:p>
          <w:tbl>
            <w:tblPr>
              <w:tblStyle w:val="Table"/>
              <w:tblLook w:firstRow="1" w:lastRow="0" w:firstColumn="0" w:lastColumn="0" w:noHBand="0" w:noVBand="0" w:val="0020"/>
              <w:tblW w:w="9354" w:type="dxa"/>
              <w:tblLayout w:type="fixed"/>
            </w:tblPr>
            <w:tblGrid>
              <w:gridCol w:w="1018"/>
              <w:gridCol w:w="1772"/>
              <w:gridCol w:w="2414"/>
              <w:gridCol w:w="1056"/>
              <w:gridCol w:w="1170"/>
              <w:gridCol w:w="1056"/>
              <w:gridCol w:w="868"/>
            </w:tblGrid>
            <w:tr>
              <w:trPr>
                <w:tblHeader w:val="on"/>
                <w:trHeight w:val="624" w:hRule="exact"/>
              </w:trPr>
              <w:tc>
                <w:tcPr/>
                <w:p>
                  <w:pPr>
                    <w:pStyle w:val="Compact"/>
                    <w:jc w:val="left"/>
                    <w:rPr>
                      <w:sz w:val="16"/>
                      <w:szCs w:val="16"/>
                    </w:rPr>
                  </w:pPr>
                  <w:r>
                    <w:rPr>
                      <w:sz w:val="16"/>
                      <w:szCs w:val="16"/>
                    </w:rPr>
                    <w:t xml:space="preserve">Dataset</w:t>
                  </w:r>
                </w:p>
              </w:tc>
              <w:tc>
                <w:tcPr/>
                <w:p>
                  <w:pPr>
                    <w:pStyle w:val="Compact"/>
                    <w:jc w:val="left"/>
                    <w:rPr>
                      <w:sz w:val="16"/>
                      <w:szCs w:val="16"/>
                    </w:rPr>
                  </w:pPr>
                  <w:r>
                    <w:rPr>
                      <w:sz w:val="16"/>
                      <w:szCs w:val="16"/>
                    </w:rPr>
                    <w:t xml:space="preserve">Source</w:t>
                  </w:r>
                </w:p>
              </w:tc>
              <w:tc>
                <w:tcPr/>
                <w:p>
                  <w:pPr>
                    <w:pStyle w:val="Compact"/>
                    <w:jc w:val="left"/>
                    <w:rPr>
                      <w:sz w:val="16"/>
                      <w:szCs w:val="16"/>
                    </w:rPr>
                  </w:pPr>
                  <w:r>
                    <w:rPr>
                      <w:sz w:val="16"/>
                      <w:szCs w:val="16"/>
                    </w:rPr>
                    <w:t xml:space="preserve">Variables</w:t>
                  </w:r>
                </w:p>
              </w:tc>
              <w:tc>
                <w:tcPr/>
                <w:p>
                  <w:pPr>
                    <w:pStyle w:val="Compact"/>
                    <w:jc w:val="left"/>
                    <w:rPr>
                      <w:sz w:val="16"/>
                      <w:szCs w:val="16"/>
                    </w:rPr>
                  </w:pPr>
                  <w:r>
                    <w:rPr>
                      <w:sz w:val="16"/>
                      <w:szCs w:val="16"/>
                    </w:rPr>
                    <w:t xml:space="preserve">Spatial resolution</w:t>
                  </w:r>
                </w:p>
              </w:tc>
              <w:tc>
                <w:tcPr/>
                <w:p>
                  <w:pPr>
                    <w:pStyle w:val="Compact"/>
                    <w:jc w:val="left"/>
                    <w:rPr>
                      <w:sz w:val="16"/>
                      <w:szCs w:val="16"/>
                    </w:rPr>
                  </w:pPr>
                  <w:r>
                    <w:rPr>
                      <w:sz w:val="16"/>
                      <w:szCs w:val="16"/>
                    </w:rPr>
                    <w:t xml:space="preserve">Temporal resolution</w:t>
                  </w:r>
                </w:p>
              </w:tc>
              <w:tc>
                <w:tcPr/>
                <w:p>
                  <w:pPr>
                    <w:pStyle w:val="Compact"/>
                    <w:jc w:val="left"/>
                    <w:rPr>
                      <w:sz w:val="16"/>
                      <w:szCs w:val="16"/>
                    </w:rPr>
                  </w:pPr>
                  <w:r>
                    <w:rPr>
                      <w:sz w:val="16"/>
                      <w:szCs w:val="16"/>
                    </w:rPr>
                    <w:t xml:space="preserve">Period</w:t>
                  </w:r>
                </w:p>
              </w:tc>
              <w:tc>
                <w:tcPr/>
                <w:p>
                  <w:pPr>
                    <w:pStyle w:val="Compact"/>
                    <w:jc w:val="left"/>
                    <w:rPr>
                      <w:sz w:val="16"/>
                      <w:szCs w:val="16"/>
                    </w:rPr>
                  </w:pPr>
                  <w:r>
                    <w:rPr>
                      <w:sz w:val="16"/>
                      <w:szCs w:val="16"/>
                    </w:rPr>
                    <w:t xml:space="preserve">n</w:t>
                  </w:r>
                </w:p>
              </w:tc>
            </w:tr>
            <w:tr>
              <w:trPr>
                <w:trHeight w:val="340" w:hRule="exact"/>
              </w:trPr>
              <w:tc>
                <w:tcPr/>
                <w:p>
                  <w:pPr>
                    <w:pStyle w:val="Compact"/>
                    <w:jc w:val="left"/>
                    <w:rPr>
                      <w:sz w:val="16"/>
                      <w:szCs w:val="16"/>
                    </w:rPr>
                  </w:pPr>
                  <w:r>
                    <w:rPr>
                      <w:sz w:val="16"/>
                      <w:szCs w:val="16"/>
                    </w:rPr>
                    <w:t xml:space="preserve">Beetle disturbance, annual</w:t>
                  </w:r>
                </w:p>
              </w:tc>
              <w:tc>
                <w:tcPr/>
                <w:p>
                  <w:pPr>
                    <w:pStyle w:val="Compact"/>
                    <w:jc w:val="left"/>
                    <w:rPr>
                      <w:sz w:val="16"/>
                      <w:szCs w:val="16"/>
                    </w:rPr>
                  </w:pPr>
                  <w:r>
                    <w:rPr>
                      <w:sz w:val="16"/>
                      <w:szCs w:val="16"/>
                    </w:rPr>
                    <w:t xml:space="preserve">Landsat 5 and 8 Collection 2 Level-2</w:t>
                  </w:r>
                </w:p>
              </w:tc>
              <w:tc>
                <w:tcPr/>
                <w:p>
                  <w:pPr>
                    <w:pStyle w:val="Compact"/>
                    <w:jc w:val="left"/>
                    <w:rPr>
                      <w:sz w:val="16"/>
                      <w:szCs w:val="16"/>
                    </w:rPr>
                  </w:pPr>
                  <w:r>
                    <w:rPr>
                      <w:sz w:val="16"/>
                      <w:szCs w:val="16"/>
                    </w:rPr>
                    <w:t xml:space="preserve">Moderate-to-high disturbance, binary, from NDMI</w:t>
                  </w:r>
                </w:p>
              </w:tc>
              <w:tc>
                <w:tcPr/>
                <w:p>
                  <w:pPr>
                    <w:pStyle w:val="Compact"/>
                    <w:jc w:val="left"/>
                    <w:rPr>
                      <w:sz w:val="16"/>
                      <w:szCs w:val="16"/>
                    </w:rPr>
                  </w:pPr>
                  <w:r>
                    <w:rPr>
                      <w:sz w:val="16"/>
                      <w:szCs w:val="16"/>
                    </w:rPr>
                    <w:t xml:space="preserve">30 m</w:t>
                  </w:r>
                </w:p>
              </w:tc>
              <w:tc>
                <w:tcPr/>
                <w:p>
                  <w:pPr>
                    <w:pStyle w:val="Compact"/>
                    <w:jc w:val="left"/>
                    <w:rPr>
                      <w:sz w:val="16"/>
                      <w:szCs w:val="16"/>
                    </w:rPr>
                  </w:pPr>
                  <w:r>
                    <w:rPr>
                      <w:sz w:val="16"/>
                      <w:szCs w:val="16"/>
                    </w:rPr>
                    <w:t xml:space="preserve">1 year</w:t>
                  </w:r>
                </w:p>
              </w:tc>
              <w:tc>
                <w:tcPr/>
                <w:p>
                  <w:pPr>
                    <w:pStyle w:val="Compact"/>
                    <w:jc w:val="left"/>
                    <w:rPr>
                      <w:sz w:val="16"/>
                      <w:szCs w:val="16"/>
                    </w:rPr>
                  </w:pPr>
                  <w:r>
                    <w:rPr>
                      <w:sz w:val="16"/>
                      <w:szCs w:val="16"/>
                    </w:rPr>
                    <w:t xml:space="preserve">2006-2014, excluding 2012</w:t>
                  </w:r>
                </w:p>
              </w:tc>
              <w:tc>
                <w:tcPr/>
                <w:p>
                  <w:pPr>
                    <w:pStyle w:val="Compact"/>
                    <w:jc w:val="left"/>
                    <w:rPr>
                      <w:sz w:val="16"/>
                      <w:szCs w:val="16"/>
                    </w:rPr>
                  </w:pPr>
                  <w:r>
                    <w:rPr>
                      <w:sz w:val="16"/>
                      <w:szCs w:val="16"/>
                    </w:rPr>
                    <w:t xml:space="preserve">8 years</w:t>
                  </w:r>
                </w:p>
              </w:tc>
            </w:tr>
            <w:tr>
              <w:trPr>
                <w:trHeight w:val="340" w:hRule="exact"/>
              </w:trPr>
              <w:tc>
                <w:tcPr/>
                <w:p>
                  <w:pPr>
                    <w:pStyle w:val="Compact"/>
                    <w:jc w:val="left"/>
                    <w:rPr>
                      <w:sz w:val="16"/>
                      <w:szCs w:val="16"/>
                    </w:rPr>
                  </w:pPr>
                  <w:r>
                    <w:rPr>
                      <w:sz w:val="16"/>
                      <w:szCs w:val="16"/>
                    </w:rPr>
                    <w:t xml:space="preserve">Beetle disturbance, 16-day</w:t>
                  </w:r>
                </w:p>
              </w:tc>
              <w:tc>
                <w:tcPr/>
                <w:p>
                  <w:pPr>
                    <w:pStyle w:val="Compact"/>
                    <w:jc w:val="left"/>
                    <w:rPr>
                      <w:sz w:val="16"/>
                      <w:szCs w:val="16"/>
                    </w:rPr>
                  </w:pPr>
                  <w:r>
                    <w:rPr>
                      <w:sz w:val="16"/>
                      <w:szCs w:val="16"/>
                    </w:rPr>
                    <w:t xml:space="preserve">Landsat 5 and 8 Collection 2 Level-2</w:t>
                  </w:r>
                </w:p>
              </w:tc>
              <w:tc>
                <w:tcPr/>
                <w:p>
                  <w:pPr>
                    <w:pStyle w:val="Compact"/>
                    <w:jc w:val="left"/>
                    <w:rPr>
                      <w:sz w:val="16"/>
                      <w:szCs w:val="16"/>
                    </w:rPr>
                  </w:pPr>
                  <w:r>
                    <w:rPr>
                      <w:sz w:val="16"/>
                      <w:szCs w:val="16"/>
                    </w:rPr>
                    <w:t xml:space="preserve">Moderate-to-high disturbance, binary, from NDMI</w:t>
                  </w:r>
                </w:p>
              </w:tc>
              <w:tc>
                <w:tcPr/>
                <w:p>
                  <w:pPr>
                    <w:pStyle w:val="Compact"/>
                    <w:jc w:val="left"/>
                    <w:rPr>
                      <w:sz w:val="16"/>
                      <w:szCs w:val="16"/>
                    </w:rPr>
                  </w:pPr>
                  <w:r>
                    <w:rPr>
                      <w:sz w:val="16"/>
                      <w:szCs w:val="16"/>
                    </w:rPr>
                    <w:t xml:space="preserve">30 m</w:t>
                  </w:r>
                </w:p>
              </w:tc>
              <w:tc>
                <w:tcPr/>
                <w:p>
                  <w:pPr>
                    <w:pStyle w:val="Compact"/>
                    <w:jc w:val="left"/>
                    <w:rPr>
                      <w:sz w:val="16"/>
                      <w:szCs w:val="16"/>
                    </w:rPr>
                  </w:pPr>
                  <w:r>
                    <w:rPr>
                      <w:sz w:val="16"/>
                      <w:szCs w:val="16"/>
                    </w:rPr>
                    <w:t xml:space="preserve">16 days, the sensor’s repeat</w:t>
                  </w:r>
                </w:p>
              </w:tc>
              <w:tc>
                <w:tcPr/>
                <w:p>
                  <w:pPr>
                    <w:pStyle w:val="Compact"/>
                    <w:jc w:val="left"/>
                    <w:rPr>
                      <w:sz w:val="16"/>
                      <w:szCs w:val="16"/>
                    </w:rPr>
                  </w:pPr>
                  <w:r>
                    <w:rPr>
                      <w:sz w:val="16"/>
                      <w:szCs w:val="16"/>
                    </w:rPr>
                    <w:t xml:space="preserve">2006-2014, excluding 2012</w:t>
                  </w:r>
                </w:p>
              </w:tc>
              <w:tc>
                <w:tcPr/>
                <w:p>
                  <w:pPr>
                    <w:pStyle w:val="Compact"/>
                    <w:jc w:val="left"/>
                    <w:rPr>
                      <w:sz w:val="16"/>
                      <w:szCs w:val="16"/>
                    </w:rPr>
                  </w:pPr>
                  <w:r>
                    <w:rPr>
                      <w:sz w:val="16"/>
                      <w:szCs w:val="16"/>
                    </w:rPr>
                    <w:t xml:space="preserve">59 epochs</w:t>
                  </w:r>
                </w:p>
              </w:tc>
            </w:tr>
            <w:tr>
              <w:trPr>
                <w:trHeight w:val="340" w:hRule="exact"/>
              </w:trPr>
              <w:tc>
                <w:tcPr/>
                <w:p>
                  <w:pPr>
                    <w:pStyle w:val="Compact"/>
                    <w:jc w:val="left"/>
                    <w:rPr>
                      <w:sz w:val="16"/>
                      <w:szCs w:val="16"/>
                    </w:rPr>
                  </w:pPr>
                  <w:r>
                    <w:rPr>
                      <w:sz w:val="16"/>
                      <w:szCs w:val="16"/>
                    </w:rPr>
                    <w:t xml:space="preserve">Stand structure</w:t>
                  </w:r>
                </w:p>
              </w:tc>
              <w:tc>
                <w:tcPr/>
                <w:p>
                  <w:pPr>
                    <w:pStyle w:val="Compact"/>
                    <w:jc w:val="left"/>
                    <w:rPr>
                      <w:sz w:val="16"/>
                      <w:szCs w:val="16"/>
                    </w:rPr>
                  </w:pPr>
                  <w:r>
                    <w:rPr>
                      <w:sz w:val="16"/>
                      <w:szCs w:val="16"/>
                    </w:rPr>
                    <w:t xml:space="preserve">VRI Historical, BC Data Catalogue</w:t>
                  </w:r>
                </w:p>
              </w:tc>
              <w:tc>
                <w:tcPr/>
                <w:p>
                  <w:pPr>
                    <w:pStyle w:val="Compact"/>
                    <w:jc w:val="left"/>
                    <w:rPr>
                      <w:sz w:val="16"/>
                      <w:szCs w:val="16"/>
                    </w:rPr>
                  </w:pPr>
                  <w:r>
                    <w:rPr>
                      <w:sz w:val="16"/>
                      <w:szCs w:val="16"/>
                    </w:rPr>
                    <w:t xml:space="preserve">Basal area, volume, stems, quadratic mean diameter, age, height</w:t>
                  </w:r>
                </w:p>
              </w:tc>
              <w:tc>
                <w:tcPr/>
                <w:p>
                  <w:pPr>
                    <w:pStyle w:val="Compact"/>
                    <w:jc w:val="left"/>
                    <w:rPr>
                      <w:sz w:val="16"/>
                      <w:szCs w:val="16"/>
                    </w:rPr>
                  </w:pPr>
                  <w:r>
                    <w:rPr>
                      <w:sz w:val="16"/>
                      <w:szCs w:val="16"/>
                    </w:rPr>
                    <w:t xml:space="preserve">Polygon, rasterised to 30 m</w:t>
                  </w:r>
                </w:p>
              </w:tc>
              <w:tc>
                <w:tcPr/>
                <w:p>
                  <w:pPr>
                    <w:pStyle w:val="Compact"/>
                    <w:jc w:val="left"/>
                    <w:rPr>
                      <w:sz w:val="16"/>
                      <w:szCs w:val="16"/>
                    </w:rPr>
                  </w:pPr>
                  <w:r>
                    <w:rPr>
                      <w:sz w:val="16"/>
                      <w:szCs w:val="16"/>
                    </w:rPr>
                    <w:t xml:space="preserve">1 year, projected to each year</w:t>
                  </w:r>
                </w:p>
              </w:tc>
              <w:tc>
                <w:tcPr/>
                <w:p>
                  <w:pPr>
                    <w:pStyle w:val="Compact"/>
                    <w:jc w:val="left"/>
                    <w:rPr>
                      <w:sz w:val="16"/>
                      <w:szCs w:val="16"/>
                    </w:rPr>
                  </w:pPr>
                  <w:r>
                    <w:rPr>
                      <w:sz w:val="16"/>
                      <w:szCs w:val="16"/>
                    </w:rPr>
                    <w:t xml:space="preserve">2005-2014</w:t>
                  </w:r>
                </w:p>
              </w:tc>
              <w:tc>
                <w:tcPr/>
                <w:p>
                  <w:pPr>
                    <w:pStyle w:val="Compact"/>
                    <w:jc w:val="left"/>
                    <w:rPr>
                      <w:sz w:val="16"/>
                      <w:szCs w:val="16"/>
                    </w:rPr>
                  </w:pPr>
                  <w:r>
                    <w:rPr>
                      <w:sz w:val="16"/>
                      <w:szCs w:val="16"/>
                    </w:rPr>
                    <w:t xml:space="preserve">9 snapshots</w:t>
                  </w:r>
                </w:p>
              </w:tc>
            </w:tr>
            <w:tr>
              <w:trPr>
                <w:trHeight w:val="340" w:hRule="exact"/>
              </w:trPr>
              <w:tc>
                <w:tcPr/>
                <w:p>
                  <w:pPr>
                    <w:pStyle w:val="Compact"/>
                    <w:jc w:val="left"/>
                    <w:rPr>
                      <w:sz w:val="16"/>
                      <w:szCs w:val="16"/>
                    </w:rPr>
                  </w:pPr>
                  <w:r>
                    <w:rPr>
                      <w:sz w:val="16"/>
                      <w:szCs w:val="16"/>
                    </w:rPr>
                    <w:t xml:space="preserve">Terrain</w:t>
                  </w:r>
                </w:p>
              </w:tc>
              <w:tc>
                <w:tcPr/>
                <w:p>
                  <w:pPr>
                    <w:pStyle w:val="Compact"/>
                    <w:jc w:val="left"/>
                    <w:rPr>
                      <w:sz w:val="16"/>
                      <w:szCs w:val="16"/>
                    </w:rPr>
                  </w:pPr>
                  <w:r>
                    <w:rPr>
                      <w:sz w:val="16"/>
                      <w:szCs w:val="16"/>
                    </w:rPr>
                    <w:t xml:space="preserve">NRCan High Resolution DEM, indices by SAGA GIS</w:t>
                  </w:r>
                </w:p>
              </w:tc>
              <w:tc>
                <w:tcPr/>
                <w:p>
                  <w:pPr>
                    <w:pStyle w:val="Compact"/>
                    <w:jc w:val="left"/>
                    <w:rPr>
                      <w:sz w:val="16"/>
                      <w:szCs w:val="16"/>
                    </w:rPr>
                  </w:pPr>
                  <w:r>
                    <w:rPr>
                      <w:sz w:val="16"/>
                      <w:szCs w:val="16"/>
                    </w:rPr>
                    <w:t xml:space="preserve">29 geomorphometric surfaces incl. radiation, exposure, landform</w:t>
                  </w:r>
                </w:p>
              </w:tc>
              <w:tc>
                <w:tcPr/>
                <w:p>
                  <w:pPr>
                    <w:pStyle w:val="Compact"/>
                    <w:jc w:val="left"/>
                    <w:rPr>
                      <w:sz w:val="16"/>
                      <w:szCs w:val="16"/>
                    </w:rPr>
                  </w:pPr>
                  <w:r>
                    <w:rPr>
                      <w:sz w:val="16"/>
                      <w:szCs w:val="16"/>
                    </w:rPr>
                    <w:t xml:space="preserve">30 m</w:t>
                  </w:r>
                </w:p>
              </w:tc>
              <w:tc>
                <w:tcPr/>
                <w:p>
                  <w:pPr>
                    <w:pStyle w:val="Compact"/>
                    <w:jc w:val="left"/>
                    <w:rPr>
                      <w:sz w:val="16"/>
                      <w:szCs w:val="16"/>
                    </w:rPr>
                  </w:pPr>
                  <w:r>
                    <w:rPr>
                      <w:sz w:val="16"/>
                      <w:szCs w:val="16"/>
                    </w:rPr>
                    <w:t xml:space="preserve">Static</w:t>
                  </w:r>
                </w:p>
              </w:tc>
              <w:tc>
                <w:tcPr/>
                <w:p>
                  <w:pPr>
                    <w:pStyle w:val="Compact"/>
                    <w:jc w:val="left"/>
                    <w:rPr>
                      <w:sz w:val="16"/>
                      <w:szCs w:val="16"/>
                    </w:rPr>
                  </w:pPr>
                  <w:r>
                    <w:rPr>
                      <w:sz w:val="16"/>
                      <w:szCs w:val="16"/>
                    </w:rPr>
                    <w:t xml:space="preserve">n/a</w:t>
                  </w:r>
                </w:p>
              </w:tc>
              <w:tc>
                <w:tcPr/>
                <w:p>
                  <w:pPr>
                    <w:pStyle w:val="Compact"/>
                    <w:jc w:val="left"/>
                    <w:rPr>
                      <w:sz w:val="16"/>
                      <w:szCs w:val="16"/>
                    </w:rPr>
                  </w:pPr>
                  <w:r>
                    <w:rPr>
                      <w:sz w:val="16"/>
                      <w:szCs w:val="16"/>
                    </w:rPr>
                    <w:t xml:space="preserve">29 surfaces</w:t>
                  </w:r>
                </w:p>
              </w:tc>
            </w:tr>
            <w:tr>
              <w:trPr>
                <w:trHeight w:val="340" w:hRule="exact"/>
              </w:trPr>
              <w:tc>
                <w:tcPr/>
                <w:p>
                  <w:pPr>
                    <w:pStyle w:val="Compact"/>
                    <w:jc w:val="left"/>
                    <w:rPr>
                      <w:sz w:val="16"/>
                      <w:szCs w:val="16"/>
                    </w:rPr>
                  </w:pPr>
                  <w:r>
                    <w:rPr>
                      <w:sz w:val="16"/>
                      <w:szCs w:val="16"/>
                    </w:rPr>
                    <w:t xml:space="preserve">Station wind</w:t>
                  </w:r>
                </w:p>
              </w:tc>
              <w:tc>
                <w:tcPr/>
                <w:p>
                  <w:pPr>
                    <w:pStyle w:val="Compact"/>
                    <w:jc w:val="left"/>
                    <w:rPr>
                      <w:sz w:val="16"/>
                      <w:szCs w:val="16"/>
                    </w:rPr>
                  </w:pPr>
                  <w:r>
                    <w:rPr>
                      <w:sz w:val="16"/>
                      <w:szCs w:val="16"/>
                    </w:rPr>
                    <w:t xml:space="preserve">Environment and Climate Change Canada</w:t>
                  </w:r>
                </w:p>
              </w:tc>
              <w:tc>
                <w:tcPr/>
                <w:p>
                  <w:pPr>
                    <w:pStyle w:val="Compact"/>
                    <w:jc w:val="left"/>
                    <w:rPr>
                      <w:sz w:val="16"/>
                      <w:szCs w:val="16"/>
                    </w:rPr>
                  </w:pPr>
                  <w:r>
                    <w:rPr>
                      <w:sz w:val="16"/>
                      <w:szCs w:val="16"/>
                    </w:rPr>
                    <w:t xml:space="preserve">Speed and direction</w:t>
                  </w:r>
                </w:p>
              </w:tc>
              <w:tc>
                <w:tcPr/>
                <w:p>
                  <w:pPr>
                    <w:pStyle w:val="Compact"/>
                    <w:jc w:val="left"/>
                    <w:rPr>
                      <w:sz w:val="16"/>
                      <w:szCs w:val="16"/>
                    </w:rPr>
                  </w:pPr>
                  <w:r>
                    <w:rPr>
                      <w:sz w:val="16"/>
                      <w:szCs w:val="16"/>
                    </w:rPr>
                    <w:t xml:space="preserve">4 to 7 valley stations</w:t>
                  </w:r>
                </w:p>
              </w:tc>
              <w:tc>
                <w:tcPr/>
                <w:p>
                  <w:pPr>
                    <w:pStyle w:val="Compact"/>
                    <w:jc w:val="left"/>
                    <w:rPr>
                      <w:sz w:val="16"/>
                      <w:szCs w:val="16"/>
                    </w:rPr>
                  </w:pPr>
                  <w:r>
                    <w:rPr>
                      <w:sz w:val="16"/>
                      <w:szCs w:val="16"/>
                    </w:rPr>
                    <w:t xml:space="preserve">1 hour</w:t>
                  </w:r>
                </w:p>
              </w:tc>
              <w:tc>
                <w:tcPr/>
                <w:p>
                  <w:pPr>
                    <w:pStyle w:val="Compact"/>
                    <w:jc w:val="left"/>
                    <w:rPr>
                      <w:sz w:val="16"/>
                      <w:szCs w:val="16"/>
                    </w:rPr>
                  </w:pPr>
                  <w:r>
                    <w:rPr>
                      <w:sz w:val="16"/>
                      <w:szCs w:val="16"/>
                    </w:rPr>
                    <w:t xml:space="preserve">2005-2014, May to September</w:t>
                  </w:r>
                </w:p>
              </w:tc>
              <w:tc>
                <w:tcPr/>
                <w:p>
                  <w:pPr>
                    <w:pStyle w:val="Compact"/>
                    <w:jc w:val="left"/>
                    <w:rPr>
                      <w:sz w:val="16"/>
                      <w:szCs w:val="16"/>
                    </w:rPr>
                  </w:pPr>
                  <w:r>
                    <w:rPr>
                      <w:sz w:val="16"/>
                      <w:szCs w:val="16"/>
                    </w:rPr>
                    <w:t xml:space="preserve">236,079 hourly records</w:t>
                  </w:r>
                </w:p>
              </w:tc>
            </w:tr>
            <w:tr>
              <w:trPr>
                <w:trHeight w:val="340" w:hRule="exact"/>
              </w:trPr>
              <w:tc>
                <w:tcPr/>
                <w:p>
                  <w:pPr>
                    <w:pStyle w:val="Compact"/>
                    <w:jc w:val="left"/>
                    <w:rPr>
                      <w:sz w:val="16"/>
                      <w:szCs w:val="16"/>
                    </w:rPr>
                  </w:pPr>
                  <w:r>
                    <w:rPr>
                      <w:sz w:val="16"/>
                      <w:szCs w:val="16"/>
                    </w:rPr>
                    <w:t xml:space="preserve">Terrain-resolved wind</w:t>
                  </w:r>
                </w:p>
              </w:tc>
              <w:tc>
                <w:tcPr/>
                <w:p>
                  <w:pPr>
                    <w:pStyle w:val="Compact"/>
                    <w:jc w:val="left"/>
                    <w:rPr>
                      <w:sz w:val="16"/>
                      <w:szCs w:val="16"/>
                    </w:rPr>
                  </w:pPr>
                  <w:r>
                    <w:rPr>
                      <w:sz w:val="16"/>
                      <w:szCs w:val="16"/>
                    </w:rPr>
                    <w:t xml:space="preserve">MicroMet over the DEM, driven by station wind</w:t>
                  </w:r>
                </w:p>
              </w:tc>
              <w:tc>
                <w:tcPr/>
                <w:p>
                  <w:pPr>
                    <w:pStyle w:val="Compact"/>
                    <w:jc w:val="left"/>
                    <w:rPr>
                      <w:sz w:val="16"/>
                      <w:szCs w:val="16"/>
                    </w:rPr>
                  </w:pPr>
                  <w:r>
                    <w:rPr>
                      <w:sz w:val="16"/>
                      <w:szCs w:val="16"/>
                    </w:rPr>
                    <w:t xml:space="preserve">Weighting factor, modified speed, diverted direction</w:t>
                  </w:r>
                </w:p>
              </w:tc>
              <w:tc>
                <w:tcPr/>
                <w:p>
                  <w:pPr>
                    <w:pStyle w:val="Compact"/>
                    <w:jc w:val="left"/>
                    <w:rPr>
                      <w:sz w:val="16"/>
                      <w:szCs w:val="16"/>
                    </w:rPr>
                  </w:pPr>
                  <w:r>
                    <w:rPr>
                      <w:sz w:val="16"/>
                      <w:szCs w:val="16"/>
                    </w:rPr>
                    <w:t xml:space="preserve">30 m</w:t>
                  </w:r>
                </w:p>
              </w:tc>
              <w:tc>
                <w:tcPr/>
                <w:p>
                  <w:pPr>
                    <w:pStyle w:val="Compact"/>
                    <w:jc w:val="left"/>
                    <w:rPr>
                      <w:sz w:val="16"/>
                      <w:szCs w:val="16"/>
                    </w:rPr>
                  </w:pPr>
                  <w:r>
                    <w:rPr>
                      <w:sz w:val="16"/>
                      <w:szCs w:val="16"/>
                    </w:rPr>
                    <w:t xml:space="preserve">16 days, and 1 year</w:t>
                  </w:r>
                </w:p>
              </w:tc>
              <w:tc>
                <w:tcPr/>
                <w:p>
                  <w:pPr>
                    <w:pStyle w:val="Compact"/>
                    <w:jc w:val="left"/>
                    <w:rPr>
                      <w:sz w:val="16"/>
                      <w:szCs w:val="16"/>
                    </w:rPr>
                  </w:pPr>
                  <w:r>
                    <w:rPr>
                      <w:sz w:val="16"/>
                      <w:szCs w:val="16"/>
                    </w:rPr>
                    <w:t xml:space="preserve">2005-2014</w:t>
                  </w:r>
                </w:p>
              </w:tc>
              <w:tc>
                <w:tcPr/>
                <w:p>
                  <w:pPr>
                    <w:pStyle w:val="Compact"/>
                    <w:jc w:val="left"/>
                    <w:rPr>
                      <w:sz w:val="16"/>
                      <w:szCs w:val="16"/>
                    </w:rPr>
                  </w:pPr>
                  <w:r>
                    <w:rPr>
                      <w:sz w:val="16"/>
                      <w:szCs w:val="16"/>
                    </w:rPr>
                    <w:t xml:space="preserve">16 direction bins</w:t>
                  </w:r>
                </w:p>
              </w:tc>
            </w:tr>
            <w:tr>
              <w:trPr>
                <w:trHeight w:val="340" w:hRule="exact"/>
              </w:trPr>
              <w:tc>
                <w:tcPr/>
                <w:p>
                  <w:pPr>
                    <w:pStyle w:val="Compact"/>
                    <w:jc w:val="left"/>
                    <w:rPr>
                      <w:sz w:val="16"/>
                      <w:szCs w:val="16"/>
                    </w:rPr>
                  </w:pPr>
                  <w:r>
                    <w:rPr>
                      <w:sz w:val="16"/>
                      <w:szCs w:val="16"/>
                    </w:rPr>
                    <w:t xml:space="preserve">Modelling table, annual</w:t>
                  </w:r>
                </w:p>
              </w:tc>
              <w:tc>
                <w:tcPr/>
                <w:p>
                  <w:pPr>
                    <w:pStyle w:val="Compact"/>
                    <w:jc w:val="left"/>
                    <w:rPr>
                      <w:sz w:val="16"/>
                      <w:szCs w:val="16"/>
                    </w:rPr>
                  </w:pPr>
                  <w:r>
                    <w:rPr>
                      <w:sz w:val="16"/>
                      <w:szCs w:val="16"/>
                    </w:rPr>
                    <w:t xml:space="preserve">Assembled by 38-assemble-model-data.R</w:t>
                  </w:r>
                </w:p>
              </w:tc>
              <w:tc>
                <w:tcPr/>
                <w:p>
                  <w:pPr>
                    <w:pStyle w:val="Compact"/>
                    <w:jc w:val="left"/>
                    <w:rPr>
                      <w:sz w:val="16"/>
                      <w:szCs w:val="16"/>
                    </w:rPr>
                  </w:pPr>
                  <w:r>
                    <w:rPr>
                      <w:sz w:val="16"/>
                      <w:szCs w:val="16"/>
                    </w:rPr>
                    <w:t xml:space="preserve">Response and every covariate, one row per cell-year</w:t>
                  </w:r>
                </w:p>
              </w:tc>
              <w:tc>
                <w:tcPr/>
                <w:p>
                  <w:pPr>
                    <w:pStyle w:val="Compact"/>
                    <w:jc w:val="left"/>
                    <w:rPr>
                      <w:sz w:val="16"/>
                      <w:szCs w:val="16"/>
                    </w:rPr>
                  </w:pPr>
                  <w:r>
                    <w:rPr>
                      <w:sz w:val="16"/>
                      <w:szCs w:val="16"/>
                    </w:rPr>
                    <w:t xml:space="preserve">30 m</w:t>
                  </w:r>
                </w:p>
              </w:tc>
              <w:tc>
                <w:tcPr/>
                <w:p>
                  <w:pPr>
                    <w:pStyle w:val="Compact"/>
                    <w:jc w:val="left"/>
                    <w:rPr>
                      <w:sz w:val="16"/>
                      <w:szCs w:val="16"/>
                    </w:rPr>
                  </w:pPr>
                  <w:r>
                    <w:rPr>
                      <w:sz w:val="16"/>
                      <w:szCs w:val="16"/>
                    </w:rPr>
                    <w:t xml:space="preserve">1 year</w:t>
                  </w:r>
                </w:p>
              </w:tc>
              <w:tc>
                <w:tcPr/>
                <w:p>
                  <w:pPr>
                    <w:pStyle w:val="Compact"/>
                    <w:jc w:val="left"/>
                    <w:rPr>
                      <w:sz w:val="16"/>
                      <w:szCs w:val="16"/>
                    </w:rPr>
                  </w:pPr>
                  <w:r>
                    <w:rPr>
                      <w:sz w:val="16"/>
                      <w:szCs w:val="16"/>
                    </w:rPr>
                    <w:t xml:space="preserve">2006-2014, excluding 2012</w:t>
                  </w:r>
                </w:p>
              </w:tc>
              <w:tc>
                <w:tcPr/>
                <w:p>
                  <w:pPr>
                    <w:pStyle w:val="Compact"/>
                    <w:jc w:val="left"/>
                    <w:rPr>
                      <w:sz w:val="16"/>
                      <w:szCs w:val="16"/>
                    </w:rPr>
                  </w:pPr>
                  <w:r>
                    <w:rPr>
                      <w:sz w:val="16"/>
                      <w:szCs w:val="16"/>
                    </w:rPr>
                    <w:t xml:space="preserve">111,707 cell-years</w:t>
                  </w:r>
                </w:p>
              </w:tc>
            </w:tr>
            <w:tr>
              <w:trPr>
                <w:trHeight w:val="340" w:hRule="exact"/>
              </w:trPr>
              <w:tc>
                <w:tcPr/>
                <w:p>
                  <w:pPr>
                    <w:pStyle w:val="Compact"/>
                    <w:jc w:val="left"/>
                    <w:rPr>
                      <w:sz w:val="16"/>
                      <w:szCs w:val="16"/>
                    </w:rPr>
                  </w:pPr>
                  <w:r>
                    <w:rPr>
                      <w:sz w:val="16"/>
                      <w:szCs w:val="16"/>
                    </w:rPr>
                    <w:t xml:space="preserve">Modelling table, 16-day</w:t>
                  </w:r>
                </w:p>
              </w:tc>
              <w:tc>
                <w:tcPr/>
                <w:p>
                  <w:pPr>
                    <w:pStyle w:val="Compact"/>
                    <w:jc w:val="left"/>
                    <w:rPr>
                      <w:sz w:val="16"/>
                      <w:szCs w:val="16"/>
                    </w:rPr>
                  </w:pPr>
                  <w:r>
                    <w:rPr>
                      <w:sz w:val="16"/>
                      <w:szCs w:val="16"/>
                    </w:rPr>
                    <w:t xml:space="preserve">Assembled by 45-epoch-model-data.R</w:t>
                  </w:r>
                </w:p>
              </w:tc>
              <w:tc>
                <w:tcPr/>
                <w:p>
                  <w:pPr>
                    <w:pStyle w:val="Compact"/>
                    <w:jc w:val="left"/>
                    <w:rPr>
                      <w:sz w:val="16"/>
                      <w:szCs w:val="16"/>
                    </w:rPr>
                  </w:pPr>
                  <w:r>
                    <w:rPr>
                      <w:sz w:val="16"/>
                      <w:szCs w:val="16"/>
                    </w:rPr>
                    <w:t xml:space="preserve">Response and every covariate, one row per cell-epoch</w:t>
                  </w:r>
                </w:p>
              </w:tc>
              <w:tc>
                <w:tcPr/>
                <w:p>
                  <w:pPr>
                    <w:pStyle w:val="Compact"/>
                    <w:jc w:val="left"/>
                    <w:rPr>
                      <w:sz w:val="16"/>
                      <w:szCs w:val="16"/>
                    </w:rPr>
                  </w:pPr>
                  <w:r>
                    <w:rPr>
                      <w:sz w:val="16"/>
                      <w:szCs w:val="16"/>
                    </w:rPr>
                    <w:t xml:space="preserve">30 m</w:t>
                  </w:r>
                </w:p>
              </w:tc>
              <w:tc>
                <w:tcPr/>
                <w:p>
                  <w:pPr>
                    <w:pStyle w:val="Compact"/>
                    <w:jc w:val="left"/>
                    <w:rPr>
                      <w:sz w:val="16"/>
                      <w:szCs w:val="16"/>
                    </w:rPr>
                  </w:pPr>
                  <w:r>
                    <w:rPr>
                      <w:sz w:val="16"/>
                      <w:szCs w:val="16"/>
                    </w:rPr>
                    <w:t xml:space="preserve">16 days</w:t>
                  </w:r>
                </w:p>
              </w:tc>
              <w:tc>
                <w:tcPr/>
                <w:p>
                  <w:pPr>
                    <w:pStyle w:val="Compact"/>
                    <w:jc w:val="left"/>
                    <w:rPr>
                      <w:sz w:val="16"/>
                      <w:szCs w:val="16"/>
                    </w:rPr>
                  </w:pPr>
                  <w:r>
                    <w:rPr>
                      <w:sz w:val="16"/>
                      <w:szCs w:val="16"/>
                    </w:rPr>
                    <w:t xml:space="preserve">2006-2014, excluding 2012</w:t>
                  </w:r>
                </w:p>
              </w:tc>
              <w:tc>
                <w:tcPr/>
                <w:p>
                  <w:pPr>
                    <w:pStyle w:val="Compact"/>
                    <w:jc w:val="left"/>
                    <w:rPr>
                      <w:sz w:val="16"/>
                      <w:szCs w:val="16"/>
                    </w:rPr>
                  </w:pPr>
                  <w:r>
                    <w:rPr>
                      <w:sz w:val="16"/>
                      <w:szCs w:val="16"/>
                    </w:rPr>
                    <w:t xml:space="preserve">66,302 cell-epochs</w:t>
                  </w:r>
                </w:p>
              </w:tc>
            </w:tr>
          </w:tbl>
          <w:bookmarkEnd w:id="24"/>
          <w:p/>
        </w:tc>
      </w:tr>
    </w:tbl>
    <w:p>
      <w:pPr>
        <w:pStyle w:val="BodyText"/>
      </w:pPr>
      <w:r>
        <w:t xml:space="preserve">The study area is 5,573 ha of the Selkirk Mountains in southeastern British</w:t>
      </w:r>
      <w:r>
        <w:t xml:space="preserve"> </w:t>
      </w:r>
      <w:r>
        <w:t xml:space="preserve">Columbia, 61,923 cells at 30 m, spanning 830 to</w:t>
      </w:r>
      <w:r>
        <w:t xml:space="preserve"> </w:t>
      </w:r>
      <w:r>
        <w:t xml:space="preserve">1,744 m and 914 m of relief.</w:t>
      </w:r>
    </w:p>
    <w:p>
      <w:pPr>
        <w:pStyle w:val="BodyText"/>
      </w:pPr>
      <w:r>
        <w:t xml:space="preserve">The coordinate reference system is EPSG:3153, NAD83(CSRS) / BC Albers. This is the parent study’s</w:t>
      </w:r>
      <w:r>
        <w:t xml:space="preserve"> </w:t>
      </w:r>
      <w:r>
        <w:t xml:space="preserve">grid, adopted so that results are directly comparable to it.</w:t>
      </w:r>
      <w:r>
        <w:t xml:space="preserve"> </w:t>
      </w:r>
      <w:r>
        <w:t xml:space="preserve">Murphy et al. (2026)</w:t>
      </w:r>
      <w:r>
        <w:t xml:space="preserve"> </w:t>
      </w:r>
      <w:r>
        <w:t xml:space="preserve">report that</w:t>
      </w:r>
      <w:r>
        <w:t xml:space="preserve"> </w:t>
      </w:r>
      <w:r>
        <w:t xml:space="preserve">“All</w:t>
      </w:r>
      <w:r>
        <w:t xml:space="preserve"> </w:t>
      </w:r>
      <w:r>
        <w:t xml:space="preserve">disturbance and covariate rasters were aligned to a common 30 m grid in EPSG:3153, the</w:t>
      </w:r>
      <w:r>
        <w:t xml:space="preserve"> </w:t>
      </w:r>
      <w:r>
        <w:t xml:space="preserve">native resolution of the Landsat-derived dNBR and dNDMI products”</w:t>
      </w:r>
      <w:r>
        <w:t xml:space="preserve">, and that</w:t>
      </w:r>
      <w:r>
        <w:t xml:space="preserve"> </w:t>
      </w:r>
      <w:r>
        <w:t xml:space="preserve">“The plot anchor</w:t>
      </w:r>
      <w:r>
        <w:t xml:space="preserve"> </w:t>
      </w:r>
      <w:r>
        <w:t xml:space="preserve">was georeferenced with a handheld GPS receiver in EPSG:3153”</w:t>
      </w:r>
      <w:r>
        <w:t xml:space="preserve">.</w:t>
      </w:r>
    </w:p>
    <w:p>
      <w:pPr>
        <w:pStyle w:val="BodyText"/>
      </w:pPr>
      <w:r>
        <w:t xml:space="preserve">The perimeter is anchored on the 2015 Mt Midgeley fire, 480 ha, which is the</w:t>
      </w:r>
      <w:r>
        <w:t xml:space="preserve"> </w:t>
      </w:r>
      <w:r>
        <w:t xml:space="preserve">parent study’s site. That study reports its site as spanning</w:t>
      </w:r>
      <w:r>
        <w:t xml:space="preserve"> </w:t>
      </w:r>
      <w:r>
        <w:t xml:space="preserve">“elevations from 830 to 1744 m</w:t>
      </w:r>
      <w:r>
        <w:t xml:space="preserve"> </w:t>
      </w:r>
      <w:r>
        <w:t xml:space="preserve">a.s.l.”</w:t>
      </w:r>
      <w:r>
        <w:t xml:space="preserve">; the digital elevation model used here returns 856 to</w:t>
      </w:r>
      <w:r>
        <w:t xml:space="preserve"> </w:t>
      </w:r>
      <w:r>
        <w:t xml:space="preserve">1,744 m inside the same perimeter, which reproduces the statement. The present</w:t>
      </w:r>
      <w:r>
        <w:t xml:space="preserve"> </w:t>
      </w:r>
      <w:r>
        <w:t xml:space="preserve">study extends beyond that hard boundary, because 480 ha does not contain the stand-density</w:t>
      </w:r>
      <w:r>
        <w:t xml:space="preserve"> </w:t>
      </w:r>
      <w:r>
        <w:t xml:space="preserve">contrast the pheromone mechanism requires. The extension is not arbitrary. The perimeter is</w:t>
      </w:r>
      <w:r>
        <w:t xml:space="preserve"> </w:t>
      </w:r>
      <w:r>
        <w:t xml:space="preserve">the burn buffered 5 km and then cut to the elevation band the parent’s site occupies, so the</w:t>
      </w:r>
      <w:r>
        <w:t xml:space="preserve"> </w:t>
      </w:r>
      <w:r>
        <w:t xml:space="preserve">added ground is ecologically the same kind of ground. Without that cut a 1 km buffer already</w:t>
      </w:r>
      <w:r>
        <w:t xml:space="preserve"> </w:t>
      </w:r>
      <w:r>
        <w:t xml:space="preserve">reaches the Kootenay Lake surface at 534 m, which is not a site elevation.</w:t>
      </w:r>
    </w:p>
    <w:tbl>
      <w:tblPr>
        <w:tblStyle w:val="Table"/>
        <w:tblW w:type="pct" w:w="5000"/>
        <w:tblLayout w:type="fixed"/>
        <w:tblLook w:firstRow="0" w:lastRow="0" w:firstColumn="0" w:lastColumn="0" w:noHBand="0" w:noVBand="0" w:val="0000"/>
      </w:tblPr>
      <w:tblGrid>
        <w:gridCol w:w="7920"/>
      </w:tblGrid>
      <w:tr>
        <w:tc>
          <w:tcPr/>
          <w:bookmarkStart w:id="28" w:name="fig-study-area"/>
          <w:p>
            <w:pPr>
              <w:pStyle w:val="Compact"/>
              <w:jc w:val="center"/>
            </w:pPr>
            <w:r>
              <w:drawing>
                <wp:inline>
                  <wp:extent cx="5943600" cy="6656832"/>
                  <wp:effectExtent b="0" l="0" r="0" t="0"/>
                  <wp:docPr descr="" title="" id="26" name="Picture"/>
                  <a:graphic>
                    <a:graphicData uri="http://schemas.openxmlformats.org/drawingml/2006/picture">
                      <pic:pic>
                        <pic:nvPicPr>
                          <pic:cNvPr descr="beetle-topography-wind-study-vri-timeseries_files/figure-docx/fig-study-area-1.png" id="27" name="Picture"/>
                          <pic:cNvPicPr>
                            <a:picLocks noChangeArrowheads="1" noChangeAspect="1"/>
                          </pic:cNvPicPr>
                        </pic:nvPicPr>
                        <pic:blipFill>
                          <a:blip r:embed="rId25"/>
                          <a:stretch>
                            <a:fillRect/>
                          </a:stretch>
                        </pic:blipFill>
                        <pic:spPr bwMode="auto">
                          <a:xfrm>
                            <a:off x="0" y="0"/>
                            <a:ext cx="5943600" cy="6656832"/>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Landscape, terrain and stand surfaces across the study area, all EPSG:3153 at 30 m over Esri World Shaded Relief. (a) elevation; (b) terrain ruggedness index; (c) windward-leeward index at the prevailing bearing; (d) flight-window direct radiation, the thermal gate on flight; (e) growing-season direct radiation, the shading pathway; (f) the MicroMet wind weighting factor at the prevailing bearing; (g) stand basal area; (h) quadratic mean diameter, whose 25 cm source-sink threshold falls near the midpoint of the scale; (i) live stems per hectare. The white outline is the study perimeter and the red outline the 2015 Mt Midgeley burn. Contours are at 200 m. Every panel has its own north arrow and the same numerical scale, 1:150,000, which is correct at a printed panel width of 66 mm.</w:t>
            </w:r>
          </w:p>
          <w:bookmarkEnd w:id="28"/>
        </w:tc>
      </w:tr>
    </w:tbl>
    <w:bookmarkEnd w:id="29"/>
    <w:bookmarkStart w:id="31" w:name="beetle-disturbance"/>
    <w:p>
      <w:pPr>
        <w:pStyle w:val="Heading2"/>
      </w:pPr>
      <w:r>
        <w:t xml:space="preserve">2.2 Beetle disturbance</w:t>
      </w:r>
    </w:p>
    <w:p>
      <w:pPr>
        <w:pStyle w:val="FirstParagraph"/>
      </w:pPr>
      <w:r>
        <w:t xml:space="preserve">The response is annual moderate-to-high beetle disturbance, classified from Landsat</w:t>
      </w:r>
      <w:r>
        <w:t xml:space="preserve"> </w:t>
      </w:r>
      <w:r>
        <w:t xml:space="preserve">normalised difference moisture index by the method of the parent study and rebuilt for this</w:t>
      </w:r>
      <w:r>
        <w:t xml:space="preserve"> </w:t>
      </w:r>
      <w:r>
        <w:t xml:space="preserve">project. It covers eight outbreak years, 2006 to 2014,</w:t>
      </w:r>
      <w:r>
        <w:t xml:space="preserve"> </w:t>
      </w:r>
      <w:r>
        <w:t xml:space="preserve">excluding 2012, the one year covered only by Landsat 7, which has flown with its scan-line</w:t>
      </w:r>
      <w:r>
        <w:t xml:space="preserve"> </w:t>
      </w:r>
      <w:r>
        <w:t xml:space="preserve">corrector off since May 2003. Annual prevalence inside the perimeter runs</w:t>
      </w:r>
      <w:r>
        <w:t xml:space="preserve"> </w:t>
      </w:r>
      <w:r>
        <w:t xml:space="preserve">4.9 to 19.2 per</w:t>
      </w:r>
      <w:r>
        <w:t xml:space="preserve"> </w:t>
      </w:r>
      <w:r>
        <w:t xml:space="preserve">cent, pooled 12.9 per cent over 111,707 cell-years.</w:t>
      </w:r>
    </w:p>
    <w:p>
      <w:pPr>
        <w:pStyle w:val="BodyText"/>
      </w:pPr>
      <w:r>
        <w:t xml:space="preserve">Years are never unioned. Unioning destroys the year-to-year spread this study measures, and</w:t>
      </w:r>
      <w:r>
        <w:t xml:space="preserve"> </w:t>
      </w:r>
      <w:r>
        <w:t xml:space="preserve">the union layer over the wider grid reached 73 per cent of the landscape, which is not</w:t>
      </w:r>
      <w:r>
        <w:t xml:space="preserve"> </w:t>
      </w:r>
      <w:r>
        <w:t xml:space="preserve">credible for a beetle outbreak.</w:t>
      </w:r>
    </w:p>
    <w:p>
      <w:pPr>
        <w:pStyle w:val="BodyText"/>
      </w:pPr>
      <w:r>
        <w:t xml:space="preserve">The provincial aerial overview survey is not used as a response and supplies no training</w:t>
      </w:r>
      <w:r>
        <w:t xml:space="preserve"> </w:t>
      </w:r>
      <w:r>
        <w:t xml:space="preserve">label. It is retained only as a visual check.</w:t>
      </w:r>
    </w:p>
    <w:tbl>
      <w:tblPr>
        <w:tblStyle w:val="Table"/>
        <w:tblW w:type="pct" w:w="5000"/>
        <w:tblLayout w:type="fixed"/>
        <w:tblLook w:firstRow="0" w:lastRow="0" w:firstColumn="0" w:lastColumn="0" w:noHBand="0" w:noVBand="0" w:val="0000"/>
      </w:tblPr>
      <w:tblGrid>
        <w:gridCol w:w="7920"/>
      </w:tblGrid>
      <w:tr>
        <w:tc>
          <w:tcPr/>
          <w:bookmarkStart w:id="30" w:name="tbl-prevalence"/>
          <w:p>
            <w:pPr>
              <w:jc w:val="center"/>
            </w:pPr>
            <w:pPr>
              <w:jc w:val="start"/>
              <w:spacing w:before="200"/>
              <w:pStyle w:val="ImageCaption"/>
            </w:pPr>
            <w:r>
              <w:t xml:space="preserve">Table 3: Moderate-to-high beetle disturbance by year inside the study perimeter.</w:t>
            </w:r>
          </w:p>
          <w:tbl>
            <w:tblPr>
              <w:tblStyle w:val="Table"/>
              <w:tblLook w:firstRow="1" w:lastRow="0" w:firstColumn="0" w:lastColumn="0" w:noHBand="0" w:noVBand="0" w:val="0020"/>
              <w:tblW w:w="9354" w:type="dxa"/>
              <w:tblLayout w:type="fixed"/>
            </w:tblPr>
            <w:tblGrid>
              <w:gridCol w:w="3118"/>
              <w:gridCol w:w="3118"/>
              <w:gridCol w:w="3118"/>
            </w:tblGrid>
            <w:tr>
              <w:trPr>
                <w:tblHeader w:val="on"/>
                <w:trHeight w:val="624" w:hRule="exact"/>
              </w:trPr>
              <w:tc>
                <w:tcPr/>
                <w:p>
                  <w:pPr>
                    <w:pStyle w:val="Compact"/>
                    <w:jc w:val="left"/>
                    <w:rPr>
                      <w:sz w:val="16"/>
                      <w:szCs w:val="16"/>
                    </w:rPr>
                  </w:pPr>
                  <w:r>
                    <w:rPr>
                      <w:sz w:val="16"/>
                      <w:szCs w:val="16"/>
                    </w:rPr>
                    <w:t xml:space="preserve">Year</w:t>
                  </w:r>
                </w:p>
              </w:tc>
              <w:tc>
                <w:tcPr/>
                <w:p>
                  <w:pPr>
                    <w:pStyle w:val="Compact"/>
                    <w:jc w:val="left"/>
                    <w:rPr>
                      <w:sz w:val="16"/>
                      <w:szCs w:val="16"/>
                    </w:rPr>
                  </w:pPr>
                  <w:r>
                    <w:rPr>
                      <w:sz w:val="16"/>
                      <w:szCs w:val="16"/>
                    </w:rPr>
                    <w:t xml:space="preserve">Cells</w:t>
                  </w:r>
                </w:p>
              </w:tc>
              <w:tc>
                <w:tcPr/>
                <w:p>
                  <w:pPr>
                    <w:pStyle w:val="Compact"/>
                    <w:jc w:val="left"/>
                    <w:rPr>
                      <w:sz w:val="16"/>
                      <w:szCs w:val="16"/>
                    </w:rPr>
                  </w:pPr>
                  <w:r>
                    <w:rPr>
                      <w:sz w:val="16"/>
                      <w:szCs w:val="16"/>
                    </w:rPr>
                    <w:t xml:space="preserve">Moderate-to-high (%)</w:t>
                  </w:r>
                </w:p>
              </w:tc>
            </w:tr>
            <w:tr>
              <w:trPr>
                <w:trHeight w:val="340" w:hRule="exact"/>
              </w:trPr>
              <w:tc>
                <w:tcPr/>
                <w:p>
                  <w:pPr>
                    <w:pStyle w:val="Compact"/>
                    <w:jc w:val="left"/>
                    <w:rPr>
                      <w:sz w:val="16"/>
                      <w:szCs w:val="16"/>
                    </w:rPr>
                  </w:pPr>
                  <w:r>
                    <w:rPr>
                      <w:sz w:val="16"/>
                      <w:szCs w:val="16"/>
                    </w:rPr>
                    <w:t xml:space="preserve">2006</w:t>
                  </w:r>
                </w:p>
              </w:tc>
              <w:tc>
                <w:tcPr/>
                <w:p>
                  <w:pPr>
                    <w:pStyle w:val="Compact"/>
                    <w:jc w:val="left"/>
                    <w:rPr>
                      <w:sz w:val="16"/>
                      <w:szCs w:val="16"/>
                    </w:rPr>
                  </w:pPr>
                  <w:r>
                    <w:rPr>
                      <w:sz w:val="16"/>
                      <w:szCs w:val="16"/>
                    </w:rPr>
                    <w:t xml:space="preserve">13,224</w:t>
                  </w:r>
                </w:p>
              </w:tc>
              <w:tc>
                <w:tcPr/>
                <w:p>
                  <w:pPr>
                    <w:pStyle w:val="Compact"/>
                    <w:jc w:val="left"/>
                    <w:rPr>
                      <w:sz w:val="16"/>
                      <w:szCs w:val="16"/>
                    </w:rPr>
                  </w:pPr>
                  <w:r>
                    <w:rPr>
                      <w:sz w:val="16"/>
                      <w:szCs w:val="16"/>
                    </w:rPr>
                    <w:t xml:space="preserve">4.9</w:t>
                  </w:r>
                </w:p>
              </w:tc>
            </w:tr>
            <w:tr>
              <w:trPr>
                <w:trHeight w:val="340" w:hRule="exact"/>
              </w:trPr>
              <w:tc>
                <w:tcPr/>
                <w:p>
                  <w:pPr>
                    <w:pStyle w:val="Compact"/>
                    <w:jc w:val="left"/>
                    <w:rPr>
                      <w:sz w:val="16"/>
                      <w:szCs w:val="16"/>
                    </w:rPr>
                  </w:pPr>
                  <w:r>
                    <w:rPr>
                      <w:sz w:val="16"/>
                      <w:szCs w:val="16"/>
                    </w:rPr>
                    <w:t xml:space="preserve">2007</w:t>
                  </w:r>
                </w:p>
              </w:tc>
              <w:tc>
                <w:tcPr/>
                <w:p>
                  <w:pPr>
                    <w:pStyle w:val="Compact"/>
                    <w:jc w:val="left"/>
                    <w:rPr>
                      <w:sz w:val="16"/>
                      <w:szCs w:val="16"/>
                    </w:rPr>
                  </w:pPr>
                  <w:r>
                    <w:rPr>
                      <w:sz w:val="16"/>
                      <w:szCs w:val="16"/>
                    </w:rPr>
                    <w:t xml:space="preserve">13,225</w:t>
                  </w:r>
                </w:p>
              </w:tc>
              <w:tc>
                <w:tcPr/>
                <w:p>
                  <w:pPr>
                    <w:pStyle w:val="Compact"/>
                    <w:jc w:val="left"/>
                    <w:rPr>
                      <w:sz w:val="16"/>
                      <w:szCs w:val="16"/>
                    </w:rPr>
                  </w:pPr>
                  <w:r>
                    <w:rPr>
                      <w:sz w:val="16"/>
                      <w:szCs w:val="16"/>
                    </w:rPr>
                    <w:t xml:space="preserve">6.0</w:t>
                  </w:r>
                </w:p>
              </w:tc>
            </w:tr>
            <w:tr>
              <w:trPr>
                <w:trHeight w:val="340" w:hRule="exact"/>
              </w:trPr>
              <w:tc>
                <w:tcPr/>
                <w:p>
                  <w:pPr>
                    <w:pStyle w:val="Compact"/>
                    <w:jc w:val="left"/>
                    <w:rPr>
                      <w:sz w:val="16"/>
                      <w:szCs w:val="16"/>
                    </w:rPr>
                  </w:pPr>
                  <w:r>
                    <w:rPr>
                      <w:sz w:val="16"/>
                      <w:szCs w:val="16"/>
                    </w:rPr>
                    <w:t xml:space="preserve">2008</w:t>
                  </w:r>
                </w:p>
              </w:tc>
              <w:tc>
                <w:tcPr/>
                <w:p>
                  <w:pPr>
                    <w:pStyle w:val="Compact"/>
                    <w:jc w:val="left"/>
                    <w:rPr>
                      <w:sz w:val="16"/>
                      <w:szCs w:val="16"/>
                    </w:rPr>
                  </w:pPr>
                  <w:r>
                    <w:rPr>
                      <w:sz w:val="16"/>
                      <w:szCs w:val="16"/>
                    </w:rPr>
                    <w:t xml:space="preserve">13,285</w:t>
                  </w:r>
                </w:p>
              </w:tc>
              <w:tc>
                <w:tcPr/>
                <w:p>
                  <w:pPr>
                    <w:pStyle w:val="Compact"/>
                    <w:jc w:val="left"/>
                    <w:rPr>
                      <w:sz w:val="16"/>
                      <w:szCs w:val="16"/>
                    </w:rPr>
                  </w:pPr>
                  <w:r>
                    <w:rPr>
                      <w:sz w:val="16"/>
                      <w:szCs w:val="16"/>
                    </w:rPr>
                    <w:t xml:space="preserve">19.2</w:t>
                  </w:r>
                </w:p>
              </w:tc>
            </w:tr>
            <w:tr>
              <w:trPr>
                <w:trHeight w:val="340" w:hRule="exact"/>
              </w:trPr>
              <w:tc>
                <w:tcPr/>
                <w:p>
                  <w:pPr>
                    <w:pStyle w:val="Compact"/>
                    <w:jc w:val="left"/>
                    <w:rPr>
                      <w:sz w:val="16"/>
                      <w:szCs w:val="16"/>
                    </w:rPr>
                  </w:pPr>
                  <w:r>
                    <w:rPr>
                      <w:sz w:val="16"/>
                      <w:szCs w:val="16"/>
                    </w:rPr>
                    <w:t xml:space="preserve">2009</w:t>
                  </w:r>
                </w:p>
              </w:tc>
              <w:tc>
                <w:tcPr/>
                <w:p>
                  <w:pPr>
                    <w:pStyle w:val="Compact"/>
                    <w:jc w:val="left"/>
                    <w:rPr>
                      <w:sz w:val="16"/>
                      <w:szCs w:val="16"/>
                    </w:rPr>
                  </w:pPr>
                  <w:r>
                    <w:rPr>
                      <w:sz w:val="16"/>
                      <w:szCs w:val="16"/>
                    </w:rPr>
                    <w:t xml:space="preserve">13,556</w:t>
                  </w:r>
                </w:p>
              </w:tc>
              <w:tc>
                <w:tcPr/>
                <w:p>
                  <w:pPr>
                    <w:pStyle w:val="Compact"/>
                    <w:jc w:val="left"/>
                    <w:rPr>
                      <w:sz w:val="16"/>
                      <w:szCs w:val="16"/>
                    </w:rPr>
                  </w:pPr>
                  <w:r>
                    <w:rPr>
                      <w:sz w:val="16"/>
                      <w:szCs w:val="16"/>
                    </w:rPr>
                    <w:t xml:space="preserve">12.4</w:t>
                  </w:r>
                </w:p>
              </w:tc>
            </w:tr>
            <w:tr>
              <w:trPr>
                <w:trHeight w:val="340" w:hRule="exact"/>
              </w:trPr>
              <w:tc>
                <w:tcPr/>
                <w:p>
                  <w:pPr>
                    <w:pStyle w:val="Compact"/>
                    <w:jc w:val="left"/>
                    <w:rPr>
                      <w:sz w:val="16"/>
                      <w:szCs w:val="16"/>
                    </w:rPr>
                  </w:pPr>
                  <w:r>
                    <w:rPr>
                      <w:sz w:val="16"/>
                      <w:szCs w:val="16"/>
                    </w:rPr>
                    <w:t xml:space="preserve">2010</w:t>
                  </w:r>
                </w:p>
              </w:tc>
              <w:tc>
                <w:tcPr/>
                <w:p>
                  <w:pPr>
                    <w:pStyle w:val="Compact"/>
                    <w:jc w:val="left"/>
                    <w:rPr>
                      <w:sz w:val="16"/>
                      <w:szCs w:val="16"/>
                    </w:rPr>
                  </w:pPr>
                  <w:r>
                    <w:rPr>
                      <w:sz w:val="16"/>
                      <w:szCs w:val="16"/>
                    </w:rPr>
                    <w:t xml:space="preserve">13,538</w:t>
                  </w:r>
                </w:p>
              </w:tc>
              <w:tc>
                <w:tcPr/>
                <w:p>
                  <w:pPr>
                    <w:pStyle w:val="Compact"/>
                    <w:jc w:val="left"/>
                    <w:rPr>
                      <w:sz w:val="16"/>
                      <w:szCs w:val="16"/>
                    </w:rPr>
                  </w:pPr>
                  <w:r>
                    <w:rPr>
                      <w:sz w:val="16"/>
                      <w:szCs w:val="16"/>
                    </w:rPr>
                    <w:t xml:space="preserve">16.5</w:t>
                  </w:r>
                </w:p>
              </w:tc>
            </w:tr>
            <w:tr>
              <w:trPr>
                <w:trHeight w:val="340" w:hRule="exact"/>
              </w:trPr>
              <w:tc>
                <w:tcPr/>
                <w:p>
                  <w:pPr>
                    <w:pStyle w:val="Compact"/>
                    <w:jc w:val="left"/>
                    <w:rPr>
                      <w:sz w:val="16"/>
                      <w:szCs w:val="16"/>
                    </w:rPr>
                  </w:pPr>
                  <w:r>
                    <w:rPr>
                      <w:sz w:val="16"/>
                      <w:szCs w:val="16"/>
                    </w:rPr>
                    <w:t xml:space="preserve">2011</w:t>
                  </w:r>
                </w:p>
              </w:tc>
              <w:tc>
                <w:tcPr/>
                <w:p>
                  <w:pPr>
                    <w:pStyle w:val="Compact"/>
                    <w:jc w:val="left"/>
                    <w:rPr>
                      <w:sz w:val="16"/>
                      <w:szCs w:val="16"/>
                    </w:rPr>
                  </w:pPr>
                  <w:r>
                    <w:rPr>
                      <w:sz w:val="16"/>
                      <w:szCs w:val="16"/>
                    </w:rPr>
                    <w:t xml:space="preserve">14,944</w:t>
                  </w:r>
                </w:p>
              </w:tc>
              <w:tc>
                <w:tcPr/>
                <w:p>
                  <w:pPr>
                    <w:pStyle w:val="Compact"/>
                    <w:jc w:val="left"/>
                    <w:rPr>
                      <w:sz w:val="16"/>
                      <w:szCs w:val="16"/>
                    </w:rPr>
                  </w:pPr>
                  <w:r>
                    <w:rPr>
                      <w:sz w:val="16"/>
                      <w:szCs w:val="16"/>
                    </w:rPr>
                    <w:t xml:space="preserve">13.5</w:t>
                  </w:r>
                </w:p>
              </w:tc>
            </w:tr>
            <w:tr>
              <w:trPr>
                <w:trHeight w:val="340" w:hRule="exact"/>
              </w:trPr>
              <w:tc>
                <w:tcPr/>
                <w:p>
                  <w:pPr>
                    <w:pStyle w:val="Compact"/>
                    <w:jc w:val="left"/>
                    <w:rPr>
                      <w:sz w:val="16"/>
                      <w:szCs w:val="16"/>
                    </w:rPr>
                  </w:pPr>
                  <w:r>
                    <w:rPr>
                      <w:sz w:val="16"/>
                      <w:szCs w:val="16"/>
                    </w:rPr>
                    <w:t xml:space="preserve">2013</w:t>
                  </w:r>
                </w:p>
              </w:tc>
              <w:tc>
                <w:tcPr/>
                <w:p>
                  <w:pPr>
                    <w:pStyle w:val="Compact"/>
                    <w:jc w:val="left"/>
                    <w:rPr>
                      <w:sz w:val="16"/>
                      <w:szCs w:val="16"/>
                    </w:rPr>
                  </w:pPr>
                  <w:r>
                    <w:rPr>
                      <w:sz w:val="16"/>
                      <w:szCs w:val="16"/>
                    </w:rPr>
                    <w:t xml:space="preserve">14,943</w:t>
                  </w:r>
                </w:p>
              </w:tc>
              <w:tc>
                <w:tcPr/>
                <w:p>
                  <w:pPr>
                    <w:pStyle w:val="Compact"/>
                    <w:jc w:val="left"/>
                    <w:rPr>
                      <w:sz w:val="16"/>
                      <w:szCs w:val="16"/>
                    </w:rPr>
                  </w:pPr>
                  <w:r>
                    <w:rPr>
                      <w:sz w:val="16"/>
                      <w:szCs w:val="16"/>
                    </w:rPr>
                    <w:t xml:space="preserve">14.4</w:t>
                  </w:r>
                </w:p>
              </w:tc>
            </w:tr>
            <w:tr>
              <w:trPr>
                <w:trHeight w:val="340" w:hRule="exact"/>
              </w:trPr>
              <w:tc>
                <w:tcPr/>
                <w:p>
                  <w:pPr>
                    <w:pStyle w:val="Compact"/>
                    <w:jc w:val="left"/>
                    <w:rPr>
                      <w:sz w:val="16"/>
                      <w:szCs w:val="16"/>
                    </w:rPr>
                  </w:pPr>
                  <w:r>
                    <w:rPr>
                      <w:sz w:val="16"/>
                      <w:szCs w:val="16"/>
                    </w:rPr>
                    <w:t xml:space="preserve">2014</w:t>
                  </w:r>
                </w:p>
              </w:tc>
              <w:tc>
                <w:tcPr/>
                <w:p>
                  <w:pPr>
                    <w:pStyle w:val="Compact"/>
                    <w:jc w:val="left"/>
                    <w:rPr>
                      <w:sz w:val="16"/>
                      <w:szCs w:val="16"/>
                    </w:rPr>
                  </w:pPr>
                  <w:r>
                    <w:rPr>
                      <w:sz w:val="16"/>
                      <w:szCs w:val="16"/>
                    </w:rPr>
                    <w:t xml:space="preserve">14,992</w:t>
                  </w:r>
                </w:p>
              </w:tc>
              <w:tc>
                <w:tcPr/>
                <w:p>
                  <w:pPr>
                    <w:pStyle w:val="Compact"/>
                    <w:jc w:val="left"/>
                    <w:rPr>
                      <w:sz w:val="16"/>
                      <w:szCs w:val="16"/>
                    </w:rPr>
                  </w:pPr>
                  <w:r>
                    <w:rPr>
                      <w:sz w:val="16"/>
                      <w:szCs w:val="16"/>
                    </w:rPr>
                    <w:t xml:space="preserve">15.2</w:t>
                  </w:r>
                </w:p>
              </w:tc>
            </w:tr>
          </w:tbl>
          <w:bookmarkEnd w:id="30"/>
          <w:p/>
        </w:tc>
      </w:tr>
    </w:tbl>
    <w:bookmarkEnd w:id="31"/>
    <w:bookmarkStart w:id="33" w:name="stand-structure"/>
    <w:p>
      <w:pPr>
        <w:pStyle w:val="Heading2"/>
      </w:pPr>
      <w:r>
        <w:t xml:space="preserve">2.3 Stand structure</w:t>
      </w:r>
    </w:p>
    <w:p>
      <w:pPr>
        <w:pStyle w:val="FirstParagraph"/>
      </w:pPr>
      <w:r>
        <w:t xml:space="preserve">Stand structure comes from the provincial Vegetation Resources Inventory layer</w:t>
      </w:r>
      <w:r>
        <w:t xml:space="preserve"> </w:t>
      </w:r>
      <w:r>
        <w:rPr>
          <w:rStyle w:val="VerbatimChar"/>
        </w:rPr>
        <w:t xml:space="preserve">VEG_COMP_LYR_R1_POLY</w:t>
      </w:r>
      <w:r>
        <w:t xml:space="preserve">, retrieved by web feature service over the perimeter. Six attributes</w:t>
      </w:r>
      <w:r>
        <w:t xml:space="preserve"> </w:t>
      </w:r>
      <w:r>
        <w:t xml:space="preserve">cover the mechanism and the stem-size threshold. These are total basal area, crown closure,</w:t>
      </w:r>
      <w:r>
        <w:t xml:space="preserve"> </w:t>
      </w:r>
      <w:r>
        <w:t xml:space="preserve">live stems per hectare, quadratic mean diameter over stems 12.5 cm and up, stand age, and</w:t>
      </w:r>
      <w:r>
        <w:t xml:space="preserve"> </w:t>
      </w:r>
      <w:r>
        <w:t xml:space="preserve">susceptible pine basal area formed as total basal area times the pine share of cover.</w:t>
      </w:r>
    </w:p>
    <w:p>
      <w:pPr>
        <w:pStyle w:val="BodyText"/>
      </w:pPr>
      <w:r>
        <w:t xml:space="preserve">Every model is fitted on year-matched stand structure. Each cell-year takes the inventory</w:t>
      </w:r>
      <w:r>
        <w:t xml:space="preserve"> </w:t>
      </w:r>
      <w:r>
        <w:t xml:space="preserve">snapshot the province published for that year, depleted for harvest and projected for growth</w:t>
      </w:r>
      <w:r>
        <w:t xml:space="preserve"> </w:t>
      </w:r>
      <w:r>
        <w:t xml:space="preserve">to it, so the host terms vary in time as well as in space.</w:t>
      </w:r>
    </w:p>
    <w:p>
      <w:pPr>
        <w:pStyle w:val="BodyText"/>
      </w:pPr>
      <w:r>
        <w:t xml:space="preserve">One year is substituted. The 2007 delivery lists basal area and live stems as columns and fills neither, 0 and 3 per cent of polygons against 70 to 97 per cent in every other year, so the preceding year is carried forward rather than averaged. The inventory is itself a projection, so carrying forward reproduces a stand structure the province published, where averaging would invent one it did not.</w:t>
      </w:r>
    </w:p>
    <w:p>
      <w:pPr>
        <w:pStyle w:val="BodyText"/>
      </w:pPr>
      <w:r>
        <w:t xml:space="preserve">67.1 per cent of cell-years sit at or above the</w:t>
      </w:r>
      <w:r>
        <w:t xml:space="preserve"> </w:t>
      </w:r>
      <w:r>
        <w:t xml:space="preserve">25 cm source-sink threshold.</w:t>
      </w:r>
    </w:p>
    <w:tbl>
      <w:tblPr>
        <w:tblStyle w:val="Table"/>
        <w:tblW w:type="pct" w:w="5000"/>
        <w:tblLayout w:type="fixed"/>
        <w:tblLook w:firstRow="0" w:lastRow="0" w:firstColumn="0" w:lastColumn="0" w:noHBand="0" w:noVBand="0" w:val="0000"/>
      </w:tblPr>
      <w:tblGrid>
        <w:gridCol w:w="7920"/>
      </w:tblGrid>
      <w:tr>
        <w:tc>
          <w:tcPr/>
          <w:bookmarkStart w:id="32" w:name="tbl-vri"/>
          <w:p>
            <w:pPr>
              <w:jc w:val="center"/>
            </w:pPr>
            <w:pPr>
              <w:jc w:val="start"/>
              <w:spacing w:before="200"/>
              <w:pStyle w:val="ImageCaption"/>
            </w:pPr>
            <w:r>
              <w:t xml:space="preserve">Table 4: Stand structure across the study perimeter, from the Vegetation Resources Inventory. n is cell-years. SD is the standard deviation of the landscape; SE is the standard error of the mean and is small by construction at this n, so it should not be read as precision about any one cell. Skewness and kurtosis are the bias-corrected third and fourth standardised moments; kurtosis is excess, so 0 is Gaussian and positive is heavy-tailed.</w:t>
            </w:r>
          </w:p>
          <w:tbl>
            <w:tblPr>
              <w:tblStyle w:val="Table"/>
              <w:tblLook w:firstRow="1" w:lastRow="0" w:firstColumn="0" w:lastColumn="0" w:noHBand="0" w:noVBand="0" w:val="0020"/>
              <w:tblW w:w="9354" w:type="dxa"/>
              <w:tblLayout w:type="fixed"/>
            </w:tblPr>
            <w:tblGrid>
              <w:gridCol w:w="3270"/>
              <w:gridCol w:w="727"/>
              <w:gridCol w:w="636"/>
              <w:gridCol w:w="636"/>
              <w:gridCol w:w="545"/>
              <w:gridCol w:w="636"/>
              <w:gridCol w:w="545"/>
              <w:gridCol w:w="727"/>
              <w:gridCol w:w="818"/>
              <w:gridCol w:w="814"/>
            </w:tblGrid>
            <w:tr>
              <w:trPr>
                <w:tblHeader w:val="on"/>
                <w:trHeight w:val="624" w:hRule="exact"/>
              </w:trPr>
              <w:tc>
                <w:tcPr/>
                <w:p>
                  <w:pPr>
                    <w:pStyle w:val="Compact"/>
                    <w:jc w:val="left"/>
                    <w:rPr>
                      <w:sz w:val="16"/>
                      <w:szCs w:val="16"/>
                    </w:rPr>
                  </w:pPr>
                  <w:r>
                    <w:rPr>
                      <w:sz w:val="16"/>
                      <w:szCs w:val="16"/>
                    </w:rPr>
                    <w:t xml:space="preserve">Attribute</w:t>
                  </w:r>
                </w:p>
              </w:tc>
              <w:tc>
                <w:tcPr/>
                <w:p>
                  <w:pPr>
                    <w:pStyle w:val="Compact"/>
                    <w:jc w:val="left"/>
                    <w:rPr>
                      <w:sz w:val="16"/>
                      <w:szCs w:val="16"/>
                    </w:rPr>
                  </w:pPr>
                  <w:r>
                    <w:rPr>
                      <w:sz w:val="16"/>
                      <w:szCs w:val="16"/>
                    </w:rPr>
                    <w:t xml:space="preserve">n</w:t>
                  </w:r>
                </w:p>
              </w:tc>
              <w:tc>
                <w:tcPr/>
                <w:p>
                  <w:pPr>
                    <w:pStyle w:val="Compact"/>
                    <w:jc w:val="left"/>
                    <w:rPr>
                      <w:sz w:val="16"/>
                      <w:szCs w:val="16"/>
                    </w:rPr>
                  </w:pPr>
                  <w:r>
                    <w:rPr>
                      <w:sz w:val="16"/>
                      <w:szCs w:val="16"/>
                    </w:rPr>
                    <w:t xml:space="preserve">Mean</w:t>
                  </w:r>
                </w:p>
              </w:tc>
              <w:tc>
                <w:tcPr/>
                <w:p>
                  <w:pPr>
                    <w:pStyle w:val="Compact"/>
                    <w:jc w:val="left"/>
                    <w:rPr>
                      <w:sz w:val="16"/>
                      <w:szCs w:val="16"/>
                    </w:rPr>
                  </w:pPr>
                  <w:r>
                    <w:rPr>
                      <w:sz w:val="16"/>
                      <w:szCs w:val="16"/>
                    </w:rPr>
                    <w:t xml:space="preserve">SD</w:t>
                  </w:r>
                </w:p>
              </w:tc>
              <w:tc>
                <w:tcPr/>
                <w:p>
                  <w:pPr>
                    <w:pStyle w:val="Compact"/>
                    <w:jc w:val="left"/>
                    <w:rPr>
                      <w:sz w:val="16"/>
                      <w:szCs w:val="16"/>
                    </w:rPr>
                  </w:pPr>
                  <w:r>
                    <w:rPr>
                      <w:sz w:val="16"/>
                      <w:szCs w:val="16"/>
                    </w:rPr>
                    <w:t xml:space="preserve">SE</w:t>
                  </w:r>
                </w:p>
              </w:tc>
              <w:tc>
                <w:tcPr/>
                <w:p>
                  <w:pPr>
                    <w:pStyle w:val="Compact"/>
                    <w:jc w:val="left"/>
                    <w:rPr>
                      <w:sz w:val="16"/>
                      <w:szCs w:val="16"/>
                    </w:rPr>
                  </w:pPr>
                  <w:r>
                    <w:rPr>
                      <w:sz w:val="16"/>
                      <w:szCs w:val="16"/>
                    </w:rPr>
                    <w:t xml:space="preserve">Median</w:t>
                  </w:r>
                </w:p>
              </w:tc>
              <w:tc>
                <w:tcPr/>
                <w:p>
                  <w:pPr>
                    <w:pStyle w:val="Compact"/>
                    <w:jc w:val="left"/>
                    <w:rPr>
                      <w:sz w:val="16"/>
                      <w:szCs w:val="16"/>
                    </w:rPr>
                  </w:pPr>
                  <w:r>
                    <w:rPr>
                      <w:sz w:val="16"/>
                      <w:szCs w:val="16"/>
                    </w:rPr>
                    <w:t xml:space="preserve">Min</w:t>
                  </w:r>
                </w:p>
              </w:tc>
              <w:tc>
                <w:tcPr/>
                <w:p>
                  <w:pPr>
                    <w:pStyle w:val="Compact"/>
                    <w:jc w:val="left"/>
                    <w:rPr>
                      <w:sz w:val="16"/>
                      <w:szCs w:val="16"/>
                    </w:rPr>
                  </w:pPr>
                  <w:r>
                    <w:rPr>
                      <w:sz w:val="16"/>
                      <w:szCs w:val="16"/>
                    </w:rPr>
                    <w:t xml:space="preserve">Max</w:t>
                  </w:r>
                </w:p>
              </w:tc>
              <w:tc>
                <w:tcPr/>
                <w:p>
                  <w:pPr>
                    <w:pStyle w:val="Compact"/>
                    <w:jc w:val="left"/>
                    <w:rPr>
                      <w:sz w:val="16"/>
                      <w:szCs w:val="16"/>
                    </w:rPr>
                  </w:pPr>
                  <w:r>
                    <w:rPr>
                      <w:sz w:val="16"/>
                      <w:szCs w:val="16"/>
                    </w:rPr>
                    <w:t xml:space="preserve">Skewness</w:t>
                  </w:r>
                </w:p>
              </w:tc>
              <w:tc>
                <w:tcPr/>
                <w:p>
                  <w:pPr>
                    <w:pStyle w:val="Compact"/>
                    <w:jc w:val="left"/>
                    <w:rPr>
                      <w:sz w:val="16"/>
                      <w:szCs w:val="16"/>
                    </w:rPr>
                  </w:pPr>
                  <w:r>
                    <w:rPr>
                      <w:sz w:val="16"/>
                      <w:szCs w:val="16"/>
                    </w:rPr>
                    <w:t xml:space="preserve">Kurtosis</w:t>
                  </w:r>
                </w:p>
              </w:tc>
            </w:tr>
            <w:tr>
              <w:trPr>
                <w:trHeight w:val="340" w:hRule="exact"/>
              </w:trPr>
              <w:tc>
                <w:tcPr/>
                <w:p>
                  <w:pPr>
                    <w:pStyle w:val="Compact"/>
                    <w:jc w:val="left"/>
                    <w:rPr>
                      <w:sz w:val="16"/>
                      <w:szCs w:val="16"/>
                    </w:rPr>
                  </w:pPr>
                  <w:r>
                    <w:rPr>
                      <w:sz w:val="16"/>
                      <w:szCs w:val="16"/>
                    </w:rPr>
                    <w:t xml:space="preserve">Stand basal area (m2/ha)</w:t>
                  </w:r>
                </w:p>
              </w:tc>
              <w:tc>
                <w:tcPr/>
                <w:p>
                  <w:pPr>
                    <w:pStyle w:val="Compact"/>
                    <w:jc w:val="left"/>
                    <w:rPr>
                      <w:sz w:val="16"/>
                      <w:szCs w:val="16"/>
                    </w:rPr>
                  </w:pPr>
                  <w:r>
                    <w:rPr>
                      <w:sz w:val="16"/>
                      <w:szCs w:val="16"/>
                    </w:rPr>
                    <w:t xml:space="preserve">111,707</w:t>
                  </w:r>
                </w:p>
              </w:tc>
              <w:tc>
                <w:tcPr/>
                <w:p>
                  <w:pPr>
                    <w:pStyle w:val="Compact"/>
                    <w:jc w:val="left"/>
                    <w:rPr>
                      <w:sz w:val="16"/>
                      <w:szCs w:val="16"/>
                    </w:rPr>
                  </w:pPr>
                  <w:r>
                    <w:rPr>
                      <w:sz w:val="16"/>
                      <w:szCs w:val="16"/>
                    </w:rPr>
                    <w:t xml:space="preserve">35.56</w:t>
                  </w:r>
                </w:p>
              </w:tc>
              <w:tc>
                <w:tcPr/>
                <w:p>
                  <w:pPr>
                    <w:pStyle w:val="Compact"/>
                    <w:jc w:val="left"/>
                    <w:rPr>
                      <w:sz w:val="16"/>
                      <w:szCs w:val="16"/>
                    </w:rPr>
                  </w:pPr>
                  <w:r>
                    <w:rPr>
                      <w:sz w:val="16"/>
                      <w:szCs w:val="16"/>
                    </w:rPr>
                    <w:t xml:space="preserve">11.60</w:t>
                  </w:r>
                </w:p>
              </w:tc>
              <w:tc>
                <w:tcPr/>
                <w:p>
                  <w:pPr>
                    <w:pStyle w:val="Compact"/>
                    <w:jc w:val="left"/>
                    <w:rPr>
                      <w:sz w:val="16"/>
                      <w:szCs w:val="16"/>
                    </w:rPr>
                  </w:pPr>
                  <w:r>
                    <w:rPr>
                      <w:sz w:val="16"/>
                      <w:szCs w:val="16"/>
                    </w:rPr>
                    <w:t xml:space="preserve">0.035</w:t>
                  </w:r>
                </w:p>
              </w:tc>
              <w:tc>
                <w:tcPr/>
                <w:p>
                  <w:pPr>
                    <w:pStyle w:val="Compact"/>
                    <w:jc w:val="left"/>
                    <w:rPr>
                      <w:sz w:val="16"/>
                      <w:szCs w:val="16"/>
                    </w:rPr>
                  </w:pPr>
                  <w:r>
                    <w:rPr>
                      <w:sz w:val="16"/>
                      <w:szCs w:val="16"/>
                    </w:rPr>
                    <w:t xml:space="preserve">37.39</w:t>
                  </w:r>
                </w:p>
              </w:tc>
              <w:tc>
                <w:tcPr/>
                <w:p>
                  <w:pPr>
                    <w:pStyle w:val="Compact"/>
                    <w:jc w:val="left"/>
                    <w:rPr>
                      <w:sz w:val="16"/>
                      <w:szCs w:val="16"/>
                    </w:rPr>
                  </w:pPr>
                  <w:r>
                    <w:rPr>
                      <w:sz w:val="16"/>
                      <w:szCs w:val="16"/>
                    </w:rPr>
                    <w:t xml:space="preserve">0.98</w:t>
                  </w:r>
                </w:p>
              </w:tc>
              <w:tc>
                <w:tcPr/>
                <w:p>
                  <w:pPr>
                    <w:pStyle w:val="Compact"/>
                    <w:jc w:val="left"/>
                    <w:rPr>
                      <w:sz w:val="16"/>
                      <w:szCs w:val="16"/>
                    </w:rPr>
                  </w:pPr>
                  <w:r>
                    <w:rPr>
                      <w:sz w:val="16"/>
                      <w:szCs w:val="16"/>
                    </w:rPr>
                    <w:t xml:space="preserve">62.43</w:t>
                  </w:r>
                </w:p>
              </w:tc>
              <w:tc>
                <w:tcPr/>
                <w:p>
                  <w:pPr>
                    <w:pStyle w:val="Compact"/>
                    <w:jc w:val="left"/>
                    <w:rPr>
                      <w:sz w:val="16"/>
                      <w:szCs w:val="16"/>
                    </w:rPr>
                  </w:pPr>
                  <w:r>
                    <w:rPr>
                      <w:sz w:val="16"/>
                      <w:szCs w:val="16"/>
                    </w:rPr>
                    <w:t xml:space="preserve">-1.01</w:t>
                  </w:r>
                </w:p>
              </w:tc>
              <w:tc>
                <w:tcPr/>
                <w:p>
                  <w:pPr>
                    <w:pStyle w:val="Compact"/>
                    <w:jc w:val="left"/>
                    <w:rPr>
                      <w:sz w:val="16"/>
                      <w:szCs w:val="16"/>
                    </w:rPr>
                  </w:pPr>
                  <w:r>
                    <w:rPr>
                      <w:sz w:val="16"/>
                      <w:szCs w:val="16"/>
                    </w:rPr>
                    <w:t xml:space="preserve">+1.42</w:t>
                  </w:r>
                </w:p>
              </w:tc>
            </w:tr>
            <w:tr>
              <w:trPr>
                <w:trHeight w:val="340" w:hRule="exact"/>
              </w:trPr>
              <w:tc>
                <w:tcPr/>
                <w:p>
                  <w:pPr>
                    <w:pStyle w:val="Compact"/>
                    <w:jc w:val="left"/>
                    <w:rPr>
                      <w:sz w:val="16"/>
                      <w:szCs w:val="16"/>
                    </w:rPr>
                  </w:pPr>
                  <w:r>
                    <w:rPr>
                      <w:sz w:val="16"/>
                      <w:szCs w:val="16"/>
                    </w:rPr>
                    <w:t xml:space="preserve">Crown closure (%)</w:t>
                  </w:r>
                </w:p>
              </w:tc>
              <w:tc>
                <w:tcPr/>
                <w:p>
                  <w:pPr>
                    <w:pStyle w:val="Compact"/>
                    <w:jc w:val="left"/>
                    <w:rPr>
                      <w:sz w:val="16"/>
                      <w:szCs w:val="16"/>
                    </w:rPr>
                  </w:pPr>
                  <w:r>
                    <w:rPr>
                      <w:sz w:val="16"/>
                      <w:szCs w:val="16"/>
                    </w:rPr>
                    <w:t xml:space="preserve">111,707</w:t>
                  </w:r>
                </w:p>
              </w:tc>
              <w:tc>
                <w:tcPr/>
                <w:p>
                  <w:pPr>
                    <w:pStyle w:val="Compact"/>
                    <w:jc w:val="left"/>
                    <w:rPr>
                      <w:sz w:val="16"/>
                      <w:szCs w:val="16"/>
                    </w:rPr>
                  </w:pPr>
                  <w:r>
                    <w:rPr>
                      <w:sz w:val="16"/>
                      <w:szCs w:val="16"/>
                    </w:rPr>
                    <w:t xml:space="preserve">50.10</w:t>
                  </w:r>
                </w:p>
              </w:tc>
              <w:tc>
                <w:tcPr/>
                <w:p>
                  <w:pPr>
                    <w:pStyle w:val="Compact"/>
                    <w:jc w:val="left"/>
                    <w:rPr>
                      <w:sz w:val="16"/>
                      <w:szCs w:val="16"/>
                    </w:rPr>
                  </w:pPr>
                  <w:r>
                    <w:rPr>
                      <w:sz w:val="16"/>
                      <w:szCs w:val="16"/>
                    </w:rPr>
                    <w:t xml:space="preserve">13.54</w:t>
                  </w:r>
                </w:p>
              </w:tc>
              <w:tc>
                <w:tcPr/>
                <w:p>
                  <w:pPr>
                    <w:pStyle w:val="Compact"/>
                    <w:jc w:val="left"/>
                    <w:rPr>
                      <w:sz w:val="16"/>
                      <w:szCs w:val="16"/>
                    </w:rPr>
                  </w:pPr>
                  <w:r>
                    <w:rPr>
                      <w:sz w:val="16"/>
                      <w:szCs w:val="16"/>
                    </w:rPr>
                    <w:t xml:space="preserve">0.041</w:t>
                  </w:r>
                </w:p>
              </w:tc>
              <w:tc>
                <w:tcPr/>
                <w:p>
                  <w:pPr>
                    <w:pStyle w:val="Compact"/>
                    <w:jc w:val="left"/>
                    <w:rPr>
                      <w:sz w:val="16"/>
                      <w:szCs w:val="16"/>
                    </w:rPr>
                  </w:pPr>
                  <w:r>
                    <w:rPr>
                      <w:sz w:val="16"/>
                      <w:szCs w:val="16"/>
                    </w:rPr>
                    <w:t xml:space="preserve">50.00</w:t>
                  </w:r>
                </w:p>
              </w:tc>
              <w:tc>
                <w:tcPr/>
                <w:p>
                  <w:pPr>
                    <w:pStyle w:val="Compact"/>
                    <w:jc w:val="left"/>
                    <w:rPr>
                      <w:sz w:val="16"/>
                      <w:szCs w:val="16"/>
                    </w:rPr>
                  </w:pPr>
                  <w:r>
                    <w:rPr>
                      <w:sz w:val="16"/>
                      <w:szCs w:val="16"/>
                    </w:rPr>
                    <w:t xml:space="preserve">3.00</w:t>
                  </w:r>
                </w:p>
              </w:tc>
              <w:tc>
                <w:tcPr/>
                <w:p>
                  <w:pPr>
                    <w:pStyle w:val="Compact"/>
                    <w:jc w:val="left"/>
                    <w:rPr>
                      <w:sz w:val="16"/>
                      <w:szCs w:val="16"/>
                    </w:rPr>
                  </w:pPr>
                  <w:r>
                    <w:rPr>
                      <w:sz w:val="16"/>
                      <w:szCs w:val="16"/>
                    </w:rPr>
                    <w:t xml:space="preserve">70.00</w:t>
                  </w:r>
                </w:p>
              </w:tc>
              <w:tc>
                <w:tcPr/>
                <w:p>
                  <w:pPr>
                    <w:pStyle w:val="Compact"/>
                    <w:jc w:val="left"/>
                    <w:rPr>
                      <w:sz w:val="16"/>
                      <w:szCs w:val="16"/>
                    </w:rPr>
                  </w:pPr>
                  <w:r>
                    <w:rPr>
                      <w:sz w:val="16"/>
                      <w:szCs w:val="16"/>
                    </w:rPr>
                    <w:t xml:space="preserve">-1.74</w:t>
                  </w:r>
                </w:p>
              </w:tc>
              <w:tc>
                <w:tcPr/>
                <w:p>
                  <w:pPr>
                    <w:pStyle w:val="Compact"/>
                    <w:jc w:val="left"/>
                    <w:rPr>
                      <w:sz w:val="16"/>
                      <w:szCs w:val="16"/>
                    </w:rPr>
                  </w:pPr>
                  <w:r>
                    <w:rPr>
                      <w:sz w:val="16"/>
                      <w:szCs w:val="16"/>
                    </w:rPr>
                    <w:t xml:space="preserve">+3.37</w:t>
                  </w:r>
                </w:p>
              </w:tc>
            </w:tr>
            <w:tr>
              <w:trPr>
                <w:trHeight w:val="340" w:hRule="exact"/>
              </w:trPr>
              <w:tc>
                <w:tcPr/>
                <w:p>
                  <w:pPr>
                    <w:pStyle w:val="Compact"/>
                    <w:jc w:val="left"/>
                    <w:rPr>
                      <w:sz w:val="16"/>
                      <w:szCs w:val="16"/>
                    </w:rPr>
                  </w:pPr>
                  <w:r>
                    <w:rPr>
                      <w:sz w:val="16"/>
                      <w:szCs w:val="16"/>
                    </w:rPr>
                    <w:t xml:space="preserve">Live stems (n/ha)</w:t>
                  </w:r>
                </w:p>
              </w:tc>
              <w:tc>
                <w:tcPr/>
                <w:p>
                  <w:pPr>
                    <w:pStyle w:val="Compact"/>
                    <w:jc w:val="left"/>
                    <w:rPr>
                      <w:sz w:val="16"/>
                      <w:szCs w:val="16"/>
                    </w:rPr>
                  </w:pPr>
                  <w:r>
                    <w:rPr>
                      <w:sz w:val="16"/>
                      <w:szCs w:val="16"/>
                    </w:rPr>
                    <w:t xml:space="preserve">111,707</w:t>
                  </w:r>
                </w:p>
              </w:tc>
              <w:tc>
                <w:tcPr/>
                <w:p>
                  <w:pPr>
                    <w:pStyle w:val="Compact"/>
                    <w:jc w:val="left"/>
                    <w:rPr>
                      <w:sz w:val="16"/>
                      <w:szCs w:val="16"/>
                    </w:rPr>
                  </w:pPr>
                  <w:r>
                    <w:rPr>
                      <w:sz w:val="16"/>
                      <w:szCs w:val="16"/>
                    </w:rPr>
                    <w:t xml:space="preserve">772.75</w:t>
                  </w:r>
                </w:p>
              </w:tc>
              <w:tc>
                <w:tcPr/>
                <w:p>
                  <w:pPr>
                    <w:pStyle w:val="Compact"/>
                    <w:jc w:val="left"/>
                    <w:rPr>
                      <w:sz w:val="16"/>
                      <w:szCs w:val="16"/>
                    </w:rPr>
                  </w:pPr>
                  <w:r>
                    <w:rPr>
                      <w:sz w:val="16"/>
                      <w:szCs w:val="16"/>
                    </w:rPr>
                    <w:t xml:space="preserve">312.80</w:t>
                  </w:r>
                </w:p>
              </w:tc>
              <w:tc>
                <w:tcPr/>
                <w:p>
                  <w:pPr>
                    <w:pStyle w:val="Compact"/>
                    <w:jc w:val="left"/>
                    <w:rPr>
                      <w:sz w:val="16"/>
                      <w:szCs w:val="16"/>
                    </w:rPr>
                  </w:pPr>
                  <w:r>
                    <w:rPr>
                      <w:sz w:val="16"/>
                      <w:szCs w:val="16"/>
                    </w:rPr>
                    <w:t xml:space="preserve">0.936</w:t>
                  </w:r>
                </w:p>
              </w:tc>
              <w:tc>
                <w:tcPr/>
                <w:p>
                  <w:pPr>
                    <w:pStyle w:val="Compact"/>
                    <w:jc w:val="left"/>
                    <w:rPr>
                      <w:sz w:val="16"/>
                      <w:szCs w:val="16"/>
                    </w:rPr>
                  </w:pPr>
                  <w:r>
                    <w:rPr>
                      <w:sz w:val="16"/>
                      <w:szCs w:val="16"/>
                    </w:rPr>
                    <w:t xml:space="preserve">775.00</w:t>
                  </w:r>
                </w:p>
              </w:tc>
              <w:tc>
                <w:tcPr/>
                <w:p>
                  <w:pPr>
                    <w:pStyle w:val="Compact"/>
                    <w:jc w:val="left"/>
                    <w:rPr>
                      <w:sz w:val="16"/>
                      <w:szCs w:val="16"/>
                    </w:rPr>
                  </w:pPr>
                  <w:r>
                    <w:rPr>
                      <w:sz w:val="16"/>
                      <w:szCs w:val="16"/>
                    </w:rPr>
                    <w:t xml:space="preserve">23.00</w:t>
                  </w:r>
                </w:p>
              </w:tc>
              <w:tc>
                <w:tcPr/>
                <w:p>
                  <w:pPr>
                    <w:pStyle w:val="Compact"/>
                    <w:jc w:val="left"/>
                    <w:rPr>
                      <w:sz w:val="16"/>
                      <w:szCs w:val="16"/>
                    </w:rPr>
                  </w:pPr>
                  <w:r>
                    <w:rPr>
                      <w:sz w:val="16"/>
                      <w:szCs w:val="16"/>
                    </w:rPr>
                    <w:t xml:space="preserve">4600.00</w:t>
                  </w:r>
                </w:p>
              </w:tc>
              <w:tc>
                <w:tcPr/>
                <w:p>
                  <w:pPr>
                    <w:pStyle w:val="Compact"/>
                    <w:jc w:val="left"/>
                    <w:rPr>
                      <w:sz w:val="16"/>
                      <w:szCs w:val="16"/>
                    </w:rPr>
                  </w:pPr>
                  <w:r>
                    <w:rPr>
                      <w:sz w:val="16"/>
                      <w:szCs w:val="16"/>
                    </w:rPr>
                    <w:t xml:space="preserve">+1.70</w:t>
                  </w:r>
                </w:p>
              </w:tc>
              <w:tc>
                <w:tcPr/>
                <w:p>
                  <w:pPr>
                    <w:pStyle w:val="Compact"/>
                    <w:jc w:val="left"/>
                    <w:rPr>
                      <w:sz w:val="16"/>
                      <w:szCs w:val="16"/>
                    </w:rPr>
                  </w:pPr>
                  <w:r>
                    <w:rPr>
                      <w:sz w:val="16"/>
                      <w:szCs w:val="16"/>
                    </w:rPr>
                    <w:t xml:space="preserve">+19.51</w:t>
                  </w:r>
                </w:p>
              </w:tc>
            </w:tr>
            <w:tr>
              <w:trPr>
                <w:trHeight w:val="340" w:hRule="exact"/>
              </w:trPr>
              <w:tc>
                <w:tcPr/>
                <w:p>
                  <w:pPr>
                    <w:pStyle w:val="Compact"/>
                    <w:jc w:val="left"/>
                    <w:rPr>
                      <w:sz w:val="16"/>
                      <w:szCs w:val="16"/>
                    </w:rPr>
                  </w:pPr>
                  <w:r>
                    <w:rPr>
                      <w:sz w:val="16"/>
                      <w:szCs w:val="16"/>
                    </w:rPr>
                    <w:t xml:space="preserve">Quadratic mean diameter (cm)</w:t>
                  </w:r>
                </w:p>
              </w:tc>
              <w:tc>
                <w:tcPr/>
                <w:p>
                  <w:pPr>
                    <w:pStyle w:val="Compact"/>
                    <w:jc w:val="left"/>
                    <w:rPr>
                      <w:sz w:val="16"/>
                      <w:szCs w:val="16"/>
                    </w:rPr>
                  </w:pPr>
                  <w:r>
                    <w:rPr>
                      <w:sz w:val="16"/>
                      <w:szCs w:val="16"/>
                    </w:rPr>
                    <w:t xml:space="preserve">111,707</w:t>
                  </w:r>
                </w:p>
              </w:tc>
              <w:tc>
                <w:tcPr/>
                <w:p>
                  <w:pPr>
                    <w:pStyle w:val="Compact"/>
                    <w:jc w:val="left"/>
                    <w:rPr>
                      <w:sz w:val="16"/>
                      <w:szCs w:val="16"/>
                    </w:rPr>
                  </w:pPr>
                  <w:r>
                    <w:rPr>
                      <w:sz w:val="16"/>
                      <w:szCs w:val="16"/>
                    </w:rPr>
                    <w:t xml:space="preserve">27.38</w:t>
                  </w:r>
                </w:p>
              </w:tc>
              <w:tc>
                <w:tcPr/>
                <w:p>
                  <w:pPr>
                    <w:pStyle w:val="Compact"/>
                    <w:jc w:val="left"/>
                    <w:rPr>
                      <w:sz w:val="16"/>
                      <w:szCs w:val="16"/>
                    </w:rPr>
                  </w:pPr>
                  <w:r>
                    <w:rPr>
                      <w:sz w:val="16"/>
                      <w:szCs w:val="16"/>
                    </w:rPr>
                    <w:t xml:space="preserve">6.40</w:t>
                  </w:r>
                </w:p>
              </w:tc>
              <w:tc>
                <w:tcPr/>
                <w:p>
                  <w:pPr>
                    <w:pStyle w:val="Compact"/>
                    <w:jc w:val="left"/>
                    <w:rPr>
                      <w:sz w:val="16"/>
                      <w:szCs w:val="16"/>
                    </w:rPr>
                  </w:pPr>
                  <w:r>
                    <w:rPr>
                      <w:sz w:val="16"/>
                      <w:szCs w:val="16"/>
                    </w:rPr>
                    <w:t xml:space="preserve">0.019</w:t>
                  </w:r>
                </w:p>
              </w:tc>
              <w:tc>
                <w:tcPr/>
                <w:p>
                  <w:pPr>
                    <w:pStyle w:val="Compact"/>
                    <w:jc w:val="left"/>
                    <w:rPr>
                      <w:sz w:val="16"/>
                      <w:szCs w:val="16"/>
                    </w:rPr>
                  </w:pPr>
                  <w:r>
                    <w:rPr>
                      <w:sz w:val="16"/>
                      <w:szCs w:val="16"/>
                    </w:rPr>
                    <w:t xml:space="preserve">26.95</w:t>
                  </w:r>
                </w:p>
              </w:tc>
              <w:tc>
                <w:tcPr/>
                <w:p>
                  <w:pPr>
                    <w:pStyle w:val="Compact"/>
                    <w:jc w:val="left"/>
                    <w:rPr>
                      <w:sz w:val="16"/>
                      <w:szCs w:val="16"/>
                    </w:rPr>
                  </w:pPr>
                  <w:r>
                    <w:rPr>
                      <w:sz w:val="16"/>
                      <w:szCs w:val="16"/>
                    </w:rPr>
                    <w:t xml:space="preserve">13.55</w:t>
                  </w:r>
                </w:p>
              </w:tc>
              <w:tc>
                <w:tcPr/>
                <w:p>
                  <w:pPr>
                    <w:pStyle w:val="Compact"/>
                    <w:jc w:val="left"/>
                    <w:rPr>
                      <w:sz w:val="16"/>
                      <w:szCs w:val="16"/>
                    </w:rPr>
                  </w:pPr>
                  <w:r>
                    <w:rPr>
                      <w:sz w:val="16"/>
                      <w:szCs w:val="16"/>
                    </w:rPr>
                    <w:t xml:space="preserve">58.90</w:t>
                  </w:r>
                </w:p>
              </w:tc>
              <w:tc>
                <w:tcPr/>
                <w:p>
                  <w:pPr>
                    <w:pStyle w:val="Compact"/>
                    <w:jc w:val="left"/>
                    <w:rPr>
                      <w:sz w:val="16"/>
                      <w:szCs w:val="16"/>
                    </w:rPr>
                  </w:pPr>
                  <w:r>
                    <w:rPr>
                      <w:sz w:val="16"/>
                      <w:szCs w:val="16"/>
                    </w:rPr>
                    <w:t xml:space="preserve">+0.73</w:t>
                  </w:r>
                </w:p>
              </w:tc>
              <w:tc>
                <w:tcPr/>
                <w:p>
                  <w:pPr>
                    <w:pStyle w:val="Compact"/>
                    <w:jc w:val="left"/>
                    <w:rPr>
                      <w:sz w:val="16"/>
                      <w:szCs w:val="16"/>
                    </w:rPr>
                  </w:pPr>
                  <w:r>
                    <w:rPr>
                      <w:sz w:val="16"/>
                      <w:szCs w:val="16"/>
                    </w:rPr>
                    <w:t xml:space="preserve">+1.24</w:t>
                  </w:r>
                </w:p>
              </w:tc>
            </w:tr>
            <w:tr>
              <w:trPr>
                <w:trHeight w:val="340" w:hRule="exact"/>
              </w:trPr>
              <w:tc>
                <w:tcPr/>
                <w:p>
                  <w:pPr>
                    <w:pStyle w:val="Compact"/>
                    <w:jc w:val="left"/>
                    <w:rPr>
                      <w:sz w:val="16"/>
                      <w:szCs w:val="16"/>
                    </w:rPr>
                  </w:pPr>
                  <w:r>
                    <w:rPr>
                      <w:sz w:val="16"/>
                      <w:szCs w:val="16"/>
                    </w:rPr>
                    <w:t xml:space="preserve">Stand age (years)</w:t>
                  </w:r>
                </w:p>
              </w:tc>
              <w:tc>
                <w:tcPr/>
                <w:p>
                  <w:pPr>
                    <w:pStyle w:val="Compact"/>
                    <w:jc w:val="left"/>
                    <w:rPr>
                      <w:sz w:val="16"/>
                      <w:szCs w:val="16"/>
                    </w:rPr>
                  </w:pPr>
                  <w:r>
                    <w:rPr>
                      <w:sz w:val="16"/>
                      <w:szCs w:val="16"/>
                    </w:rPr>
                    <w:t xml:space="preserve">111,707</w:t>
                  </w:r>
                </w:p>
              </w:tc>
              <w:tc>
                <w:tcPr/>
                <w:p>
                  <w:pPr>
                    <w:pStyle w:val="Compact"/>
                    <w:jc w:val="left"/>
                    <w:rPr>
                      <w:sz w:val="16"/>
                      <w:szCs w:val="16"/>
                    </w:rPr>
                  </w:pPr>
                  <w:r>
                    <w:rPr>
                      <w:sz w:val="16"/>
                      <w:szCs w:val="16"/>
                    </w:rPr>
                    <w:t xml:space="preserve">115.46</w:t>
                  </w:r>
                </w:p>
              </w:tc>
              <w:tc>
                <w:tcPr/>
                <w:p>
                  <w:pPr>
                    <w:pStyle w:val="Compact"/>
                    <w:jc w:val="left"/>
                    <w:rPr>
                      <w:sz w:val="16"/>
                      <w:szCs w:val="16"/>
                    </w:rPr>
                  </w:pPr>
                  <w:r>
                    <w:rPr>
                      <w:sz w:val="16"/>
                      <w:szCs w:val="16"/>
                    </w:rPr>
                    <w:t xml:space="preserve">20.88</w:t>
                  </w:r>
                </w:p>
              </w:tc>
              <w:tc>
                <w:tcPr/>
                <w:p>
                  <w:pPr>
                    <w:pStyle w:val="Compact"/>
                    <w:jc w:val="left"/>
                    <w:rPr>
                      <w:sz w:val="16"/>
                      <w:szCs w:val="16"/>
                    </w:rPr>
                  </w:pPr>
                  <w:r>
                    <w:rPr>
                      <w:sz w:val="16"/>
                      <w:szCs w:val="16"/>
                    </w:rPr>
                    <w:t xml:space="preserve">0.062</w:t>
                  </w:r>
                </w:p>
              </w:tc>
              <w:tc>
                <w:tcPr/>
                <w:p>
                  <w:pPr>
                    <w:pStyle w:val="Compact"/>
                    <w:jc w:val="left"/>
                    <w:rPr>
                      <w:sz w:val="16"/>
                      <w:szCs w:val="16"/>
                    </w:rPr>
                  </w:pPr>
                  <w:r>
                    <w:rPr>
                      <w:sz w:val="16"/>
                      <w:szCs w:val="16"/>
                    </w:rPr>
                    <w:t xml:space="preserve">116.00</w:t>
                  </w:r>
                </w:p>
              </w:tc>
              <w:tc>
                <w:tcPr/>
                <w:p>
                  <w:pPr>
                    <w:pStyle w:val="Compact"/>
                    <w:jc w:val="left"/>
                    <w:rPr>
                      <w:sz w:val="16"/>
                      <w:szCs w:val="16"/>
                    </w:rPr>
                  </w:pPr>
                  <w:r>
                    <w:rPr>
                      <w:sz w:val="16"/>
                      <w:szCs w:val="16"/>
                    </w:rPr>
                    <w:t xml:space="preserve">22.00</w:t>
                  </w:r>
                </w:p>
              </w:tc>
              <w:tc>
                <w:tcPr/>
                <w:p>
                  <w:pPr>
                    <w:pStyle w:val="Compact"/>
                    <w:jc w:val="left"/>
                    <w:rPr>
                      <w:sz w:val="16"/>
                      <w:szCs w:val="16"/>
                    </w:rPr>
                  </w:pPr>
                  <w:r>
                    <w:rPr>
                      <w:sz w:val="16"/>
                      <w:szCs w:val="16"/>
                    </w:rPr>
                    <w:t xml:space="preserve">237.00</w:t>
                  </w:r>
                </w:p>
              </w:tc>
              <w:tc>
                <w:tcPr/>
                <w:p>
                  <w:pPr>
                    <w:pStyle w:val="Compact"/>
                    <w:jc w:val="left"/>
                    <w:rPr>
                      <w:sz w:val="16"/>
                      <w:szCs w:val="16"/>
                    </w:rPr>
                  </w:pPr>
                  <w:r>
                    <w:rPr>
                      <w:sz w:val="16"/>
                      <w:szCs w:val="16"/>
                    </w:rPr>
                    <w:t xml:space="preserve">-0.78</w:t>
                  </w:r>
                </w:p>
              </w:tc>
              <w:tc>
                <w:tcPr/>
                <w:p>
                  <w:pPr>
                    <w:pStyle w:val="Compact"/>
                    <w:jc w:val="left"/>
                    <w:rPr>
                      <w:sz w:val="16"/>
                      <w:szCs w:val="16"/>
                    </w:rPr>
                  </w:pPr>
                  <w:r>
                    <w:rPr>
                      <w:sz w:val="16"/>
                      <w:szCs w:val="16"/>
                    </w:rPr>
                    <w:t xml:space="preserve">+1.97</w:t>
                  </w:r>
                </w:p>
              </w:tc>
            </w:tr>
            <w:tr>
              <w:trPr>
                <w:trHeight w:val="340" w:hRule="exact"/>
              </w:trPr>
              <w:tc>
                <w:tcPr/>
                <w:p>
                  <w:pPr>
                    <w:pStyle w:val="Compact"/>
                    <w:jc w:val="left"/>
                    <w:rPr>
                      <w:sz w:val="16"/>
                      <w:szCs w:val="16"/>
                    </w:rPr>
                  </w:pPr>
                  <w:r>
                    <w:rPr>
                      <w:sz w:val="16"/>
                      <w:szCs w:val="16"/>
                    </w:rPr>
                    <w:t xml:space="preserve">Stand height (m)</w:t>
                  </w:r>
                </w:p>
              </w:tc>
              <w:tc>
                <w:tcPr/>
                <w:p>
                  <w:pPr>
                    <w:pStyle w:val="Compact"/>
                    <w:jc w:val="left"/>
                    <w:rPr>
                      <w:sz w:val="16"/>
                      <w:szCs w:val="16"/>
                    </w:rPr>
                  </w:pPr>
                  <w:r>
                    <w:rPr>
                      <w:sz w:val="16"/>
                      <w:szCs w:val="16"/>
                    </w:rPr>
                    <w:t xml:space="preserve">111,707</w:t>
                  </w:r>
                </w:p>
              </w:tc>
              <w:tc>
                <w:tcPr/>
                <w:p>
                  <w:pPr>
                    <w:pStyle w:val="Compact"/>
                    <w:jc w:val="left"/>
                    <w:rPr>
                      <w:sz w:val="16"/>
                      <w:szCs w:val="16"/>
                    </w:rPr>
                  </w:pPr>
                  <w:r>
                    <w:rPr>
                      <w:sz w:val="16"/>
                      <w:szCs w:val="16"/>
                    </w:rPr>
                    <w:t xml:space="preserve">26.97</w:t>
                  </w:r>
                </w:p>
              </w:tc>
              <w:tc>
                <w:tcPr/>
                <w:p>
                  <w:pPr>
                    <w:pStyle w:val="Compact"/>
                    <w:jc w:val="left"/>
                    <w:rPr>
                      <w:sz w:val="16"/>
                      <w:szCs w:val="16"/>
                    </w:rPr>
                  </w:pPr>
                  <w:r>
                    <w:rPr>
                      <w:sz w:val="16"/>
                      <w:szCs w:val="16"/>
                    </w:rPr>
                    <w:t xml:space="preserve">6.27</w:t>
                  </w:r>
                </w:p>
              </w:tc>
              <w:tc>
                <w:tcPr/>
                <w:p>
                  <w:pPr>
                    <w:pStyle w:val="Compact"/>
                    <w:jc w:val="left"/>
                    <w:rPr>
                      <w:sz w:val="16"/>
                      <w:szCs w:val="16"/>
                    </w:rPr>
                  </w:pPr>
                  <w:r>
                    <w:rPr>
                      <w:sz w:val="16"/>
                      <w:szCs w:val="16"/>
                    </w:rPr>
                    <w:t xml:space="preserve">0.019</w:t>
                  </w:r>
                </w:p>
              </w:tc>
              <w:tc>
                <w:tcPr/>
                <w:p>
                  <w:pPr>
                    <w:pStyle w:val="Compact"/>
                    <w:jc w:val="left"/>
                    <w:rPr>
                      <w:sz w:val="16"/>
                      <w:szCs w:val="16"/>
                    </w:rPr>
                  </w:pPr>
                  <w:r>
                    <w:rPr>
                      <w:sz w:val="16"/>
                      <w:szCs w:val="16"/>
                    </w:rPr>
                    <w:t xml:space="preserve">27.90</w:t>
                  </w:r>
                </w:p>
              </w:tc>
              <w:tc>
                <w:tcPr/>
                <w:p>
                  <w:pPr>
                    <w:pStyle w:val="Compact"/>
                    <w:jc w:val="left"/>
                    <w:rPr>
                      <w:sz w:val="16"/>
                      <w:szCs w:val="16"/>
                    </w:rPr>
                  </w:pPr>
                  <w:r>
                    <w:rPr>
                      <w:sz w:val="16"/>
                      <w:szCs w:val="16"/>
                    </w:rPr>
                    <w:t xml:space="preserve">7.00</w:t>
                  </w:r>
                </w:p>
              </w:tc>
              <w:tc>
                <w:tcPr/>
                <w:p>
                  <w:pPr>
                    <w:pStyle w:val="Compact"/>
                    <w:jc w:val="left"/>
                    <w:rPr>
                      <w:sz w:val="16"/>
                      <w:szCs w:val="16"/>
                    </w:rPr>
                  </w:pPr>
                  <w:r>
                    <w:rPr>
                      <w:sz w:val="16"/>
                      <w:szCs w:val="16"/>
                    </w:rPr>
                    <w:t xml:space="preserve">40.30</w:t>
                  </w:r>
                </w:p>
              </w:tc>
              <w:tc>
                <w:tcPr/>
                <w:p>
                  <w:pPr>
                    <w:pStyle w:val="Compact"/>
                    <w:jc w:val="left"/>
                    <w:rPr>
                      <w:sz w:val="16"/>
                      <w:szCs w:val="16"/>
                    </w:rPr>
                  </w:pPr>
                  <w:r>
                    <w:rPr>
                      <w:sz w:val="16"/>
                      <w:szCs w:val="16"/>
                    </w:rPr>
                    <w:t xml:space="preserve">-0.26</w:t>
                  </w:r>
                </w:p>
              </w:tc>
              <w:tc>
                <w:tcPr/>
                <w:p>
                  <w:pPr>
                    <w:pStyle w:val="Compact"/>
                    <w:jc w:val="left"/>
                    <w:rPr>
                      <w:sz w:val="16"/>
                      <w:szCs w:val="16"/>
                    </w:rPr>
                  </w:pPr>
                  <w:r>
                    <w:rPr>
                      <w:sz w:val="16"/>
                      <w:szCs w:val="16"/>
                    </w:rPr>
                    <w:t xml:space="preserve">+0.23</w:t>
                  </w:r>
                </w:p>
              </w:tc>
            </w:tr>
            <w:tr>
              <w:trPr>
                <w:trHeight w:val="340" w:hRule="exact"/>
              </w:trPr>
              <w:tc>
                <w:tcPr/>
                <w:p>
                  <w:pPr>
                    <w:pStyle w:val="Compact"/>
                    <w:jc w:val="left"/>
                    <w:rPr>
                      <w:sz w:val="16"/>
                      <w:szCs w:val="16"/>
                    </w:rPr>
                  </w:pPr>
                  <w:r>
                    <w:rPr>
                      <w:sz w:val="16"/>
                      <w:szCs w:val="16"/>
                    </w:rPr>
                    <w:t xml:space="preserve">Standing volume (m3/ha)</w:t>
                  </w:r>
                </w:p>
              </w:tc>
              <w:tc>
                <w:tcPr/>
                <w:p>
                  <w:pPr>
                    <w:pStyle w:val="Compact"/>
                    <w:jc w:val="left"/>
                    <w:rPr>
                      <w:sz w:val="16"/>
                      <w:szCs w:val="16"/>
                    </w:rPr>
                  </w:pPr>
                  <w:r>
                    <w:rPr>
                      <w:sz w:val="16"/>
                      <w:szCs w:val="16"/>
                    </w:rPr>
                    <w:t xml:space="preserve">111,707</w:t>
                  </w:r>
                </w:p>
              </w:tc>
              <w:tc>
                <w:tcPr/>
                <w:p>
                  <w:pPr>
                    <w:pStyle w:val="Compact"/>
                    <w:jc w:val="left"/>
                    <w:rPr>
                      <w:sz w:val="16"/>
                      <w:szCs w:val="16"/>
                    </w:rPr>
                  </w:pPr>
                  <w:r>
                    <w:rPr>
                      <w:sz w:val="16"/>
                      <w:szCs w:val="16"/>
                    </w:rPr>
                    <w:t xml:space="preserve">272.33</w:t>
                  </w:r>
                </w:p>
              </w:tc>
              <w:tc>
                <w:tcPr/>
                <w:p>
                  <w:pPr>
                    <w:pStyle w:val="Compact"/>
                    <w:jc w:val="left"/>
                    <w:rPr>
                      <w:sz w:val="16"/>
                      <w:szCs w:val="16"/>
                    </w:rPr>
                  </w:pPr>
                  <w:r>
                    <w:rPr>
                      <w:sz w:val="16"/>
                      <w:szCs w:val="16"/>
                    </w:rPr>
                    <w:t xml:space="preserve">131.38</w:t>
                  </w:r>
                </w:p>
              </w:tc>
              <w:tc>
                <w:tcPr/>
                <w:p>
                  <w:pPr>
                    <w:pStyle w:val="Compact"/>
                    <w:jc w:val="left"/>
                    <w:rPr>
                      <w:sz w:val="16"/>
                      <w:szCs w:val="16"/>
                    </w:rPr>
                  </w:pPr>
                  <w:r>
                    <w:rPr>
                      <w:sz w:val="16"/>
                      <w:szCs w:val="16"/>
                    </w:rPr>
                    <w:t xml:space="preserve">0.393</w:t>
                  </w:r>
                </w:p>
              </w:tc>
              <w:tc>
                <w:tcPr/>
                <w:p>
                  <w:pPr>
                    <w:pStyle w:val="Compact"/>
                    <w:jc w:val="left"/>
                    <w:rPr>
                      <w:sz w:val="16"/>
                      <w:szCs w:val="16"/>
                    </w:rPr>
                  </w:pPr>
                  <w:r>
                    <w:rPr>
                      <w:sz w:val="16"/>
                      <w:szCs w:val="16"/>
                    </w:rPr>
                    <w:t xml:space="preserve">281.47</w:t>
                  </w:r>
                </w:p>
              </w:tc>
              <w:tc>
                <w:tcPr/>
                <w:p>
                  <w:pPr>
                    <w:pStyle w:val="Compact"/>
                    <w:jc w:val="left"/>
                    <w:rPr>
                      <w:sz w:val="16"/>
                      <w:szCs w:val="16"/>
                    </w:rPr>
                  </w:pPr>
                  <w:r>
                    <w:rPr>
                      <w:sz w:val="16"/>
                      <w:szCs w:val="16"/>
                    </w:rPr>
                    <w:t xml:space="preserve">0.82</w:t>
                  </w:r>
                </w:p>
              </w:tc>
              <w:tc>
                <w:tcPr/>
                <w:p>
                  <w:pPr>
                    <w:pStyle w:val="Compact"/>
                    <w:jc w:val="left"/>
                    <w:rPr>
                      <w:sz w:val="16"/>
                      <w:szCs w:val="16"/>
                    </w:rPr>
                  </w:pPr>
                  <w:r>
                    <w:rPr>
                      <w:sz w:val="16"/>
                      <w:szCs w:val="16"/>
                    </w:rPr>
                    <w:t xml:space="preserve">586.61</w:t>
                  </w:r>
                </w:p>
              </w:tc>
              <w:tc>
                <w:tcPr/>
                <w:p>
                  <w:pPr>
                    <w:pStyle w:val="Compact"/>
                    <w:jc w:val="left"/>
                    <w:rPr>
                      <w:sz w:val="16"/>
                      <w:szCs w:val="16"/>
                    </w:rPr>
                  </w:pPr>
                  <w:r>
                    <w:rPr>
                      <w:sz w:val="16"/>
                      <w:szCs w:val="16"/>
                    </w:rPr>
                    <w:t xml:space="preserve">+0.01</w:t>
                  </w:r>
                </w:p>
              </w:tc>
              <w:tc>
                <w:tcPr/>
                <w:p>
                  <w:pPr>
                    <w:pStyle w:val="Compact"/>
                    <w:jc w:val="left"/>
                    <w:rPr>
                      <w:sz w:val="16"/>
                      <w:szCs w:val="16"/>
                    </w:rPr>
                  </w:pPr>
                  <w:r>
                    <w:rPr>
                      <w:sz w:val="16"/>
                      <w:szCs w:val="16"/>
                    </w:rPr>
                    <w:t xml:space="preserve">-0.35</w:t>
                  </w:r>
                </w:p>
              </w:tc>
            </w:tr>
            <w:tr>
              <w:trPr>
                <w:trHeight w:val="340" w:hRule="exact"/>
              </w:trPr>
              <w:tc>
                <w:tcPr/>
                <w:p>
                  <w:pPr>
                    <w:pStyle w:val="Compact"/>
                    <w:jc w:val="left"/>
                    <w:rPr>
                      <w:sz w:val="16"/>
                      <w:szCs w:val="16"/>
                    </w:rPr>
                  </w:pPr>
                  <w:r>
                    <w:rPr>
                      <w:sz w:val="16"/>
                      <w:szCs w:val="16"/>
                    </w:rPr>
                    <w:t xml:space="preserve">Lodgepole pine cover (%)</w:t>
                  </w:r>
                </w:p>
              </w:tc>
              <w:tc>
                <w:tcPr/>
                <w:p>
                  <w:pPr>
                    <w:pStyle w:val="Compact"/>
                    <w:jc w:val="left"/>
                    <w:rPr>
                      <w:sz w:val="16"/>
                      <w:szCs w:val="16"/>
                    </w:rPr>
                  </w:pPr>
                  <w:r>
                    <w:rPr>
                      <w:sz w:val="16"/>
                      <w:szCs w:val="16"/>
                    </w:rPr>
                    <w:t xml:space="preserve">111,707</w:t>
                  </w:r>
                </w:p>
              </w:tc>
              <w:tc>
                <w:tcPr/>
                <w:p>
                  <w:pPr>
                    <w:pStyle w:val="Compact"/>
                    <w:jc w:val="left"/>
                    <w:rPr>
                      <w:sz w:val="16"/>
                      <w:szCs w:val="16"/>
                    </w:rPr>
                  </w:pPr>
                  <w:r>
                    <w:rPr>
                      <w:sz w:val="16"/>
                      <w:szCs w:val="16"/>
                    </w:rPr>
                    <w:t xml:space="preserve">20.11</w:t>
                  </w:r>
                </w:p>
              </w:tc>
              <w:tc>
                <w:tcPr/>
                <w:p>
                  <w:pPr>
                    <w:pStyle w:val="Compact"/>
                    <w:jc w:val="left"/>
                    <w:rPr>
                      <w:sz w:val="16"/>
                      <w:szCs w:val="16"/>
                    </w:rPr>
                  </w:pPr>
                  <w:r>
                    <w:rPr>
                      <w:sz w:val="16"/>
                      <w:szCs w:val="16"/>
                    </w:rPr>
                    <w:t xml:space="preserve">23.93</w:t>
                  </w:r>
                </w:p>
              </w:tc>
              <w:tc>
                <w:tcPr/>
                <w:p>
                  <w:pPr>
                    <w:pStyle w:val="Compact"/>
                    <w:jc w:val="left"/>
                    <w:rPr>
                      <w:sz w:val="16"/>
                      <w:szCs w:val="16"/>
                    </w:rPr>
                  </w:pPr>
                  <w:r>
                    <w:rPr>
                      <w:sz w:val="16"/>
                      <w:szCs w:val="16"/>
                    </w:rPr>
                    <w:t xml:space="preserve">0.072</w:t>
                  </w:r>
                </w:p>
              </w:tc>
              <w:tc>
                <w:tcPr/>
                <w:p>
                  <w:pPr>
                    <w:pStyle w:val="Compact"/>
                    <w:jc w:val="left"/>
                    <w:rPr>
                      <w:sz w:val="16"/>
                      <w:szCs w:val="16"/>
                    </w:rPr>
                  </w:pPr>
                  <w:r>
                    <w:rPr>
                      <w:sz w:val="16"/>
                      <w:szCs w:val="16"/>
                    </w:rPr>
                    <w:t xml:space="preserve">10.00</w:t>
                  </w:r>
                </w:p>
              </w:tc>
              <w:tc>
                <w:tcPr/>
                <w:p>
                  <w:pPr>
                    <w:pStyle w:val="Compact"/>
                    <w:jc w:val="left"/>
                    <w:rPr>
                      <w:sz w:val="16"/>
                      <w:szCs w:val="16"/>
                    </w:rPr>
                  </w:pPr>
                  <w:r>
                    <w:rPr>
                      <w:sz w:val="16"/>
                      <w:szCs w:val="16"/>
                    </w:rPr>
                    <w:t xml:space="preserve">0.00</w:t>
                  </w:r>
                </w:p>
              </w:tc>
              <w:tc>
                <w:tcPr/>
                <w:p>
                  <w:pPr>
                    <w:pStyle w:val="Compact"/>
                    <w:jc w:val="left"/>
                    <w:rPr>
                      <w:sz w:val="16"/>
                      <w:szCs w:val="16"/>
                    </w:rPr>
                  </w:pPr>
                  <w:r>
                    <w:rPr>
                      <w:sz w:val="16"/>
                      <w:szCs w:val="16"/>
                    </w:rPr>
                    <w:t xml:space="preserve">100.00</w:t>
                  </w:r>
                </w:p>
              </w:tc>
              <w:tc>
                <w:tcPr/>
                <w:p>
                  <w:pPr>
                    <w:pStyle w:val="Compact"/>
                    <w:jc w:val="left"/>
                    <w:rPr>
                      <w:sz w:val="16"/>
                      <w:szCs w:val="16"/>
                    </w:rPr>
                  </w:pPr>
                  <w:r>
                    <w:rPr>
                      <w:sz w:val="16"/>
                      <w:szCs w:val="16"/>
                    </w:rPr>
                    <w:t xml:space="preserve">+1.45</w:t>
                  </w:r>
                </w:p>
              </w:tc>
              <w:tc>
                <w:tcPr/>
                <w:p>
                  <w:pPr>
                    <w:pStyle w:val="Compact"/>
                    <w:jc w:val="left"/>
                    <w:rPr>
                      <w:sz w:val="16"/>
                      <w:szCs w:val="16"/>
                    </w:rPr>
                  </w:pPr>
                  <w:r>
                    <w:rPr>
                      <w:sz w:val="16"/>
                      <w:szCs w:val="16"/>
                    </w:rPr>
                    <w:t xml:space="preserve">+1.56</w:t>
                  </w:r>
                </w:p>
              </w:tc>
            </w:tr>
            <w:tr>
              <w:trPr>
                <w:trHeight w:val="340" w:hRule="exact"/>
              </w:trPr>
              <w:tc>
                <w:tcPr/>
                <w:p>
                  <w:pPr>
                    <w:pStyle w:val="Compact"/>
                    <w:jc w:val="left"/>
                    <w:rPr>
                      <w:sz w:val="16"/>
                      <w:szCs w:val="16"/>
                    </w:rPr>
                  </w:pPr>
                  <w:r>
                    <w:rPr>
                      <w:sz w:val="16"/>
                      <w:szCs w:val="16"/>
                    </w:rPr>
                    <w:t xml:space="preserve">Susceptible pine basal area (m2/ha)</w:t>
                  </w:r>
                </w:p>
              </w:tc>
              <w:tc>
                <w:tcPr/>
                <w:p>
                  <w:pPr>
                    <w:pStyle w:val="Compact"/>
                    <w:jc w:val="left"/>
                    <w:rPr>
                      <w:sz w:val="16"/>
                      <w:szCs w:val="16"/>
                    </w:rPr>
                  </w:pPr>
                  <w:r>
                    <w:rPr>
                      <w:sz w:val="16"/>
                      <w:szCs w:val="16"/>
                    </w:rPr>
                    <w:t xml:space="preserve">111,707</w:t>
                  </w:r>
                </w:p>
              </w:tc>
              <w:tc>
                <w:tcPr/>
                <w:p>
                  <w:pPr>
                    <w:pStyle w:val="Compact"/>
                    <w:jc w:val="left"/>
                    <w:rPr>
                      <w:sz w:val="16"/>
                      <w:szCs w:val="16"/>
                    </w:rPr>
                  </w:pPr>
                  <w:r>
                    <w:rPr>
                      <w:sz w:val="16"/>
                      <w:szCs w:val="16"/>
                    </w:rPr>
                    <w:t xml:space="preserve">7.07</w:t>
                  </w:r>
                </w:p>
              </w:tc>
              <w:tc>
                <w:tcPr/>
                <w:p>
                  <w:pPr>
                    <w:pStyle w:val="Compact"/>
                    <w:jc w:val="left"/>
                    <w:rPr>
                      <w:sz w:val="16"/>
                      <w:szCs w:val="16"/>
                    </w:rPr>
                  </w:pPr>
                  <w:r>
                    <w:rPr>
                      <w:sz w:val="16"/>
                      <w:szCs w:val="16"/>
                    </w:rPr>
                    <w:t xml:space="preserve">8.85</w:t>
                  </w:r>
                </w:p>
              </w:tc>
              <w:tc>
                <w:tcPr/>
                <w:p>
                  <w:pPr>
                    <w:pStyle w:val="Compact"/>
                    <w:jc w:val="left"/>
                    <w:rPr>
                      <w:sz w:val="16"/>
                      <w:szCs w:val="16"/>
                    </w:rPr>
                  </w:pPr>
                  <w:r>
                    <w:rPr>
                      <w:sz w:val="16"/>
                      <w:szCs w:val="16"/>
                    </w:rPr>
                    <w:t xml:space="preserve">0.026</w:t>
                  </w:r>
                </w:p>
              </w:tc>
              <w:tc>
                <w:tcPr/>
                <w:p>
                  <w:pPr>
                    <w:pStyle w:val="Compact"/>
                    <w:jc w:val="left"/>
                    <w:rPr>
                      <w:sz w:val="16"/>
                      <w:szCs w:val="16"/>
                    </w:rPr>
                  </w:pPr>
                  <w:r>
                    <w:rPr>
                      <w:sz w:val="16"/>
                      <w:szCs w:val="16"/>
                    </w:rPr>
                    <w:t xml:space="preserve">4.00</w:t>
                  </w:r>
                </w:p>
              </w:tc>
              <w:tc>
                <w:tcPr/>
                <w:p>
                  <w:pPr>
                    <w:pStyle w:val="Compact"/>
                    <w:jc w:val="left"/>
                    <w:rPr>
                      <w:sz w:val="16"/>
                      <w:szCs w:val="16"/>
                    </w:rPr>
                  </w:pPr>
                  <w:r>
                    <w:rPr>
                      <w:sz w:val="16"/>
                      <w:szCs w:val="16"/>
                    </w:rPr>
                    <w:t xml:space="preserve">0.00</w:t>
                  </w:r>
                </w:p>
              </w:tc>
              <w:tc>
                <w:tcPr/>
                <w:p>
                  <w:pPr>
                    <w:pStyle w:val="Compact"/>
                    <w:jc w:val="left"/>
                    <w:rPr>
                      <w:sz w:val="16"/>
                      <w:szCs w:val="16"/>
                    </w:rPr>
                  </w:pPr>
                  <w:r>
                    <w:rPr>
                      <w:sz w:val="16"/>
                      <w:szCs w:val="16"/>
                    </w:rPr>
                    <w:t xml:space="preserve">48.30</w:t>
                  </w:r>
                </w:p>
              </w:tc>
              <w:tc>
                <w:tcPr/>
                <w:p>
                  <w:pPr>
                    <w:pStyle w:val="Compact"/>
                    <w:jc w:val="left"/>
                    <w:rPr>
                      <w:sz w:val="16"/>
                      <w:szCs w:val="16"/>
                    </w:rPr>
                  </w:pPr>
                  <w:r>
                    <w:rPr>
                      <w:sz w:val="16"/>
                      <w:szCs w:val="16"/>
                    </w:rPr>
                    <w:t xml:space="preserve">+1.63</w:t>
                  </w:r>
                </w:p>
              </w:tc>
              <w:tc>
                <w:tcPr/>
                <w:p>
                  <w:pPr>
                    <w:pStyle w:val="Compact"/>
                    <w:jc w:val="left"/>
                    <w:rPr>
                      <w:sz w:val="16"/>
                      <w:szCs w:val="16"/>
                    </w:rPr>
                  </w:pPr>
                  <w:r>
                    <w:rPr>
                      <w:sz w:val="16"/>
                      <w:szCs w:val="16"/>
                    </w:rPr>
                    <w:t xml:space="preserve">+2.63</w:t>
                  </w:r>
                </w:p>
              </w:tc>
            </w:tr>
          </w:tbl>
          <w:bookmarkEnd w:id="32"/>
          <w:p/>
        </w:tc>
      </w:tr>
    </w:tbl>
    <w:p>
      <w:pPr>
        <w:pStyle w:val="BodyText"/>
      </w:pPr>
      <w:r>
        <w:t xml:space="preserve">The inventory is a projected operational product, not a census, and its polygons here have</w:t>
      </w:r>
      <w:r>
        <w:t xml:space="preserve"> </w:t>
      </w:r>
      <w:r>
        <w:t xml:space="preserve">reference years spanning several decades. A polygon interpreted from late-outbreak</w:t>
      </w:r>
      <w:r>
        <w:t xml:space="preserve"> </w:t>
      </w:r>
      <w:r>
        <w:t xml:space="preserve">photography describes a stand the beetle had already attacked, so basal area and pine cover</w:t>
      </w:r>
      <w:r>
        <w:t xml:space="preserve"> </w:t>
      </w:r>
      <w:r>
        <w:t xml:space="preserve">are post-attack for part of the window. There is no unattacked vintage, so this is</w:t>
      </w:r>
      <w:r>
        <w:t xml:space="preserve"> </w:t>
      </w:r>
      <w:r>
        <w:t xml:space="preserve">reported rather than corrected, and</w:t>
      </w:r>
      <w:r>
        <w:t xml:space="preserve"> </w:t>
      </w:r>
      <w:hyperlink w:anchor="sec-limits">
        <w:r>
          <w:rPr>
            <w:rStyle w:val="Hyperlink"/>
          </w:rPr>
          <w:t xml:space="preserve">Section 7</w:t>
        </w:r>
      </w:hyperlink>
      <w:r>
        <w:t xml:space="preserve"> </w:t>
      </w:r>
      <w:r>
        <w:t xml:space="preserve">returns to it.</w:t>
      </w:r>
    </w:p>
    <w:bookmarkEnd w:id="33"/>
    <w:bookmarkStart w:id="34" w:name="geomorphometry"/>
    <w:p>
      <w:pPr>
        <w:pStyle w:val="Heading2"/>
      </w:pPr>
      <w:r>
        <w:t xml:space="preserve">2.4 Geomorphometry</w:t>
      </w:r>
    </w:p>
    <w:p>
      <w:pPr>
        <w:pStyle w:val="FirstParagraph"/>
      </w:pPr>
      <w:r>
        <w:t xml:space="preserve">Terrain is described by 29 geomorphometric surfaces computed with SAGA GIS</w:t>
      </w:r>
      <w:r>
        <w:t xml:space="preserve"> </w:t>
      </w:r>
      <w:r>
        <w:t xml:space="preserve">over the full reprojected elevation model and clipped afterwards, so a search radius near the</w:t>
      </w:r>
      <w:r>
        <w:t xml:space="preserve"> </w:t>
      </w:r>
      <w:r>
        <w:t xml:space="preserve">boundary still falls on real ground.</w:t>
      </w:r>
    </w:p>
    <w:p>
      <w:pPr>
        <w:pStyle w:val="BodyText"/>
      </w:pPr>
      <w:r>
        <w:t xml:space="preserve">Radiation is computed twice because two mechanisms need it. Flight-window insolation is direct</w:t>
      </w:r>
      <w:r>
        <w:t xml:space="preserve"> </w:t>
      </w:r>
      <w:r>
        <w:t xml:space="preserve">and diffuse radiation over 1 July to 15 August restricted to 12:00 to 17:00, the hours</w:t>
      </w:r>
      <w:r>
        <w:t xml:space="preserve"> </w:t>
      </w:r>
      <w:r>
        <w:t xml:space="preserve">Safranyik &amp; Carroll (2006)</w:t>
      </w:r>
      <w:r>
        <w:t xml:space="preserve"> </w:t>
      </w:r>
      <w:r>
        <w:t xml:space="preserve">identify as the flight peak; growing-season insolation is the whole-day</w:t>
      </w:r>
      <w:r>
        <w:t xml:space="preserve"> </w:t>
      </w:r>
      <w:r>
        <w:t xml:space="preserve">total from 1 May to 30 September, the shading quantity</w:t>
      </w:r>
      <w:r>
        <w:t xml:space="preserve"> </w:t>
      </w:r>
      <w:r>
        <w:t xml:space="preserve">Krawchuk et al. (2020)</w:t>
      </w:r>
      <w:r>
        <w:t xml:space="preserve">’s first mechanism</w:t>
      </w:r>
      <w:r>
        <w:t xml:space="preserve"> </w:t>
      </w:r>
      <w:r>
        <w:t xml:space="preserve">concerns. A single annual heat index cannot separate them. Flight-window direct radiation</w:t>
      </w:r>
      <w:r>
        <w:t xml:space="preserve"> </w:t>
      </w:r>
      <w:r>
        <w:t xml:space="preserve">spans a 7-fold range</w:t>
      </w:r>
      <w:r>
        <w:t xml:space="preserve"> </w:t>
      </w:r>
      <w:r>
        <w:t xml:space="preserve">here against 2.6-fold for</w:t>
      </w:r>
      <w:r>
        <w:t xml:space="preserve"> </w:t>
      </w:r>
      <w:r>
        <w:t xml:space="preserve">the season total.</w:t>
      </w:r>
    </w:p>
    <w:p>
      <w:pPr>
        <w:pStyle w:val="BodyText"/>
      </w:pPr>
      <w:r>
        <w:t xml:space="preserve">Exposure enters as the windward-leeward index and effective air flow height at the prevailing</w:t>
      </w:r>
      <w:r>
        <w:t xml:space="preserve"> </w:t>
      </w:r>
      <w:r>
        <w:t xml:space="preserve">bearing, the omnidirectional wind exposition index, the wind shelter index and topographic</w:t>
      </w:r>
      <w:r>
        <w:t xml:space="preserve"> </w:t>
      </w:r>
      <w:r>
        <w:t xml:space="preserve">openness. Shape enters as terrain ruggedness, vector ruggedness, topographic position and its</w:t>
      </w:r>
      <w:r>
        <w:t xml:space="preserve"> </w:t>
      </w:r>
      <w:r>
        <w:t xml:space="preserve">multi-scale form, convergence, slope, curvature and geomorphon class. Landform enters as</w:t>
      </w:r>
      <w:r>
        <w:t xml:space="preserve"> </w:t>
      </w:r>
      <w:r>
        <w:t xml:space="preserve">topographic wetness, valley depth, height above the valley floor, normalised height and</w:t>
      </w:r>
      <w:r>
        <w:t xml:space="preserve"> </w:t>
      </w:r>
      <w:r>
        <w:t xml:space="preserve">mid-slope position, because infested groups are reported in draws and gullies and deep snow</w:t>
      </w:r>
      <w:r>
        <w:t xml:space="preserve"> </w:t>
      </w:r>
      <w:r>
        <w:t xml:space="preserve">insulates overwintering brood</w:t>
      </w:r>
      <w:r>
        <w:t xml:space="preserve"> </w:t>
      </w:r>
      <w:r>
        <w:t xml:space="preserve">(Safranyik &amp; Carroll, 2006)</w:t>
      </w:r>
      <w:r>
        <w:t xml:space="preserve">. Aspect enters as its northward and</w:t>
      </w:r>
      <w:r>
        <w:t xml:space="preserve"> </w:t>
      </w:r>
      <w:r>
        <w:t xml:space="preserve">eastward components with the heat load index of</w:t>
      </w:r>
      <w:r>
        <w:t xml:space="preserve"> </w:t>
      </w:r>
      <w:r>
        <w:t xml:space="preserve">McCune &amp; Keon (2002)</w:t>
      </w:r>
      <w:r>
        <w:t xml:space="preserve">.</w:t>
      </w:r>
    </w:p>
    <w:p>
      <w:pPr>
        <w:pStyle w:val="BodyText"/>
      </w:pPr>
      <w:r>
        <w:t xml:space="preserve">One distinction matters. The strongest aspect statements in</w:t>
      </w:r>
      <w:r>
        <w:t xml:space="preserve"> </w:t>
      </w:r>
      <w:r>
        <w:t xml:space="preserve">Safranyik &amp; Carroll (2006)</w:t>
      </w:r>
      <w:r>
        <w:t xml:space="preserve"> </w:t>
      </w:r>
      <w:r>
        <w:t xml:space="preserve">concern the</w:t>
      </w:r>
      <w:r>
        <w:t xml:space="preserve"> </w:t>
      </w:r>
      <w:r>
        <w:t xml:space="preserve">aspect of the bole, not the slope, and are within-tree effects a 30 m raster cannot measure.</w:t>
      </w:r>
      <w:r>
        <w:t xml:space="preserve"> </w:t>
      </w:r>
      <w:r>
        <w:t xml:space="preserve">Nothing here tests them.</w:t>
      </w:r>
    </w:p>
    <w:bookmarkEnd w:id="34"/>
    <w:bookmarkStart w:id="39" w:name="sec-micromet"/>
    <w:p>
      <w:pPr>
        <w:pStyle w:val="Heading2"/>
      </w:pPr>
      <w:r>
        <w:t xml:space="preserve">2.5 Terrain-resolved wind</w:t>
      </w:r>
    </w:p>
    <w:p>
      <w:pPr>
        <w:pStyle w:val="FirstParagraph"/>
      </w:pPr>
      <w:r>
        <w:t xml:space="preserve">Station wind interpolated from four to seven valley stations is nearly flat within a year, so</w:t>
      </w:r>
      <w:r>
        <w:t xml:space="preserve"> </w:t>
      </w:r>
      <w:r>
        <w:t xml:space="preserve">wind is also computed as a field varying in space, using the MicroMet model of</w:t>
      </w:r>
      <w:r>
        <w:t xml:space="preserve"> </w:t>
      </w:r>
      <w:r>
        <w:t xml:space="preserve">Liston &amp; Elder (2006)</w:t>
      </w:r>
      <w:r>
        <w:t xml:space="preserve">.</w:t>
      </w:r>
      <w:r>
        <w:t xml:space="preserve"> </w:t>
      </w:r>
      <w:r>
        <w:t xml:space="preserve">WindNinja, the usual tool, ships no macOS binary. MicroMet’s wind component is seven equations</w:t>
      </w:r>
      <w:r>
        <w:t xml:space="preserve"> </w:t>
      </w:r>
      <w:r>
        <w:t xml:space="preserve">rather than a program, implemented directly with the paper’s equation numbers against each.</w:t>
      </w:r>
    </w:p>
    <w:p>
      <w:pPr>
        <w:pStyle w:val="BodyText"/>
      </w:pPr>
      <w:r>
        <w:t xml:space="preserve">Terrain slope</w:t>
      </w:r>
      <w:r>
        <w:t xml:space="preserve"> </w:t>
      </w:r>
      <m:oMath>
        <m:r>
          <m:t>β</m:t>
        </m:r>
      </m:oMath>
      <w:r>
        <w:t xml:space="preserve"> </w:t>
      </w:r>
      <w:r>
        <w:t xml:space="preserve">and slope azimuth</w:t>
      </w:r>
      <w:r>
        <w:t xml:space="preserve"> </w:t>
      </w:r>
      <m:oMath>
        <m:r>
          <m:t>ξ</m:t>
        </m:r>
      </m:oMath>
      <w:r>
        <w:t xml:space="preserve"> </w:t>
      </w:r>
      <w:r>
        <w:t xml:space="preserve">come from the elevation model (</w:t>
      </w:r>
      <w:r>
        <w:t xml:space="preserve">Liston &amp; Elder (2006)</w:t>
      </w:r>
      <w:r>
        <w:t xml:space="preserve">,</w:t>
      </w:r>
      <w:r>
        <w:t xml:space="preserve"> </w:t>
      </w:r>
      <w:r>
        <w:t xml:space="preserve">their equations 12 and 13). Curvature</w:t>
      </w:r>
      <w:r>
        <w:t xml:space="preserve"> </w:t>
      </w:r>
      <m:oMath>
        <m:sSub>
          <m:e>
            <m:r>
              <m:t>Ω</m:t>
            </m:r>
          </m:e>
          <m:sub>
            <m:r>
              <m:t>c</m:t>
            </m:r>
          </m:sub>
        </m:sSub>
      </m:oMath>
      <w:r>
        <w:t xml:space="preserve"> </w:t>
      </w:r>
      <w:r>
        <w:t xml:space="preserve">is a cell’s elevation minus the mean of the</w:t>
      </w:r>
      <w:r>
        <w:t xml:space="preserve"> </w:t>
      </w:r>
      <w:r>
        <w:t xml:space="preserve">two opposite cells one curvature length scale away, taken on four direction lines and</w:t>
      </w:r>
      <w:r>
        <w:t xml:space="preserve"> </w:t>
      </w:r>
      <w:r>
        <w:t xml:space="preserve">averaged (their equation 14); the length scale is estimated as the first lag at which</w:t>
      </w:r>
      <w:r>
        <w:t xml:space="preserve"> </w:t>
      </w:r>
      <w:r>
        <w:t xml:space="preserve">elevation autocorrelation falls below 0.5, which is 600 m here. Writing</w:t>
      </w:r>
      <w:r>
        <w:t xml:space="preserve"> </w:t>
      </w:r>
      <m:oMath>
        <m:r>
          <m:t>θ</m:t>
        </m:r>
      </m:oMath>
      <w:r>
        <w:t xml:space="preserve"> </w:t>
      </w:r>
      <w:r>
        <w:t xml:space="preserve">for the</w:t>
      </w:r>
      <w:r>
        <w:t xml:space="preserve"> </w:t>
      </w:r>
      <w:r>
        <w:t xml:space="preserve">wind bearing, the slope in the wind direction is</w:t>
      </w:r>
    </w:p>
    <w:p>
      <w:pPr>
        <w:pStyle w:val="BodyText"/>
      </w:pPr>
      <w:bookmarkStart w:id="35" w:name="eq-slope"/>
      <m:oMathPara>
        <m:oMathParaPr>
          <m:jc m:val="center"/>
        </m:oMathParaPr>
        <m:oMath>
          <m:sSub>
            <m:e>
              <m:r>
                <m:t>Ω</m:t>
              </m:r>
            </m:e>
            <m:sub>
              <m:r>
                <m:t>s</m:t>
              </m:r>
            </m:sub>
          </m:sSub>
          <m:r>
            <m:rPr>
              <m:sty m:val="p"/>
            </m:rPr>
            <m:t>=</m:t>
          </m:r>
          <m:r>
            <m:t>β</m:t>
          </m:r>
          <m:r>
            <m:rPr>
              <m:sty m:val="p"/>
            </m:rPr>
            <m:t>cos</m:t>
          </m:r>
          <m:d>
            <m:dPr>
              <m:begChr m:val="("/>
              <m:sepChr m:val=""/>
              <m:endChr m:val=")"/>
              <m:grow/>
            </m:dPr>
            <m:e>
              <m:r>
                <m:t>θ</m:t>
              </m:r>
              <m:r>
                <m:rPr>
                  <m:sty m:val="p"/>
                </m:rPr>
                <m:t>−</m:t>
              </m:r>
              <m:r>
                <m:t>ξ</m:t>
              </m:r>
            </m:e>
          </m:d>
          <m:r>
            <m:t>  </m:t>
          </m:r>
          <m:d>
            <m:dPr>
              <m:begChr m:val="("/>
              <m:sepChr m:val=""/>
              <m:endChr m:val=")"/>
              <m:grow/>
            </m:dPr>
            <m:e>
              <m:r>
                <m:t>1</m:t>
              </m:r>
            </m:e>
          </m:d>
        </m:oMath>
      </m:oMathPara>
      <w:bookmarkEnd w:id="35"/>
    </w:p>
    <w:p>
      <w:pPr>
        <w:pStyle w:val="FirstParagraph"/>
      </w:pPr>
      <w:r>
        <w:t xml:space="preserve">with</w:t>
      </w:r>
      <w:r>
        <w:t xml:space="preserve"> </w:t>
      </w:r>
      <m:oMath>
        <m:sSub>
          <m:e>
            <m:r>
              <m:t>Ω</m:t>
            </m:r>
          </m:e>
          <m:sub>
            <m:r>
              <m:t>s</m:t>
            </m:r>
          </m:sub>
        </m:sSub>
      </m:oMath>
      <w:r>
        <w:t xml:space="preserve"> </w:t>
      </w:r>
      <w:r>
        <w:t xml:space="preserve">and</w:t>
      </w:r>
      <w:r>
        <w:t xml:space="preserve"> </w:t>
      </w:r>
      <m:oMath>
        <m:sSub>
          <m:e>
            <m:r>
              <m:t>Ω</m:t>
            </m:r>
          </m:e>
          <m:sub>
            <m:r>
              <m:t>c</m:t>
            </m:r>
          </m:sub>
        </m:sSub>
      </m:oMath>
      <w:r>
        <w:t xml:space="preserve"> </w:t>
      </w:r>
      <w:r>
        <w:t xml:space="preserve">each scaled to</w:t>
      </w:r>
      <w:r>
        <w:t xml:space="preserve"> </w:t>
      </w:r>
      <m:oMath>
        <m:d>
          <m:dPr>
            <m:begChr m:val="["/>
            <m:sepChr m:val=""/>
            <m:endChr m:val="]"/>
            <m:grow/>
          </m:dPr>
          <m:e>
            <m:r>
              <m:rPr>
                <m:sty m:val="p"/>
              </m:rPr>
              <m:t>−</m:t>
            </m:r>
            <m:r>
              <m:t>0.5</m:t>
            </m:r>
            <m:r>
              <m:rPr>
                <m:sty m:val="p"/>
              </m:rPr>
              <m:t>,</m:t>
            </m:r>
            <m:r>
              <m:t> </m:t>
            </m:r>
            <m:r>
              <m:t>0.5</m:t>
            </m:r>
          </m:e>
        </m:d>
      </m:oMath>
      <w:r>
        <w:t xml:space="preserve">. The terrain weighting factor</w:t>
      </w:r>
      <w:r>
        <w:t xml:space="preserve"> </w:t>
      </w:r>
      <w:r>
        <w:t xml:space="preserve">applied to the observed speed</w:t>
      </w:r>
      <w:r>
        <w:t xml:space="preserve"> </w:t>
      </w:r>
      <m:oMath>
        <m:r>
          <m:t>W</m:t>
        </m:r>
      </m:oMath>
      <w:r>
        <w:t xml:space="preserve"> </w:t>
      </w:r>
      <w:r>
        <w:t xml:space="preserve">is</w:t>
      </w:r>
    </w:p>
    <w:p>
      <w:pPr>
        <w:pStyle w:val="BodyText"/>
      </w:pPr>
      <w:bookmarkStart w:id="36" w:name="eq-weight"/>
      <m:oMathPara>
        <m:oMathParaPr>
          <m:jc m:val="center"/>
        </m:oMathParaPr>
        <m:oMath>
          <m:sSub>
            <m:e>
              <m:r>
                <m:t>W</m:t>
              </m:r>
            </m:e>
            <m:sub>
              <m:r>
                <m:t>w</m:t>
              </m:r>
            </m:sub>
          </m:sSub>
          <m:r>
            <m:rPr>
              <m:sty m:val="p"/>
            </m:rPr>
            <m:t>=</m:t>
          </m:r>
          <m:r>
            <m:t>1</m:t>
          </m:r>
          <m:r>
            <m:rPr>
              <m:sty m:val="p"/>
            </m:rPr>
            <m:t>+</m:t>
          </m:r>
          <m:sSub>
            <m:e>
              <m:r>
                <m:t>γ</m:t>
              </m:r>
            </m:e>
            <m:sub>
              <m:r>
                <m:t>s</m:t>
              </m:r>
            </m:sub>
          </m:sSub>
          <m:sSub>
            <m:e>
              <m:r>
                <m:t>Ω</m:t>
              </m:r>
            </m:e>
            <m:sub>
              <m:r>
                <m:t>s</m:t>
              </m:r>
            </m:sub>
          </m:sSub>
          <m:r>
            <m:rPr>
              <m:sty m:val="p"/>
            </m:rPr>
            <m:t>+</m:t>
          </m:r>
          <m:sSub>
            <m:e>
              <m:r>
                <m:t>γ</m:t>
              </m:r>
            </m:e>
            <m:sub>
              <m:r>
                <m:t>c</m:t>
              </m:r>
            </m:sub>
          </m:sSub>
          <m:sSub>
            <m:e>
              <m:r>
                <m:t>Ω</m:t>
              </m:r>
            </m:e>
            <m:sub>
              <m:r>
                <m:t>c</m:t>
              </m:r>
            </m:sub>
          </m:sSub>
          <m:r>
            <m:rPr>
              <m:sty m:val="p"/>
            </m:rPr>
            <m:t>,</m:t>
          </m:r>
          <m:r>
            <m:t>  </m:t>
          </m:r>
          <m:sSub>
            <m:e>
              <m:r>
                <m:t>γ</m:t>
              </m:r>
            </m:e>
            <m:sub>
              <m:r>
                <m:t>s</m:t>
              </m:r>
            </m:sub>
          </m:sSub>
          <m:r>
            <m:rPr>
              <m:sty m:val="p"/>
            </m:rPr>
            <m:t>=</m:t>
          </m:r>
          <m:sSub>
            <m:e>
              <m:r>
                <m:t>γ</m:t>
              </m:r>
            </m:e>
            <m:sub>
              <m:r>
                <m:t>c</m:t>
              </m:r>
            </m:sub>
          </m:sSub>
          <m:r>
            <m:rPr>
              <m:sty m:val="p"/>
            </m:rPr>
            <m:t>=</m:t>
          </m:r>
          <m:r>
            <m:t>0.5</m:t>
          </m:r>
          <m:r>
            <m:t>  </m:t>
          </m:r>
          <m:d>
            <m:dPr>
              <m:begChr m:val="("/>
              <m:sepChr m:val=""/>
              <m:endChr m:val=")"/>
              <m:grow/>
            </m:dPr>
            <m:e>
              <m:r>
                <m:t>2</m:t>
              </m:r>
            </m:e>
          </m:d>
        </m:oMath>
      </m:oMathPara>
      <w:bookmarkEnd w:id="36"/>
    </w:p>
    <w:p>
      <w:pPr>
        <w:pStyle w:val="FirstParagraph"/>
      </w:pPr>
      <w:r>
        <w:t xml:space="preserve">giving the terrain-modified speed</w:t>
      </w:r>
    </w:p>
    <w:p>
      <w:pPr>
        <w:pStyle w:val="BodyText"/>
      </w:pPr>
      <w:bookmarkStart w:id="37" w:name="eq-speed"/>
      <m:oMathPara>
        <m:oMathParaPr>
          <m:jc m:val="center"/>
        </m:oMathParaPr>
        <m:oMath>
          <m:sSub>
            <m:e>
              <m:r>
                <m:t>W</m:t>
              </m:r>
            </m:e>
            <m:sub>
              <m:r>
                <m:t>t</m:t>
              </m:r>
            </m:sub>
          </m:sSub>
          <m:r>
            <m:rPr>
              <m:sty m:val="p"/>
            </m:rPr>
            <m:t>=</m:t>
          </m:r>
          <m:sSub>
            <m:e>
              <m:r>
                <m:t>W</m:t>
              </m:r>
            </m:e>
            <m:sub>
              <m:r>
                <m:t>w</m:t>
              </m:r>
            </m:sub>
          </m:sSub>
          <m:r>
            <m:t>W</m:t>
          </m:r>
          <m:r>
            <m:t>  </m:t>
          </m:r>
          <m:d>
            <m:dPr>
              <m:begChr m:val="("/>
              <m:sepChr m:val=""/>
              <m:endChr m:val=")"/>
              <m:grow/>
            </m:dPr>
            <m:e>
              <m:r>
                <m:t>3</m:t>
              </m:r>
            </m:e>
          </m:d>
        </m:oMath>
      </m:oMathPara>
      <w:bookmarkEnd w:id="37"/>
    </w:p>
    <w:p>
      <w:pPr>
        <w:pStyle w:val="FirstParagraph"/>
      </w:pPr>
      <w:r>
        <w:t xml:space="preserve">and a diversion of the wind direction of</w:t>
      </w:r>
    </w:p>
    <w:p>
      <w:pPr>
        <w:pStyle w:val="BodyText"/>
      </w:pPr>
      <w:bookmarkStart w:id="38" w:name="eq-divert"/>
      <m:oMathPara>
        <m:oMathParaPr>
          <m:jc m:val="center"/>
        </m:oMathParaPr>
        <m:oMath>
          <m:sSub>
            <m:e>
              <m:r>
                <m:t>θ</m:t>
              </m:r>
            </m:e>
            <m:sub>
              <m:r>
                <m:t>d</m:t>
              </m:r>
            </m:sub>
          </m:sSub>
          <m:r>
            <m:rPr>
              <m:sty m:val="p"/>
            </m:rPr>
            <m:t>=</m:t>
          </m:r>
          <m:r>
            <m:rPr>
              <m:sty m:val="p"/>
            </m:rPr>
            <m:t>−</m:t>
          </m:r>
          <m:f>
            <m:fPr>
              <m:type m:val="lin"/>
            </m:fPr>
            <m:num>
              <m:r>
                <m:t>1</m:t>
              </m:r>
            </m:num>
            <m:den>
              <m:r>
                <m:t>2</m:t>
              </m:r>
            </m:den>
          </m:f>
          <m:r>
            <m:t> </m:t>
          </m:r>
          <m:sSub>
            <m:e>
              <m:r>
                <m:t>Ω</m:t>
              </m:r>
            </m:e>
            <m:sub>
              <m:r>
                <m:t>s</m:t>
              </m:r>
            </m:sub>
          </m:sSub>
          <m:r>
            <m:rPr>
              <m:sty m:val="p"/>
            </m:rPr>
            <m:t>sin</m:t>
          </m:r>
          <m:r>
            <m:t>​</m:t>
          </m:r>
          <m:d>
            <m:dPr>
              <m:begChr m:val="["/>
              <m:sepChr m:val=""/>
              <m:endChr m:val="]"/>
              <m:grow/>
            </m:dPr>
            <m:e>
              <m:r>
                <m:t>2</m:t>
              </m:r>
              <m:d>
                <m:dPr>
                  <m:begChr m:val="("/>
                  <m:sepChr m:val=""/>
                  <m:endChr m:val=")"/>
                  <m:grow/>
                </m:dPr>
                <m:e>
                  <m:r>
                    <m:t>ξ</m:t>
                  </m:r>
                  <m:r>
                    <m:rPr>
                      <m:sty m:val="p"/>
                    </m:rPr>
                    <m:t>−</m:t>
                  </m:r>
                  <m:r>
                    <m:t>θ</m:t>
                  </m:r>
                </m:e>
              </m:d>
            </m:e>
          </m:d>
          <m:r>
            <m:rPr>
              <m:sty m:val="p"/>
            </m:rPr>
            <m:t>.</m:t>
          </m:r>
          <m:r>
            <m:t>  </m:t>
          </m:r>
          <m:d>
            <m:dPr>
              <m:begChr m:val="("/>
              <m:sepChr m:val=""/>
              <m:endChr m:val=")"/>
              <m:grow/>
            </m:dPr>
            <m:e>
              <m:r>
                <m:t>4</m:t>
              </m:r>
            </m:e>
          </m:d>
        </m:oMath>
      </m:oMathPara>
      <w:bookmarkEnd w:id="38"/>
    </w:p>
    <w:p>
      <w:pPr>
        <w:pStyle w:val="FirstParagraph"/>
      </w:pPr>
      <w:r>
        <w:t xml:space="preserve">By</w:t>
      </w:r>
      <w:r>
        <w:t xml:space="preserve"> </w:t>
      </w:r>
      <w:hyperlink w:anchor="eq-weight">
        <w:r>
          <w:rPr>
            <w:rStyle w:val="Hyperlink"/>
          </w:rPr>
          <w:t xml:space="preserve">Equation 2</w:t>
        </w:r>
      </w:hyperlink>
      <w:r>
        <w:t xml:space="preserve">,</w:t>
      </w:r>
      <w:r>
        <w:t xml:space="preserve"> </w:t>
      </w:r>
      <m:oMath>
        <m:sSub>
          <m:e>
            <m:r>
              <m:t>W</m:t>
            </m:r>
          </m:e>
          <m:sub>
            <m:r>
              <m:t>w</m:t>
            </m:r>
          </m:sub>
        </m:sSub>
      </m:oMath>
      <w:r>
        <w:t xml:space="preserve"> </w:t>
      </w:r>
      <w:r>
        <w:t xml:space="preserve">depends on direction and not on speed, so it is computed once for each of 16 direction bins</w:t>
      </w:r>
      <w:r>
        <w:t xml:space="preserve"> </w:t>
      </w:r>
      <w:r>
        <w:t xml:space="preserve">and each hourly observation multiplied by the surface for its own bin; nothing is averaged</w:t>
      </w:r>
      <w:r>
        <w:t xml:space="preserve"> </w:t>
      </w:r>
      <w:r>
        <w:t xml:space="preserve">before the terrain acts on it. Over all bins</w:t>
      </w:r>
      <w:r>
        <w:t xml:space="preserve"> </w:t>
      </w:r>
      <m:oMath>
        <m:sSub>
          <m:e>
            <m:r>
              <m:t>W</m:t>
            </m:r>
          </m:e>
          <m:sub>
            <m:r>
              <m:t>w</m:t>
            </m:r>
          </m:sub>
        </m:sSub>
      </m:oMath>
      <w:r>
        <w:t xml:space="preserve"> </w:t>
      </w:r>
      <w:r>
        <w:t xml:space="preserve">runs 0.60 to</w:t>
      </w:r>
      <w:r>
        <w:t xml:space="preserve"> </w:t>
      </w:r>
      <w:r>
        <w:t xml:space="preserve">1.38. Speed and direction combine as components because averaging</w:t>
      </w:r>
      <w:r>
        <w:t xml:space="preserve"> </w:t>
      </w:r>
      <w:r>
        <w:t xml:space="preserve">degrees across the 360/0 line is meaningless. The field varies</w:t>
      </w:r>
      <w:r>
        <w:t xml:space="preserve"> </w:t>
      </w:r>
      <w:r>
        <w:t xml:space="preserve">1.9 to</w:t>
      </w:r>
      <w:r>
        <w:t xml:space="preserve"> </w:t>
      </w:r>
      <w:r>
        <w:t xml:space="preserve">2.8 km/h across the grid within a year, and is not a</w:t>
      </w:r>
      <w:r>
        <w:t xml:space="preserve"> </w:t>
      </w:r>
      <w:r>
        <w:t xml:space="preserve">repackaged terrain index. It correlates +0.148 with the</w:t>
      </w:r>
      <w:r>
        <w:t xml:space="preserve"> </w:t>
      </w:r>
      <w:r>
        <w:t xml:space="preserve">windward-leeward index and +0.123 with flight</w:t>
      </w:r>
      <w:r>
        <w:t xml:space="preserve"> </w:t>
      </w:r>
      <w:r>
        <w:t xml:space="preserve">radiation. Its strongest association is with elevation,</w:t>
      </w:r>
      <w:r>
        <w:t xml:space="preserve"> </w:t>
      </w:r>
      <w:r>
        <w:t xml:space="preserve">+0.320.</w:t>
      </w:r>
    </w:p>
    <w:bookmarkEnd w:id="39"/>
    <w:bookmarkStart w:id="44" w:name="flight-window-wind"/>
    <w:p>
      <w:pPr>
        <w:pStyle w:val="Heading2"/>
      </w:pPr>
      <w:r>
        <w:t xml:space="preserve">2.6 Flight-window wind</w:t>
      </w:r>
    </w:p>
    <w:p>
      <w:pPr>
        <w:pStyle w:val="FirstParagraph"/>
      </w:pPr>
      <w:r>
        <w:t xml:space="preserve">The flight window is 1 July to 15 August and the hours 12:00 to 17:00, and neither bound</w:t>
      </w:r>
      <w:r>
        <w:t xml:space="preserve"> </w:t>
      </w:r>
      <w:r>
        <w:t xml:space="preserve">was chosen from these data. The dates are the flight period</w:t>
      </w:r>
      <w:r>
        <w:t xml:space="preserve"> </w:t>
      </w:r>
      <w:r>
        <w:t xml:space="preserve">Safranyik &amp; Carroll (2006)</w:t>
      </w:r>
      <w:r>
        <w:t xml:space="preserve"> </w:t>
      </w:r>
      <w:r>
        <w:t xml:space="preserve">give for</w:t>
      </w:r>
      <w:r>
        <w:t xml:space="preserve"> </w:t>
      </w:r>
      <w:r>
        <w:t xml:space="preserve">this region; the hours follow their</w:t>
      </w:r>
      <w:r>
        <w:t xml:space="preserve"> </w:t>
      </w:r>
      <w:r>
        <w:t xml:space="preserve">“peak flight is in the early to mid afternoon”</w:t>
      </w:r>
      <w:r>
        <w:t xml:space="preserve"> </w:t>
      </w:r>
      <w:r>
        <w:t xml:space="preserve">and</w:t>
      </w:r>
      <w:r>
        <w:t xml:space="preserve"> </w:t>
      </w:r>
      <w:r>
        <w:t xml:space="preserve">Gray et al. (1972)</w:t>
      </w:r>
      <w:r>
        <w:t xml:space="preserve">’s 11:00 to 14:00 emergence peak, taken here to the later side because emergence</w:t>
      </w:r>
      <w:r>
        <w:t xml:space="preserve"> </w:t>
      </w:r>
      <w:r>
        <w:t xml:space="preserve">precedes the flight it initiates. Because the window is fixed a priori it can be checked</w:t>
      </w:r>
      <w:r>
        <w:t xml:space="preserve"> </w:t>
      </w:r>
      <w:r>
        <w:t xml:space="preserve">against the landscape’s own climate, and</w:t>
      </w:r>
      <w:r>
        <w:t xml:space="preserve"> </w:t>
      </w:r>
      <w:hyperlink w:anchor="fig-flight-window">
        <w:r>
          <w:rPr>
            <w:rStyle w:val="Hyperlink"/>
          </w:rPr>
          <w:t xml:space="preserve">Figure 2</w:t>
        </w:r>
      </w:hyperlink>
      <w:r>
        <w:t xml:space="preserve"> </w:t>
      </w:r>
      <w:r>
        <w:t xml:space="preserve">does that. Across</w:t>
      </w:r>
      <w:r>
        <w:t xml:space="preserve"> </w:t>
      </w:r>
      <w:r>
        <w:t xml:space="preserve">236,079 hourly station records from May to September of the nine study years,</w:t>
      </w:r>
      <w:r>
        <w:t xml:space="preserve"> </w:t>
      </w:r>
      <w:r>
        <w:t xml:space="preserve">89.5 per cent of afternoon hours inside the window fall within</w:t>
      </w:r>
      <w:r>
        <w:t xml:space="preserve"> </w:t>
      </w:r>
      <w:r>
        <w:t xml:space="preserve">the 19 to 41 degrees C flight gate, against 51.4 per cent</w:t>
      </w:r>
      <w:r>
        <w:t xml:space="preserve"> </w:t>
      </w:r>
      <w:r>
        <w:t xml:space="preserve">outside it, and the afternoon mean is 26.0 against</w:t>
      </w:r>
      <w:r>
        <w:t xml:space="preserve"> </w:t>
      </w:r>
      <w:r>
        <w:t xml:space="preserve">19.2 degrees C. The window therefore roughly doubles the share</w:t>
      </w:r>
      <w:r>
        <w:t xml:space="preserve"> </w:t>
      </w:r>
      <w:r>
        <w:t xml:space="preserve">of hours in which flight is thermally possible. The same figure shows the same daily pattern</w:t>
      </w:r>
      <w:r>
        <w:t xml:space="preserve"> </w:t>
      </w:r>
      <w:r>
        <w:t xml:space="preserve">in wind. Mean speed peaks in the same hours as temperature, at</w:t>
      </w:r>
      <w:r>
        <w:t xml:space="preserve"> </w:t>
      </w:r>
      <w:r>
        <w:t xml:space="preserve">10.4 km/h in mid-afternoon against</w:t>
      </w:r>
      <w:r>
        <w:t xml:space="preserve"> </w:t>
      </w:r>
      <w:r>
        <w:t xml:space="preserve">4.6 km/h at dawn, so the hours the beetle can fly are also the</w:t>
      </w:r>
      <w:r>
        <w:t xml:space="preserve"> </w:t>
      </w:r>
      <w:r>
        <w:t xml:space="preserve">windiest of the day. That is a coincidence of timing the mechanism depends on.</w:t>
      </w:r>
    </w:p>
    <w:p>
      <w:pPr>
        <w:pStyle w:val="BodyText"/>
      </w:pPr>
      <w:r>
        <w:t xml:space="preserve">Station wind is Environment and Climate Change Canada hourly records, reduced only at the</w:t>
      </w:r>
      <w:r>
        <w:t xml:space="preserve"> </w:t>
      </w:r>
      <w:r>
        <w:t xml:space="preserve">last step into monthly means for June, July and August and four flight-window metrics for</w:t>
      </w:r>
      <w:r>
        <w:t xml:space="preserve"> </w:t>
      </w:r>
      <w:r>
        <w:t xml:space="preserve">1 July to 15 August. Those four are the mean speed, the 95th percentile, and the</w:t>
      </w:r>
      <w:r>
        <w:t xml:space="preserve"> </w:t>
      </w:r>
      <w:r>
        <w:t xml:space="preserve">fractions of hours below 5 km/h and above 15 km/h.</w:t>
      </w:r>
    </w:p>
    <w:p>
      <w:pPr>
        <w:pStyle w:val="BodyText"/>
      </w:pPr>
      <w:r>
        <w:t xml:space="preserve">Hourly readings give detail, not independent observations. Summarised over a whole season,</w:t>
      </w:r>
      <w:r>
        <w:t xml:space="preserve"> </w:t>
      </w:r>
      <w:r>
        <w:t xml:space="preserve">every hour of wind collapses into one number per metric, a coefficient rests on as many</w:t>
      </w:r>
      <w:r>
        <w:t xml:space="preserve"> </w:t>
      </w:r>
      <w:r>
        <w:t xml:space="preserve">values as there are seasons, and its standard error looks small without being believable.</w:t>
      </w:r>
      <w:r>
        <w:t xml:space="preserve"> </w:t>
      </w:r>
      <w:r>
        <w:t xml:space="preserve">Stand density varies cell to cell; a season’s wind does not. The response is therefore</w:t>
      </w:r>
      <w:r>
        <w:t xml:space="preserve"> </w:t>
      </w:r>
      <w:r>
        <w:t xml:space="preserve">measured over each sixteen-day epoch, so that wind varies within a season as well as</w:t>
      </w:r>
      <w:r>
        <w:t xml:space="preserve"> </w:t>
      </w:r>
      <w:r>
        <w:t xml:space="preserve">between seasons and the interaction the mechanism predicts is identified.</w:t>
      </w:r>
    </w:p>
    <w:tbl>
      <w:tblPr>
        <w:tblStyle w:val="Table"/>
        <w:tblW w:type="pct" w:w="5000"/>
        <w:tblLayout w:type="fixed"/>
        <w:tblLook w:firstRow="0" w:lastRow="0" w:firstColumn="0" w:lastColumn="0" w:noHBand="0" w:noVBand="0" w:val="0000"/>
      </w:tblPr>
      <w:tblGrid>
        <w:gridCol w:w="7920"/>
      </w:tblGrid>
      <w:tr>
        <w:tc>
          <w:tcPr/>
          <w:bookmarkStart w:id="43" w:name="fig-flight-window"/>
          <w:p>
            <w:pPr>
              <w:pStyle w:val="Compact"/>
              <w:jc w:val="center"/>
            </w:pPr>
            <w:r>
              <w:drawing>
                <wp:inline>
                  <wp:extent cx="5943600" cy="4913376"/>
                  <wp:effectExtent b="0" l="0" r="0" t="0"/>
                  <wp:docPr descr="" title="" id="41" name="Picture"/>
                  <a:graphic>
                    <a:graphicData uri="http://schemas.openxmlformats.org/drawingml/2006/picture">
                      <pic:pic>
                        <pic:nvPicPr>
                          <pic:cNvPr descr="beetle-topography-wind-study-vri-timeseries_files/figure-docx/fig-flight-window-1.png" id="42" name="Picture"/>
                          <pic:cNvPicPr>
                            <a:picLocks noChangeArrowheads="1" noChangeAspect="1"/>
                          </pic:cNvPicPr>
                        </pic:nvPicPr>
                        <pic:blipFill>
                          <a:blip r:embed="rId40"/>
                          <a:stretch>
                            <a:fillRect/>
                          </a:stretch>
                        </pic:blipFill>
                        <pic:spPr bwMode="auto">
                          <a:xfrm>
                            <a:off x="0" y="0"/>
                            <a:ext cx="5943600" cy="4913376"/>
                          </a:xfrm>
                          <a:prstGeom prst="rect">
                            <a:avLst/>
                          </a:prstGeom>
                          <a:noFill/>
                          <a:ln w="9525">
                            <a:noFill/>
                            <a:headEnd/>
                            <a:tailEnd/>
                          </a:ln>
                        </pic:spPr>
                      </pic:pic>
                    </a:graphicData>
                  </a:graphic>
                </wp:inline>
              </w:drawing>
            </w:r>
          </w:p>
          <w:p>
            <w:pPr>
              <w:jc w:val="center"/>
            </w:pPr>
            <w:pPr>
              <w:jc w:val="start"/>
              <w:spacing w:before="200"/>
              <w:pStyle w:val="ImageCaption"/>
            </w:pPr>
            <w:r>
              <w:t xml:space="preserve">Figure 2: The flight window against the landscape’s own climate, from hourly Environment and Climate Change Canada station records for May to September of the nine study years. The window, 1 July to 15 August, is the shaded band; it is taken from the bionomics and is not fitted to these data. (a) Mean afternoon temperature by day of year, with the 19 to 41 degrees C flight gate and the 22 to 32 degrees C peak band marked. (b) The share of afternoon hours falling inside the flight gate, day by day. (c) The diurnal curve, mean temperature and the share of all hours inside the gate, by hour, with the 12:00 to 17:00 restriction shaded. (d) Mean wind speed by hour, on the same axis, showing that the hours the beetle can fly are also the windiest of the day.</w:t>
            </w:r>
          </w:p>
          <w:bookmarkEnd w:id="43"/>
        </w:tc>
      </w:tr>
    </w:tbl>
    <w:bookmarkEnd w:id="44"/>
    <w:bookmarkEnd w:id="45"/>
    <w:bookmarkStart w:id="49" w:name="methods"/>
    <w:p>
      <w:pPr>
        <w:pStyle w:val="Heading1"/>
      </w:pPr>
      <w:r>
        <w:t xml:space="preserve">3. Methods</w:t>
      </w:r>
    </w:p>
    <w:bookmarkStart w:id="46" w:name="sec-selection"/>
    <w:p>
      <w:pPr>
        <w:pStyle w:val="Heading2"/>
      </w:pPr>
      <w:r>
        <w:t xml:space="preserve">3.1 Variable selection</w:t>
      </w:r>
    </w:p>
    <w:p>
      <w:pPr>
        <w:pStyle w:val="FirstParagraph"/>
      </w:pPr>
      <w:r>
        <w:t xml:space="preserve">The candidate set is 45 variables in six groups, one group for each pathway the</w:t>
      </w:r>
      <w:r>
        <w:t xml:space="preserve"> </w:t>
      </w:r>
      <w:r>
        <w:t xml:space="preserve">review names. The groups are stand density, host quality, terrain exposure to wind, terrain</w:t>
      </w:r>
      <w:r>
        <w:t xml:space="preserve"> </w:t>
      </w:r>
      <w:r>
        <w:t xml:space="preserve">shape, landscape context, and flight-window wind. Selection proceeds in four</w:t>
      </w:r>
      <w:r>
        <w:t xml:space="preserve"> </w:t>
      </w:r>
      <w:r>
        <w:t xml:space="preserve">stages and is required to retain at least one variable from each pathway, so that a</w:t>
      </w:r>
      <w:r>
        <w:t xml:space="preserve"> </w:t>
      </w:r>
      <w:r>
        <w:t xml:space="preserve">collinearity filter cannot silently delete a hypothesis the review established.</w:t>
      </w:r>
    </w:p>
    <w:p>
      <w:pPr>
        <w:pStyle w:val="BodyText"/>
      </w:pPr>
      <w:r>
        <w:t xml:space="preserve">Fitting uses a class-balanced sample of 46,359 cell-years, 4,000 of each</w:t>
      </w:r>
      <w:r>
        <w:t xml:space="preserve"> </w:t>
      </w:r>
      <w:r>
        <w:t xml:space="preserve">class per year. Landscape prevalence is about 13 per cent, and an</w:t>
      </w:r>
      <w:r>
        <w:t xml:space="preserve"> </w:t>
      </w:r>
      <w:r>
        <w:t xml:space="preserve">unbalanced fit at that prevalence reports the intercept rather than the covariates.</w:t>
      </w:r>
    </w:p>
    <w:bookmarkEnd w:id="46"/>
    <w:bookmarkStart w:id="48" w:name="models"/>
    <w:p>
      <w:pPr>
        <w:pStyle w:val="Heading2"/>
      </w:pPr>
      <w:r>
        <w:t xml:space="preserve">3.2 Models</w:t>
      </w:r>
    </w:p>
    <w:p>
      <w:pPr>
        <w:pStyle w:val="FirstParagraph"/>
      </w:pPr>
      <w:r>
        <w:t xml:space="preserve">Every model is a logistic regression of moderate-to-high disturbance</w:t>
      </w:r>
      <w:r>
        <w:t xml:space="preserve"> </w:t>
      </w:r>
      <m:oMath>
        <m:sSub>
          <m:e>
            <m:r>
              <m:t>y</m:t>
            </m:r>
          </m:e>
          <m:sub>
            <m:r>
              <m:t>i</m:t>
            </m:r>
            <m:r>
              <m:t>t</m:t>
            </m:r>
          </m:sub>
        </m:sSub>
      </m:oMath>
      <w:r>
        <w:t xml:space="preserve"> </w:t>
      </w:r>
      <w:r>
        <w:t xml:space="preserve">in cell</w:t>
      </w:r>
      <w:r>
        <w:t xml:space="preserve"> </w:t>
      </w:r>
      <m:oMath>
        <m:r>
          <m:t>i</m:t>
        </m:r>
      </m:oMath>
      <w:r>
        <w:t xml:space="preserve"> </w:t>
      </w:r>
      <w:r>
        <w:t xml:space="preserve">and year</w:t>
      </w:r>
      <w:r>
        <w:t xml:space="preserve"> </w:t>
      </w:r>
      <m:oMath>
        <m:r>
          <m:t>t</m:t>
        </m:r>
      </m:oMath>
      <w:r>
        <w:t xml:space="preserve"> </w:t>
      </w:r>
      <w:r>
        <w:t xml:space="preserve">on standardised covariates,</w:t>
      </w:r>
    </w:p>
    <w:p>
      <w:pPr>
        <w:pStyle w:val="BodyText"/>
      </w:pPr>
      <w:bookmarkStart w:id="47" w:name="eq-model"/>
      <m:oMathPara>
        <m:oMathParaPr>
          <m:jc m:val="center"/>
        </m:oMathParaPr>
        <m:oMath>
          <m:r>
            <m:rPr>
              <m:sty m:val="p"/>
            </m:rPr>
            <m:t>logit</m:t>
          </m:r>
          <m:r>
            <m:rPr>
              <m:sty m:val="p"/>
            </m:rPr>
            <m:t>Pr</m:t>
          </m:r>
          <m:d>
            <m:dPr>
              <m:begChr m:val="("/>
              <m:sepChr m:val=""/>
              <m:endChr m:val=")"/>
              <m:grow/>
            </m:dPr>
            <m:e>
              <m:sSub>
                <m:e>
                  <m:r>
                    <m:t>y</m:t>
                  </m:r>
                </m:e>
                <m:sub>
                  <m:r>
                    <m:t>i</m:t>
                  </m:r>
                  <m:r>
                    <m:t>t</m:t>
                  </m:r>
                </m:sub>
              </m:sSub>
              <m:r>
                <m:rPr>
                  <m:sty m:val="p"/>
                </m:rPr>
                <m:t>=</m:t>
              </m:r>
              <m:r>
                <m:t>1</m:t>
              </m:r>
            </m:e>
          </m:d>
          <m:r>
            <m:rPr>
              <m:sty m:val="p"/>
            </m:rPr>
            <m:t>=</m:t>
          </m:r>
          <m:r>
            <m:t>α</m:t>
          </m:r>
          <m:r>
            <m:rPr>
              <m:sty m:val="p"/>
            </m:rPr>
            <m:t>+</m:t>
          </m:r>
          <m:sSubSup>
            <m:e>
              <m:r>
                <m:rPr>
                  <m:sty m:val="b"/>
                </m:rPr>
                <m:t>x</m:t>
              </m:r>
            </m:e>
            <m:sub>
              <m:r>
                <m:t>i</m:t>
              </m:r>
              <m:r>
                <m:t>t</m:t>
              </m:r>
            </m:sub>
            <m:sup>
              <m:r>
                <m:rPr>
                  <m:sty m:val="p"/>
                </m:rPr>
                <m:t>⊤</m:t>
              </m:r>
            </m:sup>
          </m:sSubSup>
          <m:r>
            <m:rPr>
              <m:sty m:val="b"/>
            </m:rPr>
            <m:t>β</m:t>
          </m:r>
          <m:r>
            <m:rPr>
              <m:sty m:val="p"/>
            </m:rPr>
            <m:t>+</m:t>
          </m:r>
          <m:sSub>
            <m:e>
              <m:r>
                <m:t>γ</m:t>
              </m:r>
            </m:e>
            <m:sub>
              <m:r>
                <m:t>g</m:t>
              </m:r>
              <m:d>
                <m:dPr>
                  <m:begChr m:val="("/>
                  <m:sepChr m:val=""/>
                  <m:endChr m:val=")"/>
                  <m:grow/>
                </m:dPr>
                <m:e>
                  <m:r>
                    <m:t>i</m:t>
                  </m:r>
                </m:e>
              </m:d>
            </m:sub>
          </m:sSub>
          <m:r>
            <m:rPr>
              <m:sty m:val="p"/>
            </m:rPr>
            <m:t>+</m:t>
          </m:r>
          <m:nary>
            <m:naryPr>
              <m:chr m:val="∑"/>
              <m:limLoc m:val="undOvr"/>
              <m:subHide m:val="off"/>
              <m:supHide m:val="on"/>
            </m:naryPr>
            <m:sub>
              <m:r>
                <m:t>k</m:t>
              </m:r>
            </m:sub>
            <m:sup>
              <m:r>
                <m:t>​</m:t>
              </m:r>
            </m:sup>
            <m:e>
              <m:sSub>
                <m:e>
                  <m:r>
                    <m:t>δ</m:t>
                  </m:r>
                </m:e>
                <m:sub>
                  <m:r>
                    <m:t>k</m:t>
                  </m:r>
                </m:sub>
              </m:sSub>
            </m:e>
          </m:nary>
          <m:r>
            <m:t> </m:t>
          </m:r>
          <m:sSub>
            <m:e>
              <m:r>
                <m:t>z</m:t>
              </m:r>
            </m:e>
            <m:sub>
              <m:r>
                <m:t>k</m:t>
              </m:r>
              <m:r>
                <m:rPr>
                  <m:sty m:val="p"/>
                </m:rPr>
                <m:t>,</m:t>
              </m:r>
              <m:r>
                <m:t>i</m:t>
              </m:r>
              <m:r>
                <m:t>t</m:t>
              </m:r>
            </m:sub>
          </m:sSub>
          <m:r>
            <m:t>  </m:t>
          </m:r>
          <m:d>
            <m:dPr>
              <m:begChr m:val="("/>
              <m:sepChr m:val=""/>
              <m:endChr m:val=")"/>
              <m:grow/>
            </m:dPr>
            <m:e>
              <m:r>
                <m:t>5</m:t>
              </m:r>
            </m:e>
          </m:d>
        </m:oMath>
      </m:oMathPara>
      <w:bookmarkEnd w:id="47"/>
    </w:p>
    <w:p>
      <w:pPr>
        <w:pStyle w:val="FirstParagraph"/>
      </w:pPr>
      <w:r>
        <w:t xml:space="preserve">where</w:t>
      </w:r>
      <w:r>
        <w:t xml:space="preserve"> </w:t>
      </w:r>
      <m:oMath>
        <m:sSub>
          <m:e>
            <m:r>
              <m:t>γ</m:t>
            </m:r>
          </m:e>
          <m:sub>
            <m:r>
              <m:t>g</m:t>
            </m:r>
            <m:d>
              <m:dPr>
                <m:begChr m:val="("/>
                <m:sepChr m:val=""/>
                <m:endChr m:val=")"/>
                <m:grow/>
              </m:dPr>
              <m:e>
                <m:r>
                  <m:t>i</m:t>
                </m:r>
              </m:e>
            </m:d>
          </m:sub>
        </m:sSub>
      </m:oMath>
      <w:r>
        <w:t xml:space="preserve"> </w:t>
      </w:r>
      <w:r>
        <w:t xml:space="preserve">is the effect of the geomorphon landform class</w:t>
      </w:r>
      <w:r>
        <w:t xml:space="preserve"> </w:t>
      </w:r>
      <m:oMath>
        <m:r>
          <m:t>g</m:t>
        </m:r>
      </m:oMath>
      <w:r>
        <w:t xml:space="preserve"> </w:t>
      </w:r>
      <w:r>
        <w:t xml:space="preserve">of cell</w:t>
      </w:r>
      <w:r>
        <w:t xml:space="preserve"> </w:t>
      </w:r>
      <m:oMath>
        <m:r>
          <m:t>i</m:t>
        </m:r>
      </m:oMath>
      <w:r>
        <w:t xml:space="preserve"> </w:t>
      </w:r>
      <w:r>
        <w:t xml:space="preserve">and the</w:t>
      </w:r>
      <w:r>
        <w:t xml:space="preserve"> </w:t>
      </w:r>
      <m:oMath>
        <m:sSub>
          <m:e>
            <m:r>
              <m:t>z</m:t>
            </m:r>
          </m:e>
          <m:sub>
            <m:r>
              <m:t>k</m:t>
            </m:r>
            <m:r>
              <m:rPr>
                <m:sty m:val="p"/>
              </m:rPr>
              <m:t>,</m:t>
            </m:r>
            <m:r>
              <m:t>i</m:t>
            </m:r>
            <m:r>
              <m:t>t</m:t>
            </m:r>
          </m:sub>
        </m:sSub>
      </m:oMath>
      <w:r>
        <w:t xml:space="preserve"> </w:t>
      </w:r>
      <w:r>
        <w:t xml:space="preserve">are the interaction terms. Coefficients are therefore log-odds per standard</w:t>
      </w:r>
      <w:r>
        <w:t xml:space="preserve"> </w:t>
      </w:r>
      <w:r>
        <w:t xml:space="preserve">deviation. Four models are fitted, each adding one claim to the last, so that every term’s</w:t>
      </w:r>
      <w:r>
        <w:t xml:space="preserve"> </w:t>
      </w:r>
      <w:r>
        <w:t xml:space="preserve">contribution is visible as a change in fit rather than asserted.</w:t>
      </w:r>
    </w:p>
    <w:p>
      <w:pPr>
        <w:pStyle w:val="BodyText"/>
      </w:pPr>
      <w:r>
        <w:t xml:space="preserve">M0 fits Krawchuk’s first and third mechanisms together with landform context, that is host</w:t>
      </w:r>
      <w:r>
        <w:t xml:space="preserve"> </w:t>
      </w:r>
      <w:r>
        <w:t xml:space="preserve">size, topographic shading, and the terrain that governs where cold air and snow collect. M1 adds</w:t>
      </w:r>
      <w:r>
        <w:t xml:space="preserve"> </w:t>
      </w:r>
      <w:r>
        <w:t xml:space="preserve">stand density, the second of Krawchuk’s mechanisms, which is objective 1. M2 adds terrain shape,</w:t>
      </w:r>
      <w:r>
        <w:t xml:space="preserve"> </w:t>
      </w:r>
      <w:r>
        <w:t xml:space="preserve">terrain exposure to wind, and flight-window radiation, which are objectives 3 and 4. M3 adds</w:t>
      </w:r>
      <w:r>
        <w:t xml:space="preserve"> </w:t>
      </w:r>
      <w:r>
        <w:t xml:space="preserve">the three interactions objective 4 requires, stand density by terrain exposure, by</w:t>
      </w:r>
      <w:r>
        <w:t xml:space="preserve"> </w:t>
      </w:r>
      <w:r>
        <w:t xml:space="preserve">flight-window radiation, and by flight-window wind.</w:t>
      </w:r>
    </w:p>
    <w:bookmarkEnd w:id="48"/>
    <w:bookmarkEnd w:id="49"/>
    <w:bookmarkStart w:id="62" w:name="sec-results"/>
    <w:p>
      <w:pPr>
        <w:pStyle w:val="Heading1"/>
      </w:pPr>
      <w:r>
        <w:t xml:space="preserve">4. Results</w:t>
      </w:r>
    </w:p>
    <w:tbl>
      <w:tblPr>
        <w:tblStyle w:val="Table"/>
        <w:tblW w:type="pct" w:w="5000"/>
        <w:tblLayout w:type="fixed"/>
        <w:tblLook w:firstRow="0" w:lastRow="0" w:firstColumn="0" w:lastColumn="0" w:noHBand="0" w:noVBand="0" w:val="0000"/>
      </w:tblPr>
      <w:tblGrid>
        <w:gridCol w:w="7920"/>
      </w:tblGrid>
      <w:tr>
        <w:tc>
          <w:tcPr/>
          <w:bookmarkStart w:id="50" w:name="tbl-aic"/>
          <w:p>
            <w:pPr>
              <w:jc w:val="center"/>
            </w:pPr>
            <w:pPr>
              <w:jc w:val="start"/>
              <w:spacing w:before="200"/>
              <w:pStyle w:val="ImageCaption"/>
            </w:pPr>
            <w:r>
              <w:t xml:space="preserve">Table 5: Model comparison, panel A of the model table. Each model adds one pathway to the previous. AIC ranks on likelihood and a parameter penalty; the remaining columns are predictive error on the fitted probabilities. RMSE is the root mean squared error and is the square root of the Brier score; RMSE (%) expresses it against the prevalence of the response. Brier skill is the improvement over predicting the prevalence for every cell, where 0 is no better than the base rate. MAPE and Theil’s U are not reported, because both divide by the observed value, which is zero for the majority class of a binary response, so both are undefined without discarding that class.</w:t>
            </w:r>
          </w:p>
          <w:tbl>
            <w:tblPr>
              <w:tblStyle w:val="Table"/>
              <w:tblLook w:firstRow="1" w:lastRow="0" w:firstColumn="0" w:lastColumn="0" w:noHBand="0" w:noVBand="0" w:val="0020"/>
              <w:tblW w:w="9354" w:type="dxa"/>
              <w:tblLayout w:type="fixed"/>
            </w:tblPr>
            <w:tblGrid>
              <w:gridCol w:w="3151"/>
              <w:gridCol w:w="648"/>
              <w:gridCol w:w="556"/>
              <w:gridCol w:w="556"/>
              <w:gridCol w:w="833"/>
              <w:gridCol w:w="556"/>
              <w:gridCol w:w="556"/>
              <w:gridCol w:w="833"/>
              <w:gridCol w:w="556"/>
              <w:gridCol w:w="1109"/>
            </w:tblGrid>
            <w:tr>
              <w:trPr>
                <w:tblHeader w:val="on"/>
                <w:trHeight w:val="624" w:hRule="exact"/>
              </w:trPr>
              <w:tc>
                <w:tcPr/>
                <w:p>
                  <w:pPr>
                    <w:pStyle w:val="Compact"/>
                    <w:jc w:val="left"/>
                    <w:rPr>
                      <w:sz w:val="16"/>
                      <w:szCs w:val="16"/>
                    </w:rPr>
                  </w:pPr>
                  <w:r>
                    <w:rPr>
                      <w:sz w:val="16"/>
                      <w:szCs w:val="16"/>
                    </w:rPr>
                    <w:t xml:space="preserve">Model</w:t>
                  </w:r>
                </w:p>
              </w:tc>
              <w:tc>
                <w:tcPr/>
                <w:p>
                  <w:pPr>
                    <w:pStyle w:val="Compact"/>
                    <w:jc w:val="left"/>
                    <w:rPr>
                      <w:sz w:val="16"/>
                      <w:szCs w:val="16"/>
                    </w:rPr>
                  </w:pPr>
                  <w:r>
                    <w:rPr>
                      <w:sz w:val="16"/>
                      <w:szCs w:val="16"/>
                    </w:rPr>
                    <w:t xml:space="preserve">AIC</w:t>
                  </w:r>
                </w:p>
              </w:tc>
              <w:tc>
                <w:tcPr/>
                <w:p>
                  <w:pPr>
                    <w:pStyle w:val="Compact"/>
                    <w:jc w:val="left"/>
                    <w:rPr>
                      <w:sz w:val="16"/>
                      <w:szCs w:val="16"/>
                    </w:rPr>
                  </w:pPr>
                  <w:r>
                    <w:rPr>
                      <w:sz w:val="16"/>
                      <w:szCs w:val="16"/>
                    </w:rPr>
                    <w:t xml:space="preserve">ΔAIC</w:t>
                  </w:r>
                </w:p>
              </w:tc>
              <w:tc>
                <w:tcPr/>
                <w:p>
                  <w:pPr>
                    <w:pStyle w:val="Compact"/>
                    <w:jc w:val="left"/>
                    <w:rPr>
                      <w:sz w:val="16"/>
                      <w:szCs w:val="16"/>
                    </w:rPr>
                  </w:pPr>
                  <w:r>
                    <w:rPr>
                      <w:sz w:val="16"/>
                      <w:szCs w:val="16"/>
                    </w:rPr>
                    <w:t xml:space="preserve">RMSE</w:t>
                  </w:r>
                </w:p>
              </w:tc>
              <w:tc>
                <w:tcPr/>
                <w:p>
                  <w:pPr>
                    <w:pStyle w:val="Compact"/>
                    <w:jc w:val="left"/>
                    <w:rPr>
                      <w:sz w:val="16"/>
                      <w:szCs w:val="16"/>
                    </w:rPr>
                  </w:pPr>
                  <w:r>
                    <w:rPr>
                      <w:sz w:val="16"/>
                      <w:szCs w:val="16"/>
                    </w:rPr>
                    <w:t xml:space="preserve">RMSE (%)</w:t>
                  </w:r>
                </w:p>
              </w:tc>
              <w:tc>
                <w:tcPr/>
                <w:p>
                  <w:pPr>
                    <w:pStyle w:val="Compact"/>
                    <w:jc w:val="left"/>
                    <w:rPr>
                      <w:sz w:val="16"/>
                      <w:szCs w:val="16"/>
                    </w:rPr>
                  </w:pPr>
                  <w:r>
                    <w:rPr>
                      <w:sz w:val="16"/>
                      <w:szCs w:val="16"/>
                    </w:rPr>
                    <w:t xml:space="preserve">MAE</w:t>
                  </w:r>
                </w:p>
              </w:tc>
              <w:tc>
                <w:tcPr/>
                <w:p>
                  <w:pPr>
                    <w:pStyle w:val="Compact"/>
                    <w:jc w:val="left"/>
                    <w:rPr>
                      <w:sz w:val="16"/>
                      <w:szCs w:val="16"/>
                    </w:rPr>
                  </w:pPr>
                  <w:r>
                    <w:rPr>
                      <w:sz w:val="16"/>
                      <w:szCs w:val="16"/>
                    </w:rPr>
                    <w:t xml:space="preserve">Brier</w:t>
                  </w:r>
                </w:p>
              </w:tc>
              <w:tc>
                <w:tcPr/>
                <w:p>
                  <w:pPr>
                    <w:pStyle w:val="Compact"/>
                    <w:jc w:val="left"/>
                    <w:rPr>
                      <w:sz w:val="16"/>
                      <w:szCs w:val="16"/>
                    </w:rPr>
                  </w:pPr>
                  <w:r>
                    <w:rPr>
                      <w:sz w:val="16"/>
                      <w:szCs w:val="16"/>
                    </w:rPr>
                    <w:t xml:space="preserve">Log loss</w:t>
                  </w:r>
                </w:p>
              </w:tc>
              <w:tc>
                <w:tcPr/>
                <w:p>
                  <w:pPr>
                    <w:pStyle w:val="Compact"/>
                    <w:jc w:val="left"/>
                    <w:rPr>
                      <w:sz w:val="16"/>
                      <w:szCs w:val="16"/>
                    </w:rPr>
                  </w:pPr>
                  <w:r>
                    <w:rPr>
                      <w:sz w:val="16"/>
                      <w:szCs w:val="16"/>
                    </w:rPr>
                    <w:t xml:space="preserve">AUC</w:t>
                  </w:r>
                </w:p>
              </w:tc>
              <w:tc>
                <w:tcPr/>
                <w:p>
                  <w:pPr>
                    <w:pStyle w:val="Compact"/>
                    <w:jc w:val="left"/>
                    <w:rPr>
                      <w:sz w:val="16"/>
                      <w:szCs w:val="16"/>
                    </w:rPr>
                  </w:pPr>
                  <w:r>
                    <w:rPr>
                      <w:sz w:val="16"/>
                      <w:szCs w:val="16"/>
                    </w:rPr>
                    <w:t xml:space="preserve">Brier skill</w:t>
                  </w:r>
                </w:p>
              </w:tc>
            </w:tr>
            <w:tr>
              <w:trPr>
                <w:trHeight w:val="340" w:hRule="exact"/>
              </w:trPr>
              <w:tc>
                <w:tcPr/>
                <w:p>
                  <w:pPr>
                    <w:pStyle w:val="Compact"/>
                    <w:jc w:val="left"/>
                    <w:rPr>
                      <w:sz w:val="16"/>
                      <w:szCs w:val="16"/>
                    </w:rPr>
                  </w:pPr>
                  <w:r>
                    <w:rPr>
                      <w:sz w:val="16"/>
                      <w:szCs w:val="16"/>
                    </w:rPr>
                    <w:t xml:space="preserve">M0 host size + shading + landform</w:t>
                  </w:r>
                </w:p>
              </w:tc>
              <w:tc>
                <w:tcPr/>
                <w:p>
                  <w:pPr>
                    <w:pStyle w:val="Compact"/>
                    <w:jc w:val="left"/>
                    <w:rPr>
                      <w:sz w:val="16"/>
                      <w:szCs w:val="16"/>
                    </w:rPr>
                  </w:pPr>
                  <w:r>
                    <w:rPr>
                      <w:sz w:val="16"/>
                      <w:szCs w:val="16"/>
                    </w:rPr>
                    <w:t xml:space="preserve">46,964</w:t>
                  </w:r>
                </w:p>
              </w:tc>
              <w:tc>
                <w:tcPr/>
                <w:p>
                  <w:pPr>
                    <w:pStyle w:val="Compact"/>
                    <w:jc w:val="left"/>
                    <w:rPr>
                      <w:sz w:val="16"/>
                      <w:szCs w:val="16"/>
                    </w:rPr>
                  </w:pPr>
                  <w:r>
                    <w:rPr>
                      <w:sz w:val="16"/>
                      <w:szCs w:val="16"/>
                    </w:rPr>
                    <w:t xml:space="preserve">1,734</w:t>
                  </w:r>
                </w:p>
              </w:tc>
              <w:tc>
                <w:tcPr/>
                <w:p>
                  <w:pPr>
                    <w:pStyle w:val="Compact"/>
                    <w:jc w:val="left"/>
                    <w:rPr>
                      <w:sz w:val="16"/>
                      <w:szCs w:val="16"/>
                    </w:rPr>
                  </w:pPr>
                  <w:r>
                    <w:rPr>
                      <w:sz w:val="16"/>
                      <w:szCs w:val="16"/>
                    </w:rPr>
                    <w:t xml:space="preserve">0.407</w:t>
                  </w:r>
                </w:p>
              </w:tc>
              <w:tc>
                <w:tcPr/>
                <w:p>
                  <w:pPr>
                    <w:pStyle w:val="Compact"/>
                    <w:jc w:val="left"/>
                    <w:rPr>
                      <w:sz w:val="16"/>
                      <w:szCs w:val="16"/>
                    </w:rPr>
                  </w:pPr>
                  <w:r>
                    <w:rPr>
                      <w:sz w:val="16"/>
                      <w:szCs w:val="16"/>
                    </w:rPr>
                    <w:t xml:space="preserve">131.5</w:t>
                  </w:r>
                </w:p>
              </w:tc>
              <w:tc>
                <w:tcPr/>
                <w:p>
                  <w:pPr>
                    <w:pStyle w:val="Compact"/>
                    <w:jc w:val="left"/>
                    <w:rPr>
                      <w:sz w:val="16"/>
                      <w:szCs w:val="16"/>
                    </w:rPr>
                  </w:pPr>
                  <w:r>
                    <w:rPr>
                      <w:sz w:val="16"/>
                      <w:szCs w:val="16"/>
                    </w:rPr>
                    <w:t xml:space="preserve">0.333</w:t>
                  </w:r>
                </w:p>
              </w:tc>
              <w:tc>
                <w:tcPr/>
                <w:p>
                  <w:pPr>
                    <w:pStyle w:val="Compact"/>
                    <w:jc w:val="left"/>
                    <w:rPr>
                      <w:sz w:val="16"/>
                      <w:szCs w:val="16"/>
                    </w:rPr>
                  </w:pPr>
                  <w:r>
                    <w:rPr>
                      <w:sz w:val="16"/>
                      <w:szCs w:val="16"/>
                    </w:rPr>
                    <w:t xml:space="preserve">0.166</w:t>
                  </w:r>
                </w:p>
              </w:tc>
              <w:tc>
                <w:tcPr/>
                <w:p>
                  <w:pPr>
                    <w:pStyle w:val="Compact"/>
                    <w:jc w:val="left"/>
                    <w:rPr>
                      <w:sz w:val="16"/>
                      <w:szCs w:val="16"/>
                    </w:rPr>
                  </w:pPr>
                  <w:r>
                    <w:rPr>
                      <w:sz w:val="16"/>
                      <w:szCs w:val="16"/>
                    </w:rPr>
                    <w:t xml:space="preserve">0.506</w:t>
                  </w:r>
                </w:p>
              </w:tc>
              <w:tc>
                <w:tcPr/>
                <w:p>
                  <w:pPr>
                    <w:pStyle w:val="Compact"/>
                    <w:jc w:val="left"/>
                    <w:rPr>
                      <w:sz w:val="16"/>
                      <w:szCs w:val="16"/>
                    </w:rPr>
                  </w:pPr>
                  <w:r>
                    <w:rPr>
                      <w:sz w:val="16"/>
                      <w:szCs w:val="16"/>
                    </w:rPr>
                    <w:t xml:space="preserve">0.776</w:t>
                  </w:r>
                </w:p>
              </w:tc>
              <w:tc>
                <w:tcPr/>
                <w:p>
                  <w:pPr>
                    <w:pStyle w:val="Compact"/>
                    <w:jc w:val="left"/>
                    <w:rPr>
                      <w:sz w:val="16"/>
                      <w:szCs w:val="16"/>
                    </w:rPr>
                  </w:pPr>
                  <w:r>
                    <w:rPr>
                      <w:sz w:val="16"/>
                      <w:szCs w:val="16"/>
                    </w:rPr>
                    <w:t xml:space="preserve">0.224</w:t>
                  </w:r>
                </w:p>
              </w:tc>
            </w:tr>
            <w:tr>
              <w:trPr>
                <w:trHeight w:val="340" w:hRule="exact"/>
              </w:trPr>
              <w:tc>
                <w:tcPr/>
                <w:p>
                  <w:pPr>
                    <w:pStyle w:val="Compact"/>
                    <w:jc w:val="left"/>
                    <w:rPr>
                      <w:sz w:val="16"/>
                      <w:szCs w:val="16"/>
                    </w:rPr>
                  </w:pPr>
                  <w:r>
                    <w:rPr>
                      <w:sz w:val="16"/>
                      <w:szCs w:val="16"/>
                    </w:rPr>
                    <w:t xml:space="preserve">M1 + stand density</w:t>
                  </w:r>
                </w:p>
              </w:tc>
              <w:tc>
                <w:tcPr/>
                <w:p>
                  <w:pPr>
                    <w:pStyle w:val="Compact"/>
                    <w:jc w:val="left"/>
                    <w:rPr>
                      <w:sz w:val="16"/>
                      <w:szCs w:val="16"/>
                    </w:rPr>
                  </w:pPr>
                  <w:r>
                    <w:rPr>
                      <w:sz w:val="16"/>
                      <w:szCs w:val="16"/>
                    </w:rPr>
                    <w:t xml:space="preserve">46,507</w:t>
                  </w:r>
                </w:p>
              </w:tc>
              <w:tc>
                <w:tcPr/>
                <w:p>
                  <w:pPr>
                    <w:pStyle w:val="Compact"/>
                    <w:jc w:val="left"/>
                    <w:rPr>
                      <w:sz w:val="16"/>
                      <w:szCs w:val="16"/>
                    </w:rPr>
                  </w:pPr>
                  <w:r>
                    <w:rPr>
                      <w:sz w:val="16"/>
                      <w:szCs w:val="16"/>
                    </w:rPr>
                    <w:t xml:space="preserve">1,277</w:t>
                  </w:r>
                </w:p>
              </w:tc>
              <w:tc>
                <w:tcPr/>
                <w:p>
                  <w:pPr>
                    <w:pStyle w:val="Compact"/>
                    <w:jc w:val="left"/>
                    <w:rPr>
                      <w:sz w:val="16"/>
                      <w:szCs w:val="16"/>
                    </w:rPr>
                  </w:pPr>
                  <w:r>
                    <w:rPr>
                      <w:sz w:val="16"/>
                      <w:szCs w:val="16"/>
                    </w:rPr>
                    <w:t xml:space="preserve">0.405</w:t>
                  </w:r>
                </w:p>
              </w:tc>
              <w:tc>
                <w:tcPr/>
                <w:p>
                  <w:pPr>
                    <w:pStyle w:val="Compact"/>
                    <w:jc w:val="left"/>
                    <w:rPr>
                      <w:sz w:val="16"/>
                      <w:szCs w:val="16"/>
                    </w:rPr>
                  </w:pPr>
                  <w:r>
                    <w:rPr>
                      <w:sz w:val="16"/>
                      <w:szCs w:val="16"/>
                    </w:rPr>
                    <w:t xml:space="preserve">130.6</w:t>
                  </w:r>
                </w:p>
              </w:tc>
              <w:tc>
                <w:tcPr/>
                <w:p>
                  <w:pPr>
                    <w:pStyle w:val="Compact"/>
                    <w:jc w:val="left"/>
                    <w:rPr>
                      <w:sz w:val="16"/>
                      <w:szCs w:val="16"/>
                    </w:rPr>
                  </w:pPr>
                  <w:r>
                    <w:rPr>
                      <w:sz w:val="16"/>
                      <w:szCs w:val="16"/>
                    </w:rPr>
                    <w:t xml:space="preserve">0.329</w:t>
                  </w:r>
                </w:p>
              </w:tc>
              <w:tc>
                <w:tcPr/>
                <w:p>
                  <w:pPr>
                    <w:pStyle w:val="Compact"/>
                    <w:jc w:val="left"/>
                    <w:rPr>
                      <w:sz w:val="16"/>
                      <w:szCs w:val="16"/>
                    </w:rPr>
                  </w:pPr>
                  <w:r>
                    <w:rPr>
                      <w:sz w:val="16"/>
                      <w:szCs w:val="16"/>
                    </w:rPr>
                    <w:t xml:space="preserve">0.164</w:t>
                  </w:r>
                </w:p>
              </w:tc>
              <w:tc>
                <w:tcPr/>
                <w:p>
                  <w:pPr>
                    <w:pStyle w:val="Compact"/>
                    <w:jc w:val="left"/>
                    <w:rPr>
                      <w:sz w:val="16"/>
                      <w:szCs w:val="16"/>
                    </w:rPr>
                  </w:pPr>
                  <w:r>
                    <w:rPr>
                      <w:sz w:val="16"/>
                      <w:szCs w:val="16"/>
                    </w:rPr>
                    <w:t xml:space="preserve">0.501</w:t>
                  </w:r>
                </w:p>
              </w:tc>
              <w:tc>
                <w:tcPr/>
                <w:p>
                  <w:pPr>
                    <w:pStyle w:val="Compact"/>
                    <w:jc w:val="left"/>
                    <w:rPr>
                      <w:sz w:val="16"/>
                      <w:szCs w:val="16"/>
                    </w:rPr>
                  </w:pPr>
                  <w:r>
                    <w:rPr>
                      <w:sz w:val="16"/>
                      <w:szCs w:val="16"/>
                    </w:rPr>
                    <w:t xml:space="preserve">0.783</w:t>
                  </w:r>
                </w:p>
              </w:tc>
              <w:tc>
                <w:tcPr/>
                <w:p>
                  <w:pPr>
                    <w:pStyle w:val="Compact"/>
                    <w:jc w:val="left"/>
                    <w:rPr>
                      <w:sz w:val="16"/>
                      <w:szCs w:val="16"/>
                    </w:rPr>
                  </w:pPr>
                  <w:r>
                    <w:rPr>
                      <w:sz w:val="16"/>
                      <w:szCs w:val="16"/>
                    </w:rPr>
                    <w:t xml:space="preserve">0.234</w:t>
                  </w:r>
                </w:p>
              </w:tc>
            </w:tr>
            <w:tr>
              <w:trPr>
                <w:trHeight w:val="340" w:hRule="exact"/>
              </w:trPr>
              <w:tc>
                <w:tcPr/>
                <w:p>
                  <w:pPr>
                    <w:pStyle w:val="Compact"/>
                    <w:jc w:val="left"/>
                    <w:rPr>
                      <w:sz w:val="16"/>
                      <w:szCs w:val="16"/>
                    </w:rPr>
                  </w:pPr>
                  <w:r>
                    <w:rPr>
                      <w:sz w:val="16"/>
                      <w:szCs w:val="16"/>
                    </w:rPr>
                    <w:t xml:space="preserve">M2 + terrain and flight radiation</w:t>
                  </w:r>
                </w:p>
              </w:tc>
              <w:tc>
                <w:tcPr/>
                <w:p>
                  <w:pPr>
                    <w:pStyle w:val="Compact"/>
                    <w:jc w:val="left"/>
                    <w:rPr>
                      <w:sz w:val="16"/>
                      <w:szCs w:val="16"/>
                    </w:rPr>
                  </w:pPr>
                  <w:r>
                    <w:rPr>
                      <w:sz w:val="16"/>
                      <w:szCs w:val="16"/>
                    </w:rPr>
                    <w:t xml:space="preserve">45,764</w:t>
                  </w:r>
                </w:p>
              </w:tc>
              <w:tc>
                <w:tcPr/>
                <w:p>
                  <w:pPr>
                    <w:pStyle w:val="Compact"/>
                    <w:jc w:val="left"/>
                    <w:rPr>
                      <w:sz w:val="16"/>
                      <w:szCs w:val="16"/>
                    </w:rPr>
                  </w:pPr>
                  <w:r>
                    <w:rPr>
                      <w:sz w:val="16"/>
                      <w:szCs w:val="16"/>
                    </w:rPr>
                    <w:t xml:space="preserve">534</w:t>
                  </w:r>
                </w:p>
              </w:tc>
              <w:tc>
                <w:tcPr/>
                <w:p>
                  <w:pPr>
                    <w:pStyle w:val="Compact"/>
                    <w:jc w:val="left"/>
                    <w:rPr>
                      <w:sz w:val="16"/>
                      <w:szCs w:val="16"/>
                    </w:rPr>
                  </w:pPr>
                  <w:r>
                    <w:rPr>
                      <w:sz w:val="16"/>
                      <w:szCs w:val="16"/>
                    </w:rPr>
                    <w:t xml:space="preserve">0.401</w:t>
                  </w:r>
                </w:p>
              </w:tc>
              <w:tc>
                <w:tcPr/>
                <w:p>
                  <w:pPr>
                    <w:pStyle w:val="Compact"/>
                    <w:jc w:val="left"/>
                    <w:rPr>
                      <w:sz w:val="16"/>
                      <w:szCs w:val="16"/>
                    </w:rPr>
                  </w:pPr>
                  <w:r>
                    <w:rPr>
                      <w:sz w:val="16"/>
                      <w:szCs w:val="16"/>
                    </w:rPr>
                    <w:t xml:space="preserve">129.5</w:t>
                  </w:r>
                </w:p>
              </w:tc>
              <w:tc>
                <w:tcPr/>
                <w:p>
                  <w:pPr>
                    <w:pStyle w:val="Compact"/>
                    <w:jc w:val="left"/>
                    <w:rPr>
                      <w:sz w:val="16"/>
                      <w:szCs w:val="16"/>
                    </w:rPr>
                  </w:pPr>
                  <w:r>
                    <w:rPr>
                      <w:sz w:val="16"/>
                      <w:szCs w:val="16"/>
                    </w:rPr>
                    <w:t xml:space="preserve">0.323</w:t>
                  </w:r>
                </w:p>
              </w:tc>
              <w:tc>
                <w:tcPr/>
                <w:p>
                  <w:pPr>
                    <w:pStyle w:val="Compact"/>
                    <w:jc w:val="left"/>
                    <w:rPr>
                      <w:sz w:val="16"/>
                      <w:szCs w:val="16"/>
                    </w:rPr>
                  </w:pPr>
                  <w:r>
                    <w:rPr>
                      <w:sz w:val="16"/>
                      <w:szCs w:val="16"/>
                    </w:rPr>
                    <w:t xml:space="preserve">0.161</w:t>
                  </w:r>
                </w:p>
              </w:tc>
              <w:tc>
                <w:tcPr/>
                <w:p>
                  <w:pPr>
                    <w:pStyle w:val="Compact"/>
                    <w:jc w:val="left"/>
                    <w:rPr>
                      <w:sz w:val="16"/>
                      <w:szCs w:val="16"/>
                    </w:rPr>
                  </w:pPr>
                  <w:r>
                    <w:rPr>
                      <w:sz w:val="16"/>
                      <w:szCs w:val="16"/>
                    </w:rPr>
                    <w:t xml:space="preserve">0.493</w:t>
                  </w:r>
                </w:p>
              </w:tc>
              <w:tc>
                <w:tcPr/>
                <w:p>
                  <w:pPr>
                    <w:pStyle w:val="Compact"/>
                    <w:jc w:val="left"/>
                    <w:rPr>
                      <w:sz w:val="16"/>
                      <w:szCs w:val="16"/>
                    </w:rPr>
                  </w:pPr>
                  <w:r>
                    <w:rPr>
                      <w:sz w:val="16"/>
                      <w:szCs w:val="16"/>
                    </w:rPr>
                    <w:t xml:space="preserve">0.792</w:t>
                  </w:r>
                </w:p>
              </w:tc>
              <w:tc>
                <w:tcPr/>
                <w:p>
                  <w:pPr>
                    <w:pStyle w:val="Compact"/>
                    <w:jc w:val="left"/>
                    <w:rPr>
                      <w:sz w:val="16"/>
                      <w:szCs w:val="16"/>
                    </w:rPr>
                  </w:pPr>
                  <w:r>
                    <w:rPr>
                      <w:sz w:val="16"/>
                      <w:szCs w:val="16"/>
                    </w:rPr>
                    <w:t xml:space="preserve">0.247</w:t>
                  </w:r>
                </w:p>
              </w:tc>
            </w:tr>
            <w:tr>
              <w:trPr>
                <w:trHeight w:val="340" w:hRule="exact"/>
              </w:trPr>
              <w:tc>
                <w:tcPr/>
                <w:p>
                  <w:pPr>
                    <w:pStyle w:val="Compact"/>
                    <w:jc w:val="left"/>
                    <w:rPr>
                      <w:sz w:val="16"/>
                      <w:szCs w:val="16"/>
                    </w:rPr>
                  </w:pPr>
                  <w:r>
                    <w:rPr>
                      <w:sz w:val="16"/>
                      <w:szCs w:val="16"/>
                    </w:rPr>
                    <w:t xml:space="preserve">M3 + interactions</w:t>
                  </w:r>
                </w:p>
              </w:tc>
              <w:tc>
                <w:tcPr/>
                <w:p>
                  <w:pPr>
                    <w:pStyle w:val="Compact"/>
                    <w:jc w:val="left"/>
                    <w:rPr>
                      <w:sz w:val="16"/>
                      <w:szCs w:val="16"/>
                    </w:rPr>
                  </w:pPr>
                  <w:r>
                    <w:rPr>
                      <w:sz w:val="16"/>
                      <w:szCs w:val="16"/>
                    </w:rPr>
                    <w:t xml:space="preserve">45,230</w:t>
                  </w:r>
                </w:p>
              </w:tc>
              <w:tc>
                <w:tcPr/>
                <w:p>
                  <w:pPr>
                    <w:pStyle w:val="Compact"/>
                    <w:jc w:val="left"/>
                    <w:rPr>
                      <w:sz w:val="16"/>
                      <w:szCs w:val="16"/>
                    </w:rPr>
                  </w:pPr>
                  <w:r>
                    <w:rPr>
                      <w:sz w:val="16"/>
                      <w:szCs w:val="16"/>
                    </w:rPr>
                    <w:t xml:space="preserve">0</w:t>
                  </w:r>
                </w:p>
              </w:tc>
              <w:tc>
                <w:tcPr/>
                <w:p>
                  <w:pPr>
                    <w:pStyle w:val="Compact"/>
                    <w:jc w:val="left"/>
                    <w:rPr>
                      <w:sz w:val="16"/>
                      <w:szCs w:val="16"/>
                    </w:rPr>
                  </w:pPr>
                  <w:r>
                    <w:rPr>
                      <w:sz w:val="16"/>
                      <w:szCs w:val="16"/>
                    </w:rPr>
                    <w:t xml:space="preserve">0.399</w:t>
                  </w:r>
                </w:p>
              </w:tc>
              <w:tc>
                <w:tcPr/>
                <w:p>
                  <w:pPr>
                    <w:pStyle w:val="Compact"/>
                    <w:jc w:val="left"/>
                    <w:rPr>
                      <w:sz w:val="16"/>
                      <w:szCs w:val="16"/>
                    </w:rPr>
                  </w:pPr>
                  <w:r>
                    <w:rPr>
                      <w:sz w:val="16"/>
                      <w:szCs w:val="16"/>
                    </w:rPr>
                    <w:t xml:space="preserve">128.7</w:t>
                  </w:r>
                </w:p>
              </w:tc>
              <w:tc>
                <w:tcPr/>
                <w:p>
                  <w:pPr>
                    <w:pStyle w:val="Compact"/>
                    <w:jc w:val="left"/>
                    <w:rPr>
                      <w:sz w:val="16"/>
                      <w:szCs w:val="16"/>
                    </w:rPr>
                  </w:pPr>
                  <w:r>
                    <w:rPr>
                      <w:sz w:val="16"/>
                      <w:szCs w:val="16"/>
                    </w:rPr>
                    <w:t xml:space="preserve">0.319</w:t>
                  </w:r>
                </w:p>
              </w:tc>
              <w:tc>
                <w:tcPr/>
                <w:p>
                  <w:pPr>
                    <w:pStyle w:val="Compact"/>
                    <w:jc w:val="left"/>
                    <w:rPr>
                      <w:sz w:val="16"/>
                      <w:szCs w:val="16"/>
                    </w:rPr>
                  </w:pPr>
                  <w:r>
                    <w:rPr>
                      <w:sz w:val="16"/>
                      <w:szCs w:val="16"/>
                    </w:rPr>
                    <w:t xml:space="preserve">0.159</w:t>
                  </w:r>
                </w:p>
              </w:tc>
              <w:tc>
                <w:tcPr/>
                <w:p>
                  <w:pPr>
                    <w:pStyle w:val="Compact"/>
                    <w:jc w:val="left"/>
                    <w:rPr>
                      <w:sz w:val="16"/>
                      <w:szCs w:val="16"/>
                    </w:rPr>
                  </w:pPr>
                  <w:r>
                    <w:rPr>
                      <w:sz w:val="16"/>
                      <w:szCs w:val="16"/>
                    </w:rPr>
                    <w:t xml:space="preserve">0.487</w:t>
                  </w:r>
                </w:p>
              </w:tc>
              <w:tc>
                <w:tcPr/>
                <w:p>
                  <w:pPr>
                    <w:pStyle w:val="Compact"/>
                    <w:jc w:val="left"/>
                    <w:rPr>
                      <w:sz w:val="16"/>
                      <w:szCs w:val="16"/>
                    </w:rPr>
                  </w:pPr>
                  <w:r>
                    <w:rPr>
                      <w:sz w:val="16"/>
                      <w:szCs w:val="16"/>
                    </w:rPr>
                    <w:t xml:space="preserve">0.800</w:t>
                  </w:r>
                </w:p>
              </w:tc>
              <w:tc>
                <w:tcPr/>
                <w:p>
                  <w:pPr>
                    <w:pStyle w:val="Compact"/>
                    <w:jc w:val="left"/>
                    <w:rPr>
                      <w:sz w:val="16"/>
                      <w:szCs w:val="16"/>
                    </w:rPr>
                  </w:pPr>
                  <w:r>
                    <w:rPr>
                      <w:sz w:val="16"/>
                      <w:szCs w:val="16"/>
                    </w:rPr>
                    <w:t xml:space="preserve">0.257</w:t>
                  </w:r>
                </w:p>
              </w:tc>
            </w:tr>
          </w:tbl>
          <w:bookmarkEnd w:id="50"/>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51" w:name="tbl-m3"/>
          <w:p>
            <w:pPr>
              <w:jc w:val="center"/>
            </w:pPr>
            <w:pPr>
              <w:jc w:val="start"/>
              <w:spacing w:before="200"/>
              <w:pStyle w:val="ImageCaption"/>
            </w:pPr>
            <w:r>
              <w:t xml:space="preserve">Table 6: Full model M3, panel B of the model table, continuous terms ordered by absolute effect. Coefficients are log-odds per standard deviation on a class-balanced sample, so the intercept is not landscape prevalence. SE is the standard error of the coefficient. The geomorphon landform classes are also in this model and are not reported here.</w:t>
            </w:r>
          </w:p>
          <w:tbl>
            <w:tblPr>
              <w:tblStyle w:val="Table"/>
              <w:tblLook w:firstRow="1" w:lastRow="0" w:firstColumn="0" w:lastColumn="0" w:noHBand="0" w:noVBand="0" w:val="0020"/>
              <w:tblW w:w="9354" w:type="dxa"/>
              <w:tblLayout w:type="fixed"/>
            </w:tblPr>
            <w:tblGrid>
              <w:gridCol w:w="5997"/>
              <w:gridCol w:w="839"/>
              <w:gridCol w:w="720"/>
              <w:gridCol w:w="839"/>
              <w:gridCol w:w="959"/>
            </w:tblGrid>
            <w:tr>
              <w:trPr>
                <w:tblHeader w:val="on"/>
                <w:trHeight w:val="624" w:hRule="exact"/>
              </w:trPr>
              <w:tc>
                <w:tcPr/>
                <w:p>
                  <w:pPr>
                    <w:pStyle w:val="Compact"/>
                    <w:jc w:val="left"/>
                    <w:rPr>
                      <w:sz w:val="16"/>
                      <w:szCs w:val="16"/>
                    </w:rPr>
                  </w:pPr>
                  <w:r>
                    <w:rPr>
                      <w:sz w:val="16"/>
                      <w:szCs w:val="16"/>
                    </w:rPr>
                    <w:t xml:space="preserve">Term</w:t>
                  </w:r>
                </w:p>
              </w:tc>
              <w:tc>
                <w:tcPr/>
                <w:p>
                  <w:pPr>
                    <w:pStyle w:val="Compact"/>
                    <w:jc w:val="left"/>
                    <w:rPr>
                      <w:sz w:val="16"/>
                      <w:szCs w:val="16"/>
                    </w:rPr>
                  </w:pPr>
                  <w:r>
                    <w:rPr>
                      <w:sz w:val="16"/>
                      <w:szCs w:val="16"/>
                    </w:rPr>
                    <w:t xml:space="preserve">Beta</w:t>
                  </w:r>
                </w:p>
              </w:tc>
              <w:tc>
                <w:tcPr/>
                <w:p>
                  <w:pPr>
                    <w:pStyle w:val="Compact"/>
                    <w:jc w:val="left"/>
                    <w:rPr>
                      <w:sz w:val="16"/>
                      <w:szCs w:val="16"/>
                    </w:rPr>
                  </w:pPr>
                  <w:r>
                    <w:rPr>
                      <w:sz w:val="16"/>
                      <w:szCs w:val="16"/>
                    </w:rPr>
                    <w:t xml:space="preserve">SE</w:t>
                  </w:r>
                </w:p>
              </w:tc>
              <w:tc>
                <w:tcPr/>
                <w:p>
                  <w:pPr>
                    <w:pStyle w:val="Compact"/>
                    <w:jc w:val="left"/>
                    <w:rPr>
                      <w:sz w:val="16"/>
                      <w:szCs w:val="16"/>
                    </w:rPr>
                  </w:pPr>
                  <w:r>
                    <w:rPr>
                      <w:sz w:val="16"/>
                      <w:szCs w:val="16"/>
                    </w:rPr>
                    <w:t xml:space="preserve">z</w:t>
                  </w:r>
                </w:p>
              </w:tc>
              <w:tc>
                <w:tcPr/>
                <w:p>
                  <w:pPr>
                    <w:pStyle w:val="Compact"/>
                    <w:jc w:val="left"/>
                    <w:rPr>
                      <w:sz w:val="16"/>
                      <w:szCs w:val="16"/>
                    </w:rPr>
                  </w:pPr>
                  <w:r>
                    <w:rPr>
                      <w:sz w:val="16"/>
                      <w:szCs w:val="16"/>
                    </w:rPr>
                    <w:t xml:space="preserve">p</w:t>
                  </w:r>
                </w:p>
              </w:tc>
            </w:tr>
            <w:tr>
              <w:trPr>
                <w:trHeight w:val="340" w:hRule="exact"/>
              </w:trPr>
              <w:tc>
                <w:tcPr/>
                <w:p>
                  <w:pPr>
                    <w:pStyle w:val="Compact"/>
                    <w:jc w:val="left"/>
                    <w:rPr>
                      <w:sz w:val="16"/>
                      <w:szCs w:val="16"/>
                    </w:rPr>
                  </w:pPr>
                  <w:r>
                    <w:rPr>
                      <w:sz w:val="16"/>
                      <w:szCs w:val="16"/>
                    </w:rPr>
                    <w:t xml:space="preserve">Susceptible pine basal area (m2/ha)</w:t>
                  </w:r>
                </w:p>
              </w:tc>
              <w:tc>
                <w:tcPr/>
                <w:p>
                  <w:pPr>
                    <w:pStyle w:val="Compact"/>
                    <w:jc w:val="left"/>
                    <w:rPr>
                      <w:sz w:val="16"/>
                      <w:szCs w:val="16"/>
                    </w:rPr>
                  </w:pPr>
                  <w:r>
                    <w:rPr>
                      <w:sz w:val="16"/>
                      <w:szCs w:val="16"/>
                    </w:rPr>
                    <w:t xml:space="preserve">+0.536</w:t>
                  </w:r>
                </w:p>
              </w:tc>
              <w:tc>
                <w:tcPr/>
                <w:p>
                  <w:pPr>
                    <w:pStyle w:val="Compact"/>
                    <w:jc w:val="left"/>
                    <w:rPr>
                      <w:sz w:val="16"/>
                      <w:szCs w:val="16"/>
                    </w:rPr>
                  </w:pPr>
                  <w:r>
                    <w:rPr>
                      <w:sz w:val="16"/>
                      <w:szCs w:val="16"/>
                    </w:rPr>
                    <w:t xml:space="preserve">0.015</w:t>
                  </w:r>
                </w:p>
              </w:tc>
              <w:tc>
                <w:tcPr/>
                <w:p>
                  <w:pPr>
                    <w:pStyle w:val="Compact"/>
                    <w:jc w:val="left"/>
                    <w:rPr>
                      <w:sz w:val="16"/>
                      <w:szCs w:val="16"/>
                    </w:rPr>
                  </w:pPr>
                  <w:r>
                    <w:rPr>
                      <w:sz w:val="16"/>
                      <w:szCs w:val="16"/>
                    </w:rPr>
                    <w:t xml:space="preserve">35.25</w:t>
                  </w:r>
                </w:p>
              </w:tc>
              <w:tc>
                <w:tcPr/>
                <w:p>
                  <w:pPr>
                    <w:pStyle w:val="Compact"/>
                    <w:jc w:val="left"/>
                    <w:rPr>
                      <w:sz w:val="16"/>
                      <w:szCs w:val="16"/>
                    </w:rPr>
                  </w:pPr>
                  <w:r>
                    <w:rPr>
                      <w:sz w:val="16"/>
                      <w:szCs w:val="16"/>
                    </w:rPr>
                    <w:t xml:space="preserve">&lt; 0.001</w:t>
                  </w:r>
                </w:p>
              </w:tc>
            </w:tr>
            <w:tr>
              <w:trPr>
                <w:trHeight w:val="340" w:hRule="exact"/>
              </w:trPr>
              <w:tc>
                <w:tcPr/>
                <w:p>
                  <w:pPr>
                    <w:pStyle w:val="Compact"/>
                    <w:jc w:val="left"/>
                    <w:rPr>
                      <w:sz w:val="16"/>
                      <w:szCs w:val="16"/>
                    </w:rPr>
                  </w:pPr>
                  <w:r>
                    <w:rPr>
                      <w:sz w:val="16"/>
                      <w:szCs w:val="16"/>
                    </w:rPr>
                    <w:t xml:space="preserve">Stand basal area (m2/ha)</w:t>
                  </w:r>
                </w:p>
              </w:tc>
              <w:tc>
                <w:tcPr/>
                <w:p>
                  <w:pPr>
                    <w:pStyle w:val="Compact"/>
                    <w:jc w:val="left"/>
                    <w:rPr>
                      <w:sz w:val="16"/>
                      <w:szCs w:val="16"/>
                    </w:rPr>
                  </w:pPr>
                  <w:r>
                    <w:rPr>
                      <w:sz w:val="16"/>
                      <w:szCs w:val="16"/>
                    </w:rPr>
                    <w:t xml:space="preserve">+0.504</w:t>
                  </w:r>
                </w:p>
              </w:tc>
              <w:tc>
                <w:tcPr/>
                <w:p>
                  <w:pPr>
                    <w:pStyle w:val="Compact"/>
                    <w:jc w:val="left"/>
                    <w:rPr>
                      <w:sz w:val="16"/>
                      <w:szCs w:val="16"/>
                    </w:rPr>
                  </w:pPr>
                  <w:r>
                    <w:rPr>
                      <w:sz w:val="16"/>
                      <w:szCs w:val="16"/>
                    </w:rPr>
                    <w:t xml:space="preserve">0.027</w:t>
                  </w:r>
                </w:p>
              </w:tc>
              <w:tc>
                <w:tcPr/>
                <w:p>
                  <w:pPr>
                    <w:pStyle w:val="Compact"/>
                    <w:jc w:val="left"/>
                    <w:rPr>
                      <w:sz w:val="16"/>
                      <w:szCs w:val="16"/>
                    </w:rPr>
                  </w:pPr>
                  <w:r>
                    <w:rPr>
                      <w:sz w:val="16"/>
                      <w:szCs w:val="16"/>
                    </w:rPr>
                    <w:t xml:space="preserve">18.59</w:t>
                  </w:r>
                </w:p>
              </w:tc>
              <w:tc>
                <w:tcPr/>
                <w:p>
                  <w:pPr>
                    <w:pStyle w:val="Compact"/>
                    <w:jc w:val="left"/>
                    <w:rPr>
                      <w:sz w:val="16"/>
                      <w:szCs w:val="16"/>
                    </w:rPr>
                  </w:pPr>
                  <w:r>
                    <w:rPr>
                      <w:sz w:val="16"/>
                      <w:szCs w:val="16"/>
                    </w:rPr>
                    <w:t xml:space="preserve">&lt; 0.001</w:t>
                  </w:r>
                </w:p>
              </w:tc>
            </w:tr>
            <w:tr>
              <w:trPr>
                <w:trHeight w:val="340" w:hRule="exact"/>
              </w:trPr>
              <w:tc>
                <w:tcPr/>
                <w:p>
                  <w:pPr>
                    <w:pStyle w:val="Compact"/>
                    <w:jc w:val="left"/>
                    <w:rPr>
                      <w:sz w:val="16"/>
                      <w:szCs w:val="16"/>
                    </w:rPr>
                  </w:pPr>
                  <w:r>
                    <w:rPr>
                      <w:sz w:val="16"/>
                      <w:szCs w:val="16"/>
                    </w:rPr>
                    <w:t xml:space="preserve">Flight-window direct radiation (kWh/m2)</w:t>
                  </w:r>
                </w:p>
              </w:tc>
              <w:tc>
                <w:tcPr/>
                <w:p>
                  <w:pPr>
                    <w:pStyle w:val="Compact"/>
                    <w:jc w:val="left"/>
                    <w:rPr>
                      <w:sz w:val="16"/>
                      <w:szCs w:val="16"/>
                    </w:rPr>
                  </w:pPr>
                  <w:r>
                    <w:rPr>
                      <w:sz w:val="16"/>
                      <w:szCs w:val="16"/>
                    </w:rPr>
                    <w:t xml:space="preserve">+0.497</w:t>
                  </w:r>
                </w:p>
              </w:tc>
              <w:tc>
                <w:tcPr/>
                <w:p>
                  <w:pPr>
                    <w:pStyle w:val="Compact"/>
                    <w:jc w:val="left"/>
                    <w:rPr>
                      <w:sz w:val="16"/>
                      <w:szCs w:val="16"/>
                    </w:rPr>
                  </w:pPr>
                  <w:r>
                    <w:rPr>
                      <w:sz w:val="16"/>
                      <w:szCs w:val="16"/>
                    </w:rPr>
                    <w:t xml:space="preserve">0.030</w:t>
                  </w:r>
                </w:p>
              </w:tc>
              <w:tc>
                <w:tcPr/>
                <w:p>
                  <w:pPr>
                    <w:pStyle w:val="Compact"/>
                    <w:jc w:val="left"/>
                    <w:rPr>
                      <w:sz w:val="16"/>
                      <w:szCs w:val="16"/>
                    </w:rPr>
                  </w:pPr>
                  <w:r>
                    <w:rPr>
                      <w:sz w:val="16"/>
                      <w:szCs w:val="16"/>
                    </w:rPr>
                    <w:t xml:space="preserve">16.49</w:t>
                  </w:r>
                </w:p>
              </w:tc>
              <w:tc>
                <w:tcPr/>
                <w:p>
                  <w:pPr>
                    <w:pStyle w:val="Compact"/>
                    <w:jc w:val="left"/>
                    <w:rPr>
                      <w:sz w:val="16"/>
                      <w:szCs w:val="16"/>
                    </w:rPr>
                  </w:pPr>
                  <w:r>
                    <w:rPr>
                      <w:sz w:val="16"/>
                      <w:szCs w:val="16"/>
                    </w:rPr>
                    <w:t xml:space="preserve">&lt; 0.001</w:t>
                  </w:r>
                </w:p>
              </w:tc>
            </w:tr>
            <w:tr>
              <w:trPr>
                <w:trHeight w:val="340" w:hRule="exact"/>
              </w:trPr>
              <w:tc>
                <w:tcPr/>
                <w:p>
                  <w:pPr>
                    <w:pStyle w:val="Compact"/>
                    <w:jc w:val="left"/>
                    <w:rPr>
                      <w:sz w:val="16"/>
                      <w:szCs w:val="16"/>
                    </w:rPr>
                  </w:pPr>
                  <w:r>
                    <w:rPr>
                      <w:sz w:val="16"/>
                      <w:szCs w:val="16"/>
                    </w:rPr>
                    <w:t xml:space="preserve">Windward-leeward index</w:t>
                  </w:r>
                </w:p>
              </w:tc>
              <w:tc>
                <w:tcPr/>
                <w:p>
                  <w:pPr>
                    <w:pStyle w:val="Compact"/>
                    <w:jc w:val="left"/>
                    <w:rPr>
                      <w:sz w:val="16"/>
                      <w:szCs w:val="16"/>
                    </w:rPr>
                  </w:pPr>
                  <w:r>
                    <w:rPr>
                      <w:sz w:val="16"/>
                      <w:szCs w:val="16"/>
                    </w:rPr>
                    <w:t xml:space="preserve">+0.394</w:t>
                  </w:r>
                </w:p>
              </w:tc>
              <w:tc>
                <w:tcPr/>
                <w:p>
                  <w:pPr>
                    <w:pStyle w:val="Compact"/>
                    <w:jc w:val="left"/>
                    <w:rPr>
                      <w:sz w:val="16"/>
                      <w:szCs w:val="16"/>
                    </w:rPr>
                  </w:pPr>
                  <w:r>
                    <w:rPr>
                      <w:sz w:val="16"/>
                      <w:szCs w:val="16"/>
                    </w:rPr>
                    <w:t xml:space="preserve">0.030</w:t>
                  </w:r>
                </w:p>
              </w:tc>
              <w:tc>
                <w:tcPr/>
                <w:p>
                  <w:pPr>
                    <w:pStyle w:val="Compact"/>
                    <w:jc w:val="left"/>
                    <w:rPr>
                      <w:sz w:val="16"/>
                      <w:szCs w:val="16"/>
                    </w:rPr>
                  </w:pPr>
                  <w:r>
                    <w:rPr>
                      <w:sz w:val="16"/>
                      <w:szCs w:val="16"/>
                    </w:rPr>
                    <w:t xml:space="preserve">13.31</w:t>
                  </w:r>
                </w:p>
              </w:tc>
              <w:tc>
                <w:tcPr/>
                <w:p>
                  <w:pPr>
                    <w:pStyle w:val="Compact"/>
                    <w:jc w:val="left"/>
                    <w:rPr>
                      <w:sz w:val="16"/>
                      <w:szCs w:val="16"/>
                    </w:rPr>
                  </w:pPr>
                  <w:r>
                    <w:rPr>
                      <w:sz w:val="16"/>
                      <w:szCs w:val="16"/>
                    </w:rPr>
                    <w:t xml:space="preserve">&lt; 0.001</w:t>
                  </w:r>
                </w:p>
              </w:tc>
            </w:tr>
            <w:tr>
              <w:trPr>
                <w:trHeight w:val="340" w:hRule="exact"/>
              </w:trPr>
              <w:tc>
                <w:tcPr/>
                <w:p>
                  <w:pPr>
                    <w:pStyle w:val="Compact"/>
                    <w:jc w:val="left"/>
                    <w:rPr>
                      <w:sz w:val="16"/>
                      <w:szCs w:val="16"/>
                    </w:rPr>
                  </w:pPr>
                  <w:r>
                    <w:rPr>
                      <w:sz w:val="16"/>
                      <w:szCs w:val="16"/>
                    </w:rPr>
                    <w:t xml:space="preserve">Quadratic mean diameter (cm)</w:t>
                  </w:r>
                </w:p>
              </w:tc>
              <w:tc>
                <w:tcPr/>
                <w:p>
                  <w:pPr>
                    <w:pStyle w:val="Compact"/>
                    <w:jc w:val="left"/>
                    <w:rPr>
                      <w:sz w:val="16"/>
                      <w:szCs w:val="16"/>
                    </w:rPr>
                  </w:pPr>
                  <w:r>
                    <w:rPr>
                      <w:sz w:val="16"/>
                      <w:szCs w:val="16"/>
                    </w:rPr>
                    <w:t xml:space="preserve">-0.362</w:t>
                  </w:r>
                </w:p>
              </w:tc>
              <w:tc>
                <w:tcPr/>
                <w:p>
                  <w:pPr>
                    <w:pStyle w:val="Compact"/>
                    <w:jc w:val="left"/>
                    <w:rPr>
                      <w:sz w:val="16"/>
                      <w:szCs w:val="16"/>
                    </w:rPr>
                  </w:pPr>
                  <w:r>
                    <w:rPr>
                      <w:sz w:val="16"/>
                      <w:szCs w:val="16"/>
                    </w:rPr>
                    <w:t xml:space="preserve">0.025</w:t>
                  </w:r>
                </w:p>
              </w:tc>
              <w:tc>
                <w:tcPr/>
                <w:p>
                  <w:pPr>
                    <w:pStyle w:val="Compact"/>
                    <w:jc w:val="left"/>
                    <w:rPr>
                      <w:sz w:val="16"/>
                      <w:szCs w:val="16"/>
                    </w:rPr>
                  </w:pPr>
                  <w:r>
                    <w:rPr>
                      <w:sz w:val="16"/>
                      <w:szCs w:val="16"/>
                    </w:rPr>
                    <w:t xml:space="preserve">-14.47</w:t>
                  </w:r>
                </w:p>
              </w:tc>
              <w:tc>
                <w:tcPr/>
                <w:p>
                  <w:pPr>
                    <w:pStyle w:val="Compact"/>
                    <w:jc w:val="left"/>
                    <w:rPr>
                      <w:sz w:val="16"/>
                      <w:szCs w:val="16"/>
                    </w:rPr>
                  </w:pPr>
                  <w:r>
                    <w:rPr>
                      <w:sz w:val="16"/>
                      <w:szCs w:val="16"/>
                    </w:rPr>
                    <w:t xml:space="preserve">&lt; 0.001</w:t>
                  </w:r>
                </w:p>
              </w:tc>
            </w:tr>
            <w:tr>
              <w:trPr>
                <w:trHeight w:val="340" w:hRule="exact"/>
              </w:trPr>
              <w:tc>
                <w:tcPr/>
                <w:p>
                  <w:pPr>
                    <w:pStyle w:val="Compact"/>
                    <w:jc w:val="left"/>
                    <w:rPr>
                      <w:sz w:val="16"/>
                      <w:szCs w:val="16"/>
                    </w:rPr>
                  </w:pPr>
                  <w:r>
                    <w:rPr>
                      <w:sz w:val="16"/>
                      <w:szCs w:val="16"/>
                    </w:rPr>
                    <w:t xml:space="preserve">Elevation (m)</w:t>
                  </w:r>
                </w:p>
              </w:tc>
              <w:tc>
                <w:tcPr/>
                <w:p>
                  <w:pPr>
                    <w:pStyle w:val="Compact"/>
                    <w:jc w:val="left"/>
                    <w:rPr>
                      <w:sz w:val="16"/>
                      <w:szCs w:val="16"/>
                    </w:rPr>
                  </w:pPr>
                  <w:r>
                    <w:rPr>
                      <w:sz w:val="16"/>
                      <w:szCs w:val="16"/>
                    </w:rPr>
                    <w:t xml:space="preserve">+0.337</w:t>
                  </w:r>
                </w:p>
              </w:tc>
              <w:tc>
                <w:tcPr/>
                <w:p>
                  <w:pPr>
                    <w:pStyle w:val="Compact"/>
                    <w:jc w:val="left"/>
                    <w:rPr>
                      <w:sz w:val="16"/>
                      <w:szCs w:val="16"/>
                    </w:rPr>
                  </w:pPr>
                  <w:r>
                    <w:rPr>
                      <w:sz w:val="16"/>
                      <w:szCs w:val="16"/>
                    </w:rPr>
                    <w:t xml:space="preserve">0.018</w:t>
                  </w:r>
                </w:p>
              </w:tc>
              <w:tc>
                <w:tcPr/>
                <w:p>
                  <w:pPr>
                    <w:pStyle w:val="Compact"/>
                    <w:jc w:val="left"/>
                    <w:rPr>
                      <w:sz w:val="16"/>
                      <w:szCs w:val="16"/>
                    </w:rPr>
                  </w:pPr>
                  <w:r>
                    <w:rPr>
                      <w:sz w:val="16"/>
                      <w:szCs w:val="16"/>
                    </w:rPr>
                    <w:t xml:space="preserve">18.44</w:t>
                  </w:r>
                </w:p>
              </w:tc>
              <w:tc>
                <w:tcPr/>
                <w:p>
                  <w:pPr>
                    <w:pStyle w:val="Compact"/>
                    <w:jc w:val="left"/>
                    <w:rPr>
                      <w:sz w:val="16"/>
                      <w:szCs w:val="16"/>
                    </w:rPr>
                  </w:pPr>
                  <w:r>
                    <w:rPr>
                      <w:sz w:val="16"/>
                      <w:szCs w:val="16"/>
                    </w:rPr>
                    <w:t xml:space="preserve">&lt; 0.001</w:t>
                  </w:r>
                </w:p>
              </w:tc>
            </w:tr>
            <w:tr>
              <w:trPr>
                <w:trHeight w:val="340" w:hRule="exact"/>
              </w:trPr>
              <w:tc>
                <w:tcPr/>
                <w:p>
                  <w:pPr>
                    <w:pStyle w:val="Compact"/>
                    <w:jc w:val="left"/>
                    <w:rPr>
                      <w:sz w:val="16"/>
                      <w:szCs w:val="16"/>
                    </w:rPr>
                  </w:pPr>
                  <w:r>
                    <w:rPr>
                      <w:sz w:val="16"/>
                      <w:szCs w:val="16"/>
                    </w:rPr>
                    <w:t xml:space="preserve">Northness</w:t>
                  </w:r>
                </w:p>
              </w:tc>
              <w:tc>
                <w:tcPr/>
                <w:p>
                  <w:pPr>
                    <w:pStyle w:val="Compact"/>
                    <w:jc w:val="left"/>
                    <w:rPr>
                      <w:sz w:val="16"/>
                      <w:szCs w:val="16"/>
                    </w:rPr>
                  </w:pPr>
                  <w:r>
                    <w:rPr>
                      <w:sz w:val="16"/>
                      <w:szCs w:val="16"/>
                    </w:rPr>
                    <w:t xml:space="preserve">+0.305</w:t>
                  </w:r>
                </w:p>
              </w:tc>
              <w:tc>
                <w:tcPr/>
                <w:p>
                  <w:pPr>
                    <w:pStyle w:val="Compact"/>
                    <w:jc w:val="left"/>
                    <w:rPr>
                      <w:sz w:val="16"/>
                      <w:szCs w:val="16"/>
                    </w:rPr>
                  </w:pPr>
                  <w:r>
                    <w:rPr>
                      <w:sz w:val="16"/>
                      <w:szCs w:val="16"/>
                    </w:rPr>
                    <w:t xml:space="preserve">0.015</w:t>
                  </w:r>
                </w:p>
              </w:tc>
              <w:tc>
                <w:tcPr/>
                <w:p>
                  <w:pPr>
                    <w:pStyle w:val="Compact"/>
                    <w:jc w:val="left"/>
                    <w:rPr>
                      <w:sz w:val="16"/>
                      <w:szCs w:val="16"/>
                    </w:rPr>
                  </w:pPr>
                  <w:r>
                    <w:rPr>
                      <w:sz w:val="16"/>
                      <w:szCs w:val="16"/>
                    </w:rPr>
                    <w:t xml:space="preserve">19.79</w:t>
                  </w:r>
                </w:p>
              </w:tc>
              <w:tc>
                <w:tcPr/>
                <w:p>
                  <w:pPr>
                    <w:pStyle w:val="Compact"/>
                    <w:jc w:val="left"/>
                    <w:rPr>
                      <w:sz w:val="16"/>
                      <w:szCs w:val="16"/>
                    </w:rPr>
                  </w:pPr>
                  <w:r>
                    <w:rPr>
                      <w:sz w:val="16"/>
                      <w:szCs w:val="16"/>
                    </w:rPr>
                    <w:t xml:space="preserve">&lt; 0.001</w:t>
                  </w:r>
                </w:p>
              </w:tc>
            </w:tr>
            <w:tr>
              <w:trPr>
                <w:trHeight w:val="340" w:hRule="exact"/>
              </w:trPr>
              <w:tc>
                <w:tcPr/>
                <w:p>
                  <w:pPr>
                    <w:pStyle w:val="Compact"/>
                    <w:jc w:val="left"/>
                    <w:rPr>
                      <w:sz w:val="16"/>
                      <w:szCs w:val="16"/>
                    </w:rPr>
                  </w:pPr>
                  <w:r>
                    <w:rPr>
                      <w:sz w:val="16"/>
                      <w:szCs w:val="16"/>
                    </w:rPr>
                    <w:t xml:space="preserve">Stand age (years)</w:t>
                  </w:r>
                </w:p>
              </w:tc>
              <w:tc>
                <w:tcPr/>
                <w:p>
                  <w:pPr>
                    <w:pStyle w:val="Compact"/>
                    <w:jc w:val="left"/>
                    <w:rPr>
                      <w:sz w:val="16"/>
                      <w:szCs w:val="16"/>
                    </w:rPr>
                  </w:pPr>
                  <w:r>
                    <w:rPr>
                      <w:sz w:val="16"/>
                      <w:szCs w:val="16"/>
                    </w:rPr>
                    <w:t xml:space="preserve">+0.260</w:t>
                  </w:r>
                </w:p>
              </w:tc>
              <w:tc>
                <w:tcPr/>
                <w:p>
                  <w:pPr>
                    <w:pStyle w:val="Compact"/>
                    <w:jc w:val="left"/>
                    <w:rPr>
                      <w:sz w:val="16"/>
                      <w:szCs w:val="16"/>
                    </w:rPr>
                  </w:pPr>
                  <w:r>
                    <w:rPr>
                      <w:sz w:val="16"/>
                      <w:szCs w:val="16"/>
                    </w:rPr>
                    <w:t xml:space="preserve">0.017</w:t>
                  </w:r>
                </w:p>
              </w:tc>
              <w:tc>
                <w:tcPr/>
                <w:p>
                  <w:pPr>
                    <w:pStyle w:val="Compact"/>
                    <w:jc w:val="left"/>
                    <w:rPr>
                      <w:sz w:val="16"/>
                      <w:szCs w:val="16"/>
                    </w:rPr>
                  </w:pPr>
                  <w:r>
                    <w:rPr>
                      <w:sz w:val="16"/>
                      <w:szCs w:val="16"/>
                    </w:rPr>
                    <w:t xml:space="preserve">14.98</w:t>
                  </w:r>
                </w:p>
              </w:tc>
              <w:tc>
                <w:tcPr/>
                <w:p>
                  <w:pPr>
                    <w:pStyle w:val="Compact"/>
                    <w:jc w:val="left"/>
                    <w:rPr>
                      <w:sz w:val="16"/>
                      <w:szCs w:val="16"/>
                    </w:rPr>
                  </w:pPr>
                  <w:r>
                    <w:rPr>
                      <w:sz w:val="16"/>
                      <w:szCs w:val="16"/>
                    </w:rPr>
                    <w:t xml:space="preserve">&lt; 0.001</w:t>
                  </w:r>
                </w:p>
              </w:tc>
            </w:tr>
            <w:tr>
              <w:trPr>
                <w:trHeight w:val="340" w:hRule="exact"/>
              </w:trPr>
              <w:tc>
                <w:tcPr/>
                <w:p>
                  <w:pPr>
                    <w:pStyle w:val="Compact"/>
                    <w:jc w:val="left"/>
                    <w:rPr>
                      <w:sz w:val="16"/>
                      <w:szCs w:val="16"/>
                    </w:rPr>
                  </w:pPr>
                  <w:r>
                    <w:rPr>
                      <w:sz w:val="16"/>
                      <w:szCs w:val="16"/>
                    </w:rPr>
                    <w:t xml:space="preserve">Flight-window calm hours (share below 5 km/h)</w:t>
                  </w:r>
                </w:p>
              </w:tc>
              <w:tc>
                <w:tcPr/>
                <w:p>
                  <w:pPr>
                    <w:pStyle w:val="Compact"/>
                    <w:jc w:val="left"/>
                    <w:rPr>
                      <w:sz w:val="16"/>
                      <w:szCs w:val="16"/>
                    </w:rPr>
                  </w:pPr>
                  <w:r>
                    <w:rPr>
                      <w:sz w:val="16"/>
                      <w:szCs w:val="16"/>
                    </w:rPr>
                    <w:t xml:space="preserve">-0.131</w:t>
                  </w:r>
                </w:p>
              </w:tc>
              <w:tc>
                <w:tcPr/>
                <w:p>
                  <w:pPr>
                    <w:pStyle w:val="Compact"/>
                    <w:jc w:val="left"/>
                    <w:rPr>
                      <w:sz w:val="16"/>
                      <w:szCs w:val="16"/>
                    </w:rPr>
                  </w:pPr>
                  <w:r>
                    <w:rPr>
                      <w:sz w:val="16"/>
                      <w:szCs w:val="16"/>
                    </w:rPr>
                    <w:t xml:space="preserve">0.019</w:t>
                  </w:r>
                </w:p>
              </w:tc>
              <w:tc>
                <w:tcPr/>
                <w:p>
                  <w:pPr>
                    <w:pStyle w:val="Compact"/>
                    <w:jc w:val="left"/>
                    <w:rPr>
                      <w:sz w:val="16"/>
                      <w:szCs w:val="16"/>
                    </w:rPr>
                  </w:pPr>
                  <w:r>
                    <w:rPr>
                      <w:sz w:val="16"/>
                      <w:szCs w:val="16"/>
                    </w:rPr>
                    <w:t xml:space="preserve">-6.81</w:t>
                  </w:r>
                </w:p>
              </w:tc>
              <w:tc>
                <w:tcPr/>
                <w:p>
                  <w:pPr>
                    <w:pStyle w:val="Compact"/>
                    <w:jc w:val="left"/>
                    <w:rPr>
                      <w:sz w:val="16"/>
                      <w:szCs w:val="16"/>
                    </w:rPr>
                  </w:pPr>
                  <w:r>
                    <w:rPr>
                      <w:sz w:val="16"/>
                      <w:szCs w:val="16"/>
                    </w:rPr>
                    <w:t xml:space="preserve">&lt; 0.001</w:t>
                  </w:r>
                </w:p>
              </w:tc>
            </w:tr>
            <w:tr>
              <w:trPr>
                <w:trHeight w:val="340" w:hRule="exact"/>
              </w:trPr>
              <w:tc>
                <w:tcPr/>
                <w:p>
                  <w:pPr>
                    <w:pStyle w:val="Compact"/>
                    <w:jc w:val="left"/>
                    <w:rPr>
                      <w:sz w:val="16"/>
                      <w:szCs w:val="16"/>
                    </w:rPr>
                  </w:pPr>
                  <w:r>
                    <w:rPr>
                      <w:sz w:val="16"/>
                      <w:szCs w:val="16"/>
                    </w:rPr>
                    <w:t xml:space="preserve">Topographic wetness index</w:t>
                  </w:r>
                </w:p>
              </w:tc>
              <w:tc>
                <w:tcPr/>
                <w:p>
                  <w:pPr>
                    <w:pStyle w:val="Compact"/>
                    <w:jc w:val="left"/>
                    <w:rPr>
                      <w:sz w:val="16"/>
                      <w:szCs w:val="16"/>
                    </w:rPr>
                  </w:pPr>
                  <w:r>
                    <w:rPr>
                      <w:sz w:val="16"/>
                      <w:szCs w:val="16"/>
                    </w:rPr>
                    <w:t xml:space="preserve">+0.130</w:t>
                  </w:r>
                </w:p>
              </w:tc>
              <w:tc>
                <w:tcPr/>
                <w:p>
                  <w:pPr>
                    <w:pStyle w:val="Compact"/>
                    <w:jc w:val="left"/>
                    <w:rPr>
                      <w:sz w:val="16"/>
                      <w:szCs w:val="16"/>
                    </w:rPr>
                  </w:pPr>
                  <w:r>
                    <w:rPr>
                      <w:sz w:val="16"/>
                      <w:szCs w:val="16"/>
                    </w:rPr>
                    <w:t xml:space="preserve">0.020</w:t>
                  </w:r>
                </w:p>
              </w:tc>
              <w:tc>
                <w:tcPr/>
                <w:p>
                  <w:pPr>
                    <w:pStyle w:val="Compact"/>
                    <w:jc w:val="left"/>
                    <w:rPr>
                      <w:sz w:val="16"/>
                      <w:szCs w:val="16"/>
                    </w:rPr>
                  </w:pPr>
                  <w:r>
                    <w:rPr>
                      <w:sz w:val="16"/>
                      <w:szCs w:val="16"/>
                    </w:rPr>
                    <w:t xml:space="preserve">6.53</w:t>
                  </w:r>
                </w:p>
              </w:tc>
              <w:tc>
                <w:tcPr/>
                <w:p>
                  <w:pPr>
                    <w:pStyle w:val="Compact"/>
                    <w:jc w:val="left"/>
                    <w:rPr>
                      <w:sz w:val="16"/>
                      <w:szCs w:val="16"/>
                    </w:rPr>
                  </w:pPr>
                  <w:r>
                    <w:rPr>
                      <w:sz w:val="16"/>
                      <w:szCs w:val="16"/>
                    </w:rPr>
                    <w:t xml:space="preserve">&lt; 0.001</w:t>
                  </w:r>
                </w:p>
              </w:tc>
            </w:tr>
            <w:tr>
              <w:trPr>
                <w:trHeight w:val="340" w:hRule="exact"/>
              </w:trPr>
              <w:tc>
                <w:tcPr/>
                <w:p>
                  <w:pPr>
                    <w:pStyle w:val="Compact"/>
                    <w:jc w:val="left"/>
                    <w:rPr>
                      <w:sz w:val="16"/>
                      <w:szCs w:val="16"/>
                    </w:rPr>
                  </w:pPr>
                  <w:r>
                    <w:rPr>
                      <w:sz w:val="16"/>
                      <w:szCs w:val="16"/>
                    </w:rPr>
                    <w:t xml:space="preserve">Crown closure (%)</w:t>
                  </w:r>
                </w:p>
              </w:tc>
              <w:tc>
                <w:tcPr/>
                <w:p>
                  <w:pPr>
                    <w:pStyle w:val="Compact"/>
                    <w:jc w:val="left"/>
                    <w:rPr>
                      <w:sz w:val="16"/>
                      <w:szCs w:val="16"/>
                    </w:rPr>
                  </w:pPr>
                  <w:r>
                    <w:rPr>
                      <w:sz w:val="16"/>
                      <w:szCs w:val="16"/>
                    </w:rPr>
                    <w:t xml:space="preserve">-0.125</w:t>
                  </w:r>
                </w:p>
              </w:tc>
              <w:tc>
                <w:tcPr/>
                <w:p>
                  <w:pPr>
                    <w:pStyle w:val="Compact"/>
                    <w:jc w:val="left"/>
                    <w:rPr>
                      <w:sz w:val="16"/>
                      <w:szCs w:val="16"/>
                    </w:rPr>
                  </w:pPr>
                  <w:r>
                    <w:rPr>
                      <w:sz w:val="16"/>
                      <w:szCs w:val="16"/>
                    </w:rPr>
                    <w:t xml:space="preserve">0.022</w:t>
                  </w:r>
                </w:p>
              </w:tc>
              <w:tc>
                <w:tcPr/>
                <w:p>
                  <w:pPr>
                    <w:pStyle w:val="Compact"/>
                    <w:jc w:val="left"/>
                    <w:rPr>
                      <w:sz w:val="16"/>
                      <w:szCs w:val="16"/>
                    </w:rPr>
                  </w:pPr>
                  <w:r>
                    <w:rPr>
                      <w:sz w:val="16"/>
                      <w:szCs w:val="16"/>
                    </w:rPr>
                    <w:t xml:space="preserve">-5.80</w:t>
                  </w:r>
                </w:p>
              </w:tc>
              <w:tc>
                <w:tcPr/>
                <w:p>
                  <w:pPr>
                    <w:pStyle w:val="Compact"/>
                    <w:jc w:val="left"/>
                    <w:rPr>
                      <w:sz w:val="16"/>
                      <w:szCs w:val="16"/>
                    </w:rPr>
                  </w:pPr>
                  <w:r>
                    <w:rPr>
                      <w:sz w:val="16"/>
                      <w:szCs w:val="16"/>
                    </w:rPr>
                    <w:t xml:space="preserve">&lt; 0.001</w:t>
                  </w:r>
                </w:p>
              </w:tc>
            </w:tr>
            <w:tr>
              <w:trPr>
                <w:trHeight w:val="340" w:hRule="exact"/>
              </w:trPr>
              <w:tc>
                <w:tcPr/>
                <w:p>
                  <w:pPr>
                    <w:pStyle w:val="Compact"/>
                    <w:jc w:val="left"/>
                    <w:rPr>
                      <w:sz w:val="16"/>
                      <w:szCs w:val="16"/>
                    </w:rPr>
                  </w:pPr>
                  <w:r>
                    <w:rPr>
                      <w:sz w:val="16"/>
                      <w:szCs w:val="16"/>
                    </w:rPr>
                    <w:t xml:space="preserve">July mean wind (km/h)</w:t>
                  </w:r>
                </w:p>
              </w:tc>
              <w:tc>
                <w:tcPr/>
                <w:p>
                  <w:pPr>
                    <w:pStyle w:val="Compact"/>
                    <w:jc w:val="left"/>
                    <w:rPr>
                      <w:sz w:val="16"/>
                      <w:szCs w:val="16"/>
                    </w:rPr>
                  </w:pPr>
                  <w:r>
                    <w:rPr>
                      <w:sz w:val="16"/>
                      <w:szCs w:val="16"/>
                    </w:rPr>
                    <w:t xml:space="preserve">+0.119</w:t>
                  </w:r>
                </w:p>
              </w:tc>
              <w:tc>
                <w:tcPr/>
                <w:p>
                  <w:pPr>
                    <w:pStyle w:val="Compact"/>
                    <w:jc w:val="left"/>
                    <w:rPr>
                      <w:sz w:val="16"/>
                      <w:szCs w:val="16"/>
                    </w:rPr>
                  </w:pPr>
                  <w:r>
                    <w:rPr>
                      <w:sz w:val="16"/>
                      <w:szCs w:val="16"/>
                    </w:rPr>
                    <w:t xml:space="preserve">0.016</w:t>
                  </w:r>
                </w:p>
              </w:tc>
              <w:tc>
                <w:tcPr/>
                <w:p>
                  <w:pPr>
                    <w:pStyle w:val="Compact"/>
                    <w:jc w:val="left"/>
                    <w:rPr>
                      <w:sz w:val="16"/>
                      <w:szCs w:val="16"/>
                    </w:rPr>
                  </w:pPr>
                  <w:r>
                    <w:rPr>
                      <w:sz w:val="16"/>
                      <w:szCs w:val="16"/>
                    </w:rPr>
                    <w:t xml:space="preserve">7.43</w:t>
                  </w:r>
                </w:p>
              </w:tc>
              <w:tc>
                <w:tcPr/>
                <w:p>
                  <w:pPr>
                    <w:pStyle w:val="Compact"/>
                    <w:jc w:val="left"/>
                    <w:rPr>
                      <w:sz w:val="16"/>
                      <w:szCs w:val="16"/>
                    </w:rPr>
                  </w:pPr>
                  <w:r>
                    <w:rPr>
                      <w:sz w:val="16"/>
                      <w:szCs w:val="16"/>
                    </w:rPr>
                    <w:t xml:space="preserve">&lt; 0.001</w:t>
                  </w:r>
                </w:p>
              </w:tc>
            </w:tr>
            <w:tr>
              <w:trPr>
                <w:trHeight w:val="340" w:hRule="exact"/>
              </w:trPr>
              <w:tc>
                <w:tcPr/>
                <w:p>
                  <w:pPr>
                    <w:pStyle w:val="Compact"/>
                    <w:jc w:val="left"/>
                    <w:rPr>
                      <w:sz w:val="16"/>
                      <w:szCs w:val="16"/>
                    </w:rPr>
                  </w:pPr>
                  <w:r>
                    <w:rPr>
                      <w:sz w:val="16"/>
                      <w:szCs w:val="16"/>
                    </w:rPr>
                    <w:t xml:space="preserve">Valley depth (m)</w:t>
                  </w:r>
                </w:p>
              </w:tc>
              <w:tc>
                <w:tcPr/>
                <w:p>
                  <w:pPr>
                    <w:pStyle w:val="Compact"/>
                    <w:jc w:val="left"/>
                    <w:rPr>
                      <w:sz w:val="16"/>
                      <w:szCs w:val="16"/>
                    </w:rPr>
                  </w:pPr>
                  <w:r>
                    <w:rPr>
                      <w:sz w:val="16"/>
                      <w:szCs w:val="16"/>
                    </w:rPr>
                    <w:t xml:space="preserve">-0.104</w:t>
                  </w:r>
                </w:p>
              </w:tc>
              <w:tc>
                <w:tcPr/>
                <w:p>
                  <w:pPr>
                    <w:pStyle w:val="Compact"/>
                    <w:jc w:val="left"/>
                    <w:rPr>
                      <w:sz w:val="16"/>
                      <w:szCs w:val="16"/>
                    </w:rPr>
                  </w:pPr>
                  <w:r>
                    <w:rPr>
                      <w:sz w:val="16"/>
                      <w:szCs w:val="16"/>
                    </w:rPr>
                    <w:t xml:space="preserve">0.022</w:t>
                  </w:r>
                </w:p>
              </w:tc>
              <w:tc>
                <w:tcPr/>
                <w:p>
                  <w:pPr>
                    <w:pStyle w:val="Compact"/>
                    <w:jc w:val="left"/>
                    <w:rPr>
                      <w:sz w:val="16"/>
                      <w:szCs w:val="16"/>
                    </w:rPr>
                  </w:pPr>
                  <w:r>
                    <w:rPr>
                      <w:sz w:val="16"/>
                      <w:szCs w:val="16"/>
                    </w:rPr>
                    <w:t xml:space="preserve">-4.66</w:t>
                  </w:r>
                </w:p>
              </w:tc>
              <w:tc>
                <w:tcPr/>
                <w:p>
                  <w:pPr>
                    <w:pStyle w:val="Compact"/>
                    <w:jc w:val="left"/>
                    <w:rPr>
                      <w:sz w:val="16"/>
                      <w:szCs w:val="16"/>
                    </w:rPr>
                  </w:pPr>
                  <w:r>
                    <w:rPr>
                      <w:sz w:val="16"/>
                      <w:szCs w:val="16"/>
                    </w:rPr>
                    <w:t xml:space="preserve">&lt; 0.001</w:t>
                  </w:r>
                </w:p>
              </w:tc>
            </w:tr>
            <w:tr>
              <w:trPr>
                <w:trHeight w:val="340" w:hRule="exact"/>
              </w:trPr>
              <w:tc>
                <w:tcPr/>
                <w:p>
                  <w:pPr>
                    <w:pStyle w:val="Compact"/>
                    <w:jc w:val="left"/>
                    <w:rPr>
                      <w:sz w:val="16"/>
                      <w:szCs w:val="16"/>
                    </w:rPr>
                  </w:pPr>
                  <w:r>
                    <w:rPr>
                      <w:sz w:val="16"/>
                      <w:szCs w:val="16"/>
                    </w:rPr>
                    <w:t xml:space="preserve">Stand basal area x Flight-window direct radiation</w:t>
                  </w:r>
                </w:p>
              </w:tc>
              <w:tc>
                <w:tcPr/>
                <w:p>
                  <w:pPr>
                    <w:pStyle w:val="Compact"/>
                    <w:jc w:val="left"/>
                    <w:rPr>
                      <w:sz w:val="16"/>
                      <w:szCs w:val="16"/>
                    </w:rPr>
                  </w:pPr>
                  <w:r>
                    <w:rPr>
                      <w:sz w:val="16"/>
                      <w:szCs w:val="16"/>
                    </w:rPr>
                    <w:t xml:space="preserve">+0.103</w:t>
                  </w:r>
                </w:p>
              </w:tc>
              <w:tc>
                <w:tcPr/>
                <w:p>
                  <w:pPr>
                    <w:pStyle w:val="Compact"/>
                    <w:jc w:val="left"/>
                    <w:rPr>
                      <w:sz w:val="16"/>
                      <w:szCs w:val="16"/>
                    </w:rPr>
                  </w:pPr>
                  <w:r>
                    <w:rPr>
                      <w:sz w:val="16"/>
                      <w:szCs w:val="16"/>
                    </w:rPr>
                    <w:t xml:space="preserve">0.021</w:t>
                  </w:r>
                </w:p>
              </w:tc>
              <w:tc>
                <w:tcPr/>
                <w:p>
                  <w:pPr>
                    <w:pStyle w:val="Compact"/>
                    <w:jc w:val="left"/>
                    <w:rPr>
                      <w:sz w:val="16"/>
                      <w:szCs w:val="16"/>
                    </w:rPr>
                  </w:pPr>
                  <w:r>
                    <w:rPr>
                      <w:sz w:val="16"/>
                      <w:szCs w:val="16"/>
                    </w:rPr>
                    <w:t xml:space="preserve">4.90</w:t>
                  </w:r>
                </w:p>
              </w:tc>
              <w:tc>
                <w:tcPr/>
                <w:p>
                  <w:pPr>
                    <w:pStyle w:val="Compact"/>
                    <w:jc w:val="left"/>
                    <w:rPr>
                      <w:sz w:val="16"/>
                      <w:szCs w:val="16"/>
                    </w:rPr>
                  </w:pPr>
                  <w:r>
                    <w:rPr>
                      <w:sz w:val="16"/>
                      <w:szCs w:val="16"/>
                    </w:rPr>
                    <w:t xml:space="preserve">&lt; 0.001</w:t>
                  </w:r>
                </w:p>
              </w:tc>
            </w:tr>
            <w:tr>
              <w:trPr>
                <w:trHeight w:val="340" w:hRule="exact"/>
              </w:trPr>
              <w:tc>
                <w:tcPr/>
                <w:p>
                  <w:pPr>
                    <w:pStyle w:val="Compact"/>
                    <w:jc w:val="left"/>
                    <w:rPr>
                      <w:sz w:val="16"/>
                      <w:szCs w:val="16"/>
                    </w:rPr>
                  </w:pPr>
                  <w:r>
                    <w:rPr>
                      <w:sz w:val="16"/>
                      <w:szCs w:val="16"/>
                    </w:rPr>
                    <w:t xml:space="preserve">Topographic position index</w:t>
                  </w:r>
                </w:p>
              </w:tc>
              <w:tc>
                <w:tcPr/>
                <w:p>
                  <w:pPr>
                    <w:pStyle w:val="Compact"/>
                    <w:jc w:val="left"/>
                    <w:rPr>
                      <w:sz w:val="16"/>
                      <w:szCs w:val="16"/>
                    </w:rPr>
                  </w:pPr>
                  <w:r>
                    <w:rPr>
                      <w:sz w:val="16"/>
                      <w:szCs w:val="16"/>
                    </w:rPr>
                    <w:t xml:space="preserve">+0.094</w:t>
                  </w:r>
                </w:p>
              </w:tc>
              <w:tc>
                <w:tcPr/>
                <w:p>
                  <w:pPr>
                    <w:pStyle w:val="Compact"/>
                    <w:jc w:val="left"/>
                    <w:rPr>
                      <w:sz w:val="16"/>
                      <w:szCs w:val="16"/>
                    </w:rPr>
                  </w:pPr>
                  <w:r>
                    <w:rPr>
                      <w:sz w:val="16"/>
                      <w:szCs w:val="16"/>
                    </w:rPr>
                    <w:t xml:space="preserve">0.024</w:t>
                  </w:r>
                </w:p>
              </w:tc>
              <w:tc>
                <w:tcPr/>
                <w:p>
                  <w:pPr>
                    <w:pStyle w:val="Compact"/>
                    <w:jc w:val="left"/>
                    <w:rPr>
                      <w:sz w:val="16"/>
                      <w:szCs w:val="16"/>
                    </w:rPr>
                  </w:pPr>
                  <w:r>
                    <w:rPr>
                      <w:sz w:val="16"/>
                      <w:szCs w:val="16"/>
                    </w:rPr>
                    <w:t xml:space="preserve">3.92</w:t>
                  </w:r>
                </w:p>
              </w:tc>
              <w:tc>
                <w:tcPr/>
                <w:p>
                  <w:pPr>
                    <w:pStyle w:val="Compact"/>
                    <w:jc w:val="left"/>
                    <w:rPr>
                      <w:sz w:val="16"/>
                      <w:szCs w:val="16"/>
                    </w:rPr>
                  </w:pPr>
                  <w:r>
                    <w:rPr>
                      <w:sz w:val="16"/>
                      <w:szCs w:val="16"/>
                    </w:rPr>
                    <w:t xml:space="preserve">&lt; 0.001</w:t>
                  </w:r>
                </w:p>
              </w:tc>
            </w:tr>
            <w:tr>
              <w:trPr>
                <w:trHeight w:val="340" w:hRule="exact"/>
              </w:trPr>
              <w:tc>
                <w:tcPr/>
                <w:p>
                  <w:pPr>
                    <w:pStyle w:val="Compact"/>
                    <w:jc w:val="left"/>
                    <w:rPr>
                      <w:sz w:val="16"/>
                      <w:szCs w:val="16"/>
                    </w:rPr>
                  </w:pPr>
                  <w:r>
                    <w:rPr>
                      <w:sz w:val="16"/>
                      <w:szCs w:val="16"/>
                    </w:rPr>
                    <w:t xml:space="preserve">Stand basal area x Flight-window calm hours</w:t>
                  </w:r>
                </w:p>
              </w:tc>
              <w:tc>
                <w:tcPr/>
                <w:p>
                  <w:pPr>
                    <w:pStyle w:val="Compact"/>
                    <w:jc w:val="left"/>
                    <w:rPr>
                      <w:sz w:val="16"/>
                      <w:szCs w:val="16"/>
                    </w:rPr>
                  </w:pPr>
                  <w:r>
                    <w:rPr>
                      <w:sz w:val="16"/>
                      <w:szCs w:val="16"/>
                    </w:rPr>
                    <w:t xml:space="preserve">+0.085</w:t>
                  </w:r>
                </w:p>
              </w:tc>
              <w:tc>
                <w:tcPr/>
                <w:p>
                  <w:pPr>
                    <w:pStyle w:val="Compact"/>
                    <w:jc w:val="left"/>
                    <w:rPr>
                      <w:sz w:val="16"/>
                      <w:szCs w:val="16"/>
                    </w:rPr>
                  </w:pPr>
                  <w:r>
                    <w:rPr>
                      <w:sz w:val="16"/>
                      <w:szCs w:val="16"/>
                    </w:rPr>
                    <w:t xml:space="preserve">0.016</w:t>
                  </w:r>
                </w:p>
              </w:tc>
              <w:tc>
                <w:tcPr/>
                <w:p>
                  <w:pPr>
                    <w:pStyle w:val="Compact"/>
                    <w:jc w:val="left"/>
                    <w:rPr>
                      <w:sz w:val="16"/>
                      <w:szCs w:val="16"/>
                    </w:rPr>
                  </w:pPr>
                  <w:r>
                    <w:rPr>
                      <w:sz w:val="16"/>
                      <w:szCs w:val="16"/>
                    </w:rPr>
                    <w:t xml:space="preserve">5.36</w:t>
                  </w:r>
                </w:p>
              </w:tc>
              <w:tc>
                <w:tcPr/>
                <w:p>
                  <w:pPr>
                    <w:pStyle w:val="Compact"/>
                    <w:jc w:val="left"/>
                    <w:rPr>
                      <w:sz w:val="16"/>
                      <w:szCs w:val="16"/>
                    </w:rPr>
                  </w:pPr>
                  <w:r>
                    <w:rPr>
                      <w:sz w:val="16"/>
                      <w:szCs w:val="16"/>
                    </w:rPr>
                    <w:t xml:space="preserve">&lt; 0.001</w:t>
                  </w:r>
                </w:p>
              </w:tc>
            </w:tr>
            <w:tr>
              <w:trPr>
                <w:trHeight w:val="340" w:hRule="exact"/>
              </w:trPr>
              <w:tc>
                <w:tcPr/>
                <w:p>
                  <w:pPr>
                    <w:pStyle w:val="Compact"/>
                    <w:jc w:val="left"/>
                    <w:rPr>
                      <w:sz w:val="16"/>
                      <w:szCs w:val="16"/>
                    </w:rPr>
                  </w:pPr>
                  <w:r>
                    <w:rPr>
                      <w:sz w:val="16"/>
                      <w:szCs w:val="16"/>
                    </w:rPr>
                    <w:t xml:space="preserve">Mid-slope position</w:t>
                  </w:r>
                </w:p>
              </w:tc>
              <w:tc>
                <w:tcPr/>
                <w:p>
                  <w:pPr>
                    <w:pStyle w:val="Compact"/>
                    <w:jc w:val="left"/>
                    <w:rPr>
                      <w:sz w:val="16"/>
                      <w:szCs w:val="16"/>
                    </w:rPr>
                  </w:pPr>
                  <w:r>
                    <w:rPr>
                      <w:sz w:val="16"/>
                      <w:szCs w:val="16"/>
                    </w:rPr>
                    <w:t xml:space="preserve">+0.068</w:t>
                  </w:r>
                </w:p>
              </w:tc>
              <w:tc>
                <w:tcPr/>
                <w:p>
                  <w:pPr>
                    <w:pStyle w:val="Compact"/>
                    <w:jc w:val="left"/>
                    <w:rPr>
                      <w:sz w:val="16"/>
                      <w:szCs w:val="16"/>
                    </w:rPr>
                  </w:pPr>
                  <w:r>
                    <w:rPr>
                      <w:sz w:val="16"/>
                      <w:szCs w:val="16"/>
                    </w:rPr>
                    <w:t xml:space="preserve">0.014</w:t>
                  </w:r>
                </w:p>
              </w:tc>
              <w:tc>
                <w:tcPr/>
                <w:p>
                  <w:pPr>
                    <w:pStyle w:val="Compact"/>
                    <w:jc w:val="left"/>
                    <w:rPr>
                      <w:sz w:val="16"/>
                      <w:szCs w:val="16"/>
                    </w:rPr>
                  </w:pPr>
                  <w:r>
                    <w:rPr>
                      <w:sz w:val="16"/>
                      <w:szCs w:val="16"/>
                    </w:rPr>
                    <w:t xml:space="preserve">4.99</w:t>
                  </w:r>
                </w:p>
              </w:tc>
              <w:tc>
                <w:tcPr/>
                <w:p>
                  <w:pPr>
                    <w:pStyle w:val="Compact"/>
                    <w:jc w:val="left"/>
                    <w:rPr>
                      <w:sz w:val="16"/>
                      <w:szCs w:val="16"/>
                    </w:rPr>
                  </w:pPr>
                  <w:r>
                    <w:rPr>
                      <w:sz w:val="16"/>
                      <w:szCs w:val="16"/>
                    </w:rPr>
                    <w:t xml:space="preserve">&lt; 0.001</w:t>
                  </w:r>
                </w:p>
              </w:tc>
            </w:tr>
            <w:tr>
              <w:trPr>
                <w:trHeight w:val="340" w:hRule="exact"/>
              </w:trPr>
              <w:tc>
                <w:tcPr/>
                <w:p>
                  <w:pPr>
                    <w:pStyle w:val="Compact"/>
                    <w:jc w:val="left"/>
                    <w:rPr>
                      <w:sz w:val="16"/>
                      <w:szCs w:val="16"/>
                    </w:rPr>
                  </w:pPr>
                  <w:r>
                    <w:rPr>
                      <w:sz w:val="16"/>
                      <w:szCs w:val="16"/>
                    </w:rPr>
                    <w:t xml:space="preserve">June mean wind (km/h)</w:t>
                  </w:r>
                </w:p>
              </w:tc>
              <w:tc>
                <w:tcPr/>
                <w:p>
                  <w:pPr>
                    <w:pStyle w:val="Compact"/>
                    <w:jc w:val="left"/>
                    <w:rPr>
                      <w:sz w:val="16"/>
                      <w:szCs w:val="16"/>
                    </w:rPr>
                  </w:pPr>
                  <w:r>
                    <w:rPr>
                      <w:sz w:val="16"/>
                      <w:szCs w:val="16"/>
                    </w:rPr>
                    <w:t xml:space="preserve">+0.055</w:t>
                  </w:r>
                </w:p>
              </w:tc>
              <w:tc>
                <w:tcPr/>
                <w:p>
                  <w:pPr>
                    <w:pStyle w:val="Compact"/>
                    <w:jc w:val="left"/>
                    <w:rPr>
                      <w:sz w:val="16"/>
                      <w:szCs w:val="16"/>
                    </w:rPr>
                  </w:pPr>
                  <w:r>
                    <w:rPr>
                      <w:sz w:val="16"/>
                      <w:szCs w:val="16"/>
                    </w:rPr>
                    <w:t xml:space="preserve">0.015</w:t>
                  </w:r>
                </w:p>
              </w:tc>
              <w:tc>
                <w:tcPr/>
                <w:p>
                  <w:pPr>
                    <w:pStyle w:val="Compact"/>
                    <w:jc w:val="left"/>
                    <w:rPr>
                      <w:sz w:val="16"/>
                      <w:szCs w:val="16"/>
                    </w:rPr>
                  </w:pPr>
                  <w:r>
                    <w:rPr>
                      <w:sz w:val="16"/>
                      <w:szCs w:val="16"/>
                    </w:rPr>
                    <w:t xml:space="preserve">3.76</w:t>
                  </w:r>
                </w:p>
              </w:tc>
              <w:tc>
                <w:tcPr/>
                <w:p>
                  <w:pPr>
                    <w:pStyle w:val="Compact"/>
                    <w:jc w:val="left"/>
                    <w:rPr>
                      <w:sz w:val="16"/>
                      <w:szCs w:val="16"/>
                    </w:rPr>
                  </w:pPr>
                  <w:r>
                    <w:rPr>
                      <w:sz w:val="16"/>
                      <w:szCs w:val="16"/>
                    </w:rPr>
                    <w:t xml:space="preserve">&lt; 0.001</w:t>
                  </w:r>
                </w:p>
              </w:tc>
            </w:tr>
            <w:tr>
              <w:trPr>
                <w:trHeight w:val="340" w:hRule="exact"/>
              </w:trPr>
              <w:tc>
                <w:tcPr/>
                <w:p>
                  <w:pPr>
                    <w:pStyle w:val="Compact"/>
                    <w:jc w:val="left"/>
                    <w:rPr>
                      <w:sz w:val="16"/>
                      <w:szCs w:val="16"/>
                    </w:rPr>
                  </w:pPr>
                  <w:r>
                    <w:rPr>
                      <w:sz w:val="16"/>
                      <w:szCs w:val="16"/>
                    </w:rPr>
                    <w:t xml:space="preserve">Vector ruggedness measure</w:t>
                  </w:r>
                </w:p>
              </w:tc>
              <w:tc>
                <w:tcPr/>
                <w:p>
                  <w:pPr>
                    <w:pStyle w:val="Compact"/>
                    <w:jc w:val="left"/>
                    <w:rPr>
                      <w:sz w:val="16"/>
                      <w:szCs w:val="16"/>
                    </w:rPr>
                  </w:pPr>
                  <w:r>
                    <w:rPr>
                      <w:sz w:val="16"/>
                      <w:szCs w:val="16"/>
                    </w:rPr>
                    <w:t xml:space="preserve">-0.052</w:t>
                  </w:r>
                </w:p>
              </w:tc>
              <w:tc>
                <w:tcPr/>
                <w:p>
                  <w:pPr>
                    <w:pStyle w:val="Compact"/>
                    <w:jc w:val="left"/>
                    <w:rPr>
                      <w:sz w:val="16"/>
                      <w:szCs w:val="16"/>
                    </w:rPr>
                  </w:pPr>
                  <w:r>
                    <w:rPr>
                      <w:sz w:val="16"/>
                      <w:szCs w:val="16"/>
                    </w:rPr>
                    <w:t xml:space="preserve">0.021</w:t>
                  </w:r>
                </w:p>
              </w:tc>
              <w:tc>
                <w:tcPr/>
                <w:p>
                  <w:pPr>
                    <w:pStyle w:val="Compact"/>
                    <w:jc w:val="left"/>
                    <w:rPr>
                      <w:sz w:val="16"/>
                      <w:szCs w:val="16"/>
                    </w:rPr>
                  </w:pPr>
                  <w:r>
                    <w:rPr>
                      <w:sz w:val="16"/>
                      <w:szCs w:val="16"/>
                    </w:rPr>
                    <w:t xml:space="preserve">-2.49</w:t>
                  </w:r>
                </w:p>
              </w:tc>
              <w:tc>
                <w:tcPr/>
                <w:p>
                  <w:pPr>
                    <w:pStyle w:val="Compact"/>
                    <w:jc w:val="left"/>
                    <w:rPr>
                      <w:sz w:val="16"/>
                      <w:szCs w:val="16"/>
                    </w:rPr>
                  </w:pPr>
                  <w:r>
                    <w:rPr>
                      <w:sz w:val="16"/>
                      <w:szCs w:val="16"/>
                    </w:rPr>
                    <w:t xml:space="preserve">0.013</w:t>
                  </w:r>
                </w:p>
              </w:tc>
            </w:tr>
            <w:tr>
              <w:trPr>
                <w:trHeight w:val="340" w:hRule="exact"/>
              </w:trPr>
              <w:tc>
                <w:tcPr/>
                <w:p>
                  <w:pPr>
                    <w:pStyle w:val="Compact"/>
                    <w:jc w:val="left"/>
                    <w:rPr>
                      <w:sz w:val="16"/>
                      <w:szCs w:val="16"/>
                    </w:rPr>
                  </w:pPr>
                  <w:r>
                    <w:rPr>
                      <w:sz w:val="16"/>
                      <w:szCs w:val="16"/>
                    </w:rPr>
                    <w:t xml:space="preserve">Live stems (n/ha)</w:t>
                  </w:r>
                </w:p>
              </w:tc>
              <w:tc>
                <w:tcPr/>
                <w:p>
                  <w:pPr>
                    <w:pStyle w:val="Compact"/>
                    <w:jc w:val="left"/>
                    <w:rPr>
                      <w:sz w:val="16"/>
                      <w:szCs w:val="16"/>
                    </w:rPr>
                  </w:pPr>
                  <w:r>
                    <w:rPr>
                      <w:sz w:val="16"/>
                      <w:szCs w:val="16"/>
                    </w:rPr>
                    <w:t xml:space="preserve">+0.051</w:t>
                  </w:r>
                </w:p>
              </w:tc>
              <w:tc>
                <w:tcPr/>
                <w:p>
                  <w:pPr>
                    <w:pStyle w:val="Compact"/>
                    <w:jc w:val="left"/>
                    <w:rPr>
                      <w:sz w:val="16"/>
                      <w:szCs w:val="16"/>
                    </w:rPr>
                  </w:pPr>
                  <w:r>
                    <w:rPr>
                      <w:sz w:val="16"/>
                      <w:szCs w:val="16"/>
                    </w:rPr>
                    <w:t xml:space="preserve">0.017</w:t>
                  </w:r>
                </w:p>
              </w:tc>
              <w:tc>
                <w:tcPr/>
                <w:p>
                  <w:pPr>
                    <w:pStyle w:val="Compact"/>
                    <w:jc w:val="left"/>
                    <w:rPr>
                      <w:sz w:val="16"/>
                      <w:szCs w:val="16"/>
                    </w:rPr>
                  </w:pPr>
                  <w:r>
                    <w:rPr>
                      <w:sz w:val="16"/>
                      <w:szCs w:val="16"/>
                    </w:rPr>
                    <w:t xml:space="preserve">3.01</w:t>
                  </w:r>
                </w:p>
              </w:tc>
              <w:tc>
                <w:tcPr/>
                <w:p>
                  <w:pPr>
                    <w:pStyle w:val="Compact"/>
                    <w:jc w:val="left"/>
                    <w:rPr>
                      <w:sz w:val="16"/>
                      <w:szCs w:val="16"/>
                    </w:rPr>
                  </w:pPr>
                  <w:r>
                    <w:rPr>
                      <w:sz w:val="16"/>
                      <w:szCs w:val="16"/>
                    </w:rPr>
                    <w:t xml:space="preserve">0.003</w:t>
                  </w:r>
                </w:p>
              </w:tc>
            </w:tr>
            <w:tr>
              <w:trPr>
                <w:trHeight w:val="340" w:hRule="exact"/>
              </w:trPr>
              <w:tc>
                <w:tcPr/>
                <w:p>
                  <w:pPr>
                    <w:pStyle w:val="Compact"/>
                    <w:jc w:val="left"/>
                    <w:rPr>
                      <w:sz w:val="16"/>
                      <w:szCs w:val="16"/>
                    </w:rPr>
                  </w:pPr>
                  <w:r>
                    <w:rPr>
                      <w:sz w:val="16"/>
                      <w:szCs w:val="16"/>
                    </w:rPr>
                    <w:t xml:space="preserve">Profile curvature</w:t>
                  </w:r>
                </w:p>
              </w:tc>
              <w:tc>
                <w:tcPr/>
                <w:p>
                  <w:pPr>
                    <w:pStyle w:val="Compact"/>
                    <w:jc w:val="left"/>
                    <w:rPr>
                      <w:sz w:val="16"/>
                      <w:szCs w:val="16"/>
                    </w:rPr>
                  </w:pPr>
                  <w:r>
                    <w:rPr>
                      <w:sz w:val="16"/>
                      <w:szCs w:val="16"/>
                    </w:rPr>
                    <w:t xml:space="preserve">-0.042</w:t>
                  </w:r>
                </w:p>
              </w:tc>
              <w:tc>
                <w:tcPr/>
                <w:p>
                  <w:pPr>
                    <w:pStyle w:val="Compact"/>
                    <w:jc w:val="left"/>
                    <w:rPr>
                      <w:sz w:val="16"/>
                      <w:szCs w:val="16"/>
                    </w:rPr>
                  </w:pPr>
                  <w:r>
                    <w:rPr>
                      <w:sz w:val="16"/>
                      <w:szCs w:val="16"/>
                    </w:rPr>
                    <w:t xml:space="preserve">0.013</w:t>
                  </w:r>
                </w:p>
              </w:tc>
              <w:tc>
                <w:tcPr/>
                <w:p>
                  <w:pPr>
                    <w:pStyle w:val="Compact"/>
                    <w:jc w:val="left"/>
                    <w:rPr>
                      <w:sz w:val="16"/>
                      <w:szCs w:val="16"/>
                    </w:rPr>
                  </w:pPr>
                  <w:r>
                    <w:rPr>
                      <w:sz w:val="16"/>
                      <w:szCs w:val="16"/>
                    </w:rPr>
                    <w:t xml:space="preserve">-3.26</w:t>
                  </w:r>
                </w:p>
              </w:tc>
              <w:tc>
                <w:tcPr/>
                <w:p>
                  <w:pPr>
                    <w:pStyle w:val="Compact"/>
                    <w:jc w:val="left"/>
                    <w:rPr>
                      <w:sz w:val="16"/>
                      <w:szCs w:val="16"/>
                    </w:rPr>
                  </w:pPr>
                  <w:r>
                    <w:rPr>
                      <w:sz w:val="16"/>
                      <w:szCs w:val="16"/>
                    </w:rPr>
                    <w:t xml:space="preserve">0.001</w:t>
                  </w:r>
                </w:p>
              </w:tc>
            </w:tr>
            <w:tr>
              <w:trPr>
                <w:trHeight w:val="340" w:hRule="exact"/>
              </w:trPr>
              <w:tc>
                <w:tcPr/>
                <w:p>
                  <w:pPr>
                    <w:pStyle w:val="Compact"/>
                    <w:jc w:val="left"/>
                    <w:rPr>
                      <w:sz w:val="16"/>
                      <w:szCs w:val="16"/>
                    </w:rPr>
                  </w:pPr>
                  <w:r>
                    <w:rPr>
                      <w:sz w:val="16"/>
                      <w:szCs w:val="16"/>
                    </w:rPr>
                    <w:t xml:space="preserve">Stand basal area x Windward-leeward index</w:t>
                  </w:r>
                </w:p>
              </w:tc>
              <w:tc>
                <w:tcPr/>
                <w:p>
                  <w:pPr>
                    <w:pStyle w:val="Compact"/>
                    <w:jc w:val="left"/>
                    <w:rPr>
                      <w:sz w:val="16"/>
                      <w:szCs w:val="16"/>
                    </w:rPr>
                  </w:pPr>
                  <w:r>
                    <w:rPr>
                      <w:sz w:val="16"/>
                      <w:szCs w:val="16"/>
                    </w:rPr>
                    <w:t xml:space="preserve">-0.040</w:t>
                  </w:r>
                </w:p>
              </w:tc>
              <w:tc>
                <w:tcPr/>
                <w:p>
                  <w:pPr>
                    <w:pStyle w:val="Compact"/>
                    <w:jc w:val="left"/>
                    <w:rPr>
                      <w:sz w:val="16"/>
                      <w:szCs w:val="16"/>
                    </w:rPr>
                  </w:pPr>
                  <w:r>
                    <w:rPr>
                      <w:sz w:val="16"/>
                      <w:szCs w:val="16"/>
                    </w:rPr>
                    <w:t xml:space="preserve">0.024</w:t>
                  </w:r>
                </w:p>
              </w:tc>
              <w:tc>
                <w:tcPr/>
                <w:p>
                  <w:pPr>
                    <w:pStyle w:val="Compact"/>
                    <w:jc w:val="left"/>
                    <w:rPr>
                      <w:sz w:val="16"/>
                      <w:szCs w:val="16"/>
                    </w:rPr>
                  </w:pPr>
                  <w:r>
                    <w:rPr>
                      <w:sz w:val="16"/>
                      <w:szCs w:val="16"/>
                    </w:rPr>
                    <w:t xml:space="preserve">-1.65</w:t>
                  </w:r>
                </w:p>
              </w:tc>
              <w:tc>
                <w:tcPr/>
                <w:p>
                  <w:pPr>
                    <w:pStyle w:val="Compact"/>
                    <w:jc w:val="left"/>
                    <w:rPr>
                      <w:sz w:val="16"/>
                      <w:szCs w:val="16"/>
                    </w:rPr>
                  </w:pPr>
                  <w:r>
                    <w:rPr>
                      <w:sz w:val="16"/>
                      <w:szCs w:val="16"/>
                    </w:rPr>
                    <w:t xml:space="preserve">0.098</w:t>
                  </w:r>
                </w:p>
              </w:tc>
            </w:tr>
            <w:tr>
              <w:trPr>
                <w:trHeight w:val="340" w:hRule="exact"/>
              </w:trPr>
              <w:tc>
                <w:tcPr/>
                <w:p>
                  <w:pPr>
                    <w:pStyle w:val="Compact"/>
                    <w:jc w:val="left"/>
                    <w:rPr>
                      <w:sz w:val="16"/>
                      <w:szCs w:val="16"/>
                    </w:rPr>
                  </w:pPr>
                  <w:r>
                    <w:rPr>
                      <w:sz w:val="16"/>
                      <w:szCs w:val="16"/>
                    </w:rPr>
                    <w:t xml:space="preserve">Convergence index</w:t>
                  </w:r>
                </w:p>
              </w:tc>
              <w:tc>
                <w:tcPr/>
                <w:p>
                  <w:pPr>
                    <w:pStyle w:val="Compact"/>
                    <w:jc w:val="left"/>
                    <w:rPr>
                      <w:sz w:val="16"/>
                      <w:szCs w:val="16"/>
                    </w:rPr>
                  </w:pPr>
                  <w:r>
                    <w:rPr>
                      <w:sz w:val="16"/>
                      <w:szCs w:val="16"/>
                    </w:rPr>
                    <w:t xml:space="preserve">-0.025</w:t>
                  </w:r>
                </w:p>
              </w:tc>
              <w:tc>
                <w:tcPr/>
                <w:p>
                  <w:pPr>
                    <w:pStyle w:val="Compact"/>
                    <w:jc w:val="left"/>
                    <w:rPr>
                      <w:sz w:val="16"/>
                      <w:szCs w:val="16"/>
                    </w:rPr>
                  </w:pPr>
                  <w:r>
                    <w:rPr>
                      <w:sz w:val="16"/>
                      <w:szCs w:val="16"/>
                    </w:rPr>
                    <w:t xml:space="preserve">0.014</w:t>
                  </w:r>
                </w:p>
              </w:tc>
              <w:tc>
                <w:tcPr/>
                <w:p>
                  <w:pPr>
                    <w:pStyle w:val="Compact"/>
                    <w:jc w:val="left"/>
                    <w:rPr>
                      <w:sz w:val="16"/>
                      <w:szCs w:val="16"/>
                    </w:rPr>
                  </w:pPr>
                  <w:r>
                    <w:rPr>
                      <w:sz w:val="16"/>
                      <w:szCs w:val="16"/>
                    </w:rPr>
                    <w:t xml:space="preserve">-1.73</w:t>
                  </w:r>
                </w:p>
              </w:tc>
              <w:tc>
                <w:tcPr/>
                <w:p>
                  <w:pPr>
                    <w:pStyle w:val="Compact"/>
                    <w:jc w:val="left"/>
                    <w:rPr>
                      <w:sz w:val="16"/>
                      <w:szCs w:val="16"/>
                    </w:rPr>
                  </w:pPr>
                  <w:r>
                    <w:rPr>
                      <w:sz w:val="16"/>
                      <w:szCs w:val="16"/>
                    </w:rPr>
                    <w:t xml:space="preserve">0.083</w:t>
                  </w:r>
                </w:p>
              </w:tc>
            </w:tr>
            <w:tr>
              <w:trPr>
                <w:trHeight w:val="340" w:hRule="exact"/>
              </w:trPr>
              <w:tc>
                <w:tcPr/>
                <w:p>
                  <w:pPr>
                    <w:pStyle w:val="Compact"/>
                    <w:jc w:val="left"/>
                    <w:rPr>
                      <w:sz w:val="16"/>
                      <w:szCs w:val="16"/>
                    </w:rPr>
                  </w:pPr>
                  <w:r>
                    <w:rPr>
                      <w:sz w:val="16"/>
                      <w:szCs w:val="16"/>
                    </w:rPr>
                    <w:t xml:space="preserve">Terrain ruggedness index</w:t>
                  </w:r>
                </w:p>
              </w:tc>
              <w:tc>
                <w:tcPr/>
                <w:p>
                  <w:pPr>
                    <w:pStyle w:val="Compact"/>
                    <w:jc w:val="left"/>
                    <w:rPr>
                      <w:sz w:val="16"/>
                      <w:szCs w:val="16"/>
                    </w:rPr>
                  </w:pPr>
                  <w:r>
                    <w:rPr>
                      <w:sz w:val="16"/>
                      <w:szCs w:val="16"/>
                    </w:rPr>
                    <w:t xml:space="preserve">-0.005</w:t>
                  </w:r>
                </w:p>
              </w:tc>
              <w:tc>
                <w:tcPr/>
                <w:p>
                  <w:pPr>
                    <w:pStyle w:val="Compact"/>
                    <w:jc w:val="left"/>
                    <w:rPr>
                      <w:sz w:val="16"/>
                      <w:szCs w:val="16"/>
                    </w:rPr>
                  </w:pPr>
                  <w:r>
                    <w:rPr>
                      <w:sz w:val="16"/>
                      <w:szCs w:val="16"/>
                    </w:rPr>
                    <w:t xml:space="preserve">0.025</w:t>
                  </w:r>
                </w:p>
              </w:tc>
              <w:tc>
                <w:tcPr/>
                <w:p>
                  <w:pPr>
                    <w:pStyle w:val="Compact"/>
                    <w:jc w:val="left"/>
                    <w:rPr>
                      <w:sz w:val="16"/>
                      <w:szCs w:val="16"/>
                    </w:rPr>
                  </w:pPr>
                  <w:r>
                    <w:rPr>
                      <w:sz w:val="16"/>
                      <w:szCs w:val="16"/>
                    </w:rPr>
                    <w:t xml:space="preserve">-0.19</w:t>
                  </w:r>
                </w:p>
              </w:tc>
              <w:tc>
                <w:tcPr/>
                <w:p>
                  <w:pPr>
                    <w:pStyle w:val="Compact"/>
                    <w:jc w:val="left"/>
                    <w:rPr>
                      <w:sz w:val="16"/>
                      <w:szCs w:val="16"/>
                    </w:rPr>
                  </w:pPr>
                  <w:r>
                    <w:rPr>
                      <w:sz w:val="16"/>
                      <w:szCs w:val="16"/>
                    </w:rPr>
                    <w:t xml:space="preserve">0.848</w:t>
                  </w:r>
                </w:p>
              </w:tc>
            </w:tr>
          </w:tbl>
          <w:bookmarkEnd w:id="51"/>
          <w:p/>
        </w:tc>
      </w:tr>
    </w:tbl>
    <w:p>
      <w:pPr>
        <w:pStyle w:val="BodyText"/>
      </w:pPr>
      <w:r>
        <w:t xml:space="preserve">Every pathway earned its place. AIC fell 457 when stand density</w:t>
      </w:r>
      <w:r>
        <w:t xml:space="preserve"> </w:t>
      </w:r>
      <w:r>
        <w:t xml:space="preserve">entered, 743 more with terrain and flight radiation, and</w:t>
      </w:r>
      <w:r>
        <w:t xml:space="preserve"> </w:t>
      </w:r>
      <w:r>
        <w:t xml:space="preserve">534 more with the interactions (</w:t>
      </w:r>
      <w:hyperlink w:anchor="tbl-aic">
        <w:r>
          <w:rPr>
            <w:rStyle w:val="Hyperlink"/>
          </w:rPr>
          <w:t xml:space="preserve">Table 5</w:t>
        </w:r>
      </w:hyperlink>
      <w:r>
        <w:t xml:space="preserve">).</w:t>
      </w:r>
    </w:p>
    <w:p>
      <w:pPr>
        <w:pStyle w:val="BodyText"/>
      </w:pPr>
      <w:r>
        <w:t xml:space="preserve">Stand basal area is the strongest density term. It entered at +0.504 log-odds</w:t>
      </w:r>
      <w:r>
        <w:t xml:space="preserve"> </w:t>
      </w:r>
      <w:r>
        <w:t xml:space="preserve">per standard deviation, an odds ratio of 1.656, so a stand one standard</w:t>
      </w:r>
      <w:r>
        <w:t xml:space="preserve"> </w:t>
      </w:r>
      <w:r>
        <w:t xml:space="preserve">deviation above the mean in basal area had 65.6 per cent higher odds of</w:t>
      </w:r>
      <w:r>
        <w:t xml:space="preserve"> </w:t>
      </w:r>
      <w:r>
        <w:t xml:space="preserve">moderate-to-high disturbance (p &lt; 0.001). Live stems per hectare has the same</w:t>
      </w:r>
      <w:r>
        <w:t xml:space="preserve"> </w:t>
      </w:r>
      <w:r>
        <w:t xml:space="preserve">sign at +0.051 (p &lt; 0.01), crown closure</w:t>
      </w:r>
      <w:r>
        <w:t xml:space="preserve"> </w:t>
      </w:r>
      <w:r>
        <w:t xml:space="preserve">the opposite at -0.125 (p &lt; 0.001).</w:t>
      </w:r>
    </w:p>
    <w:p>
      <w:pPr>
        <w:pStyle w:val="BodyText"/>
      </w:pPr>
      <w:r>
        <w:t xml:space="preserve">Basal area and live stems both rise with attack, which is the direction a plume-holding</w:t>
      </w:r>
      <w:r>
        <w:t xml:space="preserve"> </w:t>
      </w:r>
      <w:r>
        <w:t xml:space="preserve">canopy implies, while crown closure falls. Crown closure is also the one measure the</w:t>
      </w:r>
      <w:r>
        <w:t xml:space="preserve"> </w:t>
      </w:r>
      <w:r>
        <w:t xml:space="preserve">inventory caps. It is recorded to a ceiling of 60 per cent, so its coefficient describes a</w:t>
      </w:r>
      <w:r>
        <w:t xml:space="preserve"> </w:t>
      </w:r>
      <w:r>
        <w:t xml:space="preserve">truncated variable and should not be read as the others are.</w:t>
      </w:r>
    </w:p>
    <w:p>
      <w:pPr>
        <w:pStyle w:val="BodyText"/>
      </w:pPr>
      <w:r>
        <w:t xml:space="preserve">Radiation enters the model once. Direct radiation during the flight window is</w:t>
      </w:r>
      <w:r>
        <w:t xml:space="preserve"> </w:t>
      </w:r>
      <w:r>
        <w:t xml:space="preserve">+0.497, the temperature limit on flying. Growing-season radiation did</w:t>
      </w:r>
      <w:r>
        <w:t xml:space="preserve"> </w:t>
      </w:r>
      <w:r>
        <w:t xml:space="preserve">not survive selection, so northness stands in for the shading pathway, and the two correlate</w:t>
      </w:r>
      <w:r>
        <w:t xml:space="preserve"> </w:t>
      </w:r>
      <w:r>
        <w:t xml:space="preserve">-0.824. Northness is +0.305. Shaded,</w:t>
      </w:r>
      <w:r>
        <w:t xml:space="preserve"> </w:t>
      </w:r>
      <w:r>
        <w:t xml:space="preserve">north-facing ground therefore has more attack, against the prediction.</w:t>
      </w:r>
    </w:p>
    <w:p>
      <w:pPr>
        <w:pStyle w:val="BodyText"/>
      </w:pPr>
      <w:r>
        <w:t xml:space="preserve">Terrain predicted attack independently of both. The windward-leeward index was</w:t>
      </w:r>
      <w:r>
        <w:t xml:space="preserve"> </w:t>
      </w:r>
      <w:r>
        <w:t xml:space="preserve">+0.394 and elevation +0.337, while ruggedness is -0.005</w:t>
      </w:r>
      <w:r>
        <w:t xml:space="preserve"> </w:t>
      </w:r>
      <w:r>
        <w:t xml:space="preserve">and not distinguishable from zero (p = 0.848), the vector ruggedness measure agreeing</w:t>
      </w:r>
      <w:r>
        <w:t xml:space="preserve"> </w:t>
      </w:r>
      <w:r>
        <w:t xml:space="preserve">in sign at -0.052. Ruggedness takes the opposite sign to that of</w:t>
      </w:r>
      <w:r>
        <w:t xml:space="preserve"> </w:t>
      </w:r>
      <w:r>
        <w:t xml:space="preserve">Murphy et al. (2026)</w:t>
      </w:r>
      <w:r>
        <w:t xml:space="preserve">, whose</w:t>
      </w:r>
      <w:r>
        <w:t xml:space="preserve"> </w:t>
      </w:r>
      <w:r>
        <w:t xml:space="preserve">response is seedling establishment rather than attack.</w:t>
      </w:r>
    </w:p>
    <w:p>
      <w:pPr>
        <w:pStyle w:val="BodyText"/>
      </w:pPr>
      <w:r>
        <w:t xml:space="preserve">Fitted without flight-window radiation, stand density interacts with terrain exposure at</w:t>
      </w:r>
      <w:r>
        <w:t xml:space="preserve"> </w:t>
      </w:r>
      <w:r>
        <w:t xml:space="preserve">-0.068, which reads as a wind result pointing the wrong way. With radiation in the</w:t>
      </w:r>
      <w:r>
        <w:t xml:space="preserve"> </w:t>
      </w:r>
      <w:r>
        <w:t xml:space="preserve">model that interaction is -0.040 (p = 0.098) and density interacts with</w:t>
      </w:r>
      <w:r>
        <w:t xml:space="preserve"> </w:t>
      </w:r>
      <w:r>
        <w:t xml:space="preserve">radiation at +0.103. On a range whose prevailing bearing is</w:t>
      </w:r>
      <w:r>
        <w:t xml:space="preserve"> </w:t>
      </w:r>
      <w:r>
        <w:t xml:space="preserve">258 degrees the windward slopes face west, which are also the slopes</w:t>
      </w:r>
      <w:r>
        <w:t xml:space="preserve"> </w:t>
      </w:r>
      <w:r>
        <w:t xml:space="preserve">taking afternoon sun, so part of the apparent exposure effect was the sun. Not all of it.</w:t>
      </w:r>
      <w:r>
        <w:t xml:space="preserve"> </w:t>
      </w:r>
      <w:r>
        <w:t xml:space="preserve">The interaction stays positive and far from zero, which is the wrong sign for pheromone</w:t>
      </w:r>
      <w:r>
        <w:t xml:space="preserve"> </w:t>
      </w:r>
      <w:r>
        <w:t xml:space="preserve">disruption.</w:t>
      </w:r>
    </w:p>
    <w:tbl>
      <w:tblPr>
        <w:tblStyle w:val="Table"/>
        <w:tblW w:type="pct" w:w="5000"/>
        <w:tblLayout w:type="fixed"/>
        <w:tblLook w:firstRow="0" w:lastRow="0" w:firstColumn="0" w:lastColumn="0" w:noHBand="0" w:noVBand="0" w:val="0000"/>
      </w:tblPr>
      <w:tblGrid>
        <w:gridCol w:w="7920"/>
      </w:tblGrid>
      <w:tr>
        <w:tc>
          <w:tcPr/>
          <w:bookmarkStart w:id="55" w:name="fig-interaction"/>
          <w:p>
            <w:pPr>
              <w:pStyle w:val="Compact"/>
              <w:jc w:val="center"/>
            </w:pPr>
            <w:r>
              <w:drawing>
                <wp:inline>
                  <wp:extent cx="5943600" cy="3962400"/>
                  <wp:effectExtent b="0" l="0" r="0" t="0"/>
                  <wp:docPr descr="" title="" id="53" name="Picture"/>
                  <a:graphic>
                    <a:graphicData uri="http://schemas.openxmlformats.org/drawingml/2006/picture">
                      <pic:pic>
                        <pic:nvPicPr>
                          <pic:cNvPr descr="beetle-topography-wind-study-vri-timeseries_files/figure-docx/fig-interaction-1.png" id="54" name="Picture"/>
                          <pic:cNvPicPr>
                            <a:picLocks noChangeArrowheads="1" noChangeAspect="1"/>
                          </pic:cNvPicPr>
                        </pic:nvPicPr>
                        <pic:blipFill>
                          <a:blip r:embed="rId52"/>
                          <a:stretch>
                            <a:fillRect/>
                          </a:stretch>
                        </pic:blipFill>
                        <pic:spPr bwMode="auto">
                          <a:xfrm>
                            <a:off x="0" y="0"/>
                            <a:ext cx="5943600" cy="39624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3: The refugia mechanism as fitted. (a) Predicted probability of moderate-to-high disturbance against terrain-resolved epoch wind, at the 10th and 90th percentiles of stem density, all other terms held at their means; the lines cross, so wind raises attack in thin stands and lowers it in dense ones, which is the interaction. (b) The same for standing volume, where the interaction is a fifth the size and attenuates the dense-stand slope without reversing it, so the lines converge rather than cross over the observed range. (c) Coefficients of the 16-day model, with and without the within-season spread term; the shading of a term between the two fits is what the within-season spread term absorbs. (d) Epoch prevalence against epoch mean wind, one point per epoch, years distinguished by both shape and shade so the panel survives black-and-white printing.</w:t>
            </w:r>
          </w:p>
          <w:bookmarkEnd w:id="55"/>
        </w:tc>
      </w:tr>
    </w:tbl>
    <w:bookmarkStart w:id="56" w:name="density-and-wind"/>
    <w:p>
      <w:pPr>
        <w:pStyle w:val="Heading2"/>
      </w:pPr>
      <w:r>
        <w:t xml:space="preserve">4.1 Density and wind</w:t>
      </w:r>
    </w:p>
    <w:p>
      <w:pPr>
        <w:pStyle w:val="FirstParagraph"/>
      </w:pPr>
      <w:r>
        <w:t xml:space="preserve">Stand density interacts negatively with terrain-resolved wind, which is the form the</w:t>
      </w:r>
      <w:r>
        <w:t xml:space="preserve"> </w:t>
      </w:r>
      <w:r>
        <w:t xml:space="preserve">pheromone mechanism predicts. Attack falls where a thin stand and strong wind coincide, the</w:t>
      </w:r>
      <w:r>
        <w:t xml:space="preserve"> </w:t>
      </w:r>
      <w:r>
        <w:t xml:space="preserve">interaction -0.049 for stem density (p &lt; 0.001) and -0.017 for</w:t>
      </w:r>
      <w:r>
        <w:t xml:space="preserve"> </w:t>
      </w:r>
      <w:r>
        <w:t xml:space="preserve">standing volume (p &lt; 0.05). Expressed as odds, each standard deviation of the epoch</w:t>
      </w:r>
      <w:r>
        <w:t xml:space="preserve"> </w:t>
      </w:r>
      <w:r>
        <w:t xml:space="preserve">wind regime multiplied the contribution of stem density by 0.952, a reduction of</w:t>
      </w:r>
      <w:r>
        <w:t xml:space="preserve"> </w:t>
      </w:r>
      <w:r>
        <w:t xml:space="preserve">4.8 per cent. Both interactions survive entering the previous epoch of the</w:t>
      </w:r>
      <w:r>
        <w:t xml:space="preserve"> </w:t>
      </w:r>
      <w:r>
        <w:t xml:space="preserve">same season, so neither is the outbreak’s own spread appearing as a wind coefficient.</w:t>
      </w:r>
    </w:p>
    <w:p>
      <w:pPr>
        <w:pStyle w:val="BodyText"/>
      </w:pPr>
      <w:r>
        <w:t xml:space="preserve">Wind on its own does not protect. Its main effect is +0.022, marginally more</w:t>
      </w:r>
      <w:r>
        <w:t xml:space="preserve"> </w:t>
      </w:r>
      <w:r>
        <w:t xml:space="preserve">attack rather than less, and the density terms are positive, so a thin stand in still air</w:t>
      </w:r>
      <w:r>
        <w:t xml:space="preserve"> </w:t>
      </w:r>
      <w:r>
        <w:t xml:space="preserve">shows no reduction either. The mechanism is present only as the conjunction of the two.</w:t>
      </w:r>
    </w:p>
    <w:bookmarkEnd w:id="56"/>
    <w:bookmarkStart w:id="57" w:name="sec-autologistic"/>
    <w:p>
      <w:pPr>
        <w:pStyle w:val="Heading2"/>
      </w:pPr>
      <w:r>
        <w:t xml:space="preserve">4.2 Previous-year pressure</w:t>
      </w:r>
    </w:p>
    <w:p>
      <w:pPr>
        <w:pStyle w:val="FirstParagraph"/>
      </w:pPr>
      <w:r>
        <w:t xml:space="preserve">Attack recurs where it was, by a margin that changes how every other coefficient reads. A cell</w:t>
      </w:r>
      <w:r>
        <w:t xml:space="preserve"> </w:t>
      </w:r>
      <w:r>
        <w:t xml:space="preserve">attacked one year is between</w:t>
      </w:r>
      <w:r>
        <w:t xml:space="preserve"> </w:t>
      </w:r>
      <w:r>
        <w:t xml:space="preserve">16</w:t>
      </w:r>
      <w:r>
        <w:t xml:space="preserve"> </w:t>
      </w:r>
      <w:r>
        <w:t xml:space="preserve">and</w:t>
      </w:r>
      <w:r>
        <w:t xml:space="preserve"> </w:t>
      </w:r>
      <w:r>
        <w:t xml:space="preserve">139</w:t>
      </w:r>
      <w:r>
        <w:t xml:space="preserve"> </w:t>
      </w:r>
      <w:r>
        <w:t xml:space="preserve">times more likely to be attacked the next. Entering persistence and 90 m spread separately,</w:t>
      </w:r>
      <w:r>
        <w:t xml:space="preserve"> </w:t>
      </w:r>
      <w:r>
        <w:t xml:space="preserve">after the autologistic design used for this province, gives +0.901 and</w:t>
      </w:r>
      <w:r>
        <w:t xml:space="preserve"> </w:t>
      </w:r>
      <w:r>
        <w:t xml:space="preserve">+1.001, raising discrimination from 0.801 to</w:t>
      </w:r>
      <w:r>
        <w:t xml:space="preserve"> </w:t>
      </w:r>
      <w:r>
        <w:t xml:space="preserve">0.900.</w:t>
      </w:r>
    </w:p>
    <w:p>
      <w:pPr>
        <w:pStyle w:val="BodyText"/>
      </w:pPr>
      <w:r>
        <w:t xml:space="preserve">Which environmental terms survive is the informative part. Ruggedness keeps 1.23</w:t>
      </w:r>
      <w:r>
        <w:t xml:space="preserve"> </w:t>
      </w:r>
      <w:r>
        <w:t xml:space="preserve">of its value, and it describes a condition a cell has whether or not the beetle was there.</w:t>
      </w:r>
      <w:r>
        <w:t xml:space="preserve"> </w:t>
      </w:r>
      <w:r>
        <w:t xml:space="preserve">The landform terms are not stable. Valley depth keeps 0.18 while mid-slope</w:t>
      </w:r>
      <w:r>
        <w:t xml:space="preserve"> </w:t>
      </w:r>
      <w:r>
        <w:t xml:space="preserve">position moves to 1.35, growing rather than shrinking. Part of what</w:t>
      </w:r>
      <w:r>
        <w:t xml:space="preserve"> </w:t>
      </w:r>
      <w:r>
        <w:t xml:space="preserve">the landform terms measured was where the outbreak had already been, which is the same</w:t>
      </w:r>
      <w:r>
        <w:t xml:space="preserve"> </w:t>
      </w:r>
      <w:r>
        <w:t xml:space="preserve">failure the terrain-wind index showed against radiation.</w:t>
      </w:r>
    </w:p>
    <w:bookmarkEnd w:id="57"/>
    <w:bookmarkStart w:id="59" w:name="sec-diameter"/>
    <w:p>
      <w:pPr>
        <w:pStyle w:val="Heading2"/>
      </w:pPr>
      <w:r>
        <w:t xml:space="preserve">4.3 Host as diameter</w:t>
      </w:r>
    </w:p>
    <w:tbl>
      <w:tblPr>
        <w:tblStyle w:val="Table"/>
        <w:tblW w:type="pct" w:w="5000"/>
        <w:tblLayout w:type="fixed"/>
        <w:tblLook w:firstRow="0" w:lastRow="0" w:firstColumn="0" w:lastColumn="0" w:noHBand="0" w:noVBand="0" w:val="0000"/>
      </w:tblPr>
      <w:tblGrid>
        <w:gridCol w:w="7920"/>
      </w:tblGrid>
      <w:tr>
        <w:tc>
          <w:tcPr/>
          <w:bookmarkStart w:id="58" w:name="tbl-qmd"/>
          <w:p>
            <w:pPr>
              <w:jc w:val="center"/>
            </w:pPr>
            <w:pPr>
              <w:jc w:val="start"/>
              <w:spacing w:before="200"/>
              <w:pStyle w:val="ImageCaption"/>
            </w:pPr>
            <w:r>
              <w:t xml:space="preserve">Table 7: Moderate-to-high beetle disturbance by quadratic mean diameter class, on the balanced sample. The 25 cm boundary is the source-sink threshold of the species’ bionomics. Intervals are Wilson score intervals on the class proportion, which is why they are asymmetric in the smallest class. Note that 30 m cells in a spreading outbreak are not independent, so the tests reported beneath this table are anti-conservative.</w:t>
            </w:r>
          </w:p>
          <w:tbl>
            <w:tblPr>
              <w:tblStyle w:val="Table"/>
              <w:tblLook w:firstRow="1" w:lastRow="0" w:firstColumn="0" w:lastColumn="0" w:noHBand="0" w:noVBand="0" w:val="0020"/>
              <w:tblW w:w="9354" w:type="dxa"/>
              <w:tblLayout w:type="fixed"/>
            </w:tblPr>
            <w:tblGrid>
              <w:gridCol w:w="1871"/>
              <w:gridCol w:w="1871"/>
              <w:gridCol w:w="1871"/>
              <w:gridCol w:w="1871"/>
              <w:gridCol w:w="1870"/>
            </w:tblGrid>
            <w:tr>
              <w:trPr>
                <w:tblHeader w:val="on"/>
                <w:trHeight w:val="624" w:hRule="exact"/>
              </w:trPr>
              <w:tc>
                <w:tcPr/>
                <w:p>
                  <w:pPr>
                    <w:pStyle w:val="Compact"/>
                    <w:jc w:val="left"/>
                    <w:rPr>
                      <w:sz w:val="16"/>
                      <w:szCs w:val="16"/>
                    </w:rPr>
                  </w:pPr>
                  <w:r>
                    <w:rPr>
                      <w:sz w:val="16"/>
                      <w:szCs w:val="16"/>
                    </w:rPr>
                    <w:t xml:space="preserve">QMD class (cm)</w:t>
                  </w:r>
                </w:p>
              </w:tc>
              <w:tc>
                <w:tcPr/>
                <w:p>
                  <w:pPr>
                    <w:pStyle w:val="Compact"/>
                    <w:jc w:val="left"/>
                    <w:rPr>
                      <w:sz w:val="16"/>
                      <w:szCs w:val="16"/>
                    </w:rPr>
                  </w:pPr>
                  <w:r>
                    <w:rPr>
                      <w:sz w:val="16"/>
                      <w:szCs w:val="16"/>
                    </w:rPr>
                    <w:t xml:space="preserve">n</w:t>
                  </w:r>
                </w:p>
              </w:tc>
              <w:tc>
                <w:tcPr/>
                <w:p>
                  <w:pPr>
                    <w:pStyle w:val="Compact"/>
                    <w:jc w:val="left"/>
                    <w:rPr>
                      <w:sz w:val="16"/>
                      <w:szCs w:val="16"/>
                    </w:rPr>
                  </w:pPr>
                  <w:r>
                    <w:rPr>
                      <w:sz w:val="16"/>
                      <w:szCs w:val="16"/>
                    </w:rPr>
                    <w:t xml:space="preserve">Attacked</w:t>
                  </w:r>
                </w:p>
              </w:tc>
              <w:tc>
                <w:tcPr/>
                <w:p>
                  <w:pPr>
                    <w:pStyle w:val="Compact"/>
                    <w:jc w:val="left"/>
                    <w:rPr>
                      <w:sz w:val="16"/>
                      <w:szCs w:val="16"/>
                    </w:rPr>
                  </w:pPr>
                  <w:r>
                    <w:rPr>
                      <w:sz w:val="16"/>
                      <w:szCs w:val="16"/>
                    </w:rPr>
                    <w:t xml:space="preserve">Attacked (%)</w:t>
                  </w:r>
                </w:p>
              </w:tc>
              <w:tc>
                <w:tcPr/>
                <w:p>
                  <w:pPr>
                    <w:pStyle w:val="Compact"/>
                    <w:jc w:val="left"/>
                    <w:rPr>
                      <w:sz w:val="16"/>
                      <w:szCs w:val="16"/>
                    </w:rPr>
                  </w:pPr>
                  <w:r>
                    <w:rPr>
                      <w:sz w:val="16"/>
                      <w:szCs w:val="16"/>
                    </w:rPr>
                    <w:t xml:space="preserve">95% CI (%)</w:t>
                  </w:r>
                </w:p>
              </w:tc>
            </w:tr>
            <w:tr>
              <w:trPr>
                <w:trHeight w:val="340" w:hRule="exact"/>
              </w:trPr>
              <w:tc>
                <w:tcPr/>
                <w:p>
                  <w:pPr>
                    <w:pStyle w:val="Compact"/>
                    <w:jc w:val="left"/>
                    <w:rPr>
                      <w:sz w:val="16"/>
                      <w:szCs w:val="16"/>
                    </w:rPr>
                  </w:pPr>
                  <w:r>
                    <w:rPr>
                      <w:sz w:val="16"/>
                      <w:szCs w:val="16"/>
                    </w:rPr>
                    <w:t xml:space="preserve">&lt;15</w:t>
                  </w:r>
                </w:p>
              </w:tc>
              <w:tc>
                <w:tcPr/>
                <w:p>
                  <w:pPr>
                    <w:pStyle w:val="Compact"/>
                    <w:jc w:val="left"/>
                    <w:rPr>
                      <w:sz w:val="16"/>
                      <w:szCs w:val="16"/>
                    </w:rPr>
                  </w:pPr>
                  <w:r>
                    <w:rPr>
                      <w:sz w:val="16"/>
                      <w:szCs w:val="16"/>
                    </w:rPr>
                    <w:t xml:space="preserve">436</w:t>
                  </w:r>
                </w:p>
              </w:tc>
              <w:tc>
                <w:tcPr/>
                <w:p>
                  <w:pPr>
                    <w:pStyle w:val="Compact"/>
                    <w:jc w:val="left"/>
                    <w:rPr>
                      <w:sz w:val="16"/>
                      <w:szCs w:val="16"/>
                    </w:rPr>
                  </w:pPr>
                  <w:r>
                    <w:rPr>
                      <w:sz w:val="16"/>
                      <w:szCs w:val="16"/>
                    </w:rPr>
                    <w:t xml:space="preserve">113</w:t>
                  </w:r>
                </w:p>
              </w:tc>
              <w:tc>
                <w:tcPr/>
                <w:p>
                  <w:pPr>
                    <w:pStyle w:val="Compact"/>
                    <w:jc w:val="left"/>
                    <w:rPr>
                      <w:sz w:val="16"/>
                      <w:szCs w:val="16"/>
                    </w:rPr>
                  </w:pPr>
                  <w:r>
                    <w:rPr>
                      <w:sz w:val="16"/>
                      <w:szCs w:val="16"/>
                    </w:rPr>
                    <w:t xml:space="preserve">25.9</w:t>
                  </w:r>
                </w:p>
              </w:tc>
              <w:tc>
                <w:tcPr/>
                <w:p>
                  <w:pPr>
                    <w:pStyle w:val="Compact"/>
                    <w:jc w:val="left"/>
                    <w:rPr>
                      <w:sz w:val="16"/>
                      <w:szCs w:val="16"/>
                    </w:rPr>
                  </w:pPr>
                  <w:r>
                    <w:rPr>
                      <w:sz w:val="16"/>
                      <w:szCs w:val="16"/>
                    </w:rPr>
                    <w:t xml:space="preserve">22.0-30.2</w:t>
                  </w:r>
                </w:p>
              </w:tc>
            </w:tr>
            <w:tr>
              <w:trPr>
                <w:trHeight w:val="340" w:hRule="exact"/>
              </w:trPr>
              <w:tc>
                <w:tcPr/>
                <w:p>
                  <w:pPr>
                    <w:pStyle w:val="Compact"/>
                    <w:jc w:val="left"/>
                    <w:rPr>
                      <w:sz w:val="16"/>
                      <w:szCs w:val="16"/>
                    </w:rPr>
                  </w:pPr>
                  <w:r>
                    <w:rPr>
                      <w:sz w:val="16"/>
                      <w:szCs w:val="16"/>
                    </w:rPr>
                    <w:t xml:space="preserve">15-20</w:t>
                  </w:r>
                </w:p>
              </w:tc>
              <w:tc>
                <w:tcPr/>
                <w:p>
                  <w:pPr>
                    <w:pStyle w:val="Compact"/>
                    <w:jc w:val="left"/>
                    <w:rPr>
                      <w:sz w:val="16"/>
                      <w:szCs w:val="16"/>
                    </w:rPr>
                  </w:pPr>
                  <w:r>
                    <w:rPr>
                      <w:sz w:val="16"/>
                      <w:szCs w:val="16"/>
                    </w:rPr>
                    <w:t xml:space="preserve">4,325</w:t>
                  </w:r>
                </w:p>
              </w:tc>
              <w:tc>
                <w:tcPr/>
                <w:p>
                  <w:pPr>
                    <w:pStyle w:val="Compact"/>
                    <w:jc w:val="left"/>
                    <w:rPr>
                      <w:sz w:val="16"/>
                      <w:szCs w:val="16"/>
                    </w:rPr>
                  </w:pPr>
                  <w:r>
                    <w:rPr>
                      <w:sz w:val="16"/>
                      <w:szCs w:val="16"/>
                    </w:rPr>
                    <w:t xml:space="preserve">1,057</w:t>
                  </w:r>
                </w:p>
              </w:tc>
              <w:tc>
                <w:tcPr/>
                <w:p>
                  <w:pPr>
                    <w:pStyle w:val="Compact"/>
                    <w:jc w:val="left"/>
                    <w:rPr>
                      <w:sz w:val="16"/>
                      <w:szCs w:val="16"/>
                    </w:rPr>
                  </w:pPr>
                  <w:r>
                    <w:rPr>
                      <w:sz w:val="16"/>
                      <w:szCs w:val="16"/>
                    </w:rPr>
                    <w:t xml:space="preserve">24.4</w:t>
                  </w:r>
                </w:p>
              </w:tc>
              <w:tc>
                <w:tcPr/>
                <w:p>
                  <w:pPr>
                    <w:pStyle w:val="Compact"/>
                    <w:jc w:val="left"/>
                    <w:rPr>
                      <w:sz w:val="16"/>
                      <w:szCs w:val="16"/>
                    </w:rPr>
                  </w:pPr>
                  <w:r>
                    <w:rPr>
                      <w:sz w:val="16"/>
                      <w:szCs w:val="16"/>
                    </w:rPr>
                    <w:t xml:space="preserve">23.2-25.7</w:t>
                  </w:r>
                </w:p>
              </w:tc>
            </w:tr>
            <w:tr>
              <w:trPr>
                <w:trHeight w:val="340" w:hRule="exact"/>
              </w:trPr>
              <w:tc>
                <w:tcPr/>
                <w:p>
                  <w:pPr>
                    <w:pStyle w:val="Compact"/>
                    <w:jc w:val="left"/>
                    <w:rPr>
                      <w:sz w:val="16"/>
                      <w:szCs w:val="16"/>
                    </w:rPr>
                  </w:pPr>
                  <w:r>
                    <w:rPr>
                      <w:sz w:val="16"/>
                      <w:szCs w:val="16"/>
                    </w:rPr>
                    <w:t xml:space="preserve">20-25</w:t>
                  </w:r>
                </w:p>
              </w:tc>
              <w:tc>
                <w:tcPr/>
                <w:p>
                  <w:pPr>
                    <w:pStyle w:val="Compact"/>
                    <w:jc w:val="left"/>
                    <w:rPr>
                      <w:sz w:val="16"/>
                      <w:szCs w:val="16"/>
                    </w:rPr>
                  </w:pPr>
                  <w:r>
                    <w:rPr>
                      <w:sz w:val="16"/>
                      <w:szCs w:val="16"/>
                    </w:rPr>
                    <w:t xml:space="preserve">9,934</w:t>
                  </w:r>
                </w:p>
              </w:tc>
              <w:tc>
                <w:tcPr/>
                <w:p>
                  <w:pPr>
                    <w:pStyle w:val="Compact"/>
                    <w:jc w:val="left"/>
                    <w:rPr>
                      <w:sz w:val="16"/>
                      <w:szCs w:val="16"/>
                    </w:rPr>
                  </w:pPr>
                  <w:r>
                    <w:rPr>
                      <w:sz w:val="16"/>
                      <w:szCs w:val="16"/>
                    </w:rPr>
                    <w:t xml:space="preserve">2,627</w:t>
                  </w:r>
                </w:p>
              </w:tc>
              <w:tc>
                <w:tcPr/>
                <w:p>
                  <w:pPr>
                    <w:pStyle w:val="Compact"/>
                    <w:jc w:val="left"/>
                    <w:rPr>
                      <w:sz w:val="16"/>
                      <w:szCs w:val="16"/>
                    </w:rPr>
                  </w:pPr>
                  <w:r>
                    <w:rPr>
                      <w:sz w:val="16"/>
                      <w:szCs w:val="16"/>
                    </w:rPr>
                    <w:t xml:space="preserve">26.4</w:t>
                  </w:r>
                </w:p>
              </w:tc>
              <w:tc>
                <w:tcPr/>
                <w:p>
                  <w:pPr>
                    <w:pStyle w:val="Compact"/>
                    <w:jc w:val="left"/>
                    <w:rPr>
                      <w:sz w:val="16"/>
                      <w:szCs w:val="16"/>
                    </w:rPr>
                  </w:pPr>
                  <w:r>
                    <w:rPr>
                      <w:sz w:val="16"/>
                      <w:szCs w:val="16"/>
                    </w:rPr>
                    <w:t xml:space="preserve">25.6-27.3</w:t>
                  </w:r>
                </w:p>
              </w:tc>
            </w:tr>
            <w:tr>
              <w:trPr>
                <w:trHeight w:val="340" w:hRule="exact"/>
              </w:trPr>
              <w:tc>
                <w:tcPr/>
                <w:p>
                  <w:pPr>
                    <w:pStyle w:val="Compact"/>
                    <w:jc w:val="left"/>
                    <w:rPr>
                      <w:sz w:val="16"/>
                      <w:szCs w:val="16"/>
                    </w:rPr>
                  </w:pPr>
                  <w:r>
                    <w:rPr>
                      <w:sz w:val="16"/>
                      <w:szCs w:val="16"/>
                    </w:rPr>
                    <w:t xml:space="preserve">25-30</w:t>
                  </w:r>
                </w:p>
              </w:tc>
              <w:tc>
                <w:tcPr/>
                <w:p>
                  <w:pPr>
                    <w:pStyle w:val="Compact"/>
                    <w:jc w:val="left"/>
                    <w:rPr>
                      <w:sz w:val="16"/>
                      <w:szCs w:val="16"/>
                    </w:rPr>
                  </w:pPr>
                  <w:r>
                    <w:rPr>
                      <w:sz w:val="16"/>
                      <w:szCs w:val="16"/>
                    </w:rPr>
                    <w:t xml:space="preserve">19,090</w:t>
                  </w:r>
                </w:p>
              </w:tc>
              <w:tc>
                <w:tcPr/>
                <w:p>
                  <w:pPr>
                    <w:pStyle w:val="Compact"/>
                    <w:jc w:val="left"/>
                    <w:rPr>
                      <w:sz w:val="16"/>
                      <w:szCs w:val="16"/>
                    </w:rPr>
                  </w:pPr>
                  <w:r>
                    <w:rPr>
                      <w:sz w:val="16"/>
                      <w:szCs w:val="16"/>
                    </w:rPr>
                    <w:t xml:space="preserve">7,576</w:t>
                  </w:r>
                </w:p>
              </w:tc>
              <w:tc>
                <w:tcPr/>
                <w:p>
                  <w:pPr>
                    <w:pStyle w:val="Compact"/>
                    <w:jc w:val="left"/>
                    <w:rPr>
                      <w:sz w:val="16"/>
                      <w:szCs w:val="16"/>
                    </w:rPr>
                  </w:pPr>
                  <w:r>
                    <w:rPr>
                      <w:sz w:val="16"/>
                      <w:szCs w:val="16"/>
                    </w:rPr>
                    <w:t xml:space="preserve">39.7</w:t>
                  </w:r>
                </w:p>
              </w:tc>
              <w:tc>
                <w:tcPr/>
                <w:p>
                  <w:pPr>
                    <w:pStyle w:val="Compact"/>
                    <w:jc w:val="left"/>
                    <w:rPr>
                      <w:sz w:val="16"/>
                      <w:szCs w:val="16"/>
                    </w:rPr>
                  </w:pPr>
                  <w:r>
                    <w:rPr>
                      <w:sz w:val="16"/>
                      <w:szCs w:val="16"/>
                    </w:rPr>
                    <w:t xml:space="preserve">39.0-40.4</w:t>
                  </w:r>
                </w:p>
              </w:tc>
            </w:tr>
            <w:tr>
              <w:trPr>
                <w:trHeight w:val="340" w:hRule="exact"/>
              </w:trPr>
              <w:tc>
                <w:tcPr/>
                <w:p>
                  <w:pPr>
                    <w:pStyle w:val="Compact"/>
                    <w:jc w:val="left"/>
                    <w:rPr>
                      <w:sz w:val="16"/>
                      <w:szCs w:val="16"/>
                    </w:rPr>
                  </w:pPr>
                  <w:r>
                    <w:rPr>
                      <w:sz w:val="16"/>
                      <w:szCs w:val="16"/>
                    </w:rPr>
                    <w:t xml:space="preserve">30-40</w:t>
                  </w:r>
                </w:p>
              </w:tc>
              <w:tc>
                <w:tcPr/>
                <w:p>
                  <w:pPr>
                    <w:pStyle w:val="Compact"/>
                    <w:jc w:val="left"/>
                    <w:rPr>
                      <w:sz w:val="16"/>
                      <w:szCs w:val="16"/>
                    </w:rPr>
                  </w:pPr>
                  <w:r>
                    <w:rPr>
                      <w:sz w:val="16"/>
                      <w:szCs w:val="16"/>
                    </w:rPr>
                    <w:t xml:space="preserve">10,903</w:t>
                  </w:r>
                </w:p>
              </w:tc>
              <w:tc>
                <w:tcPr/>
                <w:p>
                  <w:pPr>
                    <w:pStyle w:val="Compact"/>
                    <w:jc w:val="left"/>
                    <w:rPr>
                      <w:sz w:val="16"/>
                      <w:szCs w:val="16"/>
                    </w:rPr>
                  </w:pPr>
                  <w:r>
                    <w:rPr>
                      <w:sz w:val="16"/>
                      <w:szCs w:val="16"/>
                    </w:rPr>
                    <w:t xml:space="preserve">2,724</w:t>
                  </w:r>
                </w:p>
              </w:tc>
              <w:tc>
                <w:tcPr/>
                <w:p>
                  <w:pPr>
                    <w:pStyle w:val="Compact"/>
                    <w:jc w:val="left"/>
                    <w:rPr>
                      <w:sz w:val="16"/>
                      <w:szCs w:val="16"/>
                    </w:rPr>
                  </w:pPr>
                  <w:r>
                    <w:rPr>
                      <w:sz w:val="16"/>
                      <w:szCs w:val="16"/>
                    </w:rPr>
                    <w:t xml:space="preserve">25.0</w:t>
                  </w:r>
                </w:p>
              </w:tc>
              <w:tc>
                <w:tcPr/>
                <w:p>
                  <w:pPr>
                    <w:pStyle w:val="Compact"/>
                    <w:jc w:val="left"/>
                    <w:rPr>
                      <w:sz w:val="16"/>
                      <w:szCs w:val="16"/>
                    </w:rPr>
                  </w:pPr>
                  <w:r>
                    <w:rPr>
                      <w:sz w:val="16"/>
                      <w:szCs w:val="16"/>
                    </w:rPr>
                    <w:t xml:space="preserve">24.2-25.8</w:t>
                  </w:r>
                </w:p>
              </w:tc>
            </w:tr>
            <w:tr>
              <w:trPr>
                <w:trHeight w:val="340" w:hRule="exact"/>
              </w:trPr>
              <w:tc>
                <w:tcPr/>
                <w:p>
                  <w:pPr>
                    <w:pStyle w:val="Compact"/>
                    <w:jc w:val="left"/>
                    <w:rPr>
                      <w:sz w:val="16"/>
                      <w:szCs w:val="16"/>
                    </w:rPr>
                  </w:pPr>
                  <w:r>
                    <w:rPr>
                      <w:sz w:val="16"/>
                      <w:szCs w:val="16"/>
                    </w:rPr>
                    <w:t xml:space="preserve">&gt;40</w:t>
                  </w:r>
                </w:p>
              </w:tc>
              <w:tc>
                <w:tcPr/>
                <w:p>
                  <w:pPr>
                    <w:pStyle w:val="Compact"/>
                    <w:jc w:val="left"/>
                    <w:rPr>
                      <w:sz w:val="16"/>
                      <w:szCs w:val="16"/>
                    </w:rPr>
                  </w:pPr>
                  <w:r>
                    <w:rPr>
                      <w:sz w:val="16"/>
                      <w:szCs w:val="16"/>
                    </w:rPr>
                    <w:t xml:space="preserve">1,671</w:t>
                  </w:r>
                </w:p>
              </w:tc>
              <w:tc>
                <w:tcPr/>
                <w:p>
                  <w:pPr>
                    <w:pStyle w:val="Compact"/>
                    <w:jc w:val="left"/>
                    <w:rPr>
                      <w:sz w:val="16"/>
                      <w:szCs w:val="16"/>
                    </w:rPr>
                  </w:pPr>
                  <w:r>
                    <w:rPr>
                      <w:sz w:val="16"/>
                      <w:szCs w:val="16"/>
                    </w:rPr>
                    <w:t xml:space="preserve">262</w:t>
                  </w:r>
                </w:p>
              </w:tc>
              <w:tc>
                <w:tcPr/>
                <w:p>
                  <w:pPr>
                    <w:pStyle w:val="Compact"/>
                    <w:jc w:val="left"/>
                    <w:rPr>
                      <w:sz w:val="16"/>
                      <w:szCs w:val="16"/>
                    </w:rPr>
                  </w:pPr>
                  <w:r>
                    <w:rPr>
                      <w:sz w:val="16"/>
                      <w:szCs w:val="16"/>
                    </w:rPr>
                    <w:t xml:space="preserve">15.7</w:t>
                  </w:r>
                </w:p>
              </w:tc>
              <w:tc>
                <w:tcPr/>
                <w:p>
                  <w:pPr>
                    <w:pStyle w:val="Compact"/>
                    <w:jc w:val="left"/>
                    <w:rPr>
                      <w:sz w:val="16"/>
                      <w:szCs w:val="16"/>
                    </w:rPr>
                  </w:pPr>
                  <w:r>
                    <w:rPr>
                      <w:sz w:val="16"/>
                      <w:szCs w:val="16"/>
                    </w:rPr>
                    <w:t xml:space="preserve">14.0-17.5</w:t>
                  </w:r>
                </w:p>
              </w:tc>
            </w:tr>
          </w:tbl>
          <w:bookmarkEnd w:id="58"/>
          <w:p/>
        </w:tc>
      </w:tr>
    </w:tbl>
    <w:p>
      <w:pPr>
        <w:pStyle w:val="BodyText"/>
      </w:pPr>
      <w:r>
        <w:t xml:space="preserve">Coding host as diameter changes the picture cover alone gives. Attack peaks in the</w:t>
      </w:r>
      <w:r>
        <w:t xml:space="preserve"> </w:t>
      </w:r>
      <w:r>
        <w:t xml:space="preserve">25 to 30 cm class at</w:t>
      </w:r>
      <w:r>
        <w:t xml:space="preserve"> </w:t>
      </w:r>
      <w:r>
        <w:t xml:space="preserve">39.7 per cent and falls away</w:t>
      </w:r>
      <w:r>
        <w:t xml:space="preserve"> </w:t>
      </w:r>
      <w:r>
        <w:t xml:space="preserve">above it, to 25.0 per cent at 30</w:t>
      </w:r>
      <w:r>
        <w:t xml:space="preserve"> </w:t>
      </w:r>
      <w:r>
        <w:t xml:space="preserve">to 40 cm and 15.7 per cent above 40</w:t>
      </w:r>
      <w:r>
        <w:t xml:space="preserve"> </w:t>
      </w:r>
      <w:r>
        <w:t xml:space="preserve">(</w:t>
      </w:r>
      <w:hyperlink w:anchor="tbl-qmd">
        <w:r>
          <w:rPr>
            <w:rStyle w:val="Hyperlink"/>
          </w:rPr>
          <w:t xml:space="preserve">Table 7</w:t>
        </w:r>
      </w:hyperlink>
      <w:r>
        <w:t xml:space="preserve">). The step across the 25 cm source-sink boundary is from</w:t>
      </w:r>
      <w:r>
        <w:t xml:space="preserve"> </w:t>
      </w:r>
      <w:r>
        <w:t xml:space="preserve">26.4 to</w:t>
      </w:r>
      <w:r>
        <w:t xml:space="preserve"> </w:t>
      </w:r>
      <w:r>
        <w:t xml:space="preserve">39.7 per cent.</w:t>
      </w:r>
    </w:p>
    <w:p>
      <w:pPr>
        <w:pStyle w:val="BodyText"/>
      </w:pPr>
      <w:r>
        <w:t xml:space="preserve">In the full model diameter is -0.362 per standard deviation</w:t>
      </w:r>
      <w:r>
        <w:t xml:space="preserve"> </w:t>
      </w:r>
      <w:r>
        <w:t xml:space="preserve">(z = -14.47). It is negative because the relationship is not monotone. A</w:t>
      </w:r>
      <w:r>
        <w:t xml:space="preserve"> </w:t>
      </w:r>
      <w:r>
        <w:t xml:space="preserve">linear term fitted through a humped response returns the slope of its falling limb, which</w:t>
      </w:r>
      <w:r>
        <w:t xml:space="preserve"> </w:t>
      </w:r>
      <w:r>
        <w:t xml:space="preserve">is the larger part of the range. The class table, not the coefficient, is the result here,</w:t>
      </w:r>
      <w:r>
        <w:t xml:space="preserve"> </w:t>
      </w:r>
      <w:r>
        <w:t xml:space="preserve">and the point stands, because a stand’s cover says nothing about whether its stems can</w:t>
      </w:r>
      <w:r>
        <w:t xml:space="preserve"> </w:t>
      </w:r>
      <w:r>
        <w:t xml:space="preserve">produce brood.</w:t>
      </w:r>
    </w:p>
    <w:p>
      <w:pPr>
        <w:pStyle w:val="BodyText"/>
      </w:pPr>
      <w:r>
        <w:t xml:space="preserve">The pattern is not an artefact of the class boundaries. Across all six classes attack</w:t>
      </w:r>
      <w:r>
        <w:t xml:space="preserve"> </w:t>
      </w:r>
      <w:r>
        <w:t xml:space="preserve">depends on diameter class,</w:t>
      </w:r>
      <w:r>
        <w:t xml:space="preserve"> </w:t>
      </w:r>
      <m:oMath>
        <m:sSup>
          <m:e>
            <m:r>
              <m:t>χ</m:t>
            </m:r>
          </m:e>
          <m:sup>
            <m:r>
              <m:t>2</m:t>
            </m:r>
          </m:sup>
        </m:sSup>
      </m:oMath>
      <w:r>
        <w:t xml:space="preserve"> </w:t>
      </w:r>
      <w:r>
        <w:t xml:space="preserve">= 1230.4 on 5 degrees of</w:t>
      </w:r>
      <w:r>
        <w:t xml:space="preserve"> </w:t>
      </w:r>
      <w:r>
        <w:t xml:space="preserve">freedom, p &lt; 0.001, with Cramer’s V = 0.163. The step</w:t>
      </w:r>
      <w:r>
        <w:t xml:space="preserve"> </w:t>
      </w:r>
      <w:r>
        <w:t xml:space="preserve">across the 25 cm source-sink boundary specifically, from the 20 to 25 class to the 25 to 30</w:t>
      </w:r>
      <w:r>
        <w:t xml:space="preserve"> </w:t>
      </w:r>
      <w:r>
        <w:t xml:space="preserve">class, is +13.2 percentage points, 95 per cent confidence</w:t>
      </w:r>
      <w:r>
        <w:t xml:space="preserve"> </w:t>
      </w:r>
      <w:r>
        <w:t xml:space="preserve">interval 12.1 to 14.4, p</w:t>
      </w:r>
      <w:r>
        <w:t xml:space="preserve"> </w:t>
      </w:r>
      <w:r>
        <w:t xml:space="preserve">&lt; 0.001. With 46,359 cells a chi-square is significant on</w:t>
      </w:r>
      <w:r>
        <w:t xml:space="preserve"> </w:t>
      </w:r>
      <w:r>
        <w:t xml:space="preserve">trivial differences, which is why the effect size is quoted beside it, and 30 m cells in a</w:t>
      </w:r>
      <w:r>
        <w:t xml:space="preserve"> </w:t>
      </w:r>
      <w:r>
        <w:t xml:space="preserve">spreading outbreak are not independent, so both p-values are anti-conservative.</w:t>
      </w:r>
    </w:p>
    <w:p>
      <w:pPr>
        <w:pStyle w:val="BodyText"/>
      </w:pPr>
      <w:r>
        <w:t xml:space="preserve">The smallest class is not evidence. It has 436 cells</w:t>
      </w:r>
      <w:r>
        <w:t xml:space="preserve"> </w:t>
      </w:r>
      <w:r>
        <w:t xml:space="preserve">against 19,090 in the modal class, and a stand below</w:t>
      </w:r>
      <w:r>
        <w:t xml:space="preserve"> </w:t>
      </w:r>
      <w:r>
        <w:t xml:space="preserve">15 cm quadratic mean diameter in an inventory whose vintage postdates the outbreak is more</w:t>
      </w:r>
      <w:r>
        <w:t xml:space="preserve"> </w:t>
      </w:r>
      <w:r>
        <w:t xml:space="preserve">likely a stand the beetle already stripped of large stems than a stand attacked at that</w:t>
      </w:r>
      <w:r>
        <w:t xml:space="preserve"> </w:t>
      </w:r>
      <w:r>
        <w:t xml:space="preserve">size.</w:t>
      </w:r>
    </w:p>
    <w:bookmarkEnd w:id="59"/>
    <w:bookmarkStart w:id="61" w:name="sec-window"/>
    <w:p>
      <w:pPr>
        <w:pStyle w:val="Heading2"/>
      </w:pPr>
      <w:r>
        <w:t xml:space="preserve">4.4 The wind window</w:t>
      </w:r>
    </w:p>
    <w:p>
      <w:pPr>
        <w:pStyle w:val="FirstParagraph"/>
      </w:pPr>
      <w:r>
        <w:t xml:space="preserve">The wind variable is the epoch wind regime, the mean over every hourly station observation</w:t>
      </w:r>
      <w:r>
        <w:t xml:space="preserve"> </w:t>
      </w:r>
      <w:r>
        <w:t xml:space="preserve">in the sixteen days an epoch covers, each hour modified over the terrain by its own bearing.</w:t>
      </w:r>
      <w:r>
        <w:t xml:space="preserve"> </w:t>
      </w:r>
      <w:r>
        <w:t xml:space="preserve">It is not restricted to the flight window, and that follows from how the insect disperses.</w:t>
      </w:r>
      <w:r>
        <w:t xml:space="preserve"> </w:t>
      </w:r>
      <w:r>
        <w:t xml:space="preserve">Jackson, Straussfogel, Lindgren, Mitchell, &amp; Murphy (2008)</w:t>
      </w:r>
      <w:r>
        <w:t xml:space="preserve"> </w:t>
      </w:r>
      <w:r>
        <w:t xml:space="preserve">tracked mountain pine beetle on weather radar and confirmed</w:t>
      </w:r>
      <w:r>
        <w:t xml:space="preserve"> </w:t>
      </w:r>
      <w:r>
        <w:t xml:space="preserve">the returns by aerial capture, finding beetles</w:t>
      </w:r>
      <w:r>
        <w:t xml:space="preserve"> </w:t>
      </w:r>
      <w:r>
        <w:t xml:space="preserve">“at altitudes up to more than 800 m above the</w:t>
      </w:r>
      <w:r>
        <w:t xml:space="preserve"> </w:t>
      </w:r>
      <w:r>
        <w:t xml:space="preserve">forest canopy”</w:t>
      </w:r>
      <w:r>
        <w:t xml:space="preserve"> </w:t>
      </w:r>
      <w:r>
        <w:t xml:space="preserve">and estimating that those in flight above the canopy</w:t>
      </w:r>
      <w:r>
        <w:t xml:space="preserve"> </w:t>
      </w:r>
      <w:r>
        <w:t xml:space="preserve">“may move</w:t>
      </w:r>
      <w:r>
        <w:t xml:space="preserve"> </w:t>
      </w:r>
      <w:r>
        <w:t xml:space="preserve">30–110 km</w:t>
      </w:r>
      <m:oMath>
        <m:r>
          <m:rPr>
            <m:sty m:val="p"/>
          </m:rPr>
          <m:t>⋅</m:t>
        </m:r>
      </m:oMath>
      <w:r>
        <w:t xml:space="preserve">day</w:t>
      </w:r>
      <m:oMath>
        <m:sSup>
          <m:e>
            <m:r>
              <m:t>​</m:t>
            </m:r>
          </m:e>
          <m:sup>
            <m:r>
              <m:rPr>
                <m:sty m:val="p"/>
              </m:rPr>
              <m:t>−</m:t>
            </m:r>
            <m:r>
              <m:t>1</m:t>
            </m:r>
          </m:sup>
        </m:sSup>
      </m:oMath>
      <w:r>
        <w:t xml:space="preserve">”</w:t>
      </w:r>
      <w:r>
        <w:t xml:space="preserve">, at a mean density of 4950 and a maximum of 18,600 beetles per</w:t>
      </w:r>
      <w:r>
        <w:t xml:space="preserve"> </w:t>
      </w:r>
      <w:r>
        <w:t xml:space="preserve">hectare.</w:t>
      </w:r>
      <w:r>
        <w:t xml:space="preserve"> </w:t>
      </w:r>
      <w:r>
        <w:t xml:space="preserve">Ainslie &amp; Jackson (2010)</w:t>
      </w:r>
      <w:r>
        <w:t xml:space="preserve"> </w:t>
      </w:r>
      <w:r>
        <w:t xml:space="preserve">then reproduced that above-canopy dispersion with an atmospheric</w:t>
      </w:r>
      <w:r>
        <w:t xml:space="preserve"> </w:t>
      </w:r>
      <w:r>
        <w:t xml:space="preserve">model. An insect carried in the boundary layer at those heights and distances is exposed to</w:t>
      </w:r>
      <w:r>
        <w:t xml:space="preserve"> </w:t>
      </w:r>
      <w:r>
        <w:t xml:space="preserve">the atmospheric regime of the period, not to the wind measured in a stand between noon and</w:t>
      </w:r>
      <w:r>
        <w:t xml:space="preserve"> </w:t>
      </w:r>
      <w:r>
        <w:t xml:space="preserve">five, and the variable is named for what it measures.</w:t>
      </w:r>
    </w:p>
    <w:p>
      <w:pPr>
        <w:pStyle w:val="BodyText"/>
      </w:pPr>
      <w:hyperlink w:anchor="tbl-window">
        <w:r>
          <w:rPr>
            <w:rStyle w:val="Hyperlink"/>
          </w:rPr>
          <w:t xml:space="preserve">Table 8</w:t>
        </w:r>
      </w:hyperlink>
      <w:r>
        <w:t xml:space="preserve"> </w:t>
      </w:r>
      <w:r>
        <w:t xml:space="preserve">refits the 16-day model under four definitions of the window. These are every</w:t>
      </w:r>
      <w:r>
        <w:t xml:space="preserve"> </w:t>
      </w:r>
      <w:r>
        <w:t xml:space="preserve">hour, the 12:00 to 17:00 hours the flight peak occupies, the 11:00 to 18:00 hours that clear</w:t>
      </w:r>
      <w:r>
        <w:t xml:space="preserve"> </w:t>
      </w:r>
      <w:r>
        <w:t xml:space="preserve">the thermal gate on this landscape more than half the time, and only those hours whose</w:t>
      </w:r>
      <w:r>
        <w:t xml:space="preserve"> </w:t>
      </w:r>
      <w:r>
        <w:t xml:space="preserve">observed temperature fell inside the 19 to 41 degrees C gate itself. The stem-density interaction is negative and distinguishable from zero under</w:t>
      </w:r>
      <w:r>
        <w:t xml:space="preserve"> </w:t>
      </w:r>
      <w:r>
        <w:t xml:space="preserve">all four, so the mechanism does not depend on the choice. It is largest over the full</w:t>
      </w:r>
      <w:r>
        <w:t xml:space="preserve"> </w:t>
      </w:r>
      <w:r>
        <w:t xml:space="preserve">regime, and the standing-volume interaction is the term that depends on it.</w:t>
      </w:r>
    </w:p>
    <w:tbl>
      <w:tblPr>
        <w:tblStyle w:val="Table"/>
        <w:tblW w:type="pct" w:w="5000"/>
        <w:tblLayout w:type="fixed"/>
        <w:tblLook w:firstRow="0" w:lastRow="0" w:firstColumn="0" w:lastColumn="0" w:noHBand="0" w:noVBand="0" w:val="0000"/>
      </w:tblPr>
      <w:tblGrid>
        <w:gridCol w:w="7920"/>
      </w:tblGrid>
      <w:tr>
        <w:tc>
          <w:tcPr/>
          <w:bookmarkStart w:id="60" w:name="tbl-window"/>
          <w:p>
            <w:pPr>
              <w:jc w:val="center"/>
            </w:pPr>
            <w:pPr>
              <w:jc w:val="start"/>
              <w:spacing w:before="200"/>
              <w:pStyle w:val="ImageCaption"/>
            </w:pPr>
            <w:r>
              <w:t xml:space="preserve">Table 8: The 16-day model refitted under four definitions of the wind window. The epoch wind regime, every hour, is the definition used throughout this paper. Coefficients are log-odds per standard deviation. The thermal-gate row is fitted on fewer cell-epochs because two epochs had too few qualifying hours, so its AIC is not comparable with the other three.</w:t>
            </w:r>
          </w:p>
          <w:tbl>
            <w:tblPr>
              <w:tblStyle w:val="Table"/>
              <w:tblLook w:firstRow="1" w:lastRow="0" w:firstColumn="0" w:lastColumn="0" w:noHBand="0" w:noVBand="0" w:val="0020"/>
              <w:tblW w:w="9354" w:type="dxa"/>
              <w:tblLayout w:type="fixed"/>
            </w:tblPr>
            <w:tblGrid>
              <w:gridCol w:w="2725"/>
              <w:gridCol w:w="1089"/>
              <w:gridCol w:w="1089"/>
              <w:gridCol w:w="1180"/>
              <w:gridCol w:w="727"/>
              <w:gridCol w:w="1271"/>
              <w:gridCol w:w="727"/>
              <w:gridCol w:w="546"/>
            </w:tblGrid>
            <w:tr>
              <w:trPr>
                <w:tblHeader w:val="on"/>
                <w:trHeight w:val="624" w:hRule="exact"/>
              </w:trPr>
              <w:tc>
                <w:tcPr/>
                <w:p>
                  <w:pPr>
                    <w:pStyle w:val="Compact"/>
                    <w:jc w:val="left"/>
                    <w:rPr>
                      <w:sz w:val="16"/>
                      <w:szCs w:val="16"/>
                    </w:rPr>
                  </w:pPr>
                  <w:r>
                    <w:rPr>
                      <w:sz w:val="16"/>
                      <w:szCs w:val="16"/>
                    </w:rPr>
                    <w:t xml:space="preserve">Definition</w:t>
                  </w:r>
                </w:p>
              </w:tc>
              <w:tc>
                <w:tcPr/>
                <w:p>
                  <w:pPr>
                    <w:pStyle w:val="Compact"/>
                    <w:jc w:val="left"/>
                    <w:rPr>
                      <w:sz w:val="16"/>
                      <w:szCs w:val="16"/>
                    </w:rPr>
                  </w:pPr>
                  <w:r>
                    <w:rPr>
                      <w:sz w:val="16"/>
                      <w:szCs w:val="16"/>
                    </w:rPr>
                    <w:t xml:space="preserve">Cell-epochs</w:t>
                  </w:r>
                </w:p>
              </w:tc>
              <w:tc>
                <w:tcPr/>
                <w:p>
                  <w:pPr>
                    <w:pStyle w:val="Compact"/>
                    <w:jc w:val="left"/>
                    <w:rPr>
                      <w:sz w:val="16"/>
                      <w:szCs w:val="16"/>
                    </w:rPr>
                  </w:pPr>
                  <w:r>
                    <w:rPr>
                      <w:sz w:val="16"/>
                      <w:szCs w:val="16"/>
                    </w:rPr>
                    <w:t xml:space="preserve">Wind (km/h)</w:t>
                  </w:r>
                </w:p>
              </w:tc>
              <w:tc>
                <w:tcPr/>
                <w:p>
                  <w:pPr>
                    <w:pStyle w:val="Compact"/>
                    <w:jc w:val="left"/>
                    <w:rPr>
                      <w:sz w:val="16"/>
                      <w:szCs w:val="16"/>
                    </w:rPr>
                  </w:pPr>
                  <w:r>
                    <w:rPr>
                      <w:sz w:val="16"/>
                      <w:szCs w:val="16"/>
                    </w:rPr>
                    <w:t xml:space="preserve">Stems x wind</w:t>
                  </w:r>
                </w:p>
              </w:tc>
              <w:tc>
                <w:tcPr/>
                <w:p>
                  <w:pPr>
                    <w:pStyle w:val="Compact"/>
                    <w:jc w:val="left"/>
                    <w:rPr>
                      <w:sz w:val="16"/>
                      <w:szCs w:val="16"/>
                    </w:rPr>
                  </w:pPr>
                  <w:r>
                    <w:rPr>
                      <w:sz w:val="16"/>
                      <w:szCs w:val="16"/>
                    </w:rPr>
                    <w:t xml:space="preserve">p</w:t>
                  </w:r>
                </w:p>
              </w:tc>
              <w:tc>
                <w:tcPr/>
                <w:p>
                  <w:pPr>
                    <w:pStyle w:val="Compact"/>
                    <w:jc w:val="left"/>
                    <w:rPr>
                      <w:sz w:val="16"/>
                      <w:szCs w:val="16"/>
                    </w:rPr>
                  </w:pPr>
                  <w:r>
                    <w:rPr>
                      <w:sz w:val="16"/>
                      <w:szCs w:val="16"/>
                    </w:rPr>
                    <w:t xml:space="preserve">Volume x wind</w:t>
                  </w:r>
                </w:p>
              </w:tc>
              <w:tc>
                <w:tcPr/>
                <w:p>
                  <w:pPr>
                    <w:pStyle w:val="Compact"/>
                    <w:jc w:val="left"/>
                    <w:rPr>
                      <w:sz w:val="16"/>
                      <w:szCs w:val="16"/>
                    </w:rPr>
                  </w:pPr>
                  <w:r>
                    <w:rPr>
                      <w:sz w:val="16"/>
                      <w:szCs w:val="16"/>
                    </w:rPr>
                    <w:t xml:space="preserve">p</w:t>
                  </w:r>
                </w:p>
              </w:tc>
              <w:tc>
                <w:tcPr/>
                <w:p>
                  <w:pPr>
                    <w:pStyle w:val="Compact"/>
                    <w:jc w:val="left"/>
                    <w:rPr>
                      <w:sz w:val="16"/>
                      <w:szCs w:val="16"/>
                    </w:rPr>
                  </w:pPr>
                  <w:r>
                    <w:rPr>
                      <w:sz w:val="16"/>
                      <w:szCs w:val="16"/>
                    </w:rPr>
                    <w:t xml:space="preserve">AUC</w:t>
                  </w:r>
                </w:p>
              </w:tc>
            </w:tr>
            <w:tr>
              <w:trPr>
                <w:trHeight w:val="340" w:hRule="exact"/>
              </w:trPr>
              <w:tc>
                <w:tcPr/>
                <w:p>
                  <w:pPr>
                    <w:pStyle w:val="Compact"/>
                    <w:jc w:val="left"/>
                    <w:rPr>
                      <w:sz w:val="16"/>
                      <w:szCs w:val="16"/>
                    </w:rPr>
                  </w:pPr>
                  <w:r>
                    <w:rPr>
                      <w:sz w:val="16"/>
                      <w:szCs w:val="16"/>
                    </w:rPr>
                    <w:t xml:space="preserve">Epoch wind regime (all hours)</w:t>
                  </w:r>
                </w:p>
              </w:tc>
              <w:tc>
                <w:tcPr/>
                <w:p>
                  <w:pPr>
                    <w:pStyle w:val="Compact"/>
                    <w:jc w:val="left"/>
                    <w:rPr>
                      <w:sz w:val="16"/>
                      <w:szCs w:val="16"/>
                    </w:rPr>
                  </w:pPr>
                  <w:r>
                    <w:rPr>
                      <w:sz w:val="16"/>
                      <w:szCs w:val="16"/>
                    </w:rPr>
                    <w:t xml:space="preserve">71,127</w:t>
                  </w:r>
                </w:p>
              </w:tc>
              <w:tc>
                <w:tcPr/>
                <w:p>
                  <w:pPr>
                    <w:pStyle w:val="Compact"/>
                    <w:jc w:val="left"/>
                    <w:rPr>
                      <w:sz w:val="16"/>
                      <w:szCs w:val="16"/>
                    </w:rPr>
                  </w:pPr>
                  <w:r>
                    <w:rPr>
                      <w:sz w:val="16"/>
                      <w:szCs w:val="16"/>
                    </w:rPr>
                    <w:t xml:space="preserve">5.04</w:t>
                  </w:r>
                </w:p>
              </w:tc>
              <w:tc>
                <w:tcPr/>
                <w:p>
                  <w:pPr>
                    <w:pStyle w:val="Compact"/>
                    <w:jc w:val="left"/>
                    <w:rPr>
                      <w:sz w:val="16"/>
                      <w:szCs w:val="16"/>
                    </w:rPr>
                  </w:pPr>
                  <w:r>
                    <w:rPr>
                      <w:sz w:val="16"/>
                      <w:szCs w:val="16"/>
                    </w:rPr>
                    <w:t xml:space="preserve">-0.0941</w:t>
                  </w:r>
                </w:p>
              </w:tc>
              <w:tc>
                <w:tcPr/>
                <w:p>
                  <w:pPr>
                    <w:pStyle w:val="Compact"/>
                    <w:jc w:val="left"/>
                    <w:rPr>
                      <w:sz w:val="16"/>
                      <w:szCs w:val="16"/>
                    </w:rPr>
                  </w:pPr>
                  <w:r>
                    <w:rPr>
                      <w:sz w:val="16"/>
                      <w:szCs w:val="16"/>
                    </w:rPr>
                    <w:t xml:space="preserve">&lt; 0.001</w:t>
                  </w:r>
                </w:p>
              </w:tc>
              <w:tc>
                <w:tcPr/>
                <w:p>
                  <w:pPr>
                    <w:pStyle w:val="Compact"/>
                    <w:jc w:val="left"/>
                    <w:rPr>
                      <w:sz w:val="16"/>
                      <w:szCs w:val="16"/>
                    </w:rPr>
                  </w:pPr>
                  <w:r>
                    <w:rPr>
                      <w:sz w:val="16"/>
                      <w:szCs w:val="16"/>
                    </w:rPr>
                    <w:t xml:space="preserve">-0.0410</w:t>
                  </w:r>
                </w:p>
              </w:tc>
              <w:tc>
                <w:tcPr/>
                <w:p>
                  <w:pPr>
                    <w:pStyle w:val="Compact"/>
                    <w:jc w:val="left"/>
                    <w:rPr>
                      <w:sz w:val="16"/>
                      <w:szCs w:val="16"/>
                    </w:rPr>
                  </w:pPr>
                  <w:r>
                    <w:rPr>
                      <w:sz w:val="16"/>
                      <w:szCs w:val="16"/>
                    </w:rPr>
                    <w:t xml:space="preserve">&lt; 0.001</w:t>
                  </w:r>
                </w:p>
              </w:tc>
              <w:tc>
                <w:tcPr/>
                <w:p>
                  <w:pPr>
                    <w:pStyle w:val="Compact"/>
                    <w:jc w:val="left"/>
                    <w:rPr>
                      <w:sz w:val="16"/>
                      <w:szCs w:val="16"/>
                    </w:rPr>
                  </w:pPr>
                  <w:r>
                    <w:rPr>
                      <w:sz w:val="16"/>
                      <w:szCs w:val="16"/>
                    </w:rPr>
                    <w:t xml:space="preserve">0.668</w:t>
                  </w:r>
                </w:p>
              </w:tc>
            </w:tr>
            <w:tr>
              <w:trPr>
                <w:trHeight w:val="340" w:hRule="exact"/>
              </w:trPr>
              <w:tc>
                <w:tcPr/>
                <w:p>
                  <w:pPr>
                    <w:pStyle w:val="Compact"/>
                    <w:jc w:val="left"/>
                    <w:rPr>
                      <w:sz w:val="16"/>
                      <w:szCs w:val="16"/>
                    </w:rPr>
                  </w:pPr>
                  <w:r>
                    <w:rPr>
                      <w:sz w:val="16"/>
                      <w:szCs w:val="16"/>
                    </w:rPr>
                    <w:t xml:space="preserve">12:00-17:00</w:t>
                  </w:r>
                </w:p>
              </w:tc>
              <w:tc>
                <w:tcPr/>
                <w:p>
                  <w:pPr>
                    <w:pStyle w:val="Compact"/>
                    <w:jc w:val="left"/>
                    <w:rPr>
                      <w:sz w:val="16"/>
                      <w:szCs w:val="16"/>
                    </w:rPr>
                  </w:pPr>
                  <w:r>
                    <w:rPr>
                      <w:sz w:val="16"/>
                      <w:szCs w:val="16"/>
                    </w:rPr>
                    <w:t xml:space="preserve">71,127</w:t>
                  </w:r>
                </w:p>
              </w:tc>
              <w:tc>
                <w:tcPr/>
                <w:p>
                  <w:pPr>
                    <w:pStyle w:val="Compact"/>
                    <w:jc w:val="left"/>
                    <w:rPr>
                      <w:sz w:val="16"/>
                      <w:szCs w:val="16"/>
                    </w:rPr>
                  </w:pPr>
                  <w:r>
                    <w:rPr>
                      <w:sz w:val="16"/>
                      <w:szCs w:val="16"/>
                    </w:rPr>
                    <w:t xml:space="preserve">6.45</w:t>
                  </w:r>
                </w:p>
              </w:tc>
              <w:tc>
                <w:tcPr/>
                <w:p>
                  <w:pPr>
                    <w:pStyle w:val="Compact"/>
                    <w:jc w:val="left"/>
                    <w:rPr>
                      <w:sz w:val="16"/>
                      <w:szCs w:val="16"/>
                    </w:rPr>
                  </w:pPr>
                  <w:r>
                    <w:rPr>
                      <w:sz w:val="16"/>
                      <w:szCs w:val="16"/>
                    </w:rPr>
                    <w:t xml:space="preserve">-0.0565</w:t>
                  </w:r>
                </w:p>
              </w:tc>
              <w:tc>
                <w:tcPr/>
                <w:p>
                  <w:pPr>
                    <w:pStyle w:val="Compact"/>
                    <w:jc w:val="left"/>
                    <w:rPr>
                      <w:sz w:val="16"/>
                      <w:szCs w:val="16"/>
                    </w:rPr>
                  </w:pPr>
                  <w:r>
                    <w:rPr>
                      <w:sz w:val="16"/>
                      <w:szCs w:val="16"/>
                    </w:rPr>
                    <w:t xml:space="preserve">&lt; 0.001</w:t>
                  </w:r>
                </w:p>
              </w:tc>
              <w:tc>
                <w:tcPr/>
                <w:p>
                  <w:pPr>
                    <w:pStyle w:val="Compact"/>
                    <w:jc w:val="left"/>
                    <w:rPr>
                      <w:sz w:val="16"/>
                      <w:szCs w:val="16"/>
                    </w:rPr>
                  </w:pPr>
                  <w:r>
                    <w:rPr>
                      <w:sz w:val="16"/>
                      <w:szCs w:val="16"/>
                    </w:rPr>
                    <w:t xml:space="preserve">-0.0082</w:t>
                  </w:r>
                </w:p>
              </w:tc>
              <w:tc>
                <w:tcPr/>
                <w:p>
                  <w:pPr>
                    <w:pStyle w:val="Compact"/>
                    <w:jc w:val="left"/>
                    <w:rPr>
                      <w:sz w:val="16"/>
                      <w:szCs w:val="16"/>
                    </w:rPr>
                  </w:pPr>
                  <w:r>
                    <w:rPr>
                      <w:sz w:val="16"/>
                      <w:szCs w:val="16"/>
                    </w:rPr>
                    <w:t xml:space="preserve">0.325</w:t>
                  </w:r>
                </w:p>
              </w:tc>
              <w:tc>
                <w:tcPr/>
                <w:p>
                  <w:pPr>
                    <w:pStyle w:val="Compact"/>
                    <w:jc w:val="left"/>
                    <w:rPr>
                      <w:sz w:val="16"/>
                      <w:szCs w:val="16"/>
                    </w:rPr>
                  </w:pPr>
                  <w:r>
                    <w:rPr>
                      <w:sz w:val="16"/>
                      <w:szCs w:val="16"/>
                    </w:rPr>
                    <w:t xml:space="preserve">0.667</w:t>
                  </w:r>
                </w:p>
              </w:tc>
            </w:tr>
            <w:tr>
              <w:trPr>
                <w:trHeight w:val="340" w:hRule="exact"/>
              </w:trPr>
              <w:tc>
                <w:tcPr/>
                <w:p>
                  <w:pPr>
                    <w:pStyle w:val="Compact"/>
                    <w:jc w:val="left"/>
                    <w:rPr>
                      <w:sz w:val="16"/>
                      <w:szCs w:val="16"/>
                    </w:rPr>
                  </w:pPr>
                  <w:r>
                    <w:rPr>
                      <w:sz w:val="16"/>
                      <w:szCs w:val="16"/>
                    </w:rPr>
                    <w:t xml:space="preserve">11:00-18:00</w:t>
                  </w:r>
                </w:p>
              </w:tc>
              <w:tc>
                <w:tcPr/>
                <w:p>
                  <w:pPr>
                    <w:pStyle w:val="Compact"/>
                    <w:jc w:val="left"/>
                    <w:rPr>
                      <w:sz w:val="16"/>
                      <w:szCs w:val="16"/>
                    </w:rPr>
                  </w:pPr>
                  <w:r>
                    <w:rPr>
                      <w:sz w:val="16"/>
                      <w:szCs w:val="16"/>
                    </w:rPr>
                    <w:t xml:space="preserve">71,127</w:t>
                  </w:r>
                </w:p>
              </w:tc>
              <w:tc>
                <w:tcPr/>
                <w:p>
                  <w:pPr>
                    <w:pStyle w:val="Compact"/>
                    <w:jc w:val="left"/>
                    <w:rPr>
                      <w:sz w:val="16"/>
                      <w:szCs w:val="16"/>
                    </w:rPr>
                  </w:pPr>
                  <w:r>
                    <w:rPr>
                      <w:sz w:val="16"/>
                      <w:szCs w:val="16"/>
                    </w:rPr>
                    <w:t xml:space="preserve">6.32</w:t>
                  </w:r>
                </w:p>
              </w:tc>
              <w:tc>
                <w:tcPr/>
                <w:p>
                  <w:pPr>
                    <w:pStyle w:val="Compact"/>
                    <w:jc w:val="left"/>
                    <w:rPr>
                      <w:sz w:val="16"/>
                      <w:szCs w:val="16"/>
                    </w:rPr>
                  </w:pPr>
                  <w:r>
                    <w:rPr>
                      <w:sz w:val="16"/>
                      <w:szCs w:val="16"/>
                    </w:rPr>
                    <w:t xml:space="preserve">-0.0623</w:t>
                  </w:r>
                </w:p>
              </w:tc>
              <w:tc>
                <w:tcPr/>
                <w:p>
                  <w:pPr>
                    <w:pStyle w:val="Compact"/>
                    <w:jc w:val="left"/>
                    <w:rPr>
                      <w:sz w:val="16"/>
                      <w:szCs w:val="16"/>
                    </w:rPr>
                  </w:pPr>
                  <w:r>
                    <w:rPr>
                      <w:sz w:val="16"/>
                      <w:szCs w:val="16"/>
                    </w:rPr>
                    <w:t xml:space="preserve">&lt; 0.001</w:t>
                  </w:r>
                </w:p>
              </w:tc>
              <w:tc>
                <w:tcPr/>
                <w:p>
                  <w:pPr>
                    <w:pStyle w:val="Compact"/>
                    <w:jc w:val="left"/>
                    <w:rPr>
                      <w:sz w:val="16"/>
                      <w:szCs w:val="16"/>
                    </w:rPr>
                  </w:pPr>
                  <w:r>
                    <w:rPr>
                      <w:sz w:val="16"/>
                      <w:szCs w:val="16"/>
                    </w:rPr>
                    <w:t xml:space="preserve">-0.0161</w:t>
                  </w:r>
                </w:p>
              </w:tc>
              <w:tc>
                <w:tcPr/>
                <w:p>
                  <w:pPr>
                    <w:pStyle w:val="Compact"/>
                    <w:jc w:val="left"/>
                    <w:rPr>
                      <w:sz w:val="16"/>
                      <w:szCs w:val="16"/>
                    </w:rPr>
                  </w:pPr>
                  <w:r>
                    <w:rPr>
                      <w:sz w:val="16"/>
                      <w:szCs w:val="16"/>
                    </w:rPr>
                    <w:t xml:space="preserve">0.054</w:t>
                  </w:r>
                </w:p>
              </w:tc>
              <w:tc>
                <w:tcPr/>
                <w:p>
                  <w:pPr>
                    <w:pStyle w:val="Compact"/>
                    <w:jc w:val="left"/>
                    <w:rPr>
                      <w:sz w:val="16"/>
                      <w:szCs w:val="16"/>
                    </w:rPr>
                  </w:pPr>
                  <w:r>
                    <w:rPr>
                      <w:sz w:val="16"/>
                      <w:szCs w:val="16"/>
                    </w:rPr>
                    <w:t xml:space="preserve">0.667</w:t>
                  </w:r>
                </w:p>
              </w:tc>
            </w:tr>
            <w:tr>
              <w:trPr>
                <w:trHeight w:val="340" w:hRule="exact"/>
              </w:trPr>
              <w:tc>
                <w:tcPr/>
                <w:p>
                  <w:pPr>
                    <w:pStyle w:val="Compact"/>
                    <w:jc w:val="left"/>
                    <w:rPr>
                      <w:sz w:val="16"/>
                      <w:szCs w:val="16"/>
                    </w:rPr>
                  </w:pPr>
                  <w:r>
                    <w:rPr>
                      <w:sz w:val="16"/>
                      <w:szCs w:val="16"/>
                    </w:rPr>
                    <w:t xml:space="preserve">Inside the 19-41 C gate</w:t>
                  </w:r>
                </w:p>
              </w:tc>
              <w:tc>
                <w:tcPr/>
                <w:p>
                  <w:pPr>
                    <w:pStyle w:val="Compact"/>
                    <w:jc w:val="left"/>
                    <w:rPr>
                      <w:sz w:val="16"/>
                      <w:szCs w:val="16"/>
                    </w:rPr>
                  </w:pPr>
                  <w:r>
                    <w:rPr>
                      <w:sz w:val="16"/>
                      <w:szCs w:val="16"/>
                    </w:rPr>
                    <w:t xml:space="preserve">69,711</w:t>
                  </w:r>
                </w:p>
              </w:tc>
              <w:tc>
                <w:tcPr/>
                <w:p>
                  <w:pPr>
                    <w:pStyle w:val="Compact"/>
                    <w:jc w:val="left"/>
                    <w:rPr>
                      <w:sz w:val="16"/>
                      <w:szCs w:val="16"/>
                    </w:rPr>
                  </w:pPr>
                  <w:r>
                    <w:rPr>
                      <w:sz w:val="16"/>
                      <w:szCs w:val="16"/>
                    </w:rPr>
                    <w:t xml:space="preserve">5.67</w:t>
                  </w:r>
                </w:p>
              </w:tc>
              <w:tc>
                <w:tcPr/>
                <w:p>
                  <w:pPr>
                    <w:pStyle w:val="Compact"/>
                    <w:jc w:val="left"/>
                    <w:rPr>
                      <w:sz w:val="16"/>
                      <w:szCs w:val="16"/>
                    </w:rPr>
                  </w:pPr>
                  <w:r>
                    <w:rPr>
                      <w:sz w:val="16"/>
                      <w:szCs w:val="16"/>
                    </w:rPr>
                    <w:t xml:space="preserve">-0.0596</w:t>
                  </w:r>
                </w:p>
              </w:tc>
              <w:tc>
                <w:tcPr/>
                <w:p>
                  <w:pPr>
                    <w:pStyle w:val="Compact"/>
                    <w:jc w:val="left"/>
                    <w:rPr>
                      <w:sz w:val="16"/>
                      <w:szCs w:val="16"/>
                    </w:rPr>
                  </w:pPr>
                  <w:r>
                    <w:rPr>
                      <w:sz w:val="16"/>
                      <w:szCs w:val="16"/>
                    </w:rPr>
                    <w:t xml:space="preserve">&lt; 0.001</w:t>
                  </w:r>
                </w:p>
              </w:tc>
              <w:tc>
                <w:tcPr/>
                <w:p>
                  <w:pPr>
                    <w:pStyle w:val="Compact"/>
                    <w:jc w:val="left"/>
                    <w:rPr>
                      <w:sz w:val="16"/>
                      <w:szCs w:val="16"/>
                    </w:rPr>
                  </w:pPr>
                  <w:r>
                    <w:rPr>
                      <w:sz w:val="16"/>
                      <w:szCs w:val="16"/>
                    </w:rPr>
                    <w:t xml:space="preserve">-0.0325</w:t>
                  </w:r>
                </w:p>
              </w:tc>
              <w:tc>
                <w:tcPr/>
                <w:p>
                  <w:pPr>
                    <w:pStyle w:val="Compact"/>
                    <w:jc w:val="left"/>
                    <w:rPr>
                      <w:sz w:val="16"/>
                      <w:szCs w:val="16"/>
                    </w:rPr>
                  </w:pPr>
                  <w:r>
                    <w:rPr>
                      <w:sz w:val="16"/>
                      <w:szCs w:val="16"/>
                    </w:rPr>
                    <w:t xml:space="preserve">&lt; 0.001</w:t>
                  </w:r>
                </w:p>
              </w:tc>
              <w:tc>
                <w:tcPr/>
                <w:p>
                  <w:pPr>
                    <w:pStyle w:val="Compact"/>
                    <w:jc w:val="left"/>
                    <w:rPr>
                      <w:sz w:val="16"/>
                      <w:szCs w:val="16"/>
                    </w:rPr>
                  </w:pPr>
                  <w:r>
                    <w:rPr>
                      <w:sz w:val="16"/>
                      <w:szCs w:val="16"/>
                    </w:rPr>
                    <w:t xml:space="preserve">0.666</w:t>
                  </w:r>
                </w:p>
              </w:tc>
            </w:tr>
          </w:tbl>
          <w:bookmarkEnd w:id="60"/>
          <w:p/>
        </w:tc>
      </w:tr>
    </w:tbl>
    <w:bookmarkEnd w:id="61"/>
    <w:bookmarkEnd w:id="62"/>
    <w:bookmarkStart w:id="68" w:name="discussion"/>
    <w:p>
      <w:pPr>
        <w:pStyle w:val="Heading1"/>
      </w:pPr>
      <w:r>
        <w:t xml:space="preserve">5. Discussion</w:t>
      </w:r>
    </w:p>
    <w:bookmarkStart w:id="63" w:name="radiation-not-wind"/>
    <w:p>
      <w:pPr>
        <w:pStyle w:val="Heading2"/>
      </w:pPr>
      <w:r>
        <w:t xml:space="preserve">5.1 Radiation, not wind</w:t>
      </w:r>
    </w:p>
    <w:p>
      <w:pPr>
        <w:pStyle w:val="FirstParagraph"/>
      </w:pPr>
      <w:r>
        <w:t xml:space="preserve">The clearest result of this study is methodological. It changes what a terrain variable in</w:t>
      </w:r>
      <w:r>
        <w:t xml:space="preserve"> </w:t>
      </w:r>
      <w:r>
        <w:t xml:space="preserve">this literature can be read as.</w:t>
      </w:r>
    </w:p>
    <w:p>
      <w:pPr>
        <w:pStyle w:val="BodyText"/>
      </w:pPr>
      <w:r>
        <w:t xml:space="preserve">Fitted with a terrain-wind index and no radiation, stand density interacts with terrain</w:t>
      </w:r>
      <w:r>
        <w:t xml:space="preserve"> </w:t>
      </w:r>
      <w:r>
        <w:t xml:space="preserve">exposure at -0.068, and the natural reading is a wind effect. Add flight-window</w:t>
      </w:r>
      <w:r>
        <w:t xml:space="preserve"> </w:t>
      </w:r>
      <w:r>
        <w:t xml:space="preserve">radiation and that interaction becomes -0.040, p = 0.098, while density by</w:t>
      </w:r>
      <w:r>
        <w:t xml:space="preserve"> </w:t>
      </w:r>
      <w:r>
        <w:t xml:space="preserve">radiation appears at +0.103. About two fifths of the apparent</w:t>
      </w:r>
      <w:r>
        <w:t xml:space="preserve"> </w:t>
      </w:r>
      <w:r>
        <w:t xml:space="preserve">exposure effect was the sun. The rest was not, and what survives keeps the sign the</w:t>
      </w:r>
      <w:r>
        <w:t xml:space="preserve"> </w:t>
      </w:r>
      <w:r>
        <w:t xml:space="preserve">mechanism forbids.</w:t>
      </w:r>
    </w:p>
    <w:p>
      <w:pPr>
        <w:pStyle w:val="BodyText"/>
      </w:pPr>
      <w:r>
        <w:t xml:space="preserve">That is not a peculiarity of this dataset. A windward-leeward index and an afternoon</w:t>
      </w:r>
      <w:r>
        <w:t xml:space="preserve"> </w:t>
      </w:r>
      <w:r>
        <w:t xml:space="preserve">radiation surface are both functions of slope and aspect, and on a range whose prevailing</w:t>
      </w:r>
      <w:r>
        <w:t xml:space="preserve"> </w:t>
      </w:r>
      <w:r>
        <w:t xml:space="preserve">flight-window bearing is 258 degrees the windward slopes are the</w:t>
      </w:r>
      <w:r>
        <w:t xml:space="preserve"> </w:t>
      </w:r>
      <w:r>
        <w:t xml:space="preserve">west-facing ones, which are also the slopes that take afternoon sun during the flight peak.</w:t>
      </w:r>
      <w:r>
        <w:t xml:space="preserve"> </w:t>
      </w:r>
      <w:r>
        <w:t xml:space="preserve">Any study that enters a terrain-derived wind index without a radiation term on the same</w:t>
      </w:r>
      <w:r>
        <w:t xml:space="preserve"> </w:t>
      </w:r>
      <w:r>
        <w:t xml:space="preserve">clock will attribute radiation to wind.</w:t>
      </w:r>
    </w:p>
    <w:bookmarkEnd w:id="63"/>
    <w:bookmarkStart w:id="64" w:name="what-survives"/>
    <w:p>
      <w:pPr>
        <w:pStyle w:val="Heading2"/>
      </w:pPr>
      <w:r>
        <w:t xml:space="preserve">5.2 What survives</w:t>
      </w:r>
    </w:p>
    <w:p>
      <w:pPr>
        <w:pStyle w:val="FirstParagraph"/>
      </w:pPr>
      <w:r>
        <w:t xml:space="preserve">This study tested the three mechanisms</w:t>
      </w:r>
      <w:r>
        <w:t xml:space="preserve"> </w:t>
      </w:r>
      <w:r>
        <w:t xml:space="preserve">Krawchuk et al. (2020)</w:t>
      </w:r>
      <w:r>
        <w:t xml:space="preserve"> </w:t>
      </w:r>
      <w:r>
        <w:t xml:space="preserve">propose for refugia from mountain pine</w:t>
      </w:r>
      <w:r>
        <w:t xml:space="preserve"> </w:t>
      </w:r>
      <w:r>
        <w:t xml:space="preserve">beetle, using a response measured at the sixteen-day cadence the sensor and the insect share.</w:t>
      </w:r>
      <w:r>
        <w:t xml:space="preserve"> </w:t>
      </w:r>
      <w:r>
        <w:t xml:space="preserve">Support was partial. H2, low host density admitting the wind that</w:t>
      </w:r>
      <w:r>
        <w:t xml:space="preserve"> </w:t>
      </w:r>
      <w:r>
        <w:t xml:space="preserve">disperses the aggregation pheromone, was supported, and in the conditional form the mechanism</w:t>
      </w:r>
      <w:r>
        <w:t xml:space="preserve"> </w:t>
      </w:r>
      <w:r>
        <w:t xml:space="preserve">specifies rather than as a main effect. H3, a scarcity of large-diameter hosts, was supported</w:t>
      </w:r>
      <w:r>
        <w:t xml:space="preserve"> </w:t>
      </w:r>
      <w:r>
        <w:t xml:space="preserve">as a threshold rather than as a gradient. H1, topographic shading, was not supported, and the</w:t>
      </w:r>
      <w:r>
        <w:t xml:space="preserve"> </w:t>
      </w:r>
      <w:r>
        <w:t xml:space="preserve">term that rejects it is the least secure in the study.</w:t>
      </w:r>
    </w:p>
    <w:p>
      <w:pPr>
        <w:pStyle w:val="BodyText"/>
      </w:pPr>
      <w:r>
        <w:t xml:space="preserve">H2, host density, holds, and it holds in the conditional form the mechanism specifies</w:t>
      </w:r>
      <w:r>
        <w:t xml:space="preserve"> </w:t>
      </w:r>
      <w:r>
        <w:t xml:space="preserve">rather than as a bare main effect. Stand basal area predicts disturbance at +0.504, and</w:t>
      </w:r>
      <w:r>
        <w:t xml:space="preserve"> </w:t>
      </w:r>
      <w:r>
        <w:t xml:space="preserve">its interaction with wind is -0.017 while stem density’s is -0.049. The</w:t>
      </w:r>
      <w:r>
        <w:t xml:space="preserve"> </w:t>
      </w:r>
      <w:r>
        <w:t xml:space="preserve">claim was never that dense stands are attacked more. It was that a dense canopy holds a</w:t>
      </w:r>
      <w:r>
        <w:t xml:space="preserve"> </w:t>
      </w:r>
      <w:r>
        <w:t xml:space="preserve">plume together, and that the advantage this gives the beetle should shrink as the wind rises.</w:t>
      </w:r>
      <w:r>
        <w:t xml:space="preserve"> </w:t>
      </w:r>
      <w:r>
        <w:t xml:space="preserve">Both halves are present.</w:t>
      </w:r>
    </w:p>
    <w:p>
      <w:pPr>
        <w:pStyle w:val="BodyText"/>
      </w:pPr>
      <w:r>
        <w:t xml:space="preserve">H3, large-diameter host, holds as a threshold rather than a gradient. Attack peaks at</w:t>
      </w:r>
      <w:r>
        <w:t xml:space="preserve"> </w:t>
      </w:r>
      <w:r>
        <w:t xml:space="preserve">39.7 per cent in the 25 to 30 cm</w:t>
      </w:r>
      <w:r>
        <w:t xml:space="preserve"> </w:t>
      </w:r>
      <w:r>
        <w:t xml:space="preserve">class, at the source-sink boundary of</w:t>
      </w:r>
      <w:r>
        <w:t xml:space="preserve"> </w:t>
      </w:r>
      <w:r>
        <w:t xml:space="preserve">Carroll &amp; Safranyik (2004)</w:t>
      </w:r>
      <w:r>
        <w:t xml:space="preserve">, and falls away on both sides.</w:t>
      </w:r>
    </w:p>
    <w:p>
      <w:pPr>
        <w:pStyle w:val="BodyText"/>
      </w:pPr>
      <w:r>
        <w:t xml:space="preserve">H1, topographic shading, does not hold, and it fails on a stand-in rather than on the</w:t>
      </w:r>
      <w:r>
        <w:t xml:space="preserve"> </w:t>
      </w:r>
      <w:r>
        <w:t xml:space="preserve">quantity the mechanism names. Growing-season radiation did not survive variable selection, so</w:t>
      </w:r>
      <w:r>
        <w:t xml:space="preserve"> </w:t>
      </w:r>
      <w:r>
        <w:t xml:space="preserve">northness stands in for the pathway, and it correlates -0.824</w:t>
      </w:r>
      <w:r>
        <w:t xml:space="preserve"> </w:t>
      </w:r>
      <w:r>
        <w:t xml:space="preserve">with it. Northness is +0.305, so shaded ground has more attack where the</w:t>
      </w:r>
      <w:r>
        <w:t xml:space="preserve"> </w:t>
      </w:r>
      <w:r>
        <w:t xml:space="preserve">mechanism requires less. Northness tests aspect, and aspect measures more than shade, so this</w:t>
      </w:r>
      <w:r>
        <w:t xml:space="preserve"> </w:t>
      </w:r>
      <w:r>
        <w:t xml:space="preserve">is the least secure of the three verdicts. The water-stress pathway</w:t>
      </w:r>
      <w:r>
        <w:t xml:space="preserve"> </w:t>
      </w:r>
      <w:r>
        <w:t xml:space="preserve">Krawchuk et al. (2020)</w:t>
      </w:r>
      <w:r>
        <w:t xml:space="preserve"> </w:t>
      </w:r>
      <w:r>
        <w:t xml:space="preserve">describe is</w:t>
      </w:r>
      <w:r>
        <w:t xml:space="preserve"> </w:t>
      </w:r>
      <w:r>
        <w:t xml:space="preserve">not measured here at all.</w:t>
      </w:r>
    </w:p>
    <w:bookmarkEnd w:id="64"/>
    <w:bookmarkStart w:id="65" w:name="the-wind-claim"/>
    <w:p>
      <w:pPr>
        <w:pStyle w:val="Heading2"/>
      </w:pPr>
      <w:r>
        <w:t xml:space="preserve">5.3 The wind claim</w:t>
      </w:r>
    </w:p>
    <w:p>
      <w:pPr>
        <w:pStyle w:val="FirstParagraph"/>
      </w:pPr>
      <w:r>
        <w:t xml:space="preserve">Stand density interacts with terrain-resolved wind at -0.049 for stem density and</w:t>
      </w:r>
      <w:r>
        <w:t xml:space="preserve"> </w:t>
      </w:r>
      <w:r>
        <w:t xml:space="preserve">-0.017 for standing volume, both negative, at p &lt; 0.001 and</w:t>
      </w:r>
      <w:r>
        <w:t xml:space="preserve"> </w:t>
      </w:r>
      <w:r>
        <w:t xml:space="preserve">p = 0.038 respectively. A dense stand is worth less to the beetle where and when</w:t>
      </w:r>
      <w:r>
        <w:t xml:space="preserve"> </w:t>
      </w:r>
      <w:r>
        <w:t xml:space="preserve">the wind blows harder, which is what</w:t>
      </w:r>
      <w:r>
        <w:t xml:space="preserve"> </w:t>
      </w:r>
      <w:r>
        <w:t xml:space="preserve">Krawchuk et al. (2020)</w:t>
      </w:r>
      <w:r>
        <w:t xml:space="preserve"> </w:t>
      </w:r>
      <w:r>
        <w:t xml:space="preserve">predict. The result survives entering the</w:t>
      </w:r>
      <w:r>
        <w:t xml:space="preserve"> </w:t>
      </w:r>
      <w:r>
        <w:t xml:space="preserve">previous epoch of the same season, so it is not the outbreak’s own spread appearing as a</w:t>
      </w:r>
      <w:r>
        <w:t xml:space="preserve"> </w:t>
      </w:r>
      <w:r>
        <w:t xml:space="preserve">wind coefficient.</w:t>
      </w:r>
    </w:p>
    <w:p>
      <w:pPr>
        <w:pStyle w:val="BodyText"/>
      </w:pPr>
      <w:r>
        <w:t xml:space="preserve">The mechanism concerns a plume that persists for minutes over a flight period of weeks, and</w:t>
      </w:r>
      <w:r>
        <w:t xml:space="preserve"> </w:t>
      </w:r>
      <w:r>
        <w:t xml:space="preserve">the wind term is measured over the sixteen days an epoch covers for that reason.</w:t>
      </w:r>
      <w:r>
        <w:t xml:space="preserve"> </w:t>
      </w:r>
      <w:r>
        <w:t xml:space="preserve">Krawchuk et al. (2020)</w:t>
      </w:r>
      <w:r>
        <w:t xml:space="preserve"> </w:t>
      </w:r>
      <w:r>
        <w:t xml:space="preserve">name wind without naming the interval it should be summarised over, and nothing in the</w:t>
      </w:r>
      <w:r>
        <w:t xml:space="preserve"> </w:t>
      </w:r>
      <w:r>
        <w:t xml:space="preserve">literature since has supplied one.</w:t>
      </w:r>
    </w:p>
    <w:p>
      <w:pPr>
        <w:pStyle w:val="BodyText"/>
      </w:pPr>
      <w:r>
        <w:t xml:space="preserve">Two limits stay attached to the claim. The interaction is small, roughly a tenth of the</w:t>
      </w:r>
      <w:r>
        <w:t xml:space="preserve"> </w:t>
      </w:r>
      <w:r>
        <w:t xml:space="preserve">stand basal area main effect. And the wind field, though it varies in space, is still</w:t>
      </w:r>
      <w:r>
        <w:t xml:space="preserve"> </w:t>
      </w:r>
      <w:r>
        <w:t xml:space="preserve">terrain-modified station data rather than measurement on the ridge, so what is established</w:t>
      </w:r>
      <w:r>
        <w:t xml:space="preserve"> </w:t>
      </w:r>
      <w:r>
        <w:t xml:space="preserve">is that the modelled wind field behaves as the mechanism requires, not that the air did.</w:t>
      </w:r>
    </w:p>
    <w:bookmarkEnd w:id="65"/>
    <w:bookmarkStart w:id="66" w:name="ruggedness-and-regeneration"/>
    <w:p>
      <w:pPr>
        <w:pStyle w:val="Heading2"/>
      </w:pPr>
      <w:r>
        <w:t xml:space="preserve">5.4 Ruggedness and regeneration</w:t>
      </w:r>
    </w:p>
    <w:p>
      <w:pPr>
        <w:pStyle w:val="FirstParagraph"/>
      </w:pPr>
      <w:r>
        <w:t xml:space="preserve">The two papers now share a grid, a landscape and a terrain covariate set, and they disagree</w:t>
      </w:r>
      <w:r>
        <w:t xml:space="preserve"> </w:t>
      </w:r>
      <w:r>
        <w:t xml:space="preserve">on the sign of ruggedness. It is -0.005 for beetle attack here, against a positive</w:t>
      </w:r>
      <w:r>
        <w:t xml:space="preserve"> </w:t>
      </w:r>
      <w:r>
        <w:t xml:space="preserve">coefficient for conifer regeneration in</w:t>
      </w:r>
      <w:r>
        <w:t xml:space="preserve"> </w:t>
      </w:r>
      <w:r>
        <w:t xml:space="preserve">Murphy et al. (2026)</w:t>
      </w:r>
      <w:r>
        <w:t xml:space="preserve">. Read together they describe a</w:t>
      </w:r>
      <w:r>
        <w:t xml:space="preserve"> </w:t>
      </w:r>
      <w:r>
        <w:t xml:space="preserve">landscape in which rugged ground both resists the disturbance and shelters the recovery from</w:t>
      </w:r>
      <w:r>
        <w:t xml:space="preserve"> </w:t>
      </w:r>
      <w:r>
        <w:t xml:space="preserve">it. That is a coherent picture, not a contradiction, and it is only visible because the two</w:t>
      </w:r>
      <w:r>
        <w:t xml:space="preserve"> </w:t>
      </w:r>
      <w:r>
        <w:t xml:space="preserve">studies were fitted on the same grid in EPSG:3153.</w:t>
      </w:r>
    </w:p>
    <w:bookmarkEnd w:id="66"/>
    <w:bookmarkStart w:id="67" w:name="what-stays-confounded"/>
    <w:p>
      <w:pPr>
        <w:pStyle w:val="Heading2"/>
      </w:pPr>
      <w:r>
        <w:t xml:space="preserve">5.5 What stays confounded</w:t>
      </w:r>
    </w:p>
    <w:p>
      <w:pPr>
        <w:pStyle w:val="FirstParagraph"/>
      </w:pPr>
      <w:r>
        <w:t xml:space="preserve">Elevation is among the largest terms in the model, +0.337, and elevation is not</w:t>
      </w:r>
      <w:r>
        <w:t xml:space="preserve"> </w:t>
      </w:r>
      <w:r>
        <w:t xml:space="preserve">one thing. It combines temperature, snowpack, growing-season length and the distribution of</w:t>
      </w:r>
      <w:r>
        <w:t xml:space="preserve"> </w:t>
      </w:r>
      <w:r>
        <w:t xml:space="preserve">lodgepole pine, and this design cannot take them apart. Reporting the elevation coefficient</w:t>
      </w:r>
      <w:r>
        <w:t xml:space="preserve"> </w:t>
      </w:r>
      <w:r>
        <w:t xml:space="preserve">as a result would be reporting a composite.</w:t>
      </w:r>
    </w:p>
    <w:p>
      <w:pPr>
        <w:pStyle w:val="BodyText"/>
      </w:pPr>
      <w:r>
        <w:t xml:space="preserve">The same caution now applies in reverse to every terrain term in the model. Radiation took</w:t>
      </w:r>
      <w:r>
        <w:t xml:space="preserve"> </w:t>
      </w:r>
      <w:r>
        <w:t xml:space="preserve">about a third of one terrain interaction. There is no guarantee that some further unmeasured</w:t>
      </w:r>
      <w:r>
        <w:t xml:space="preserve"> </w:t>
      </w:r>
      <w:r>
        <w:t xml:space="preserve">environmental surface would not take the rest, or another.</w:t>
      </w:r>
    </w:p>
    <w:bookmarkEnd w:id="67"/>
    <w:bookmarkEnd w:id="68"/>
    <w:bookmarkStart w:id="69" w:name="conclusions"/>
    <w:p>
      <w:pPr>
        <w:pStyle w:val="Heading1"/>
      </w:pPr>
      <w:r>
        <w:t xml:space="preserve">6. Conclusions</w:t>
      </w:r>
    </w:p>
    <w:p>
      <w:pPr>
        <w:pStyle w:val="FirstParagraph"/>
      </w:pPr>
      <w:r>
        <w:t xml:space="preserve">The wind-disruption mechanism proposed by</w:t>
      </w:r>
      <w:r>
        <w:t xml:space="preserve"> </w:t>
      </w:r>
      <w:r>
        <w:t xml:space="preserve">Krawchuk et al. (2020)</w:t>
      </w:r>
      <w:r>
        <w:t xml:space="preserve"> </w:t>
      </w:r>
      <w:r>
        <w:t xml:space="preserve">holds on this landscape, at the</w:t>
      </w:r>
      <w:r>
        <w:t xml:space="preserve"> </w:t>
      </w:r>
      <w:r>
        <w:t xml:space="preserve">resolution the sensor and the insect share. Across 59 sixteen-day epochs, stand</w:t>
      </w:r>
      <w:r>
        <w:t xml:space="preserve"> </w:t>
      </w:r>
      <w:r>
        <w:t xml:space="preserve">density interacts negatively with terrain-resolved wind, -0.049 for stem density</w:t>
      </w:r>
      <w:r>
        <w:t xml:space="preserve"> </w:t>
      </w:r>
      <w:r>
        <w:t xml:space="preserve">and -0.017 for standing volume, and both survive a within-season spread term. A</w:t>
      </w:r>
      <w:r>
        <w:t xml:space="preserve"> </w:t>
      </w:r>
      <w:r>
        <w:t xml:space="preserve">dense canopy is worth less to the beetle where and when the wind blows harder, which is what</w:t>
      </w:r>
      <w:r>
        <w:t xml:space="preserve"> </w:t>
      </w:r>
      <w:r>
        <w:t xml:space="preserve">a plume-disruption mechanism requires.</w:t>
      </w:r>
    </w:p>
    <w:p>
      <w:pPr>
        <w:pStyle w:val="BodyText"/>
      </w:pPr>
      <w:r>
        <w:t xml:space="preserve">Of the three mechanisms that proposal names, two hold. Host density holds through stand</w:t>
      </w:r>
      <w:r>
        <w:t xml:space="preserve"> </w:t>
      </w:r>
      <w:r>
        <w:t xml:space="preserve">basal area, +0.504, with live stems agreeing in sign and crown closure alone running</w:t>
      </w:r>
      <w:r>
        <w:t xml:space="preserve"> </w:t>
      </w:r>
      <w:r>
        <w:t xml:space="preserve">the other way, and large-diameter host holds as a threshold at 25 to 30 cm rather than as a</w:t>
      </w:r>
      <w:r>
        <w:t xml:space="preserve"> </w:t>
      </w:r>
      <w:r>
        <w:t xml:space="preserve">slope, at the source-sink boundary of</w:t>
      </w:r>
      <w:r>
        <w:t xml:space="preserve"> </w:t>
      </w:r>
      <w:r>
        <w:t xml:space="preserve">Carroll &amp; Safranyik (2004)</w:t>
      </w:r>
      <w:r>
        <w:t xml:space="preserve">. Topographic shading does not</w:t>
      </w:r>
      <w:r>
        <w:t xml:space="preserve"> </w:t>
      </w:r>
      <w:r>
        <w:t xml:space="preserve">hold, and it fails on a surrogate. Growing-season radiation did not survive selection, so</w:t>
      </w:r>
      <w:r>
        <w:t xml:space="preserve"> </w:t>
      </w:r>
      <w:r>
        <w:t xml:space="preserve">northness stands in for the pathway at +0.305, and the two correlate</w:t>
      </w:r>
      <w:r>
        <w:t xml:space="preserve"> </w:t>
      </w:r>
      <w:r>
        <w:t xml:space="preserve">-0.824.</w:t>
      </w:r>
    </w:p>
    <w:p>
      <w:pPr>
        <w:pStyle w:val="BodyText"/>
      </w:pPr>
      <w:r>
        <w:t xml:space="preserve">Two measurement results travel beyond this landscape, and both concern variables that look</w:t>
      </w:r>
      <w:r>
        <w:t xml:space="preserve"> </w:t>
      </w:r>
      <w:r>
        <w:t xml:space="preserve">like one thing and behave as another.</w:t>
      </w:r>
    </w:p>
    <w:p>
      <w:pPr>
        <w:pStyle w:val="BodyText"/>
      </w:pPr>
      <w:r>
        <w:t xml:space="preserve">A terrain wind index is partly a measurement of sunlight. Entering flight-window radiation</w:t>
      </w:r>
      <w:r>
        <w:t xml:space="preserve"> </w:t>
      </w:r>
      <w:r>
        <w:t xml:space="preserve">weakened the density by terrain-exposure interaction from -0.068 to -0.040.</w:t>
      </w:r>
      <w:r>
        <w:t xml:space="preserve"> </w:t>
      </w:r>
      <w:r>
        <w:t xml:space="preserve">On any range whose prevailing bearing puts the windward slopes into the afternoon sun, and</w:t>
      </w:r>
      <w:r>
        <w:t xml:space="preserve"> </w:t>
      </w:r>
      <w:r>
        <w:t xml:space="preserve">that is most of them, a study entering a windward-leeward index without a radiation term on</w:t>
      </w:r>
      <w:r>
        <w:t xml:space="preserve"> </w:t>
      </w:r>
      <w:r>
        <w:t xml:space="preserve">the same clock will attribute radiation to wind.</w:t>
      </w:r>
    </w:p>
    <w:p>
      <w:pPr>
        <w:pStyle w:val="BodyText"/>
      </w:pPr>
      <w:r>
        <w:t xml:space="preserve">A landform variable in a spreading outbreak partly records where the outbreak has already</w:t>
      </w:r>
      <w:r>
        <w:t xml:space="preserve"> </w:t>
      </w:r>
      <w:r>
        <w:t xml:space="preserve">been. Entering previous-year attack left valley depth retaining 0.18 of</w:t>
      </w:r>
      <w:r>
        <w:t xml:space="preserve"> </w:t>
      </w:r>
      <w:r>
        <w:t xml:space="preserve">its coefficient and moved mid-slope position to 1.35, against</w:t>
      </w:r>
      <w:r>
        <w:t xml:space="preserve"> </w:t>
      </w:r>
      <w:r>
        <w:t xml:space="preserve">1.23 for ruggedness, which describes a condition a cell has whether or not the</w:t>
      </w:r>
      <w:r>
        <w:t xml:space="preserve"> </w:t>
      </w:r>
      <w:r>
        <w:t xml:space="preserve">beetle ever arrived. Landform terms fitted without a contagion term are not measuring</w:t>
      </w:r>
      <w:r>
        <w:t xml:space="preserve"> </w:t>
      </w:r>
      <w:r>
        <w:t xml:space="preserve">landform alone.</w:t>
      </w:r>
    </w:p>
    <w:bookmarkEnd w:id="69"/>
    <w:bookmarkStart w:id="70" w:name="sec-limits"/>
    <w:p>
      <w:pPr>
        <w:pStyle w:val="Heading1"/>
      </w:pPr>
      <w:r>
        <w:t xml:space="preserve">7. Limitations</w:t>
      </w:r>
    </w:p>
    <w:p>
      <w:pPr>
        <w:pStyle w:val="FirstParagraph"/>
      </w:pPr>
      <w:r>
        <w:rPr>
          <w:b/>
          <w:bCs/>
        </w:rPr>
        <w:t xml:space="preserve">Radiation and exposure are not separable in the flight window.</w:t>
      </w:r>
      <w:r>
        <w:t xml:space="preserve"> </w:t>
      </w:r>
      <w:r>
        <w:t xml:space="preserve">The prevailing bearing is</w:t>
      </w:r>
      <w:r>
        <w:t xml:space="preserve"> </w:t>
      </w:r>
      <w:r>
        <w:t xml:space="preserve">258 degrees, so windward slopes face west and take afternoon sun.</w:t>
      </w:r>
      <w:r>
        <w:t xml:space="preserve"> </w:t>
      </w:r>
      <w:r>
        <w:t xml:space="preserve">Flight-window radiation correlates -0.595 with the</w:t>
      </w:r>
      <w:r>
        <w:t xml:space="preserve"> </w:t>
      </w:r>
      <w:r>
        <w:t xml:space="preserve">windward-leeward index. Its positive coefficient is consistent with the thermal gate and with</w:t>
      </w:r>
      <w:r>
        <w:t xml:space="preserve"> </w:t>
      </w:r>
      <w:r>
        <w:t xml:space="preserve">exposure raising attack, and this design cannot choose between them.</w:t>
      </w:r>
    </w:p>
    <w:p>
      <w:pPr>
        <w:pStyle w:val="BodyText"/>
      </w:pPr>
      <w:r>
        <w:rPr>
          <w:b/>
          <w:bCs/>
        </w:rPr>
        <w:t xml:space="preserve">The shading mechanism is tested on a surrogate.</w:t>
      </w:r>
      <w:r>
        <w:t xml:space="preserve"> </w:t>
      </w:r>
      <w:r>
        <w:t xml:space="preserve">Growing-season direct radiation did not</w:t>
      </w:r>
      <w:r>
        <w:t xml:space="preserve"> </w:t>
      </w:r>
      <w:r>
        <w:t xml:space="preserve">survive variable selection, so northness stands in for the pathway, and it correlates</w:t>
      </w:r>
      <w:r>
        <w:t xml:space="preserve"> </w:t>
      </w:r>
      <w:r>
        <w:t xml:space="preserve">-0.824 with it. Northness tests aspect, aspect measures</w:t>
      </w:r>
      <w:r>
        <w:t xml:space="preserve"> </w:t>
      </w:r>
      <w:r>
        <w:t xml:space="preserve">more than shade, and the water-stress pathway</w:t>
      </w:r>
      <w:r>
        <w:t xml:space="preserve"> </w:t>
      </w:r>
      <w:r>
        <w:t xml:space="preserve">Krawchuk et al. (2020)</w:t>
      </w:r>
      <w:r>
        <w:t xml:space="preserve"> </w:t>
      </w:r>
      <w:r>
        <w:t xml:space="preserve">describe is not measured here.</w:t>
      </w:r>
      <w:r>
        <w:t xml:space="preserve"> </w:t>
      </w:r>
      <w:r>
        <w:t xml:space="preserve">Growing-season radiation is at least separable from wind exposure,</w:t>
      </w:r>
      <w:r>
        <w:t xml:space="preserve"> </w:t>
      </w:r>
      <w:r>
        <w:t xml:space="preserve">+0.001, which is the one thing it establishes.</w:t>
      </w:r>
    </w:p>
    <w:p>
      <w:pPr>
        <w:pStyle w:val="BodyText"/>
      </w:pPr>
      <w:r>
        <w:rPr>
          <w:b/>
          <w:bCs/>
        </w:rPr>
        <w:t xml:space="preserve">The wind field is modelled, not measured.</w:t>
      </w:r>
      <w:r>
        <w:t xml:space="preserve"> </w:t>
      </w:r>
      <w:r>
        <w:t xml:space="preserve">MicroMet modifies station observations over the</w:t>
      </w:r>
      <w:r>
        <w:t xml:space="preserve"> </w:t>
      </w:r>
      <w:r>
        <w:t xml:space="preserve">terrain. What is established is that the modelled field behaves as the mechanism requires,</w:t>
      </w:r>
      <w:r>
        <w:t xml:space="preserve"> </w:t>
      </w:r>
      <w:r>
        <w:t xml:space="preserve">not that the air did.</w:t>
      </w:r>
    </w:p>
    <w:p>
      <w:pPr>
        <w:pStyle w:val="BodyText"/>
      </w:pPr>
      <w:r>
        <w:rPr>
          <w:b/>
          <w:bCs/>
        </w:rPr>
        <w:t xml:space="preserve">The inventory postdates part of the outbreak.</w:t>
      </w:r>
      <w:r>
        <w:t xml:space="preserve"> </w:t>
      </w:r>
      <w:r>
        <w:t xml:space="preserve">Polygons interpreted after the beetle</w:t>
      </w:r>
      <w:r>
        <w:t xml:space="preserve"> </w:t>
      </w:r>
      <w:r>
        <w:t xml:space="preserve">passed describe the stand it left, and total basal area discriminates only weakly on its own,</w:t>
      </w:r>
      <w:r>
        <w:t xml:space="preserve"> </w:t>
      </w:r>
      <w:r>
        <w:t xml:space="preserve">0.603.</w:t>
      </w:r>
    </w:p>
    <w:p>
      <w:pPr>
        <w:pStyle w:val="BodyText"/>
      </w:pPr>
      <w:r>
        <w:rPr>
          <w:b/>
          <w:bCs/>
        </w:rPr>
        <w:t xml:space="preserve">The response is classified, not observed.</w:t>
      </w:r>
      <w:r>
        <w:t xml:space="preserve"> </w:t>
      </w:r>
      <w:r>
        <w:t xml:space="preserve">Disturbance is inferred from Landsat moisture</w:t>
      </w:r>
      <w:r>
        <w:t xml:space="preserve"> </w:t>
      </w:r>
      <w:r>
        <w:t xml:space="preserve">indices trained on plots cut from those indices, so reported accuracy measures separability</w:t>
      </w:r>
      <w:r>
        <w:t xml:space="preserve"> </w:t>
      </w:r>
      <w:r>
        <w:t xml:space="preserve">rather than agreement with ground mortality.</w:t>
      </w:r>
    </w:p>
    <w:p>
      <w:pPr>
        <w:pStyle w:val="BodyText"/>
      </w:pPr>
      <w:r>
        <w:rPr>
          <w:b/>
          <w:bCs/>
        </w:rPr>
        <w:t xml:space="preserve">One landscape, one outbreak.</w:t>
      </w:r>
      <w:r>
        <w:t xml:space="preserve"> </w:t>
      </w:r>
      <w:r>
        <w:t xml:space="preserve">Every conclusion is conditioned on a single mountain range</w:t>
      </w:r>
      <w:r>
        <w:t xml:space="preserve"> </w:t>
      </w:r>
      <w:r>
        <w:t xml:space="preserve">over 8 years and 59 epochs.</w:t>
      </w:r>
    </w:p>
    <w:bookmarkEnd w:id="70"/>
    <w:bookmarkStart w:id="71" w:name="acknowledgements"/>
    <w:p>
      <w:pPr>
        <w:pStyle w:val="Heading1"/>
      </w:pPr>
      <w:r>
        <w:t xml:space="preserve">8. Acknowledgements</w:t>
      </w:r>
    </w:p>
    <w:p>
      <w:pPr>
        <w:pStyle w:val="FirstParagraph"/>
      </w:pPr>
      <w:r>
        <w:t xml:space="preserve">This work used no external funding. Beetle disturbance was classified from Landsat</w:t>
      </w:r>
      <w:r>
        <w:t xml:space="preserve"> </w:t>
      </w:r>
      <w:r>
        <w:t xml:space="preserve">Collection 2 Level-2 surface reflectance distributed by the United States Geological</w:t>
      </w:r>
      <w:r>
        <w:t xml:space="preserve"> </w:t>
      </w:r>
      <w:r>
        <w:t xml:space="preserve">Survey; stand structure from the British Columbia Data Catalogue; terrain from Natural</w:t>
      </w:r>
      <w:r>
        <w:t xml:space="preserve"> </w:t>
      </w:r>
      <w:r>
        <w:t xml:space="preserve">Resources Canada; and wind from Environment and Climate Change Canada. The author</w:t>
      </w:r>
      <w:r>
        <w:t xml:space="preserve"> </w:t>
      </w:r>
      <w:r>
        <w:t xml:space="preserve">thanks those agencies for maintaining the open archives the study rests on.</w:t>
      </w:r>
    </w:p>
    <w:bookmarkEnd w:id="71"/>
    <w:bookmarkStart w:id="72" w:name="conflict-of-interest"/>
    <w:p>
      <w:pPr>
        <w:pStyle w:val="Heading1"/>
      </w:pPr>
      <w:r>
        <w:t xml:space="preserve">9. Conflict of interest</w:t>
      </w:r>
    </w:p>
    <w:p>
      <w:pPr>
        <w:pStyle w:val="FirstParagraph"/>
      </w:pPr>
      <w:r>
        <w:t xml:space="preserve">The author declares no conflict of interest.</w:t>
      </w:r>
    </w:p>
    <w:bookmarkEnd w:id="72"/>
    <w:bookmarkStart w:id="73" w:name="ethics-statement"/>
    <w:p>
      <w:pPr>
        <w:pStyle w:val="Heading1"/>
      </w:pPr>
      <w:r>
        <w:t xml:space="preserve">10. Ethics statement</w:t>
      </w:r>
    </w:p>
    <w:p>
      <w:pPr>
        <w:pStyle w:val="FirstParagraph"/>
      </w:pPr>
      <w:r>
        <w:t xml:space="preserve">This study used only publicly archived remote sensing, inventory and meteorological</w:t>
      </w:r>
      <w:r>
        <w:t xml:space="preserve"> </w:t>
      </w:r>
      <w:r>
        <w:t xml:space="preserve">data. No animals, human participants or protected material were involved, so no ethics</w:t>
      </w:r>
      <w:r>
        <w:t xml:space="preserve"> </w:t>
      </w:r>
      <w:r>
        <w:t xml:space="preserve">approval was required.</w:t>
      </w:r>
    </w:p>
    <w:bookmarkEnd w:id="73"/>
    <w:bookmarkStart w:id="74" w:name="author-contributions"/>
    <w:p>
      <w:pPr>
        <w:pStyle w:val="Heading1"/>
      </w:pPr>
      <w:r>
        <w:t xml:space="preserve">11. Author contributions</w:t>
      </w:r>
    </w:p>
    <w:p>
      <w:pPr>
        <w:pStyle w:val="FirstParagraph"/>
      </w:pPr>
      <w:r>
        <w:rPr>
          <w:b/>
          <w:bCs/>
        </w:rPr>
        <w:t xml:space="preserve">Seamus Murphy:</w:t>
      </w:r>
      <w:r>
        <w:t xml:space="preserve"> </w:t>
      </w:r>
      <w:r>
        <w:t xml:space="preserve">conceptualisation; data curation; formal analysis; investigation;</w:t>
      </w:r>
      <w:r>
        <w:t xml:space="preserve"> </w:t>
      </w:r>
      <w:r>
        <w:t xml:space="preserve">methodology; software; validation; visualisation; writing, original draft; writing,</w:t>
      </w:r>
      <w:r>
        <w:t xml:space="preserve"> </w:t>
      </w:r>
      <w:r>
        <w:t xml:space="preserve">review and editing.</w:t>
      </w:r>
    </w:p>
    <w:bookmarkEnd w:id="74"/>
    <w:bookmarkStart w:id="76" w:name="data-availability"/>
    <w:p>
      <w:pPr>
        <w:pStyle w:val="Heading1"/>
      </w:pPr>
      <w:r>
        <w:t xml:space="preserve">12. Data availability</w:t>
      </w:r>
    </w:p>
    <w:p>
      <w:pPr>
        <w:pStyle w:val="FirstParagraph"/>
      </w:pPr>
      <w:r>
        <w:t xml:space="preserve">Every dataset used here is public and none was collected by the author. Beetle disturbance</w:t>
      </w:r>
      <w:r>
        <w:t xml:space="preserve"> </w:t>
      </w:r>
      <w:r>
        <w:t xml:space="preserve">is classified from Landsat Collection 2 Level-2 surface reflectance. Stand structure is the</w:t>
      </w:r>
      <w:r>
        <w:t xml:space="preserve"> </w:t>
      </w:r>
      <w:r>
        <w:t xml:space="preserve">provincial Vegetation Resources Inventory layer</w:t>
      </w:r>
      <w:r>
        <w:t xml:space="preserve"> </w:t>
      </w:r>
      <w:r>
        <w:rPr>
          <w:rStyle w:val="VerbatimChar"/>
        </w:rPr>
        <w:t xml:space="preserve">VEG_COMP_LYR_R1_POLY</w:t>
      </w:r>
      <w:r>
        <w:t xml:space="preserve">, retrieved from the</w:t>
      </w:r>
      <w:r>
        <w:t xml:space="preserve"> </w:t>
      </w:r>
      <w:r>
        <w:t xml:space="preserve">British Columbia Data Catalogue web feature service by</w:t>
      </w:r>
      <w:r>
        <w:t xml:space="preserve"> </w:t>
      </w:r>
      <w:r>
        <w:rPr>
          <w:rStyle w:val="VerbatimChar"/>
        </w:rPr>
        <w:t xml:space="preserve">02.inputs/beetle-classification/34-fetch-vri.py</w:t>
      </w:r>
      <w:r>
        <w:t xml:space="preserve">. Terrain derives from the Natural</w:t>
      </w:r>
      <w:r>
        <w:t xml:space="preserve"> </w:t>
      </w:r>
      <w:r>
        <w:t xml:space="preserve">Resources Canada High Resolution Digital Elevation Model</w:t>
      </w:r>
      <w:r>
        <w:t xml:space="preserve"> </w:t>
      </w:r>
      <w:r>
        <w:t xml:space="preserve">(Natural Resources Canada, 2017)</w:t>
      </w:r>
      <w:r>
        <w:t xml:space="preserve">, with geomorphometry</w:t>
      </w:r>
      <w:r>
        <w:t xml:space="preserve"> </w:t>
      </w:r>
      <w:r>
        <w:t xml:space="preserve">computed by SAGA GIS in</w:t>
      </w:r>
      <w:r>
        <w:t xml:space="preserve"> </w:t>
      </w:r>
      <w:r>
        <w:rPr>
          <w:rStyle w:val="VerbatimChar"/>
        </w:rPr>
        <w:t xml:space="preserve">37-geomorphometry.R</w:t>
      </w:r>
      <w:r>
        <w:t xml:space="preserve">. Wind is Environment and Climate Change Canada</w:t>
      </w:r>
      <w:r>
        <w:t xml:space="preserve"> </w:t>
      </w:r>
      <w:r>
        <w:t xml:space="preserve">hourly station data, retrieved by</w:t>
      </w:r>
      <w:r>
        <w:t xml:space="preserve"> </w:t>
      </w:r>
      <w:r>
        <w:rPr>
          <w:rStyle w:val="VerbatimChar"/>
        </w:rPr>
        <w:t xml:space="preserve">30-wind-hourly-metrics.R</w:t>
      </w:r>
      <w:r>
        <w:t xml:space="preserve"> </w:t>
      </w:r>
      <w:r>
        <w:t xml:space="preserve">and</w:t>
      </w:r>
      <w:r>
        <w:t xml:space="preserve"> </w:t>
      </w:r>
      <w:r>
        <w:rPr>
          <w:rStyle w:val="VerbatimChar"/>
        </w:rPr>
        <w:t xml:space="preserve">36-wind-direction.R</w:t>
      </w:r>
      <w:r>
        <w:t xml:space="preserve">.</w:t>
      </w:r>
    </w:p>
    <w:p>
      <w:pPr>
        <w:pStyle w:val="BodyText"/>
      </w:pPr>
      <w:r>
        <w:t xml:space="preserve">All derived data and the complete analysis code that reproduce every number, table and</w:t>
      </w:r>
      <w:r>
        <w:t xml:space="preserve"> </w:t>
      </w:r>
      <w:r>
        <w:t xml:space="preserve">figure in this article are archived at Dryad under</w:t>
      </w:r>
      <w:r>
        <w:t xml:space="preserve"> </w:t>
      </w:r>
      <w:r>
        <w:t xml:space="preserve">doi:PLACEHOLDER-DRYAD-DOI, and are mirrored at</w:t>
      </w:r>
      <w:r>
        <w:t xml:space="preserve"> </w:t>
      </w:r>
      <w:hyperlink r:id="rId75">
        <w:r>
          <w:rPr>
            <w:rStyle w:val="Hyperlink"/>
          </w:rPr>
          <w:t xml:space="preserve">https://github.com/seamusrobertmurphy/beetle-topography-and-wind-study</w:t>
        </w:r>
      </w:hyperlink>
      <w:r>
        <w:t xml:space="preserve">.</w:t>
      </w:r>
    </w:p>
    <w:bookmarkEnd w:id="76"/>
    <w:bookmarkStart w:id="77" w:name="figure-legends"/>
    <w:p>
      <w:pPr>
        <w:pStyle w:val="Heading1"/>
      </w:pPr>
      <w:r>
        <w:t xml:space="preserve">13. Figure legends</w:t>
      </w:r>
    </w:p>
    <w:p>
      <w:pPr>
        <w:pStyle w:val="FirstParagraph"/>
      </w:pPr>
      <w:r>
        <w:rPr>
          <w:b/>
          <w:bCs/>
        </w:rPr>
        <w:t xml:space="preserve">Figure 1.</w:t>
      </w:r>
      <w:r>
        <w:t xml:space="preserve"> </w:t>
      </w:r>
      <w:r>
        <w:t xml:space="preserve">Landscape, terrain and stand surfaces across the study area, all EPSG:3153 at</w:t>
      </w:r>
      <w:r>
        <w:t xml:space="preserve"> </w:t>
      </w:r>
      <w:r>
        <w:t xml:space="preserve">30 m over Esri World Shaded Relief, which is reproduced under Esri’s attribution</w:t>
      </w:r>
      <w:r>
        <w:t xml:space="preserve"> </w:t>
      </w:r>
      <w:r>
        <w:t xml:space="preserve">requirement. (a) elevation; (b) terrain ruggedness index; (c) windward-leeward index at the</w:t>
      </w:r>
      <w:r>
        <w:t xml:space="preserve"> </w:t>
      </w:r>
      <w:r>
        <w:t xml:space="preserve">prevailing bearing; (d) flight-window direct radiation, the thermal gate on flight;</w:t>
      </w:r>
      <w:r>
        <w:t xml:space="preserve"> </w:t>
      </w:r>
      <w:r>
        <w:t xml:space="preserve">(e) growing-season direct radiation, the shading pathway; (f) the MicroMet wind weighting</w:t>
      </w:r>
      <w:r>
        <w:t xml:space="preserve"> </w:t>
      </w:r>
      <w:r>
        <w:t xml:space="preserve">factor at the prevailing bearing; (g) stand basal area; (h) quadratic mean diameter, whose</w:t>
      </w:r>
      <w:r>
        <w:t xml:space="preserve"> </w:t>
      </w:r>
      <w:r>
        <w:t xml:space="preserve">25 cm source-sink threshold falls near the midpoint of the scale; (i) live stems per</w:t>
      </w:r>
      <w:r>
        <w:t xml:space="preserve"> </w:t>
      </w:r>
      <w:r>
        <w:t xml:space="preserve">hectare. The white outline is the study perimeter and the red outline the 2015 Mt Midgeley</w:t>
      </w:r>
      <w:r>
        <w:t xml:space="preserve"> </w:t>
      </w:r>
      <w:r>
        <w:t xml:space="preserve">burn. Kootenay Lake and the Kootenay River are from the British Columbia Freshwater Atlas.</w:t>
      </w:r>
      <w:r>
        <w:t xml:space="preserve"> </w:t>
      </w:r>
      <w:r>
        <w:t xml:space="preserve">Contours are at 200 m. Every panel has its own north arrow and the same numerical scale,</w:t>
      </w:r>
      <w:r>
        <w:t xml:space="preserve"> </w:t>
      </w:r>
      <w:r>
        <w:t xml:space="preserve">1:150,000, which is correct at a printed panel width of 66 mm. The surfaces are drawn unclipped,</w:t>
      </w:r>
      <w:r>
        <w:t xml:space="preserve"> </w:t>
      </w:r>
      <w:r>
        <w:t xml:space="preserve">so they extend beyond the perimeter within which the models are fitted.</w:t>
      </w:r>
    </w:p>
    <w:p>
      <w:pPr>
        <w:pStyle w:val="BodyText"/>
      </w:pPr>
      <w:r>
        <w:rPr>
          <w:b/>
          <w:bCs/>
        </w:rPr>
        <w:t xml:space="preserve">Figure 2.</w:t>
      </w:r>
      <w:r>
        <w:t xml:space="preserve"> </w:t>
      </w:r>
      <w:r>
        <w:t xml:space="preserve">The flight window against the landscape’s own climate, from hourly Environment</w:t>
      </w:r>
      <w:r>
        <w:t xml:space="preserve"> </w:t>
      </w:r>
      <w:r>
        <w:t xml:space="preserve">and Climate Change Canada station records for May to September of the nine study years. The</w:t>
      </w:r>
      <w:r>
        <w:t xml:space="preserve"> </w:t>
      </w:r>
      <w:r>
        <w:t xml:space="preserve">window, 1 July to 15 August, is the shaded band; it is taken from the bionomics and is not</w:t>
      </w:r>
      <w:r>
        <w:t xml:space="preserve"> </w:t>
      </w:r>
      <w:r>
        <w:t xml:space="preserve">fitted to these data. (a) Mean afternoon temperature by day of year, with the 19 to 41</w:t>
      </w:r>
      <w:r>
        <w:t xml:space="preserve"> </w:t>
      </w:r>
      <w:r>
        <w:t xml:space="preserve">degrees C flight gate and the 22 to 32 degrees C peak band marked. (b) The share of afternoon</w:t>
      </w:r>
      <w:r>
        <w:t xml:space="preserve"> </w:t>
      </w:r>
      <w:r>
        <w:t xml:space="preserve">hours falling inside the flight gate, day by day. (c) The diurnal curve, mean temperature and</w:t>
      </w:r>
      <w:r>
        <w:t xml:space="preserve"> </w:t>
      </w:r>
      <w:r>
        <w:t xml:space="preserve">the share of all hours inside the gate, by hour, with the 12:00 to 17:00 restriction shaded.</w:t>
      </w:r>
      <w:r>
        <w:t xml:space="preserve"> </w:t>
      </w:r>
      <w:r>
        <w:t xml:space="preserve">(d) Mean wind speed by hour, on the same axis, showing that the hours the beetle can fly are</w:t>
      </w:r>
      <w:r>
        <w:t xml:space="preserve"> </w:t>
      </w:r>
      <w:r>
        <w:t xml:space="preserve">also the windiest of the day.</w:t>
      </w:r>
    </w:p>
    <w:p>
      <w:pPr>
        <w:pStyle w:val="BodyText"/>
      </w:pPr>
      <w:r>
        <w:rPr>
          <w:b/>
          <w:bCs/>
        </w:rPr>
        <w:t xml:space="preserve">Figure 3.</w:t>
      </w:r>
      <w:r>
        <w:t xml:space="preserve"> </w:t>
      </w:r>
      <w:r>
        <w:t xml:space="preserve">The refugia mechanism as fitted. (a) Predicted probability of moderate-to-high</w:t>
      </w:r>
      <w:r>
        <w:t xml:space="preserve"> </w:t>
      </w:r>
      <w:r>
        <w:t xml:space="preserve">disturbance against terrain-resolved epoch wind, at the 10th and 90th percentiles of stem</w:t>
      </w:r>
      <w:r>
        <w:t xml:space="preserve"> </w:t>
      </w:r>
      <w:r>
        <w:t xml:space="preserve">density, all other terms held at their means; the lines cross, so wind raises attack in thin</w:t>
      </w:r>
      <w:r>
        <w:t xml:space="preserve"> </w:t>
      </w:r>
      <w:r>
        <w:t xml:space="preserve">stands and lowers it in dense ones, which is the interaction. (b) The same for standing</w:t>
      </w:r>
      <w:r>
        <w:t xml:space="preserve"> </w:t>
      </w:r>
      <w:r>
        <w:t xml:space="preserve">volume, where the interaction is a fifth the size and attenuates the dense-stand slope</w:t>
      </w:r>
      <w:r>
        <w:t xml:space="preserve"> </w:t>
      </w:r>
      <w:r>
        <w:t xml:space="preserve">without reversing it, so the lines converge rather than cross over the observed range.</w:t>
      </w:r>
      <w:r>
        <w:t xml:space="preserve"> </w:t>
      </w:r>
      <w:r>
        <w:t xml:space="preserve">(c) Coefficients of the 16-day model, with and without the within-season spread term.</w:t>
      </w:r>
      <w:r>
        <w:t xml:space="preserve"> </w:t>
      </w:r>
      <w:r>
        <w:t xml:space="preserve">(d) Epoch prevalence against epoch mean wind, one point per epoch, years distinguished by</w:t>
      </w:r>
      <w:r>
        <w:t xml:space="preserve"> </w:t>
      </w:r>
      <w:r>
        <w:t xml:space="preserve">both shape and shade so the panel survives black-and-white printing.</w:t>
      </w:r>
    </w:p>
    <w:p>
      <w:pPr>
        <w:pStyle w:val="SourceCode"/>
      </w:pPr>
      <w:r>
        <w:rPr>
          <w:rStyle w:val="VerbatimChar"/>
        </w:rPr>
        <w:t xml:space="preserve">R version 4.4.1 (2024-06-14)</w:t>
      </w:r>
      <w:r>
        <w:br/>
      </w:r>
      <w:r>
        <w:rPr>
          <w:rStyle w:val="VerbatimChar"/>
        </w:rPr>
        <w:t xml:space="preserve">Platform: aarch64-apple-darwin20</w:t>
      </w:r>
      <w:r>
        <w:br/>
      </w:r>
      <w:r>
        <w:rPr>
          <w:rStyle w:val="VerbatimChar"/>
        </w:rPr>
        <w:t xml:space="preserve">Running under: macOS 15.7.7</w:t>
      </w:r>
      <w:r>
        <w:br/>
      </w:r>
      <w:r>
        <w:br/>
      </w:r>
      <w:r>
        <w:rPr>
          <w:rStyle w:val="VerbatimChar"/>
        </w:rPr>
        <w:t xml:space="preserve">Matrix products: default</w:t>
      </w:r>
      <w:r>
        <w:br/>
      </w:r>
      <w:r>
        <w:rPr>
          <w:rStyle w:val="VerbatimChar"/>
        </w:rPr>
        <w:t xml:space="preserve">BLAS:   /opt/local/Library/Frameworks/R.framework/Versions/4.4-arm64/Resources/lib/libRblas.0.dylib </w:t>
      </w:r>
      <w:r>
        <w:br/>
      </w:r>
      <w:r>
        <w:rPr>
          <w:rStyle w:val="VerbatimChar"/>
        </w:rPr>
        <w:t xml:space="preserve">LAPACK: /opt/local/Library/Frameworks/R.framework/Versions/4.4-arm64/Resources/lib/libRlapack.dylib;  LAPACK version 3.12.0</w:t>
      </w:r>
      <w:r>
        <w:br/>
      </w:r>
      <w:r>
        <w:br/>
      </w:r>
      <w:r>
        <w:rPr>
          <w:rStyle w:val="VerbatimChar"/>
        </w:rPr>
        <w:t xml:space="preserve">locale:</w:t>
      </w:r>
      <w:r>
        <w:br/>
      </w:r>
      <w:r>
        <w:rPr>
          <w:rStyle w:val="VerbatimChar"/>
        </w:rPr>
        <w:t xml:space="preserve">[1] en_CA.UTF-8/en_CA.UTF-8/en_CA.UTF-8/C/en_CA.UTF-8/en_CA.UTF-8</w:t>
      </w:r>
      <w:r>
        <w:br/>
      </w:r>
      <w:r>
        <w:br/>
      </w:r>
      <w:r>
        <w:rPr>
          <w:rStyle w:val="VerbatimChar"/>
        </w:rPr>
        <w:t xml:space="preserve">time zone: America/Vancouver</w:t>
      </w:r>
      <w:r>
        <w:br/>
      </w:r>
      <w:r>
        <w:rPr>
          <w:rStyle w:val="VerbatimChar"/>
        </w:rPr>
        <w:t xml:space="preserve">tzcode source: internal</w:t>
      </w:r>
      <w:r>
        <w:br/>
      </w:r>
      <w:r>
        <w:br/>
      </w:r>
      <w:r>
        <w:rPr>
          <w:rStyle w:val="VerbatimChar"/>
        </w:rPr>
        <w:t xml:space="preserve">attached base packages:</w:t>
      </w:r>
      <w:r>
        <w:br/>
      </w:r>
      <w:r>
        <w:rPr>
          <w:rStyle w:val="VerbatimChar"/>
        </w:rPr>
        <w:t xml:space="preserve">[1] stats     graphics  grDevices utils     datasets  methods   base     </w:t>
      </w:r>
      <w:r>
        <w:br/>
      </w:r>
      <w:r>
        <w:br/>
      </w:r>
      <w:r>
        <w:rPr>
          <w:rStyle w:val="VerbatimChar"/>
        </w:rPr>
        <w:t xml:space="preserve">other attached packages:</w:t>
      </w:r>
      <w:r>
        <w:br/>
      </w:r>
      <w:r>
        <w:rPr>
          <w:rStyle w:val="VerbatimChar"/>
        </w:rPr>
        <w:t xml:space="preserve"> [1] ggnewscale_0.5.2 e1071_1.7-17     ggspatial_1.1.10 tidyterra_1.1.0 </w:t>
      </w:r>
      <w:r>
        <w:br/>
      </w:r>
      <w:r>
        <w:rPr>
          <w:rStyle w:val="VerbatimChar"/>
        </w:rPr>
        <w:t xml:space="preserve"> [5] patchwork_1.3.2  ranger_0.18.0    car_3.1-5        carData_3.0-6   </w:t>
      </w:r>
      <w:r>
        <w:br/>
      </w:r>
      <w:r>
        <w:rPr>
          <w:rStyle w:val="VerbatimChar"/>
        </w:rPr>
        <w:t xml:space="preserve"> [9] mgcv_1.9-4       nlme_3.1-168     knitr_1.51       ggplot2_4.0.2   </w:t>
      </w:r>
      <w:r>
        <w:br/>
      </w:r>
      <w:r>
        <w:rPr>
          <w:rStyle w:val="VerbatimChar"/>
        </w:rPr>
        <w:t xml:space="preserve">[13] tidyr_1.3.2      dplyr_1.2.0      sf_1.1-0         terra_1.9-1     </w:t>
      </w:r>
      <w:r>
        <w:br/>
      </w:r>
      <w:r>
        <w:br/>
      </w:r>
      <w:r>
        <w:rPr>
          <w:rStyle w:val="VerbatimChar"/>
        </w:rPr>
        <w:t xml:space="preserve">loaded via a namespace (and not attached):</w:t>
      </w:r>
      <w:r>
        <w:br/>
      </w:r>
      <w:r>
        <w:rPr>
          <w:rStyle w:val="VerbatimChar"/>
        </w:rPr>
        <w:t xml:space="preserve"> [1] s2_1.1.9            generics_0.1.4      class_7.3-23       </w:t>
      </w:r>
      <w:r>
        <w:br/>
      </w:r>
      <w:r>
        <w:rPr>
          <w:rStyle w:val="VerbatimChar"/>
        </w:rPr>
        <w:t xml:space="preserve"> [4] KernSmooth_2.23-26  lattice_0.22-9      pROC_1.19.0.1      </w:t>
      </w:r>
      <w:r>
        <w:br/>
      </w:r>
      <w:r>
        <w:rPr>
          <w:rStyle w:val="VerbatimChar"/>
        </w:rPr>
        <w:t xml:space="preserve"> [7] digest_0.6.39       magrittr_2.0.4      evaluate_1.0.5     </w:t>
      </w:r>
      <w:r>
        <w:br/>
      </w:r>
      <w:r>
        <w:rPr>
          <w:rStyle w:val="VerbatimChar"/>
        </w:rPr>
        <w:t xml:space="preserve">[10] grid_4.4.1          RColorBrewer_1.1-3  fastmap_1.2.0      </w:t>
      </w:r>
      <w:r>
        <w:br/>
      </w:r>
      <w:r>
        <w:rPr>
          <w:rStyle w:val="VerbatimChar"/>
        </w:rPr>
        <w:t xml:space="preserve">[13] jsonlite_2.0.0      Matrix_1.7-5        Formula_1.2-5      </w:t>
      </w:r>
      <w:r>
        <w:br/>
      </w:r>
      <w:r>
        <w:rPr>
          <w:rStyle w:val="VerbatimChar"/>
        </w:rPr>
        <w:t xml:space="preserve">[16] DBI_1.3.0           purrr_1.2.1         viridisLite_0.4.3  </w:t>
      </w:r>
      <w:r>
        <w:br/>
      </w:r>
      <w:r>
        <w:rPr>
          <w:rStyle w:val="VerbatimChar"/>
        </w:rPr>
        <w:t xml:space="preserve">[19] scales_1.4.0        codetools_0.2-20    abind_1.4-8        </w:t>
      </w:r>
      <w:r>
        <w:br/>
      </w:r>
      <w:r>
        <w:rPr>
          <w:rStyle w:val="VerbatimChar"/>
        </w:rPr>
        <w:t xml:space="preserve">[22] cli_3.6.5           rlang_1.1.7         units_1.0-1        </w:t>
      </w:r>
      <w:r>
        <w:br/>
      </w:r>
      <w:r>
        <w:rPr>
          <w:rStyle w:val="VerbatimChar"/>
        </w:rPr>
        <w:t xml:space="preserve">[25] splines_4.4.1       withr_3.0.2         yaml_2.3.12        </w:t>
      </w:r>
      <w:r>
        <w:br/>
      </w:r>
      <w:r>
        <w:rPr>
          <w:rStyle w:val="VerbatimChar"/>
        </w:rPr>
        <w:t xml:space="preserve">[28] otel_0.2.0          tools_4.4.1         vctrs_0.7.2        </w:t>
      </w:r>
      <w:r>
        <w:br/>
      </w:r>
      <w:r>
        <w:rPr>
          <w:rStyle w:val="VerbatimChar"/>
        </w:rPr>
        <w:t xml:space="preserve">[31] R6_2.6.1            proxy_0.4-29        lifecycle_1.0.5    </w:t>
      </w:r>
      <w:r>
        <w:br/>
      </w:r>
      <w:r>
        <w:rPr>
          <w:rStyle w:val="VerbatimChar"/>
        </w:rPr>
        <w:t xml:space="preserve">[34] classInt_0.4-11     pkgconfig_2.0.3     pillar_1.11.1      </w:t>
      </w:r>
      <w:r>
        <w:br/>
      </w:r>
      <w:r>
        <w:rPr>
          <w:rStyle w:val="VerbatimChar"/>
        </w:rPr>
        <w:t xml:space="preserve">[37] gtable_0.3.6        data.table_1.18.2.1 glue_1.8.0         </w:t>
      </w:r>
      <w:r>
        <w:br/>
      </w:r>
      <w:r>
        <w:rPr>
          <w:rStyle w:val="VerbatimChar"/>
        </w:rPr>
        <w:t xml:space="preserve">[40] Rcpp_1.1.1          xfun_0.57           tibble_3.3.1       </w:t>
      </w:r>
      <w:r>
        <w:br/>
      </w:r>
      <w:r>
        <w:rPr>
          <w:rStyle w:val="VerbatimChar"/>
        </w:rPr>
        <w:t xml:space="preserve">[43] tidyselect_1.2.1    farver_2.1.2        htmltools_0.5.9    </w:t>
      </w:r>
      <w:r>
        <w:br/>
      </w:r>
      <w:r>
        <w:rPr>
          <w:rStyle w:val="VerbatimChar"/>
        </w:rPr>
        <w:t xml:space="preserve">[46] labeling_0.4.3      rmarkdown_2.30      wk_0.9.5           </w:t>
      </w:r>
      <w:r>
        <w:br/>
      </w:r>
      <w:r>
        <w:rPr>
          <w:rStyle w:val="VerbatimChar"/>
        </w:rPr>
        <w:t xml:space="preserve">[49] compiler_4.4.1      S7_0.2.1           </w:t>
      </w:r>
    </w:p>
    <w:bookmarkEnd w:id="77"/>
    <w:bookmarkStart w:id="118" w:name="references"/>
    <w:p>
      <w:pPr>
        <w:pStyle w:val="Heading1"/>
      </w:pPr>
      <w:r>
        <w:t xml:space="preserve">14. References</w:t>
      </w:r>
    </w:p>
    <w:bookmarkStart w:id="117" w:name="refs"/>
    <w:bookmarkStart w:id="79" w:name="ref-ainslie2010"/>
    <w:p>
      <w:pPr>
        <w:pStyle w:val="Bibliography"/>
      </w:pPr>
      <w:r>
        <w:t xml:space="preserve">Ainslie, B., &amp; Jackson, P. L. (2010). Investigation into mountain pine beetle above-canopy dispersion using weather radar and an atmospheric dispersion model.</w:t>
      </w:r>
      <w:r>
        <w:t xml:space="preserve"> </w:t>
      </w:r>
      <w:r>
        <w:rPr>
          <w:i/>
          <w:iCs/>
        </w:rPr>
        <w:t xml:space="preserve">Aerobiologia</w:t>
      </w:r>
      <w:r>
        <w:t xml:space="preserve">,</w:t>
      </w:r>
      <w:r>
        <w:t xml:space="preserve"> </w:t>
      </w:r>
      <w:r>
        <w:rPr>
          <w:i/>
          <w:iCs/>
        </w:rPr>
        <w:t xml:space="preserve">27</w:t>
      </w:r>
      <w:r>
        <w:t xml:space="preserve">, 51–65.</w:t>
      </w:r>
      <w:r>
        <w:t xml:space="preserve"> </w:t>
      </w:r>
      <w:hyperlink r:id="rId78">
        <w:r>
          <w:rPr>
            <w:rStyle w:val="Hyperlink"/>
          </w:rPr>
          <w:t xml:space="preserve">https://doi.org/10.1007/s10453-010-9176-9</w:t>
        </w:r>
      </w:hyperlink>
    </w:p>
    <w:bookmarkEnd w:id="79"/>
    <w:bookmarkStart w:id="81" w:name="ref-badger2014"/>
    <w:p>
      <w:pPr>
        <w:pStyle w:val="Bibliography"/>
      </w:pPr>
      <w:r>
        <w:t xml:space="preserve">Badger, J., Frank, H., Hahmann, A. N., &amp; Giebel, G. (2014). Wind-climate estimation based on mesoscale and microscale modeling: Statistical–dynamical downscaling for wind energy applications.</w:t>
      </w:r>
      <w:r>
        <w:t xml:space="preserve"> </w:t>
      </w:r>
      <w:r>
        <w:rPr>
          <w:i/>
          <w:iCs/>
        </w:rPr>
        <w:t xml:space="preserve">Journal of Applied Meteorology and Climatology</w:t>
      </w:r>
      <w:r>
        <w:t xml:space="preserve">,</w:t>
      </w:r>
      <w:r>
        <w:t xml:space="preserve"> </w:t>
      </w:r>
      <w:r>
        <w:rPr>
          <w:i/>
          <w:iCs/>
        </w:rPr>
        <w:t xml:space="preserve">53</w:t>
      </w:r>
      <w:r>
        <w:t xml:space="preserve">(8), 1901–1919.</w:t>
      </w:r>
      <w:r>
        <w:t xml:space="preserve"> </w:t>
      </w:r>
      <w:hyperlink r:id="rId80">
        <w:r>
          <w:rPr>
            <w:rStyle w:val="Hyperlink"/>
          </w:rPr>
          <w:t xml:space="preserve">https://doi.org/10.1175/JAMC-D-13-0147.1</w:t>
        </w:r>
      </w:hyperlink>
    </w:p>
    <w:bookmarkEnd w:id="81"/>
    <w:bookmarkStart w:id="83" w:name="ref-bartos1989"/>
    <w:p>
      <w:pPr>
        <w:pStyle w:val="Bibliography"/>
      </w:pPr>
      <w:r>
        <w:t xml:space="preserve">Bartos, D. L., &amp; Amman, G. D. (1989).</w:t>
      </w:r>
      <w:r>
        <w:t xml:space="preserve"> </w:t>
      </w:r>
      <w:r>
        <w:rPr>
          <w:i/>
          <w:iCs/>
        </w:rPr>
        <w:t xml:space="preserve">Microclimate: An alternative to tree vigor as a basis for mountain pine beetle infestations</w:t>
      </w:r>
      <w:r>
        <w:t xml:space="preserve"> </w:t>
      </w:r>
      <w:r>
        <w:t xml:space="preserve">(Research Paper No. INT-400). Ogden, UT: U.S. Department of Agriculture, Forest Service, Intermountain Research Station.</w:t>
      </w:r>
      <w:r>
        <w:t xml:space="preserve"> </w:t>
      </w:r>
      <w:hyperlink r:id="rId82">
        <w:r>
          <w:rPr>
            <w:rStyle w:val="Hyperlink"/>
          </w:rPr>
          <w:t xml:space="preserve">https://doi.org/10.2737/int-rp-400</w:t>
        </w:r>
      </w:hyperlink>
    </w:p>
    <w:bookmarkEnd w:id="83"/>
    <w:bookmarkStart w:id="84" w:name="ref-carroll2004bionomics"/>
    <w:p>
      <w:pPr>
        <w:pStyle w:val="Bibliography"/>
      </w:pPr>
      <w:r>
        <w:t xml:space="preserve">Carroll, A. L., &amp; Safranyik, L. (2004). The bionomics of the mountain pine beetle in lodgepole pine forests: Establishing a context. In T. L. Shore, J. E. Brooks, &amp; J. E. Stone (Eds.),</w:t>
      </w:r>
      <w:r>
        <w:t xml:space="preserve"> </w:t>
      </w:r>
      <w:r>
        <w:rPr>
          <w:i/>
          <w:iCs/>
        </w:rPr>
        <w:t xml:space="preserve">Mountain pine beetle symposium: Challenges and solutions,</w:t>
      </w:r>
      <w:r>
        <w:rPr>
          <w:i/>
          <w:iCs/>
        </w:rPr>
        <w:t xml:space="preserve"> </w:t>
      </w:r>
      <w:r>
        <w:rPr>
          <w:i/>
          <w:iCs/>
        </w:rPr>
        <w:t xml:space="preserve">October</w:t>
      </w:r>
      <w:r>
        <w:rPr>
          <w:i/>
          <w:iCs/>
        </w:rPr>
        <w:t xml:space="preserve"> </w:t>
      </w:r>
      <w:r>
        <w:rPr>
          <w:i/>
          <w:iCs/>
        </w:rPr>
        <w:t xml:space="preserve">30–31, 2003,</w:t>
      </w:r>
      <w:r>
        <w:rPr>
          <w:i/>
          <w:iCs/>
        </w:rPr>
        <w:t xml:space="preserve"> </w:t>
      </w:r>
      <w:r>
        <w:rPr>
          <w:i/>
          <w:iCs/>
        </w:rPr>
        <w:t xml:space="preserve">Kelowna</w:t>
      </w:r>
      <w:r>
        <w:rPr>
          <w:i/>
          <w:iCs/>
        </w:rPr>
        <w:t xml:space="preserve">,</w:t>
      </w:r>
      <w:r>
        <w:rPr>
          <w:i/>
          <w:iCs/>
        </w:rPr>
        <w:t xml:space="preserve"> </w:t>
      </w:r>
      <w:r>
        <w:rPr>
          <w:i/>
          <w:iCs/>
        </w:rPr>
        <w:t xml:space="preserve">British Columbia</w:t>
      </w:r>
      <w:r>
        <w:t xml:space="preserve"> </w:t>
      </w:r>
      <w:r>
        <w:t xml:space="preserve">(pp. 21–32). Victoria, British Columbia:</w:t>
      </w:r>
      <w:r>
        <w:t xml:space="preserve"> </w:t>
      </w:r>
      <w:r>
        <w:t xml:space="preserve">Natural Resources Canada, Canadian Forest Service, Pacific Forestry Centre</w:t>
      </w:r>
      <w:r>
        <w:t xml:space="preserve">.</w:t>
      </w:r>
    </w:p>
    <w:bookmarkEnd w:id="84"/>
    <w:bookmarkStart w:id="86" w:name="ref-cartwright2018"/>
    <w:p>
      <w:pPr>
        <w:pStyle w:val="Bibliography"/>
      </w:pPr>
      <w:r>
        <w:t xml:space="preserve">Cartwright, J. M. (2018). Landscape topoedaphic features create refugia from drought and insect disturbance in a lodgepole and whitebark pine forest.</w:t>
      </w:r>
      <w:r>
        <w:t xml:space="preserve"> </w:t>
      </w:r>
      <w:r>
        <w:rPr>
          <w:i/>
          <w:iCs/>
        </w:rPr>
        <w:t xml:space="preserve">Forests</w:t>
      </w:r>
      <w:r>
        <w:t xml:space="preserve">,</w:t>
      </w:r>
      <w:r>
        <w:t xml:space="preserve"> </w:t>
      </w:r>
      <w:r>
        <w:rPr>
          <w:i/>
          <w:iCs/>
        </w:rPr>
        <w:t xml:space="preserve">9</w:t>
      </w:r>
      <w:r>
        <w:t xml:space="preserve">(11), 715.</w:t>
      </w:r>
      <w:r>
        <w:t xml:space="preserve"> </w:t>
      </w:r>
      <w:hyperlink r:id="rId85">
        <w:r>
          <w:rPr>
            <w:rStyle w:val="Hyperlink"/>
          </w:rPr>
          <w:t xml:space="preserve">https://doi.org/10.3390/f9110715</w:t>
        </w:r>
      </w:hyperlink>
    </w:p>
    <w:bookmarkEnd w:id="86"/>
    <w:bookmarkStart w:id="88" w:name="ref-cooke2025"/>
    <w:p>
      <w:pPr>
        <w:pStyle w:val="Bibliography"/>
      </w:pPr>
      <w:r>
        <w:t xml:space="preserve">Cooke, B. J., MacQuarrie, C. J. K., &amp; Carroll, A. L. (2025). On the deduction and quantification of irruptive dynamics in mountain pine beetle population and proxy data.</w:t>
      </w:r>
      <w:r>
        <w:t xml:space="preserve"> </w:t>
      </w:r>
      <w:r>
        <w:rPr>
          <w:i/>
          <w:iCs/>
        </w:rPr>
        <w:t xml:space="preserve">Journal of Applied Entomology</w:t>
      </w:r>
      <w:r>
        <w:t xml:space="preserve">,</w:t>
      </w:r>
      <w:r>
        <w:t xml:space="preserve"> </w:t>
      </w:r>
      <w:r>
        <w:rPr>
          <w:i/>
          <w:iCs/>
        </w:rPr>
        <w:t xml:space="preserve">149</w:t>
      </w:r>
      <w:r>
        <w:t xml:space="preserve">, 309–323.</w:t>
      </w:r>
      <w:r>
        <w:t xml:space="preserve"> </w:t>
      </w:r>
      <w:hyperlink r:id="rId87">
        <w:r>
          <w:rPr>
            <w:rStyle w:val="Hyperlink"/>
          </w:rPr>
          <w:t xml:space="preserve">https://doi.org/10.1111/jen.13262</w:t>
        </w:r>
      </w:hyperlink>
    </w:p>
    <w:bookmarkEnd w:id="88"/>
    <w:bookmarkStart w:id="90" w:name="ref-davis2023"/>
    <w:p>
      <w:pPr>
        <w:pStyle w:val="Bibliography"/>
      </w:pPr>
      <w:r>
        <w:t xml:space="preserve">Davis, N. N., Badger, J., Hahmann, A. N., Hansen, B. O., Mortensen, N. G., Kelly, M., … Drummond, R. (2023). The</w:t>
      </w:r>
      <w:r>
        <w:t xml:space="preserve"> </w:t>
      </w:r>
      <w:r>
        <w:t xml:space="preserve">Global Wind Atlas</w:t>
      </w:r>
      <w:r>
        <w:t xml:space="preserve">: A high-resolution dataset of climatologies and associated web-based application.</w:t>
      </w:r>
      <w:r>
        <w:t xml:space="preserve"> </w:t>
      </w:r>
      <w:r>
        <w:rPr>
          <w:i/>
          <w:iCs/>
        </w:rPr>
        <w:t xml:space="preserve">Bulletin of the American Meteorological Society</w:t>
      </w:r>
      <w:r>
        <w:t xml:space="preserve">,</w:t>
      </w:r>
      <w:r>
        <w:t xml:space="preserve"> </w:t>
      </w:r>
      <w:r>
        <w:rPr>
          <w:i/>
          <w:iCs/>
        </w:rPr>
        <w:t xml:space="preserve">104</w:t>
      </w:r>
      <w:r>
        <w:t xml:space="preserve">(8), E1507–E1525.</w:t>
      </w:r>
      <w:r>
        <w:t xml:space="preserve"> </w:t>
      </w:r>
      <w:hyperlink r:id="rId89">
        <w:r>
          <w:rPr>
            <w:rStyle w:val="Hyperlink"/>
          </w:rPr>
          <w:t xml:space="preserve">https://doi.org/10.1175/BAMS-D-21-0075.1</w:t>
        </w:r>
      </w:hyperlink>
    </w:p>
    <w:bookmarkEnd w:id="90"/>
    <w:bookmarkStart w:id="92" w:name="ref-gray1972"/>
    <w:p>
      <w:pPr>
        <w:pStyle w:val="Bibliography"/>
      </w:pPr>
      <w:r>
        <w:t xml:space="preserve">Gray, B., Billings, R. F., Gara, R. I., &amp; Johnsey, R. L. (1972). On the emergence and initial flight behaviour of the mountain pine beetle,</w:t>
      </w:r>
      <w:r>
        <w:t xml:space="preserve"> </w:t>
      </w:r>
      <w:r>
        <w:t xml:space="preserve">Dendroctonus ponderosae</w:t>
      </w:r>
      <w:r>
        <w:t xml:space="preserve">, in eastern</w:t>
      </w:r>
      <w:r>
        <w:t xml:space="preserve"> </w:t>
      </w:r>
      <w:r>
        <w:t xml:space="preserve">Washington</w:t>
      </w:r>
      <w:r>
        <w:t xml:space="preserve">.</w:t>
      </w:r>
      <w:r>
        <w:t xml:space="preserve"> </w:t>
      </w:r>
      <w:r>
        <w:rPr>
          <w:i/>
          <w:iCs/>
        </w:rPr>
        <w:t xml:space="preserve">Zeitschrift f</w:t>
      </w:r>
      <w:r>
        <w:rPr>
          <w:i/>
          <w:iCs/>
        </w:rPr>
        <w:t xml:space="preserve">ü</w:t>
      </w:r>
      <w:r>
        <w:rPr>
          <w:i/>
          <w:iCs/>
        </w:rPr>
        <w:t xml:space="preserve">r Angewandte Entomologie</w:t>
      </w:r>
      <w:r>
        <w:t xml:space="preserve">,</w:t>
      </w:r>
      <w:r>
        <w:t xml:space="preserve"> </w:t>
      </w:r>
      <w:r>
        <w:rPr>
          <w:i/>
          <w:iCs/>
        </w:rPr>
        <w:t xml:space="preserve">71</w:t>
      </w:r>
      <w:r>
        <w:t xml:space="preserve">, 250–259.</w:t>
      </w:r>
      <w:r>
        <w:t xml:space="preserve"> </w:t>
      </w:r>
      <w:hyperlink r:id="rId91">
        <w:r>
          <w:rPr>
            <w:rStyle w:val="Hyperlink"/>
          </w:rPr>
          <w:t xml:space="preserve">https://doi.org/10.1111/j.1439-0418.1972.tb01745.x</w:t>
        </w:r>
      </w:hyperlink>
    </w:p>
    <w:bookmarkEnd w:id="92"/>
    <w:bookmarkStart w:id="94" w:name="ref-howe2022"/>
    <w:p>
      <w:pPr>
        <w:pStyle w:val="Bibliography"/>
      </w:pPr>
      <w:r>
        <w:t xml:space="preserve">Howe, M., Raffa, K. F., Aukema, B. H., Gratton, C., &amp; Carroll, A. L. (2022). Numbers matter: How irruptive bark beetles initiate transition to self-sustaining behavior during landscape-altering outbreaks.</w:t>
      </w:r>
      <w:r>
        <w:t xml:space="preserve"> </w:t>
      </w:r>
      <w:r>
        <w:rPr>
          <w:i/>
          <w:iCs/>
        </w:rPr>
        <w:t xml:space="preserve">Oecologia</w:t>
      </w:r>
      <w:r>
        <w:t xml:space="preserve">,</w:t>
      </w:r>
      <w:r>
        <w:t xml:space="preserve"> </w:t>
      </w:r>
      <w:r>
        <w:rPr>
          <w:i/>
          <w:iCs/>
        </w:rPr>
        <w:t xml:space="preserve">198</w:t>
      </w:r>
      <w:r>
        <w:t xml:space="preserve">, 681–698.</w:t>
      </w:r>
      <w:r>
        <w:t xml:space="preserve"> </w:t>
      </w:r>
      <w:hyperlink r:id="rId93">
        <w:r>
          <w:rPr>
            <w:rStyle w:val="Hyperlink"/>
          </w:rPr>
          <w:t xml:space="preserve">https://doi.org/10.1007/s00442-022-05129-4</w:t>
        </w:r>
      </w:hyperlink>
    </w:p>
    <w:bookmarkEnd w:id="94"/>
    <w:bookmarkStart w:id="96" w:name="ref-jackson2008"/>
    <w:p>
      <w:pPr>
        <w:pStyle w:val="Bibliography"/>
      </w:pPr>
      <w:r>
        <w:t xml:space="preserve">Jackson, P. L., Straussfogel, D., Lindgren, B. S., Mitchell, S., &amp; Murphy, B. (2008). Radar observation and aerial capture of mountain pine beetle,</w:t>
      </w:r>
      <w:r>
        <w:t xml:space="preserve"> </w:t>
      </w:r>
      <w:r>
        <w:t xml:space="preserve">Dendroctonus ponderosae</w:t>
      </w:r>
      <w:r>
        <w:t xml:space="preserve"> </w:t>
      </w:r>
      <w:r>
        <w:t xml:space="preserve">Hopk</w:t>
      </w:r>
      <w:r>
        <w:t xml:space="preserve">. (</w:t>
      </w:r>
      <w:r>
        <w:t xml:space="preserve">Coleoptera</w:t>
      </w:r>
      <w:r>
        <w:t xml:space="preserve">:</w:t>
      </w:r>
      <w:r>
        <w:t xml:space="preserve"> </w:t>
      </w:r>
      <w:r>
        <w:t xml:space="preserve">Scolytidae</w:t>
      </w:r>
      <w:r>
        <w:t xml:space="preserve">) in flight above the forest canopy.</w:t>
      </w:r>
      <w:r>
        <w:t xml:space="preserve"> </w:t>
      </w:r>
      <w:r>
        <w:rPr>
          <w:i/>
          <w:iCs/>
        </w:rPr>
        <w:t xml:space="preserve">Canadian Journal of Forest Research</w:t>
      </w:r>
      <w:r>
        <w:t xml:space="preserve">,</w:t>
      </w:r>
      <w:r>
        <w:t xml:space="preserve"> </w:t>
      </w:r>
      <w:r>
        <w:rPr>
          <w:i/>
          <w:iCs/>
        </w:rPr>
        <w:t xml:space="preserve">38</w:t>
      </w:r>
      <w:r>
        <w:t xml:space="preserve">(8), 2313–2327.</w:t>
      </w:r>
      <w:r>
        <w:t xml:space="preserve"> </w:t>
      </w:r>
      <w:hyperlink r:id="rId95">
        <w:r>
          <w:rPr>
            <w:rStyle w:val="Hyperlink"/>
          </w:rPr>
          <w:t xml:space="preserve">https://doi.org/10.1139/X08-066</w:t>
        </w:r>
      </w:hyperlink>
    </w:p>
    <w:bookmarkEnd w:id="96"/>
    <w:bookmarkStart w:id="98" w:name="ref-jones2019"/>
    <w:p>
      <w:pPr>
        <w:pStyle w:val="Bibliography"/>
      </w:pPr>
      <w:r>
        <w:t xml:space="preserve">Jones, K. L., Shegelski, V. A., Marculis, N. G., Wijerathna, A. N., &amp; Evenden, M. L. (2019). Factors influencing dispersal by flight in bark beetles (</w:t>
      </w:r>
      <w:r>
        <w:t xml:space="preserve">Coleoptera</w:t>
      </w:r>
      <w:r>
        <w:t xml:space="preserve">:</w:t>
      </w:r>
      <w:r>
        <w:t xml:space="preserve"> </w:t>
      </w:r>
      <w:r>
        <w:t xml:space="preserve">Curculionidae</w:t>
      </w:r>
      <w:r>
        <w:t xml:space="preserve">:</w:t>
      </w:r>
      <w:r>
        <w:t xml:space="preserve"> </w:t>
      </w:r>
      <w:r>
        <w:t xml:space="preserve">Scolytinae</w:t>
      </w:r>
      <w:r>
        <w:t xml:space="preserve">): From genes to landscapes.</w:t>
      </w:r>
      <w:r>
        <w:t xml:space="preserve"> </w:t>
      </w:r>
      <w:r>
        <w:rPr>
          <w:i/>
          <w:iCs/>
        </w:rPr>
        <w:t xml:space="preserve">Canadian Journal of Forest Research</w:t>
      </w:r>
      <w:r>
        <w:t xml:space="preserve">,</w:t>
      </w:r>
      <w:r>
        <w:t xml:space="preserve"> </w:t>
      </w:r>
      <w:r>
        <w:rPr>
          <w:i/>
          <w:iCs/>
        </w:rPr>
        <w:t xml:space="preserve">49</w:t>
      </w:r>
      <w:r>
        <w:t xml:space="preserve">, 1024–1041.</w:t>
      </w:r>
      <w:r>
        <w:t xml:space="preserve"> </w:t>
      </w:r>
      <w:hyperlink r:id="rId97">
        <w:r>
          <w:rPr>
            <w:rStyle w:val="Hyperlink"/>
          </w:rPr>
          <w:t xml:space="preserve">https://doi.org/10.1139/cjfr-2018-0304</w:t>
        </w:r>
      </w:hyperlink>
    </w:p>
    <w:bookmarkEnd w:id="98"/>
    <w:bookmarkStart w:id="100" w:name="ref-krawchuk2020"/>
    <w:p>
      <w:pPr>
        <w:pStyle w:val="Bibliography"/>
      </w:pPr>
      <w:r>
        <w:t xml:space="preserve">Krawchuk, M. A., Meigs, G. W., Cartwright, J. M., Coop, J. D., Davis, R., Holz, A., … Meddens, A. J. H. (2020). Disturbance refugia within mosaics of forest fire, drought, and insect outbreaks.</w:t>
      </w:r>
      <w:r>
        <w:t xml:space="preserve"> </w:t>
      </w:r>
      <w:r>
        <w:rPr>
          <w:i/>
          <w:iCs/>
        </w:rPr>
        <w:t xml:space="preserve">Frontiers in Ecology and the Environment</w:t>
      </w:r>
      <w:r>
        <w:t xml:space="preserve">,</w:t>
      </w:r>
      <w:r>
        <w:t xml:space="preserve"> </w:t>
      </w:r>
      <w:r>
        <w:rPr>
          <w:i/>
          <w:iCs/>
        </w:rPr>
        <w:t xml:space="preserve">18</w:t>
      </w:r>
      <w:r>
        <w:t xml:space="preserve">(5), 235–244.</w:t>
      </w:r>
      <w:r>
        <w:t xml:space="preserve"> </w:t>
      </w:r>
      <w:hyperlink r:id="rId99">
        <w:r>
          <w:rPr>
            <w:rStyle w:val="Hyperlink"/>
          </w:rPr>
          <w:t xml:space="preserve">https://doi.org/10.1002/fee.2190</w:t>
        </w:r>
      </w:hyperlink>
    </w:p>
    <w:bookmarkEnd w:id="100"/>
    <w:bookmarkStart w:id="102" w:name="ref-liston2006"/>
    <w:p>
      <w:pPr>
        <w:pStyle w:val="Bibliography"/>
      </w:pPr>
      <w:r>
        <w:t xml:space="preserve">Liston, G. E., &amp; Elder, K. (2006). A meteorological distribution system for high-resolution terrestrial modeling (MicroMet).</w:t>
      </w:r>
      <w:r>
        <w:t xml:space="preserve"> </w:t>
      </w:r>
      <w:r>
        <w:rPr>
          <w:i/>
          <w:iCs/>
        </w:rPr>
        <w:t xml:space="preserve">Journal of Hydrometeorology</w:t>
      </w:r>
      <w:r>
        <w:t xml:space="preserve">,</w:t>
      </w:r>
      <w:r>
        <w:t xml:space="preserve"> </w:t>
      </w:r>
      <w:r>
        <w:rPr>
          <w:i/>
          <w:iCs/>
        </w:rPr>
        <w:t xml:space="preserve">7</w:t>
      </w:r>
      <w:r>
        <w:t xml:space="preserve">(2), 217–234.</w:t>
      </w:r>
      <w:r>
        <w:t xml:space="preserve"> </w:t>
      </w:r>
      <w:hyperlink r:id="rId101">
        <w:r>
          <w:rPr>
            <w:rStyle w:val="Hyperlink"/>
          </w:rPr>
          <w:t xml:space="preserve">https://doi.org/10.1175/JHM486.1</w:t>
        </w:r>
      </w:hyperlink>
    </w:p>
    <w:bookmarkEnd w:id="102"/>
    <w:bookmarkStart w:id="104" w:name="ref-mccambridge1971"/>
    <w:p>
      <w:pPr>
        <w:pStyle w:val="Bibliography"/>
      </w:pPr>
      <w:r>
        <w:t xml:space="preserve">McCambridge, W. F. (1971). Temperature limits of flight of the mountain pine beetle,</w:t>
      </w:r>
      <w:r>
        <w:t xml:space="preserve"> </w:t>
      </w:r>
      <w:r>
        <w:t xml:space="preserve">Dendroctonus ponderosae</w:t>
      </w:r>
      <w:r>
        <w:t xml:space="preserve">.</w:t>
      </w:r>
      <w:r>
        <w:t xml:space="preserve"> </w:t>
      </w:r>
      <w:r>
        <w:rPr>
          <w:i/>
          <w:iCs/>
        </w:rPr>
        <w:t xml:space="preserve">Annals of the Entomological Society of America</w:t>
      </w:r>
      <w:r>
        <w:t xml:space="preserve">,</w:t>
      </w:r>
      <w:r>
        <w:t xml:space="preserve"> </w:t>
      </w:r>
      <w:r>
        <w:rPr>
          <w:i/>
          <w:iCs/>
        </w:rPr>
        <w:t xml:space="preserve">64</w:t>
      </w:r>
      <w:r>
        <w:t xml:space="preserve">(2), 534–535.</w:t>
      </w:r>
      <w:r>
        <w:t xml:space="preserve"> </w:t>
      </w:r>
      <w:hyperlink r:id="rId103">
        <w:r>
          <w:rPr>
            <w:rStyle w:val="Hyperlink"/>
          </w:rPr>
          <w:t xml:space="preserve">https://doi.org/10.1093/aesa/64.2.534</w:t>
        </w:r>
      </w:hyperlink>
    </w:p>
    <w:bookmarkEnd w:id="104"/>
    <w:bookmarkStart w:id="106" w:name="ref-mccune2002"/>
    <w:p>
      <w:pPr>
        <w:pStyle w:val="Bibliography"/>
      </w:pPr>
      <w:r>
        <w:t xml:space="preserve">McCune, B., &amp; Keon, D. (2002). Equations for potential annual direct incident radiation and heat load.</w:t>
      </w:r>
      <w:r>
        <w:t xml:space="preserve"> </w:t>
      </w:r>
      <w:r>
        <w:rPr>
          <w:i/>
          <w:iCs/>
        </w:rPr>
        <w:t xml:space="preserve">Journal of Vegetation Science</w:t>
      </w:r>
      <w:r>
        <w:t xml:space="preserve">,</w:t>
      </w:r>
      <w:r>
        <w:t xml:space="preserve"> </w:t>
      </w:r>
      <w:r>
        <w:rPr>
          <w:i/>
          <w:iCs/>
        </w:rPr>
        <w:t xml:space="preserve">13</w:t>
      </w:r>
      <w:r>
        <w:t xml:space="preserve">(4), 603–606.</w:t>
      </w:r>
      <w:r>
        <w:t xml:space="preserve"> </w:t>
      </w:r>
      <w:hyperlink r:id="rId105">
        <w:r>
          <w:rPr>
            <w:rStyle w:val="Hyperlink"/>
          </w:rPr>
          <w:t xml:space="preserve">https://doi.org/10.1111/j.1654-1103.2002.tb02087.x</w:t>
        </w:r>
      </w:hyperlink>
    </w:p>
    <w:bookmarkEnd w:id="106"/>
    <w:bookmarkStart w:id="108" w:name="ref-murphy2026"/>
    <w:p>
      <w:pPr>
        <w:pStyle w:val="Bibliography"/>
      </w:pPr>
      <w:r>
        <w:t xml:space="preserve">Murphy, S., Leslie, A., Wilson, J., &amp; Banks, L. K. (2026). Spatial patterns of conifer regeneration following mountain pine beetle outbreak (</w:t>
      </w:r>
      <w:r>
        <w:rPr>
          <w:i/>
          <w:iCs/>
        </w:rPr>
        <w:t xml:space="preserve">Dendroctonus ponderosae</w:t>
      </w:r>
      <w:r>
        <w:t xml:space="preserve">) and mixed-severity wildfire: A point process model of disturbance interactions in the southern</w:t>
      </w:r>
      <w:r>
        <w:t xml:space="preserve"> </w:t>
      </w:r>
      <w:r>
        <w:t xml:space="preserve">Selkirk Mountains</w:t>
      </w:r>
      <w:r>
        <w:t xml:space="preserve">,</w:t>
      </w:r>
      <w:r>
        <w:t xml:space="preserve"> </w:t>
      </w:r>
      <w:r>
        <w:t xml:space="preserve">British Columbia</w:t>
      </w:r>
      <w:r>
        <w:t xml:space="preserve">.</w:t>
      </w:r>
      <w:r>
        <w:t xml:space="preserve"> </w:t>
      </w:r>
      <w:r>
        <w:rPr>
          <w:i/>
          <w:iCs/>
        </w:rPr>
        <w:t xml:space="preserve">Forest Ecology and Management</w:t>
      </w:r>
      <w:r>
        <w:t xml:space="preserve">,</w:t>
      </w:r>
      <w:r>
        <w:t xml:space="preserve"> </w:t>
      </w:r>
      <w:r>
        <w:rPr>
          <w:i/>
          <w:iCs/>
        </w:rPr>
        <w:t xml:space="preserve">618</w:t>
      </w:r>
      <w:r>
        <w:t xml:space="preserve">, 123985.</w:t>
      </w:r>
      <w:r>
        <w:t xml:space="preserve"> </w:t>
      </w:r>
      <w:hyperlink r:id="rId107">
        <w:r>
          <w:rPr>
            <w:rStyle w:val="Hyperlink"/>
          </w:rPr>
          <w:t xml:space="preserve">https://doi.org/10.1016/j.foreco.2026.123985</w:t>
        </w:r>
      </w:hyperlink>
    </w:p>
    <w:bookmarkEnd w:id="108"/>
    <w:bookmarkStart w:id="110" w:name="ref-nrcan2017"/>
    <w:p>
      <w:pPr>
        <w:pStyle w:val="Bibliography"/>
      </w:pPr>
      <w:r>
        <w:t xml:space="preserve">Natural Resources Canada. (2017). High resolution digital elevation model (</w:t>
      </w:r>
      <w:r>
        <w:t xml:space="preserve">HRDEM</w:t>
      </w:r>
      <w:r>
        <w:t xml:space="preserve">) –</w:t>
      </w:r>
      <w:r>
        <w:t xml:space="preserve"> </w:t>
      </w:r>
      <w:r>
        <w:t xml:space="preserve">CanElevation</w:t>
      </w:r>
      <w:r>
        <w:t xml:space="preserve"> </w:t>
      </w:r>
      <w:r>
        <w:t xml:space="preserve">series. Retrieved from</w:t>
      </w:r>
      <w:r>
        <w:t xml:space="preserve"> </w:t>
      </w:r>
      <w:hyperlink r:id="rId109">
        <w:r>
          <w:rPr>
            <w:rStyle w:val="Hyperlink"/>
          </w:rPr>
          <w:t xml:space="preserve">https://open.canada.ca/data/en/dataset/957782bf-847c-4644-a757-e383c0057995</w:t>
        </w:r>
      </w:hyperlink>
    </w:p>
    <w:bookmarkEnd w:id="110"/>
    <w:bookmarkStart w:id="112" w:name="ref-powell2014"/>
    <w:p>
      <w:pPr>
        <w:pStyle w:val="Bibliography"/>
      </w:pPr>
      <w:r>
        <w:t xml:space="preserve">Powell, J. A., &amp; Bentz, B. J. (2014). Phenology and density-dependent dispersal predict patterns of mountain pine beetle (</w:t>
      </w:r>
      <w:r>
        <w:t xml:space="preserve">Dendroctonus ponderosae</w:t>
      </w:r>
      <w:r>
        <w:t xml:space="preserve">) impact.</w:t>
      </w:r>
      <w:r>
        <w:t xml:space="preserve"> </w:t>
      </w:r>
      <w:r>
        <w:rPr>
          <w:i/>
          <w:iCs/>
        </w:rPr>
        <w:t xml:space="preserve">Ecological Modelling</w:t>
      </w:r>
      <w:r>
        <w:t xml:space="preserve">,</w:t>
      </w:r>
      <w:r>
        <w:t xml:space="preserve"> </w:t>
      </w:r>
      <w:r>
        <w:rPr>
          <w:i/>
          <w:iCs/>
        </w:rPr>
        <w:t xml:space="preserve">273</w:t>
      </w:r>
      <w:r>
        <w:t xml:space="preserve">, 173–185.</w:t>
      </w:r>
      <w:r>
        <w:t xml:space="preserve"> </w:t>
      </w:r>
      <w:hyperlink r:id="rId111">
        <w:r>
          <w:rPr>
            <w:rStyle w:val="Hyperlink"/>
          </w:rPr>
          <w:t xml:space="preserve">https://doi.org/10.1016/j.ecolmodel.2013.10.034</w:t>
        </w:r>
      </w:hyperlink>
    </w:p>
    <w:bookmarkEnd w:id="112"/>
    <w:bookmarkStart w:id="113" w:name="ref-safranyik2006chap1"/>
    <w:p>
      <w:pPr>
        <w:pStyle w:val="Bibliography"/>
      </w:pPr>
      <w:r>
        <w:t xml:space="preserve">Safranyik, L., &amp; Carroll, A. L. (2006). The biology and epidemiology of the mountain pine beetle in lodgepole pine forests. In L. Safranyik &amp; B. Wilson (Eds.),</w:t>
      </w:r>
      <w:r>
        <w:t xml:space="preserve"> </w:t>
      </w:r>
      <w:r>
        <w:rPr>
          <w:i/>
          <w:iCs/>
        </w:rPr>
        <w:t xml:space="preserve">The mountain pine beetle: A synthesis of biology, management, and impacts on lodgepole pine</w:t>
      </w:r>
      <w:r>
        <w:t xml:space="preserve"> </w:t>
      </w:r>
      <w:r>
        <w:t xml:space="preserve">(pp. 3–66). Victoria, British Columbia:</w:t>
      </w:r>
      <w:r>
        <w:t xml:space="preserve"> </w:t>
      </w:r>
      <w:r>
        <w:t xml:space="preserve">Natural Resources Canada, Canadian Forest Service, Pacific Forestry Centre</w:t>
      </w:r>
      <w:r>
        <w:t xml:space="preserve">.</w:t>
      </w:r>
    </w:p>
    <w:bookmarkEnd w:id="113"/>
    <w:bookmarkStart w:id="115" w:name="ref-sambaraju2021"/>
    <w:p>
      <w:pPr>
        <w:pStyle w:val="Bibliography"/>
      </w:pPr>
      <w:r>
        <w:t xml:space="preserve">Sambaraju, K. R., &amp; Goodsman, D. W. (2021). Mountain pine beetle: An example of a climate-driven eruptive insect impacting conifer forest ecosystems.</w:t>
      </w:r>
      <w:r>
        <w:t xml:space="preserve"> </w:t>
      </w:r>
      <w:r>
        <w:rPr>
          <w:i/>
          <w:iCs/>
        </w:rPr>
        <w:t xml:space="preserve">CAB Reviews</w:t>
      </w:r>
      <w:r>
        <w:t xml:space="preserve">,</w:t>
      </w:r>
      <w:r>
        <w:t xml:space="preserve"> </w:t>
      </w:r>
      <w:r>
        <w:rPr>
          <w:i/>
          <w:iCs/>
        </w:rPr>
        <w:t xml:space="preserve">16</w:t>
      </w:r>
      <w:r>
        <w:t xml:space="preserve">(018).</w:t>
      </w:r>
      <w:r>
        <w:t xml:space="preserve"> </w:t>
      </w:r>
      <w:hyperlink r:id="rId114">
        <w:r>
          <w:rPr>
            <w:rStyle w:val="Hyperlink"/>
          </w:rPr>
          <w:t xml:space="preserve">https://doi.org/10.1079/PAVSNNR202116018</w:t>
        </w:r>
      </w:hyperlink>
    </w:p>
    <w:bookmarkEnd w:id="115"/>
    <w:bookmarkStart w:id="116" w:name="ref-taylor2003"/>
    <w:p>
      <w:pPr>
        <w:pStyle w:val="Bibliography"/>
      </w:pPr>
      <w:r>
        <w:t xml:space="preserve">Taylor, S. W., &amp; Carroll, A. L. (2003). Disturbance, forest age, and mountain pine beetle outbreak dynamics in</w:t>
      </w:r>
      <w:r>
        <w:t xml:space="preserve"> </w:t>
      </w:r>
      <w:r>
        <w:t xml:space="preserve">BC</w:t>
      </w:r>
      <w:r>
        <w:t xml:space="preserve">: A historical perspective. In</w:t>
      </w:r>
      <w:r>
        <w:t xml:space="preserve"> </w:t>
      </w:r>
      <w:r>
        <w:rPr>
          <w:i/>
          <w:iCs/>
        </w:rPr>
        <w:t xml:space="preserve">Mountain pine beetle symposium: Challenges and solutions,</w:t>
      </w:r>
      <w:r>
        <w:rPr>
          <w:i/>
          <w:iCs/>
        </w:rPr>
        <w:t xml:space="preserve"> </w:t>
      </w:r>
      <w:r>
        <w:rPr>
          <w:i/>
          <w:iCs/>
        </w:rPr>
        <w:t xml:space="preserve">October</w:t>
      </w:r>
      <w:r>
        <w:rPr>
          <w:i/>
          <w:iCs/>
        </w:rPr>
        <w:t xml:space="preserve"> </w:t>
      </w:r>
      <w:r>
        <w:rPr>
          <w:i/>
          <w:iCs/>
        </w:rPr>
        <w:t xml:space="preserve">30–31, 2003,</w:t>
      </w:r>
      <w:r>
        <w:rPr>
          <w:i/>
          <w:iCs/>
        </w:rPr>
        <w:t xml:space="preserve"> </w:t>
      </w:r>
      <w:r>
        <w:rPr>
          <w:i/>
          <w:iCs/>
        </w:rPr>
        <w:t xml:space="preserve">Kelowna</w:t>
      </w:r>
      <w:r>
        <w:rPr>
          <w:i/>
          <w:iCs/>
        </w:rPr>
        <w:t xml:space="preserve">,</w:t>
      </w:r>
      <w:r>
        <w:rPr>
          <w:i/>
          <w:iCs/>
        </w:rPr>
        <w:t xml:space="preserve"> </w:t>
      </w:r>
      <w:r>
        <w:rPr>
          <w:i/>
          <w:iCs/>
        </w:rPr>
        <w:t xml:space="preserve">British Columbia</w:t>
      </w:r>
      <w:r>
        <w:t xml:space="preserve"> </w:t>
      </w:r>
      <w:r>
        <w:t xml:space="preserve">(pp. 41–51). Victoria, British Columbia: Natural Resources Canada, Canadian Forest Service, Pacific Forestry Centre.</w:t>
      </w:r>
    </w:p>
    <w:bookmarkEnd w:id="116"/>
    <w:bookmarkEnd w:id="117"/>
    <w:bookmarkEnd w:id="118"/>
    <w:sectPr w:rsidR="00D931AC" w:rsidSect="00B13028">
      <w:footerReference r:id="rId10" w:type="default"/>
      <w:footerReference r:id="rId9" w:type="first"/>
      <w:pgSz w:h="15840" w:w="12240"/>
      <w:pgMar w:bottom="1440" w:footer="720" w:gutter="0" w:header="720" w:left="1440" w:right="1440" w:top="1440"/>
      <w:lnNumType w:countBy="1" w:restart="continuous"/>
      <w:pgNumType w:start="1"/>
      <w:cols w:space="720"/>
      <w:titlePg/>
      <w:docGrid w:linePitch="29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3D12A56B-797D-444E-9FC6-5B37C5DAC035}"/>
    <w:embedBold r:id="rId2" w:fontKey="{FD3CEDD6-86AB-1C46-8A15-8877C1686B07}"/>
    <w:embedItalic r:id="rId3" w:fontKey="{67E535DB-26F2-B642-AAD5-FDC80F2CF7B9}"/>
    <w:embedBoldItalic r:id="rId4" w:fontKey="{2115481C-3572-184B-8727-E08AEF27DA62}"/>
  </w:font>
  <w:font w:name="Courier New">
    <w:panose1 w:val="02070309020205020404"/>
    <w:charset w:val="00"/>
    <w:family w:val="modern"/>
    <w:pitch w:val="fixed"/>
    <w:sig w:usb0="E0002AFF" w:usb1="C0007843" w:usb2="00000009" w:usb3="00000000" w:csb0="000001FF" w:csb1="00000000"/>
    <w:embedRegular r:id="rId5" w:fontKey="{085026BB-CCCA-E54F-A560-AED7C1963D51}"/>
  </w:font>
  <w:font w:name="Wingdings">
    <w:panose1 w:val="05000000000000000000"/>
    <w:charset w:val="4D"/>
    <w:family w:val="decorative"/>
    <w:pitch w:val="variable"/>
    <w:sig w:usb0="00000003" w:usb1="00000000" w:usb2="00000000" w:usb3="00000000" w:csb0="80000001" w:csb1="00000000"/>
    <w:embedRegular r:id="rId6" w:fontKey="{F744E244-733C-6740-A164-0ABCEF59A7CF}"/>
  </w:font>
  <w:font w:name="Symbol">
    <w:panose1 w:val="05050102010706020507"/>
    <w:charset w:val="02"/>
    <w:family w:val="decorative"/>
    <w:pitch w:val="variable"/>
    <w:sig w:usb0="00000003" w:usb1="10000000" w:usb2="00000000" w:usb3="00000000" w:csb0="80000001" w:csb1="00000000"/>
    <w:embedRegular r:id="rId7" w:fontKey="{617BC16C-2D7B-C143-AA8A-DEB95EAE857B}"/>
  </w:font>
  <w:font w:name="Ubuntu">
    <w:panose1 w:val="020B0504030602030204"/>
    <w:charset w:val="00"/>
    <w:family w:val="swiss"/>
    <w:pitch w:val="variable"/>
    <w:sig w:usb0="E00002FF" w:usb1="5000205B" w:usb2="00000000" w:usb3="00000000" w:csb0="0000009F" w:csb1="00000000"/>
    <w:embedRegular r:id="rId8" w:fontKey="{2C682040-A827-BB49-872E-27E75C7C9302}"/>
  </w:font>
  <w:font w:name="Arial">
    <w:panose1 w:val="020B0604020202020204"/>
    <w:charset w:val="00"/>
    <w:family w:val="swiss"/>
    <w:pitch w:val="variable"/>
    <w:sig w:usb0="E0002EFF" w:usb1="C000785B" w:usb2="00000009" w:usb3="00000000" w:csb0="000001FF" w:csb1="00000000"/>
    <w:embedRegular r:id="rId9" w:fontKey="{62BD56F2-54D9-3244-A137-C7FEFFA6F835}"/>
    <w:embedBold r:id="rId10" w:fontKey="{7385F66A-610E-C84C-8011-3C49D62CC650}"/>
    <w:embedItalic r:id="rId11" w:fontKey="{7BBDF880-F20C-5549-927B-354C4781E948}"/>
  </w:font>
  <w:font w:name="Play">
    <w:altName w:val="Calibri"/>
    <w:panose1 w:val="020B0604020202020204"/>
    <w:charset w:val="00"/>
    <w:family w:val="auto"/>
    <w:pitch w:val="default"/>
  </w:font>
  <w:font w:name="Consolas">
    <w:panose1 w:val="020B0609020204030204"/>
    <w:charset w:val="00"/>
    <w:family w:val="modern"/>
    <w:pitch w:val="fixed"/>
    <w:sig w:usb0="E10002FF" w:usb1="4000FCFF" w:usb2="00000009" w:usb3="00000000" w:csb0="0000019F" w:csb1="00000000"/>
    <w:embedRegular r:id="rId14" w:fontKey="{26BD65CD-77BB-5D4C-AAB7-328BAC130273}"/>
    <w:embedBold r:id="rId15" w:fontKey="{B10BB92D-F0E2-8D46-9DED-867D0938013E}"/>
    <w:embedItalic r:id="rId16" w:fontKey="{36876C46-2E15-9F4D-A0F2-9FE2EAF64544}"/>
    <w:embedBoldItalic r:id="rId17" w:fontKey="{5F596E27-69FE-974C-B3F1-108E1B29AF87}"/>
  </w:font>
  <w:font w:name="Aptos Display">
    <w:panose1 w:val="020B0004020202020204"/>
    <w:charset w:val="00"/>
    <w:family w:val="swiss"/>
    <w:pitch w:val="variable"/>
    <w:sig w:usb0="20000287" w:usb1="00000003" w:usb2="00000000" w:usb3="00000000" w:csb0="0000019F" w:csb1="00000000"/>
    <w:embedRegular r:id="rId18" w:fontKey="{9E9871A1-0968-9547-B04A-5264525A2142}"/>
    <w:embedBold r:id="rId19" w:fontKey="{D6F14352-A8CE-2B4D-A104-F0CC6D16761A}"/>
  </w:font>
  <w:font w:name="Aptos">
    <w:panose1 w:val="020B0004020202020204"/>
    <w:charset w:val="00"/>
    <w:family w:val="swiss"/>
    <w:pitch w:val="variable"/>
    <w:sig w:usb0="20000287" w:usb1="00000003" w:usb2="00000000" w:usb3="00000000" w:csb0="0000019F" w:csb1="00000000"/>
    <w:embedRegular r:id="rId20" w:fontKey="{7BEA954E-5CCE-6F49-AACD-9B7B508ECA0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2CBF21" w14:textId="6D7FB1A0" w:rsidR="000B55EB" w:rsidRDefault="00000000">
    <w:pPr>
      <w:jc w:val="right"/>
    </w:pPr>
    <w:r>
      <w:fldChar w:fldCharType="begin"/>
    </w:r>
    <w:r>
      <w:instrText>PAGE</w:instrText>
    </w:r>
    <w:r>
      <w:fldChar w:fldCharType="separate"/>
    </w:r>
    <w:r w:rsidR="00B0410B">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8B4B435" w14:textId="77777777" w:rsidR="000B55EB" w:rsidRDefault="000B55EB"/>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i="http://schemas.microsoft.com/office/word/2026/wordml/cei"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2536786"/>
    <w:multiLevelType w:val="multilevel"/>
    <w:tmpl w:val="81A64DDC"/>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1">
    <w:nsid w:val="036851CF"/>
    <w:multiLevelType w:val="hybridMultilevel"/>
    <w:tmpl w:val="AF2A710C"/>
    <w:lvl w:ilvl="0" w:tplc="0409000F">
      <w:start w:val="1"/>
      <w:numFmt w:val="decimal"/>
      <w:lvlText w:val="%1."/>
      <w:lvlJc w:val="left"/>
      <w:pPr>
        <w:ind w:hanging="360" w:left="360"/>
      </w:pPr>
      <w:rPr>
        <w:rFonts w:hint="default"/>
      </w:rPr>
    </w:lvl>
    <w:lvl w:ilvl="1" w:tentative="1" w:tplc="FFFFFFFF">
      <w:start w:val="1"/>
      <w:numFmt w:val="bullet"/>
      <w:lvlText w:val="o"/>
      <w:lvlJc w:val="left"/>
      <w:pPr>
        <w:ind w:hanging="360" w:left="1080"/>
      </w:pPr>
      <w:rPr>
        <w:rFonts w:ascii="Courier New" w:hAnsi="Courier New" w:hint="default"/>
      </w:rPr>
    </w:lvl>
    <w:lvl w:ilvl="2" w:tentative="1" w:tplc="FFFFFFFF">
      <w:start w:val="1"/>
      <w:numFmt w:val="bullet"/>
      <w:lvlText w:val=""/>
      <w:lvlJc w:val="left"/>
      <w:pPr>
        <w:ind w:hanging="360" w:left="1800"/>
      </w:pPr>
      <w:rPr>
        <w:rFonts w:ascii="Wingdings" w:hAnsi="Wingdings" w:hint="default"/>
      </w:rPr>
    </w:lvl>
    <w:lvl w:ilvl="3" w:tentative="1" w:tplc="FFFFFFFF">
      <w:start w:val="1"/>
      <w:numFmt w:val="bullet"/>
      <w:lvlText w:val=""/>
      <w:lvlJc w:val="left"/>
      <w:pPr>
        <w:ind w:hanging="360" w:left="2520"/>
      </w:pPr>
      <w:rPr>
        <w:rFonts w:ascii="Symbol" w:hAnsi="Symbol" w:hint="default"/>
      </w:rPr>
    </w:lvl>
    <w:lvl w:ilvl="4" w:tentative="1" w:tplc="FFFFFFFF">
      <w:start w:val="1"/>
      <w:numFmt w:val="bullet"/>
      <w:lvlText w:val="o"/>
      <w:lvlJc w:val="left"/>
      <w:pPr>
        <w:ind w:hanging="360" w:left="3240"/>
      </w:pPr>
      <w:rPr>
        <w:rFonts w:ascii="Courier New" w:hAnsi="Courier New" w:hint="default"/>
      </w:rPr>
    </w:lvl>
    <w:lvl w:ilvl="5" w:tentative="1" w:tplc="FFFFFFFF">
      <w:start w:val="1"/>
      <w:numFmt w:val="bullet"/>
      <w:lvlText w:val=""/>
      <w:lvlJc w:val="left"/>
      <w:pPr>
        <w:ind w:hanging="360" w:left="3960"/>
      </w:pPr>
      <w:rPr>
        <w:rFonts w:ascii="Wingdings" w:hAnsi="Wingdings" w:hint="default"/>
      </w:rPr>
    </w:lvl>
    <w:lvl w:ilvl="6" w:tentative="1" w:tplc="FFFFFFFF">
      <w:start w:val="1"/>
      <w:numFmt w:val="bullet"/>
      <w:lvlText w:val=""/>
      <w:lvlJc w:val="left"/>
      <w:pPr>
        <w:ind w:hanging="360" w:left="4680"/>
      </w:pPr>
      <w:rPr>
        <w:rFonts w:ascii="Symbol" w:hAnsi="Symbol" w:hint="default"/>
      </w:rPr>
    </w:lvl>
    <w:lvl w:ilvl="7" w:tentative="1" w:tplc="FFFFFFFF">
      <w:start w:val="1"/>
      <w:numFmt w:val="bullet"/>
      <w:lvlText w:val="o"/>
      <w:lvlJc w:val="left"/>
      <w:pPr>
        <w:ind w:hanging="360" w:left="5400"/>
      </w:pPr>
      <w:rPr>
        <w:rFonts w:ascii="Courier New" w:hAnsi="Courier New" w:hint="default"/>
      </w:rPr>
    </w:lvl>
    <w:lvl w:ilvl="8" w:tentative="1" w:tplc="FFFFFFFF">
      <w:start w:val="1"/>
      <w:numFmt w:val="bullet"/>
      <w:lvlText w:val=""/>
      <w:lvlJc w:val="left"/>
      <w:pPr>
        <w:ind w:hanging="360" w:left="6120"/>
      </w:pPr>
      <w:rPr>
        <w:rFonts w:ascii="Wingdings" w:hAnsi="Wingdings" w:hint="default"/>
      </w:rPr>
    </w:lvl>
  </w:abstractNum>
  <w:abstractNum w15:restartNumberingAfterBreak="0" w:abstractNumId="2">
    <w:nsid w:val="171A0667"/>
    <w:multiLevelType w:val="hybridMultilevel"/>
    <w:tmpl w:val="AB988C60"/>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3">
    <w:nsid w:val="1744454D"/>
    <w:multiLevelType w:val="multilevel"/>
    <w:tmpl w:val="BEA2E0AA"/>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4">
    <w:nsid w:val="1D5040A3"/>
    <w:multiLevelType w:val="multilevel"/>
    <w:tmpl w:val="E8DC0374"/>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5">
    <w:nsid w:val="29EA41D8"/>
    <w:multiLevelType w:val="multilevel"/>
    <w:tmpl w:val="267245E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6">
    <w:nsid w:val="2D7802DA"/>
    <w:multiLevelType w:val="multilevel"/>
    <w:tmpl w:val="0CC420B2"/>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7">
    <w:nsid w:val="2E5524F5"/>
    <w:multiLevelType w:val="multilevel"/>
    <w:tmpl w:val="244E3E70"/>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8">
    <w:nsid w:val="30FC0002"/>
    <w:multiLevelType w:val="hybridMultilevel"/>
    <w:tmpl w:val="007AAE82"/>
    <w:lvl w:ilvl="0" w:tplc="0409000F">
      <w:start w:val="1"/>
      <w:numFmt w:val="decimal"/>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15:restartNumberingAfterBreak="0" w:abstractNumId="9">
    <w:nsid w:val="44E96C8B"/>
    <w:multiLevelType w:val="multilevel"/>
    <w:tmpl w:val="267245E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0">
    <w:nsid w:val="485A5F5D"/>
    <w:multiLevelType w:val="multilevel"/>
    <w:tmpl w:val="267245E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1">
    <w:nsid w:val="49127D73"/>
    <w:multiLevelType w:val="multilevel"/>
    <w:tmpl w:val="1736CE22"/>
    <w:lvl w:ilvl="0">
      <w:start w:val="1"/>
      <w:numFmt w:val="bullet"/>
      <w:lvlText w:val=""/>
      <w:lvlJc w:val="left"/>
      <w:pPr>
        <w:ind w:hanging="360" w:left="720"/>
      </w:pPr>
      <w:rPr>
        <w:rFonts w:ascii="Symbol" w:hAnsi="Symbol" w:hint="default"/>
      </w:rPr>
    </w:lvl>
    <w:lvl w:ilvl="1">
      <w:start w:val="1"/>
      <w:numFmt w:val="decimal"/>
      <w:isLgl/>
      <w:lvlText w:val="%1.%2"/>
      <w:lvlJc w:val="left"/>
      <w:pPr>
        <w:ind w:hanging="360" w:left="720"/>
      </w:pPr>
      <w:rPr>
        <w:rFonts w:hint="default"/>
      </w:rPr>
    </w:lvl>
    <w:lvl w:ilvl="2">
      <w:start w:val="1"/>
      <w:numFmt w:val="decimal"/>
      <w:isLgl/>
      <w:lvlText w:val="%1.%2.%3"/>
      <w:lvlJc w:val="left"/>
      <w:pPr>
        <w:ind w:hanging="720" w:left="1080"/>
      </w:pPr>
      <w:rPr>
        <w:rFonts w:hint="default"/>
      </w:rPr>
    </w:lvl>
    <w:lvl w:ilvl="3">
      <w:start w:val="1"/>
      <w:numFmt w:val="decimal"/>
      <w:isLgl/>
      <w:lvlText w:val="%1.%2.%3.%4"/>
      <w:lvlJc w:val="left"/>
      <w:pPr>
        <w:ind w:hanging="720" w:left="1080"/>
      </w:pPr>
      <w:rPr>
        <w:rFonts w:hint="default"/>
      </w:rPr>
    </w:lvl>
    <w:lvl w:ilvl="4">
      <w:start w:val="1"/>
      <w:numFmt w:val="decimal"/>
      <w:isLgl/>
      <w:lvlText w:val="%1.%2.%3.%4.%5"/>
      <w:lvlJc w:val="left"/>
      <w:pPr>
        <w:ind w:hanging="1080" w:left="1440"/>
      </w:pPr>
      <w:rPr>
        <w:rFonts w:hint="default"/>
      </w:rPr>
    </w:lvl>
    <w:lvl w:ilvl="5">
      <w:start w:val="1"/>
      <w:numFmt w:val="decimal"/>
      <w:isLgl/>
      <w:lvlText w:val="%1.%2.%3.%4.%5.%6"/>
      <w:lvlJc w:val="left"/>
      <w:pPr>
        <w:ind w:hanging="1080" w:left="1440"/>
      </w:pPr>
      <w:rPr>
        <w:rFonts w:hint="default"/>
      </w:rPr>
    </w:lvl>
    <w:lvl w:ilvl="6">
      <w:start w:val="1"/>
      <w:numFmt w:val="decimal"/>
      <w:isLgl/>
      <w:lvlText w:val="%1.%2.%3.%4.%5.%6.%7"/>
      <w:lvlJc w:val="left"/>
      <w:pPr>
        <w:ind w:hanging="1440" w:left="1800"/>
      </w:pPr>
      <w:rPr>
        <w:rFonts w:hint="default"/>
      </w:rPr>
    </w:lvl>
    <w:lvl w:ilvl="7">
      <w:start w:val="1"/>
      <w:numFmt w:val="decimal"/>
      <w:isLgl/>
      <w:lvlText w:val="%1.%2.%3.%4.%5.%6.%7.%8"/>
      <w:lvlJc w:val="left"/>
      <w:pPr>
        <w:ind w:hanging="1440" w:left="1800"/>
      </w:pPr>
      <w:rPr>
        <w:rFonts w:hint="default"/>
      </w:rPr>
    </w:lvl>
    <w:lvl w:ilvl="8">
      <w:start w:val="1"/>
      <w:numFmt w:val="decimal"/>
      <w:isLgl/>
      <w:lvlText w:val="%1.%2.%3.%4.%5.%6.%7.%8.%9"/>
      <w:lvlJc w:val="left"/>
      <w:pPr>
        <w:ind w:hanging="1800" w:left="2160"/>
      </w:pPr>
      <w:rPr>
        <w:rFonts w:hint="default"/>
      </w:rPr>
    </w:lvl>
  </w:abstractNum>
  <w:abstractNum w15:restartNumberingAfterBreak="0" w:abstractNumId="12">
    <w:nsid w:val="4D0460AB"/>
    <w:multiLevelType w:val="multilevel"/>
    <w:tmpl w:val="8638B9EE"/>
    <w:lvl w:ilvl="0">
      <w:start w:val="1"/>
      <w:numFmt w:val="decimal"/>
      <w:lvlText w:val="%1."/>
      <w:lvlJc w:val="left"/>
      <w:pPr>
        <w:ind w:hanging="360" w:left="720"/>
      </w:pPr>
      <w:rPr>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w15:restartNumberingAfterBreak="0" w:abstractNumId="13">
    <w:nsid w:val="5583452F"/>
    <w:multiLevelType w:val="hybridMultilevel"/>
    <w:tmpl w:val="099ABA20"/>
    <w:lvl w:ilvl="0" w:tplc="AF0AA18C">
      <w:start w:val="1"/>
      <w:numFmt w:val="decimal"/>
      <w:lvlText w:val="%1."/>
      <w:lvlJc w:val="left"/>
      <w:pPr>
        <w:ind w:hanging="360" w:left="420"/>
      </w:pPr>
      <w:rPr>
        <w:rFonts w:ascii="Times New Roman" w:cs="Times New Roman" w:hAnsi="Times New Roman" w:hint="default"/>
      </w:rPr>
    </w:lvl>
    <w:lvl w:ilvl="1" w:tentative="1" w:tplc="04090019">
      <w:start w:val="1"/>
      <w:numFmt w:val="lowerLetter"/>
      <w:lvlText w:val="%2."/>
      <w:lvlJc w:val="left"/>
      <w:pPr>
        <w:ind w:hanging="360" w:left="1140"/>
      </w:pPr>
    </w:lvl>
    <w:lvl w:ilvl="2" w:tentative="1" w:tplc="0409001B">
      <w:start w:val="1"/>
      <w:numFmt w:val="lowerRoman"/>
      <w:lvlText w:val="%3."/>
      <w:lvlJc w:val="right"/>
      <w:pPr>
        <w:ind w:hanging="180" w:left="1860"/>
      </w:pPr>
    </w:lvl>
    <w:lvl w:ilvl="3" w:tentative="1" w:tplc="0409000F">
      <w:start w:val="1"/>
      <w:numFmt w:val="decimal"/>
      <w:lvlText w:val="%4."/>
      <w:lvlJc w:val="left"/>
      <w:pPr>
        <w:ind w:hanging="360" w:left="2580"/>
      </w:pPr>
    </w:lvl>
    <w:lvl w:ilvl="4" w:tentative="1" w:tplc="04090019">
      <w:start w:val="1"/>
      <w:numFmt w:val="lowerLetter"/>
      <w:lvlText w:val="%5."/>
      <w:lvlJc w:val="left"/>
      <w:pPr>
        <w:ind w:hanging="360" w:left="3300"/>
      </w:pPr>
    </w:lvl>
    <w:lvl w:ilvl="5" w:tentative="1" w:tplc="0409001B">
      <w:start w:val="1"/>
      <w:numFmt w:val="lowerRoman"/>
      <w:lvlText w:val="%6."/>
      <w:lvlJc w:val="right"/>
      <w:pPr>
        <w:ind w:hanging="180" w:left="4020"/>
      </w:pPr>
    </w:lvl>
    <w:lvl w:ilvl="6" w:tentative="1" w:tplc="0409000F">
      <w:start w:val="1"/>
      <w:numFmt w:val="decimal"/>
      <w:lvlText w:val="%7."/>
      <w:lvlJc w:val="left"/>
      <w:pPr>
        <w:ind w:hanging="360" w:left="4740"/>
      </w:pPr>
    </w:lvl>
    <w:lvl w:ilvl="7" w:tentative="1" w:tplc="04090019">
      <w:start w:val="1"/>
      <w:numFmt w:val="lowerLetter"/>
      <w:lvlText w:val="%8."/>
      <w:lvlJc w:val="left"/>
      <w:pPr>
        <w:ind w:hanging="360" w:left="5460"/>
      </w:pPr>
    </w:lvl>
    <w:lvl w:ilvl="8" w:tentative="1" w:tplc="0409001B">
      <w:start w:val="1"/>
      <w:numFmt w:val="lowerRoman"/>
      <w:lvlText w:val="%9."/>
      <w:lvlJc w:val="right"/>
      <w:pPr>
        <w:ind w:hanging="180" w:left="6180"/>
      </w:pPr>
    </w:lvl>
  </w:abstractNum>
  <w:abstractNum w15:restartNumberingAfterBreak="0" w:abstractNumId="14">
    <w:nsid w:val="56942631"/>
    <w:multiLevelType w:val="multilevel"/>
    <w:tmpl w:val="D4041BCE"/>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15">
    <w:nsid w:val="59CB1727"/>
    <w:multiLevelType w:val="multilevel"/>
    <w:tmpl w:val="267245E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6">
    <w:nsid w:val="5AF76DFB"/>
    <w:multiLevelType w:val="multilevel"/>
    <w:tmpl w:val="267245E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7">
    <w:nsid w:val="5CAE3D11"/>
    <w:multiLevelType w:val="multilevel"/>
    <w:tmpl w:val="D038AA8E"/>
    <w:lvl w:ilvl="0">
      <w:start w:val="1"/>
      <w:numFmt w:val="decimal"/>
      <w:lvlText w:val="%1."/>
      <w:lvlJc w:val="left"/>
      <w:pPr>
        <w:ind w:hanging="360" w:left="720"/>
      </w:pPr>
      <w:rPr>
        <w:rFonts w:ascii="Ubuntu" w:cs="Ubuntu" w:eastAsia="Ubuntu" w:hAnsi="Ubuntu"/>
        <w:color w:val="465360"/>
        <w:sz w:val="21"/>
        <w:szCs w:val="21"/>
        <w:u w:val="none"/>
      </w:rPr>
    </w:lvl>
    <w:lvl w:ilvl="1">
      <w:start w:val="1"/>
      <w:numFmt w:val="lowerLetter"/>
      <w:lvlText w:val="%2."/>
      <w:lvlJc w:val="left"/>
      <w:pPr>
        <w:ind w:hanging="360" w:left="1440"/>
      </w:pPr>
      <w:rPr>
        <w:u w:val="none"/>
      </w:rPr>
    </w:lvl>
    <w:lvl w:ilvl="2">
      <w:start w:val="1"/>
      <w:numFmt w:val="lowerRoman"/>
      <w:lvlText w:val="%3."/>
      <w:lvlJc w:val="lef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lef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left"/>
      <w:pPr>
        <w:ind w:hanging="360" w:left="6480"/>
      </w:pPr>
      <w:rPr>
        <w:u w:val="none"/>
      </w:rPr>
    </w:lvl>
  </w:abstractNum>
  <w:abstractNum w15:restartNumberingAfterBreak="0" w:abstractNumId="18">
    <w:nsid w:val="613D3456"/>
    <w:multiLevelType w:val="hybridMultilevel"/>
    <w:tmpl w:val="0E88C840"/>
    <w:lvl w:ilvl="0" w:tplc="04090001">
      <w:start w:val="1"/>
      <w:numFmt w:val="bullet"/>
      <w:lvlText w:val=""/>
      <w:lvlJc w:val="left"/>
      <w:pPr>
        <w:ind w:hanging="360" w:left="360"/>
      </w:pPr>
      <w:rPr>
        <w:rFonts w:ascii="Symbol" w:hAnsi="Symbol" w:hint="default"/>
      </w:rPr>
    </w:lvl>
    <w:lvl w:ilvl="1" w:tentative="1" w:tplc="04090003">
      <w:start w:val="1"/>
      <w:numFmt w:val="bullet"/>
      <w:lvlText w:val="o"/>
      <w:lvlJc w:val="left"/>
      <w:pPr>
        <w:ind w:hanging="360" w:left="1080"/>
      </w:pPr>
      <w:rPr>
        <w:rFonts w:ascii="Courier New" w:hAnsi="Courier New" w:hint="default"/>
      </w:rPr>
    </w:lvl>
    <w:lvl w:ilvl="2" w:tentative="1" w:tplc="04090005">
      <w:start w:val="1"/>
      <w:numFmt w:val="bullet"/>
      <w:lvlText w:val=""/>
      <w:lvlJc w:val="left"/>
      <w:pPr>
        <w:ind w:hanging="360" w:left="1800"/>
      </w:pPr>
      <w:rPr>
        <w:rFonts w:ascii="Wingdings" w:hAnsi="Wingdings" w:hint="default"/>
      </w:rPr>
    </w:lvl>
    <w:lvl w:ilvl="3" w:tentative="1" w:tplc="04090001">
      <w:start w:val="1"/>
      <w:numFmt w:val="bullet"/>
      <w:lvlText w:val=""/>
      <w:lvlJc w:val="left"/>
      <w:pPr>
        <w:ind w:hanging="360" w:left="2520"/>
      </w:pPr>
      <w:rPr>
        <w:rFonts w:ascii="Symbol" w:hAnsi="Symbol" w:hint="default"/>
      </w:rPr>
    </w:lvl>
    <w:lvl w:ilvl="4" w:tentative="1" w:tplc="04090003">
      <w:start w:val="1"/>
      <w:numFmt w:val="bullet"/>
      <w:lvlText w:val="o"/>
      <w:lvlJc w:val="left"/>
      <w:pPr>
        <w:ind w:hanging="360" w:left="3240"/>
      </w:pPr>
      <w:rPr>
        <w:rFonts w:ascii="Courier New" w:hAnsi="Courier New" w:hint="default"/>
      </w:rPr>
    </w:lvl>
    <w:lvl w:ilvl="5" w:tentative="1" w:tplc="04090005">
      <w:start w:val="1"/>
      <w:numFmt w:val="bullet"/>
      <w:lvlText w:val=""/>
      <w:lvlJc w:val="left"/>
      <w:pPr>
        <w:ind w:hanging="360" w:left="3960"/>
      </w:pPr>
      <w:rPr>
        <w:rFonts w:ascii="Wingdings" w:hAnsi="Wingdings" w:hint="default"/>
      </w:rPr>
    </w:lvl>
    <w:lvl w:ilvl="6" w:tentative="1" w:tplc="04090001">
      <w:start w:val="1"/>
      <w:numFmt w:val="bullet"/>
      <w:lvlText w:val=""/>
      <w:lvlJc w:val="left"/>
      <w:pPr>
        <w:ind w:hanging="360" w:left="4680"/>
      </w:pPr>
      <w:rPr>
        <w:rFonts w:ascii="Symbol" w:hAnsi="Symbol" w:hint="default"/>
      </w:rPr>
    </w:lvl>
    <w:lvl w:ilvl="7" w:tentative="1" w:tplc="04090003">
      <w:start w:val="1"/>
      <w:numFmt w:val="bullet"/>
      <w:lvlText w:val="o"/>
      <w:lvlJc w:val="left"/>
      <w:pPr>
        <w:ind w:hanging="360" w:left="5400"/>
      </w:pPr>
      <w:rPr>
        <w:rFonts w:ascii="Courier New" w:hAnsi="Courier New" w:hint="default"/>
      </w:rPr>
    </w:lvl>
    <w:lvl w:ilvl="8" w:tentative="1" w:tplc="04090005">
      <w:start w:val="1"/>
      <w:numFmt w:val="bullet"/>
      <w:lvlText w:val=""/>
      <w:lvlJc w:val="left"/>
      <w:pPr>
        <w:ind w:hanging="360" w:left="6120"/>
      </w:pPr>
      <w:rPr>
        <w:rFonts w:ascii="Wingdings" w:hAnsi="Wingdings" w:hint="default"/>
      </w:rPr>
    </w:lvl>
  </w:abstractNum>
  <w:abstractNum w15:restartNumberingAfterBreak="0" w:abstractNumId="19">
    <w:nsid w:val="63F157A6"/>
    <w:multiLevelType w:val="multilevel"/>
    <w:tmpl w:val="90C4552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0">
    <w:nsid w:val="66CD1B99"/>
    <w:multiLevelType w:val="multilevel"/>
    <w:tmpl w:val="D2DCC01C"/>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21">
    <w:nsid w:val="6A0B63B6"/>
    <w:multiLevelType w:val="multilevel"/>
    <w:tmpl w:val="267245E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2">
    <w:nsid w:val="718F48A8"/>
    <w:multiLevelType w:val="hybridMultilevel"/>
    <w:tmpl w:val="F718D7FE"/>
    <w:lvl w:ilvl="0" w:tplc="70E0DDFE">
      <w:start w:val="1"/>
      <w:numFmt w:val="bullet"/>
      <w:lvlText w:val="-"/>
      <w:lvlJc w:val="left"/>
      <w:pPr>
        <w:ind w:hanging="360" w:left="720"/>
      </w:pPr>
      <w:rPr>
        <w:rFonts w:ascii="Arial" w:cs="Arial" w:eastAsia="Times New Roman" w:hAnsi="Arial"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3">
    <w:nsid w:val="73FC48F6"/>
    <w:multiLevelType w:val="multilevel"/>
    <w:tmpl w:val="7C6CC4BA"/>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4">
    <w:nsid w:val="7D980FE5"/>
    <w:multiLevelType w:val="multilevel"/>
    <w:tmpl w:val="EDDA6E46"/>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065760883" w:numId="1">
    <w:abstractNumId w:val="12"/>
  </w:num>
  <w:num w16cid:durableId="1229654886" w:numId="2">
    <w:abstractNumId w:val="4"/>
  </w:num>
  <w:num w16cid:durableId="1780876995" w:numId="3">
    <w:abstractNumId w:val="14"/>
  </w:num>
  <w:num w16cid:durableId="974025194" w:numId="4">
    <w:abstractNumId w:val="20"/>
  </w:num>
  <w:num w16cid:durableId="559169265" w:numId="5">
    <w:abstractNumId w:val="3"/>
  </w:num>
  <w:num w16cid:durableId="749277374" w:numId="6">
    <w:abstractNumId w:val="6"/>
  </w:num>
  <w:num w16cid:durableId="1982688459" w:numId="7">
    <w:abstractNumId w:val="17"/>
  </w:num>
  <w:num w16cid:durableId="777025906" w:numId="8">
    <w:abstractNumId w:val="7"/>
  </w:num>
  <w:num w16cid:durableId="1683047266" w:numId="9">
    <w:abstractNumId w:val="24"/>
  </w:num>
  <w:num w16cid:durableId="1989626730" w:numId="10">
    <w:abstractNumId w:val="0"/>
  </w:num>
  <w:num w16cid:durableId="1157310178" w:numId="11">
    <w:abstractNumId w:val="13"/>
  </w:num>
  <w:num w16cid:durableId="2135756243" w:numId="12">
    <w:abstractNumId w:val="11"/>
  </w:num>
  <w:num w16cid:durableId="1483307824" w:numId="13">
    <w:abstractNumId w:val="22"/>
  </w:num>
  <w:num w16cid:durableId="666329526" w:numId="14">
    <w:abstractNumId w:val="1"/>
  </w:num>
  <w:num w16cid:durableId="361440534" w:numId="15">
    <w:abstractNumId w:val="16"/>
  </w:num>
  <w:num w16cid:durableId="760414313" w:numId="16">
    <w:abstractNumId w:val="19"/>
  </w:num>
  <w:num w16cid:durableId="2113938833" w:numId="17">
    <w:abstractNumId w:val="15"/>
  </w:num>
  <w:num w16cid:durableId="196820457" w:numId="18">
    <w:abstractNumId w:val="9"/>
  </w:num>
  <w:num w16cid:durableId="1028726134" w:numId="19">
    <w:abstractNumId w:val="18"/>
  </w:num>
  <w:num w16cid:durableId="192043067" w:numId="20">
    <w:abstractNumId w:val="5"/>
  </w:num>
  <w:num w16cid:durableId="910313393" w:numId="21">
    <w:abstractNumId w:val="2"/>
  </w:num>
  <w:num w16cid:durableId="329673323" w:numId="22">
    <w:abstractNumId w:val="10"/>
  </w:num>
  <w:num w16cid:durableId="569272857" w:numId="23">
    <w:abstractNumId w:val="8"/>
  </w:num>
  <w:num w16cid:durableId="1467820160" w:numId="24">
    <w:abstractNumId w:val="23"/>
  </w:num>
  <w:num w16cid:durableId="1134904917" w:numId="25">
    <w:abstractNumId w:val="21"/>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70"/>
  <w:embedTrueTypeFonts/>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55EB"/>
    <w:rsid w:val="000306B5"/>
    <w:rsid w:val="00053DFE"/>
    <w:rsid w:val="000729AC"/>
    <w:rsid w:val="000A49A2"/>
    <w:rsid w:val="000B1FAD"/>
    <w:rsid w:val="000B55EB"/>
    <w:rsid w:val="000C794D"/>
    <w:rsid w:val="000D594F"/>
    <w:rsid w:val="000E1293"/>
    <w:rsid w:val="000E3232"/>
    <w:rsid w:val="000E5E44"/>
    <w:rsid w:val="000F4CBD"/>
    <w:rsid w:val="0011546F"/>
    <w:rsid w:val="001158BA"/>
    <w:rsid w:val="00144330"/>
    <w:rsid w:val="0015101F"/>
    <w:rsid w:val="001C0F05"/>
    <w:rsid w:val="001C3062"/>
    <w:rsid w:val="001C4B27"/>
    <w:rsid w:val="001E25AB"/>
    <w:rsid w:val="001E794E"/>
    <w:rsid w:val="00201298"/>
    <w:rsid w:val="00201ADC"/>
    <w:rsid w:val="00217880"/>
    <w:rsid w:val="00231BCB"/>
    <w:rsid w:val="0023705F"/>
    <w:rsid w:val="00242606"/>
    <w:rsid w:val="002442B9"/>
    <w:rsid w:val="0029044E"/>
    <w:rsid w:val="00292A06"/>
    <w:rsid w:val="002D7B74"/>
    <w:rsid w:val="003216E7"/>
    <w:rsid w:val="00341564"/>
    <w:rsid w:val="00344F3C"/>
    <w:rsid w:val="003532A2"/>
    <w:rsid w:val="0035418C"/>
    <w:rsid w:val="003675D9"/>
    <w:rsid w:val="00371E39"/>
    <w:rsid w:val="003B69D9"/>
    <w:rsid w:val="003D4BC8"/>
    <w:rsid w:val="003E6821"/>
    <w:rsid w:val="00405520"/>
    <w:rsid w:val="00430EE7"/>
    <w:rsid w:val="00450DA6"/>
    <w:rsid w:val="004549F2"/>
    <w:rsid w:val="00485F53"/>
    <w:rsid w:val="004905DB"/>
    <w:rsid w:val="00496DE6"/>
    <w:rsid w:val="004A28CE"/>
    <w:rsid w:val="004B658B"/>
    <w:rsid w:val="004C06D3"/>
    <w:rsid w:val="004D6A4E"/>
    <w:rsid w:val="004E0519"/>
    <w:rsid w:val="00507E9D"/>
    <w:rsid w:val="00521651"/>
    <w:rsid w:val="00530478"/>
    <w:rsid w:val="00561AB7"/>
    <w:rsid w:val="005711B7"/>
    <w:rsid w:val="005B0C1C"/>
    <w:rsid w:val="005B756B"/>
    <w:rsid w:val="005C5B96"/>
    <w:rsid w:val="005D34B2"/>
    <w:rsid w:val="005D7AAD"/>
    <w:rsid w:val="00640111"/>
    <w:rsid w:val="0064282A"/>
    <w:rsid w:val="00687C9F"/>
    <w:rsid w:val="00696889"/>
    <w:rsid w:val="006A4B09"/>
    <w:rsid w:val="006A6B8D"/>
    <w:rsid w:val="006A772F"/>
    <w:rsid w:val="006B1B94"/>
    <w:rsid w:val="006D03B6"/>
    <w:rsid w:val="006D2FFB"/>
    <w:rsid w:val="006E156A"/>
    <w:rsid w:val="006F3680"/>
    <w:rsid w:val="00701179"/>
    <w:rsid w:val="00704838"/>
    <w:rsid w:val="00704B8F"/>
    <w:rsid w:val="00711FAD"/>
    <w:rsid w:val="0071720C"/>
    <w:rsid w:val="00720328"/>
    <w:rsid w:val="00736B8E"/>
    <w:rsid w:val="00763A02"/>
    <w:rsid w:val="007863D3"/>
    <w:rsid w:val="00797A48"/>
    <w:rsid w:val="007E30C0"/>
    <w:rsid w:val="007F2E96"/>
    <w:rsid w:val="008167AF"/>
    <w:rsid w:val="00877D01"/>
    <w:rsid w:val="00877DF4"/>
    <w:rsid w:val="008B5DE4"/>
    <w:rsid w:val="008C5EC5"/>
    <w:rsid w:val="008D69EB"/>
    <w:rsid w:val="008E56ED"/>
    <w:rsid w:val="008F7A7E"/>
    <w:rsid w:val="00914584"/>
    <w:rsid w:val="009148E4"/>
    <w:rsid w:val="00942DA6"/>
    <w:rsid w:val="009442CE"/>
    <w:rsid w:val="0095148B"/>
    <w:rsid w:val="009571F8"/>
    <w:rsid w:val="0096550C"/>
    <w:rsid w:val="00967820"/>
    <w:rsid w:val="00967867"/>
    <w:rsid w:val="00996049"/>
    <w:rsid w:val="009B3B20"/>
    <w:rsid w:val="009C06AA"/>
    <w:rsid w:val="009C2A23"/>
    <w:rsid w:val="009C7401"/>
    <w:rsid w:val="00A022FE"/>
    <w:rsid w:val="00A06140"/>
    <w:rsid w:val="00A32FF7"/>
    <w:rsid w:val="00A4105A"/>
    <w:rsid w:val="00A52831"/>
    <w:rsid w:val="00A544C0"/>
    <w:rsid w:val="00A65F91"/>
    <w:rsid w:val="00A856B1"/>
    <w:rsid w:val="00A90027"/>
    <w:rsid w:val="00AA0BEB"/>
    <w:rsid w:val="00AD6A50"/>
    <w:rsid w:val="00AE1B7C"/>
    <w:rsid w:val="00AE32F6"/>
    <w:rsid w:val="00AE4A30"/>
    <w:rsid w:val="00B0410B"/>
    <w:rsid w:val="00B13028"/>
    <w:rsid w:val="00B210DB"/>
    <w:rsid w:val="00B216AA"/>
    <w:rsid w:val="00B40CC0"/>
    <w:rsid w:val="00B569FF"/>
    <w:rsid w:val="00B92A44"/>
    <w:rsid w:val="00BD1EA8"/>
    <w:rsid w:val="00C25662"/>
    <w:rsid w:val="00C639D2"/>
    <w:rsid w:val="00C73C02"/>
    <w:rsid w:val="00C914B4"/>
    <w:rsid w:val="00CA0A60"/>
    <w:rsid w:val="00CB42C7"/>
    <w:rsid w:val="00D009B1"/>
    <w:rsid w:val="00D14A85"/>
    <w:rsid w:val="00D61E09"/>
    <w:rsid w:val="00D62470"/>
    <w:rsid w:val="00D63120"/>
    <w:rsid w:val="00D84195"/>
    <w:rsid w:val="00D931AC"/>
    <w:rsid w:val="00DB25A4"/>
    <w:rsid w:val="00DD30A5"/>
    <w:rsid w:val="00DD73A2"/>
    <w:rsid w:val="00DE287C"/>
    <w:rsid w:val="00DE56D6"/>
    <w:rsid w:val="00DE7A55"/>
    <w:rsid w:val="00E1614C"/>
    <w:rsid w:val="00E22B89"/>
    <w:rsid w:val="00E4631A"/>
    <w:rsid w:val="00E471B5"/>
    <w:rsid w:val="00E53096"/>
    <w:rsid w:val="00E708C2"/>
    <w:rsid w:val="00E879FF"/>
    <w:rsid w:val="00E92FF7"/>
    <w:rsid w:val="00EB5B8D"/>
    <w:rsid w:val="00F023F5"/>
    <w:rsid w:val="00F06AE3"/>
    <w:rsid w:val="00F136A6"/>
    <w:rsid w:val="00F239CB"/>
    <w:rsid w:val="00F271E3"/>
    <w:rsid w:val="00F522CE"/>
    <w:rsid w:val="00FD0CA0"/>
    <w:rsid w:val="00FD5249"/>
    <w:rsid w:val="00FE15DB"/>
    <w:rsid w:val="00FE1AE2"/>
    <w:rsid w:val="00FE608E"/>
  </w:rsids>
  <w:themeFontLang w:val="en-CA"/>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cs="Times New Roman" w:eastAsia="Times New Roman" w:hAnsi="Times New Roman"/>
        <w:sz w:val="22"/>
        <w:szCs w:val="22"/>
        <w:lang w:bidi="ar-SA" w:eastAsia="en-US" w:val="en"/>
      </w:rPr>
    </w:rPrDefault>
    <w:pPrDefault>
      <w:pPr>
        <w:spacing w:after="180" w:before="180"/>
        <w:jc w:val="both"/>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0729AC"/>
    <w:pPr>
      <w:spacing w:line="360" w:lineRule="auto"/>
    </w:pPr>
    <w:rPr>
      <w:rFonts w:ascii="Arial" w:hAnsi="Arial"/>
    </w:rPr>
  </w:style>
  <w:style w:styleId="Heading1" w:type="paragraph">
    <w:name w:val="heading 1"/>
    <w:basedOn w:val="Normal"/>
    <w:next w:val="Normal"/>
    <w:link w:val="Heading1Char"/>
    <w:uiPriority w:val="9"/>
    <w:qFormat/>
    <w:rsid w:val="00242606"/>
    <w:pPr>
      <w:keepNext/>
      <w:keepLines/>
      <w:spacing w:after="80" w:before="360"/>
      <w:outlineLvl w:val="0"/>
    </w:pPr>
    <w:rPr>
      <w:rFonts w:ascii="Play" w:cs="Play" w:eastAsia="Play" w:hAnsi="Play"/>
      <w:b/>
      <w:sz w:val="28"/>
      <w:szCs w:val="40"/>
    </w:rPr>
  </w:style>
  <w:style w:styleId="Heading2" w:type="paragraph">
    <w:name w:val="heading 2"/>
    <w:basedOn w:val="Normal"/>
    <w:next w:val="Normal"/>
    <w:link w:val="Heading2Char"/>
    <w:uiPriority w:val="9"/>
    <w:unhideWhenUsed/>
    <w:qFormat/>
    <w:rsid w:val="00242606"/>
    <w:pPr>
      <w:keepNext/>
      <w:keepLines/>
      <w:spacing w:after="80" w:before="160"/>
      <w:outlineLvl w:val="1"/>
    </w:pPr>
    <w:rPr>
      <w:b/>
      <w:color w:themeColor="text1" w:val="000000"/>
      <w:sz w:val="26"/>
      <w:szCs w:val="28"/>
    </w:rPr>
  </w:style>
  <w:style w:styleId="Heading3" w:type="paragraph">
    <w:name w:val="heading 3"/>
    <w:basedOn w:val="Normal"/>
    <w:next w:val="Normal"/>
    <w:link w:val="Heading3Char"/>
    <w:uiPriority w:val="9"/>
    <w:unhideWhenUsed/>
    <w:qFormat/>
    <w:rsid w:val="00242606"/>
    <w:pPr>
      <w:keepNext/>
      <w:keepLines/>
      <w:spacing w:after="80" w:before="160"/>
      <w:outlineLvl w:val="2"/>
    </w:pPr>
    <w:rPr>
      <w:b/>
      <w:sz w:val="24"/>
      <w:szCs w:val="24"/>
    </w:rPr>
  </w:style>
  <w:style w:styleId="Heading4" w:type="paragraph">
    <w:name w:val="heading 4"/>
    <w:basedOn w:val="Normal"/>
    <w:next w:val="Normal"/>
    <w:link w:val="Heading4Char"/>
    <w:uiPriority w:val="9"/>
    <w:unhideWhenUsed/>
    <w:qFormat/>
    <w:pPr>
      <w:keepNext/>
      <w:keepLines/>
      <w:spacing w:after="120" w:before="80"/>
      <w:outlineLvl w:val="3"/>
    </w:pPr>
    <w:rPr>
      <w:i/>
      <w:color w:val="0F4761"/>
    </w:rPr>
  </w:style>
  <w:style w:styleId="Heading5" w:type="paragraph">
    <w:name w:val="heading 5"/>
    <w:basedOn w:val="Normal"/>
    <w:next w:val="Normal"/>
    <w:link w:val="Heading5Char"/>
    <w:uiPriority w:val="9"/>
    <w:unhideWhenUsed/>
    <w:qFormat/>
    <w:pPr>
      <w:keepNext/>
      <w:keepLines/>
      <w:spacing w:after="40" w:before="80"/>
      <w:outlineLvl w:val="4"/>
    </w:pPr>
    <w:rPr>
      <w:color w:val="0F4761"/>
    </w:rPr>
  </w:style>
  <w:style w:styleId="Heading6" w:type="paragraph">
    <w:name w:val="heading 6"/>
    <w:basedOn w:val="Normal"/>
    <w:next w:val="Normal"/>
    <w:link w:val="Heading6Char"/>
    <w:uiPriority w:val="9"/>
    <w:unhideWhenUsed/>
    <w:qFormat/>
    <w:pPr>
      <w:keepNext/>
      <w:keepLines/>
      <w:spacing w:after="0" w:before="40"/>
      <w:jc w:val="center"/>
      <w:outlineLvl w:val="5"/>
    </w:pPr>
    <w:rPr>
      <w:i/>
      <w:color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TableNormal0" w:type="table">
    <w:name w:val="TableNormal"/>
    <w:tblPr>
      <w:tblCellMar>
        <w:top w:type="dxa" w:w="0"/>
        <w:left w:type="dxa" w:w="0"/>
        <w:bottom w:type="dxa" w:w="0"/>
        <w:right w:type="dxa" w:w="0"/>
      </w:tblCellMar>
    </w:tblPr>
  </w:style>
  <w:style w:styleId="Title" w:type="paragraph">
    <w:name w:val="Title"/>
    <w:basedOn w:val="Normal"/>
    <w:next w:val="Normal"/>
    <w:link w:val="TitleChar"/>
    <w:uiPriority w:val="10"/>
    <w:qFormat/>
    <w:rsid w:val="00242606"/>
    <w:pPr>
      <w:spacing w:after="80"/>
      <w:jc w:val="center"/>
    </w:pPr>
    <w:rPr>
      <w:rFonts w:cs="Play" w:eastAsia="Play"/>
      <w:b/>
      <w:sz w:val="28"/>
      <w:szCs w:val="56"/>
    </w:rPr>
  </w:style>
  <w:style w:styleId="BodyText" w:type="paragraph">
    <w:name w:val="Body Text"/>
    <w:basedOn w:val="Normal"/>
    <w:qFormat/>
    <w:rsid w:val="00B92A44"/>
  </w:style>
  <w:style w:customStyle="1" w:styleId="FirstParagraph" w:type="paragraph">
    <w:name w:val="First Paragraph"/>
    <w:basedOn w:val="BodyText"/>
    <w:next w:val="BodyText"/>
    <w:qFormat/>
  </w:style>
  <w:style w:customStyle="1" w:styleId="Compact" w:type="paragraph">
    <w:name w:val="Compact"/>
    <w:basedOn w:val="BodyText"/>
    <w:qFormat/>
    <w:rsid w:val="00B92A44"/>
    <w:pPr>
      <w:spacing w:after="36" w:before="36" w:line="240" w:lineRule="auto"/>
    </w:pPr>
    <w:rPr>
      <w:sz w:val="20"/>
    </w:rPr>
  </w:style>
  <w:style w:customStyle="1" w:styleId="TitleChar" w:type="character">
    <w:name w:val="Title Char"/>
    <w:basedOn w:val="DefaultParagraphFont"/>
    <w:link w:val="Title"/>
    <w:uiPriority w:val="10"/>
    <w:rsid w:val="00242606"/>
    <w:rPr>
      <w:rFonts w:ascii="Arial" w:cs="Play" w:eastAsia="Play" w:hAnsi="Arial"/>
      <w:b/>
      <w:sz w:val="28"/>
      <w:szCs w:val="56"/>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Normal"/>
    <w:next w:val="BodyText"/>
    <w:qFormat/>
    <w:rsid w:val="000729AC"/>
    <w:pPr>
      <w:spacing w:after="0" w:before="0"/>
      <w:jc w:val="left"/>
    </w:pPr>
    <w:rPr>
      <w:rFonts w:cs="Arial"/>
      <w:bCs/>
      <w:sz w:val="21"/>
      <w:szCs w:val="21"/>
    </w:rPr>
  </w:style>
  <w:style w:styleId="Date" w:type="paragraph">
    <w:name w:val="Date"/>
    <w:next w:val="BodyText"/>
    <w:qFormat/>
    <w:rsid w:val="000729AC"/>
    <w:pPr>
      <w:keepNext/>
      <w:keepLines/>
      <w:jc w:val="left"/>
    </w:pPr>
    <w:rPr>
      <w:rFonts w:ascii="Arial" w:hAnsi="Arial"/>
      <w:sz w:val="20"/>
    </w:rPr>
  </w:style>
  <w:style w:customStyle="1" w:styleId="AbstractTitle" w:type="paragraph">
    <w:name w:val="Abstract Title"/>
    <w:basedOn w:val="Normal"/>
    <w:next w:val="Abstract"/>
    <w:qFormat/>
    <w:rsid w:val="005D7AAD"/>
    <w:pPr>
      <w:keepNext/>
      <w:keepLines/>
      <w:spacing w:after="0" w:before="0"/>
      <w:jc w:val="left"/>
    </w:pPr>
    <w:rPr>
      <w:i/>
      <w:sz w:val="21"/>
      <w:szCs w:val="20"/>
    </w:rPr>
  </w:style>
  <w:style w:customStyle="1" w:styleId="Abstract" w:type="paragraph">
    <w:name w:val="Abstract"/>
    <w:basedOn w:val="Normal"/>
    <w:next w:val="BodyText"/>
    <w:qFormat/>
    <w:rsid w:val="00701179"/>
    <w:pPr>
      <w:keepNext/>
      <w:keepLines/>
      <w:spacing w:after="300" w:before="100"/>
    </w:pPr>
    <w:rPr>
      <w:sz w:val="20"/>
      <w:szCs w:val="20"/>
    </w:rPr>
  </w:style>
  <w:style w:styleId="Bibliography" w:type="paragraph">
    <w:name w:val="Bibliography"/>
    <w:basedOn w:val="Normal"/>
    <w:qFormat/>
    <w:rsid w:val="00201298"/>
    <w:pPr>
      <w:spacing w:line="240" w:lineRule="auto"/>
      <w:ind w:hanging="720" w:left="720"/>
      <w:jc w:val="left"/>
    </w:pPr>
  </w:style>
  <w:style w:customStyle="1" w:styleId="Heading1Char" w:type="character">
    <w:name w:val="Heading 1 Char"/>
    <w:basedOn w:val="DefaultParagraphFont"/>
    <w:link w:val="Heading1"/>
    <w:uiPriority w:val="9"/>
    <w:rsid w:val="00242606"/>
    <w:rPr>
      <w:rFonts w:ascii="Play" w:cs="Play" w:eastAsia="Play" w:hAnsi="Play"/>
      <w:b/>
      <w:sz w:val="28"/>
      <w:szCs w:val="40"/>
    </w:rPr>
  </w:style>
  <w:style w:customStyle="1" w:styleId="Heading2Char" w:type="character">
    <w:name w:val="Heading 2 Char"/>
    <w:basedOn w:val="DefaultParagraphFont"/>
    <w:link w:val="Heading2"/>
    <w:uiPriority w:val="9"/>
    <w:rsid w:val="00242606"/>
    <w:rPr>
      <w:rFonts w:ascii="Arial" w:hAnsi="Arial"/>
      <w:b/>
      <w:color w:themeColor="text1" w:val="000000"/>
      <w:sz w:val="26"/>
      <w:szCs w:val="28"/>
    </w:rPr>
  </w:style>
  <w:style w:customStyle="1" w:styleId="Heading3Char" w:type="character">
    <w:name w:val="Heading 3 Char"/>
    <w:basedOn w:val="DefaultParagraphFont"/>
    <w:link w:val="Heading3"/>
    <w:uiPriority w:val="9"/>
    <w:rsid w:val="00242606"/>
    <w:rPr>
      <w:rFonts w:ascii="Arial" w:hAnsi="Arial"/>
      <w:b/>
      <w:sz w:val="24"/>
      <w:szCs w:val="24"/>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rPr>
      <w:sz w:val="16"/>
      <w:szCs w:val="16"/>
      <w:lang w:val="en-CA"/>
    </w:rPr>
    <w:tblPr>
      <w:tblInd w:type="dxa" w:w="0"/>
      <w:tblCellMar>
        <w:top w:type="dxa" w:w="0"/>
        <w:left w:type="dxa" w:w="108"/>
        <w:bottom w:type="dxa" w:w="0"/>
        <w:right w:type="dxa" w:w="108"/>
      </w:tblCellMar>
    </w:tblPr>
    <w:trPr>
      <w:trHeight w:hRule="atLeast" w:val="3402"/>
    </w:trPr>
    <w:tblStylePr w:type="firstRow">
      <w:tblPr>
        <w:jc w:val="left"/>
      </w:tblPr>
      <w:trPr>
        <w:trHeight w:hRule="atLeast" w:val="680"/>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rsid w:val="00B92A44"/>
    <w:pPr>
      <w:spacing w:after="120" w:line="240" w:lineRule="auto"/>
      <w:jc w:val="left"/>
    </w:pPr>
    <w:rPr>
      <w:i/>
      <w:sz w:val="20"/>
    </w:rPr>
  </w:style>
  <w:style w:customStyle="1" w:styleId="TableCaption" w:type="paragraph">
    <w:name w:val="Table Caption"/>
    <w:basedOn w:val="Caption"/>
    <w:rsid w:val="00B92A44"/>
    <w:pPr>
      <w:jc w:val="left"/>
      <w:keepNext/>
    </w:pPr>
    <w:rPr>
      <w:sz w:val="20"/>
      <w:szCs w:val="20"/>
    </w:rPr>
  </w:style>
  <w:style w:customStyle="1" w:styleId="ImageCaption" w:type="paragraph">
    <w:name w:val="Image Caption"/>
    <w:basedOn w:val="Caption"/>
    <w:rsid w:val="00B92A44"/>
    <w:pPr>
      <w:jc w:val="left"/>
      <w:spacing w:after="0" w:before="60"/>
    </w:pPr>
    <w:rPr>
      <w:sz w:val="20"/>
      <w:szCs w:val="20"/>
    </w:rPr>
  </w:style>
  <w:style w:customStyle="1" w:styleId="Figure" w:type="paragraph">
    <w:name w:val="Figure"/>
    <w:basedOn w:val="Normal"/>
    <w:rsid w:val="00242606"/>
  </w:style>
  <w:style w:customStyle="1" w:styleId="CaptionedFigure" w:type="paragraph">
    <w:name w:val="Captioned Figure"/>
    <w:basedOn w:val="Figure"/>
    <w:pPr>
      <w:keepNext/>
    </w:pPr>
  </w:style>
  <w:style w:customStyle="1" w:styleId="CaptionChar" w:type="character">
    <w:name w:val="Caption Char"/>
    <w:basedOn w:val="DefaultParagraphFont"/>
    <w:link w:val="Caption"/>
    <w:rsid w:val="00B92A44"/>
    <w:rPr>
      <w:rFonts w:ascii="Arial" w:hAnsi="Arial"/>
      <w:i/>
      <w:sz w:val="20"/>
    </w:rPr>
  </w:style>
  <w:style w:customStyle="1" w:styleId="VerbatimChar" w:type="character">
    <w:name w:val="Verbatim Char"/>
    <w:basedOn w:val="CaptionChar"/>
    <w:link w:val="SourceCode"/>
    <w:rPr>
      <w:rFonts w:ascii="Consolas" w:hAnsi="Consolas"/>
      <w:i/>
      <w:sz w:val="14"/>
      <w:szCs w:val="14"/>
    </w:rPr>
  </w:style>
  <w:style w:customStyle="1" w:styleId="SectionNumber" w:type="character">
    <w:name w:val="Section Number"/>
    <w:basedOn w:val="CaptionChar"/>
    <w:rPr>
      <w:rFonts w:ascii="Arial" w:hAnsi="Arial"/>
      <w:i/>
      <w:sz w:val="18"/>
    </w:rPr>
  </w:style>
  <w:style w:styleId="FootnoteReference" w:type="character">
    <w:name w:val="footnote reference"/>
    <w:basedOn w:val="CaptionChar"/>
    <w:rsid w:val="00242606"/>
    <w:rPr>
      <w:rFonts w:ascii="Arial" w:hAnsi="Arial"/>
      <w:i/>
      <w:sz w:val="18"/>
      <w:vertAlign w:val="superscript"/>
    </w:rPr>
  </w:style>
  <w:style w:styleId="Hyperlink" w:type="character">
    <w:name w:val="Hyperlink"/>
    <w:basedOn w:val="CaptionChar"/>
    <w:uiPriority w:val="99"/>
    <w:rPr>
      <w:rFonts w:ascii="Arial" w:hAnsi="Arial"/>
      <w:i/>
      <w:color w:themeColor="accent1" w:val="156082"/>
      <w:sz w:val="18"/>
    </w:rPr>
  </w:style>
  <w:style w:styleId="TOCHeading" w:type="paragraph">
    <w:name w:val="TOC Heading"/>
    <w:basedOn w:val="Heading1"/>
    <w:next w:val="BodyText"/>
    <w:uiPriority w:val="39"/>
    <w:unhideWhenUsed/>
    <w:qFormat/>
    <w:pPr>
      <w:spacing w:before="240" w:line="259" w:lineRule="auto"/>
      <w:outlineLvl w:val="9"/>
    </w:pPr>
  </w:style>
  <w:style w:customStyle="1" w:styleId="SourceCode" w:type="paragraph">
    <w:name w:val="Source Code"/>
    <w:basedOn w:val="Normal"/>
    <w:link w:val="VerbatimChar"/>
    <w:pPr>
      <w:shd w:color="auto" w:fill="F8F8F8" w:val="clear"/>
      <w:wordWrap w:val="0"/>
      <w:spacing w:after="0" w:before="0" w:line="240" w:lineRule="auto"/>
      <w:contextualSpacing/>
      <w:jc w:val="left"/>
    </w:pPr>
    <w:rPr>
      <w:sz w:val="14"/>
      <w:szCs w:val="14"/>
    </w:rPr>
  </w:style>
  <w:style w:customStyle="1" w:styleId="KeywordTok" w:type="character">
    <w:name w:val="KeywordTok"/>
    <w:basedOn w:val="VerbatimChar"/>
    <w:rPr>
      <w:rFonts w:ascii="Consolas" w:hAnsi="Consolas"/>
      <w:b/>
      <w:i/>
      <w:color w:val="204A87"/>
      <w:sz w:val="14"/>
      <w:szCs w:val="14"/>
      <w:shd w:color="auto" w:fill="F8F8F8" w:val="clear"/>
    </w:rPr>
  </w:style>
  <w:style w:customStyle="1" w:styleId="DataTypeTok" w:type="character">
    <w:name w:val="DataTypeTok"/>
    <w:basedOn w:val="VerbatimChar"/>
    <w:rPr>
      <w:rFonts w:ascii="Consolas" w:hAnsi="Consolas"/>
      <w:i/>
      <w:color w:val="204A87"/>
      <w:sz w:val="14"/>
      <w:szCs w:val="14"/>
      <w:shd w:color="auto" w:fill="F8F8F8" w:val="clear"/>
    </w:rPr>
  </w:style>
  <w:style w:customStyle="1" w:styleId="DecValTok" w:type="character">
    <w:name w:val="DecValTok"/>
    <w:basedOn w:val="VerbatimChar"/>
    <w:rPr>
      <w:rFonts w:ascii="Consolas" w:hAnsi="Consolas"/>
      <w:i/>
      <w:color w:val="0000CF"/>
      <w:sz w:val="14"/>
      <w:szCs w:val="14"/>
      <w:shd w:color="auto" w:fill="F8F8F8" w:val="clear"/>
    </w:rPr>
  </w:style>
  <w:style w:customStyle="1" w:styleId="BaseNTok" w:type="character">
    <w:name w:val="BaseNTok"/>
    <w:basedOn w:val="VerbatimChar"/>
    <w:rPr>
      <w:rFonts w:ascii="Consolas" w:hAnsi="Consolas"/>
      <w:i/>
      <w:color w:val="0000CF"/>
      <w:sz w:val="14"/>
      <w:szCs w:val="14"/>
      <w:shd w:color="auto" w:fill="F8F8F8" w:val="clear"/>
    </w:rPr>
  </w:style>
  <w:style w:customStyle="1" w:styleId="FloatTok" w:type="character">
    <w:name w:val="FloatTok"/>
    <w:basedOn w:val="VerbatimChar"/>
    <w:rPr>
      <w:rFonts w:ascii="Consolas" w:hAnsi="Consolas"/>
      <w:i/>
      <w:color w:val="0000CF"/>
      <w:sz w:val="14"/>
      <w:szCs w:val="14"/>
      <w:shd w:color="auto" w:fill="F8F8F8" w:val="clear"/>
    </w:rPr>
  </w:style>
  <w:style w:customStyle="1" w:styleId="ConstantTok" w:type="character">
    <w:name w:val="ConstantTok"/>
    <w:basedOn w:val="VerbatimChar"/>
    <w:rPr>
      <w:rFonts w:ascii="Consolas" w:hAnsi="Consolas"/>
      <w:i/>
      <w:color w:val="8F5902"/>
      <w:sz w:val="14"/>
      <w:szCs w:val="14"/>
      <w:shd w:color="auto" w:fill="F8F8F8" w:val="clear"/>
    </w:rPr>
  </w:style>
  <w:style w:customStyle="1" w:styleId="CharTok" w:type="character">
    <w:name w:val="CharTok"/>
    <w:basedOn w:val="VerbatimChar"/>
    <w:rPr>
      <w:rFonts w:ascii="Consolas" w:hAnsi="Consolas"/>
      <w:i/>
      <w:color w:val="4E9A06"/>
      <w:sz w:val="14"/>
      <w:szCs w:val="14"/>
      <w:shd w:color="auto" w:fill="F8F8F8" w:val="clear"/>
    </w:rPr>
  </w:style>
  <w:style w:customStyle="1" w:styleId="SpecialCharTok" w:type="character">
    <w:name w:val="SpecialCharTok"/>
    <w:basedOn w:val="VerbatimChar"/>
    <w:rPr>
      <w:rFonts w:ascii="Consolas" w:hAnsi="Consolas"/>
      <w:b/>
      <w:i/>
      <w:color w:val="CE5C00"/>
      <w:sz w:val="14"/>
      <w:szCs w:val="14"/>
      <w:shd w:color="auto" w:fill="F8F8F8" w:val="clear"/>
    </w:rPr>
  </w:style>
  <w:style w:customStyle="1" w:styleId="StringTok" w:type="character">
    <w:name w:val="StringTok"/>
    <w:basedOn w:val="VerbatimChar"/>
    <w:rPr>
      <w:rFonts w:ascii="Consolas" w:hAnsi="Consolas"/>
      <w:i/>
      <w:color w:val="4E9A06"/>
      <w:sz w:val="14"/>
      <w:szCs w:val="14"/>
      <w:shd w:color="auto" w:fill="F8F8F8" w:val="clear"/>
    </w:rPr>
  </w:style>
  <w:style w:customStyle="1" w:styleId="VerbatimStringTok" w:type="character">
    <w:name w:val="VerbatimStringTok"/>
    <w:basedOn w:val="VerbatimChar"/>
    <w:rPr>
      <w:rFonts w:ascii="Consolas" w:hAnsi="Consolas"/>
      <w:i/>
      <w:color w:val="4E9A06"/>
      <w:sz w:val="14"/>
      <w:szCs w:val="14"/>
      <w:shd w:color="auto" w:fill="F8F8F8" w:val="clear"/>
    </w:rPr>
  </w:style>
  <w:style w:customStyle="1" w:styleId="SpecialStringTok" w:type="character">
    <w:name w:val="SpecialStringTok"/>
    <w:basedOn w:val="VerbatimChar"/>
    <w:rPr>
      <w:rFonts w:ascii="Consolas" w:hAnsi="Consolas"/>
      <w:i/>
      <w:color w:val="4E9A06"/>
      <w:sz w:val="14"/>
      <w:szCs w:val="14"/>
      <w:shd w:color="auto" w:fill="F8F8F8" w:val="clear"/>
    </w:rPr>
  </w:style>
  <w:style w:customStyle="1" w:styleId="ImportTok" w:type="character">
    <w:name w:val="ImportTok"/>
    <w:basedOn w:val="VerbatimChar"/>
    <w:rPr>
      <w:rFonts w:ascii="Consolas" w:hAnsi="Consolas"/>
      <w:i/>
      <w:sz w:val="14"/>
      <w:szCs w:val="14"/>
      <w:shd w:color="auto" w:fill="F8F8F8" w:val="clear"/>
    </w:rPr>
  </w:style>
  <w:style w:customStyle="1" w:styleId="CommentTok" w:type="character">
    <w:name w:val="CommentTok"/>
    <w:basedOn w:val="VerbatimChar"/>
    <w:rPr>
      <w:rFonts w:ascii="Consolas" w:hAnsi="Consolas"/>
      <w:i w:val="0"/>
      <w:color w:val="8F5902"/>
      <w:sz w:val="14"/>
      <w:szCs w:val="14"/>
      <w:shd w:color="auto" w:fill="F8F8F8" w:val="clear"/>
    </w:rPr>
  </w:style>
  <w:style w:customStyle="1" w:styleId="DocumentationTok" w:type="character">
    <w:name w:val="DocumentationTok"/>
    <w:basedOn w:val="VerbatimChar"/>
    <w:rPr>
      <w:rFonts w:ascii="Consolas" w:hAnsi="Consolas"/>
      <w:b/>
      <w:i w:val="0"/>
      <w:color w:val="8F5902"/>
      <w:sz w:val="14"/>
      <w:szCs w:val="14"/>
      <w:shd w:color="auto" w:fill="F8F8F8" w:val="clear"/>
    </w:rPr>
  </w:style>
  <w:style w:customStyle="1" w:styleId="AnnotationTok" w:type="character">
    <w:name w:val="AnnotationTok"/>
    <w:basedOn w:val="VerbatimChar"/>
    <w:rPr>
      <w:rFonts w:ascii="Consolas" w:hAnsi="Consolas"/>
      <w:b/>
      <w:i w:val="0"/>
      <w:color w:val="8F5902"/>
      <w:sz w:val="14"/>
      <w:szCs w:val="14"/>
      <w:shd w:color="auto" w:fill="F8F8F8" w:val="clear"/>
    </w:rPr>
  </w:style>
  <w:style w:customStyle="1" w:styleId="CommentVarTok" w:type="character">
    <w:name w:val="CommentVarTok"/>
    <w:basedOn w:val="VerbatimChar"/>
    <w:rPr>
      <w:rFonts w:ascii="Consolas" w:hAnsi="Consolas"/>
      <w:b/>
      <w:i w:val="0"/>
      <w:color w:val="8F5902"/>
      <w:sz w:val="14"/>
      <w:szCs w:val="14"/>
      <w:shd w:color="auto" w:fill="F8F8F8" w:val="clear"/>
    </w:rPr>
  </w:style>
  <w:style w:customStyle="1" w:styleId="OtherTok" w:type="character">
    <w:name w:val="OtherTok"/>
    <w:basedOn w:val="VerbatimChar"/>
    <w:rPr>
      <w:rFonts w:ascii="Consolas" w:hAnsi="Consolas"/>
      <w:i/>
      <w:color w:val="8F5902"/>
      <w:sz w:val="14"/>
      <w:szCs w:val="14"/>
      <w:shd w:color="auto" w:fill="F8F8F8" w:val="clear"/>
    </w:rPr>
  </w:style>
  <w:style w:customStyle="1" w:styleId="FunctionTok" w:type="character">
    <w:name w:val="FunctionTok"/>
    <w:basedOn w:val="VerbatimChar"/>
    <w:rPr>
      <w:rFonts w:ascii="Consolas" w:hAnsi="Consolas"/>
      <w:b/>
      <w:i/>
      <w:color w:val="204A87"/>
      <w:sz w:val="14"/>
      <w:szCs w:val="14"/>
      <w:shd w:color="auto" w:fill="F8F8F8" w:val="clear"/>
    </w:rPr>
  </w:style>
  <w:style w:customStyle="1" w:styleId="VariableTok" w:type="character">
    <w:name w:val="VariableTok"/>
    <w:basedOn w:val="VerbatimChar"/>
    <w:rPr>
      <w:rFonts w:ascii="Consolas" w:hAnsi="Consolas"/>
      <w:i/>
      <w:color w:val="000000"/>
      <w:sz w:val="14"/>
      <w:szCs w:val="14"/>
      <w:shd w:color="auto" w:fill="F8F8F8" w:val="clear"/>
    </w:rPr>
  </w:style>
  <w:style w:customStyle="1" w:styleId="ControlFlowTok" w:type="character">
    <w:name w:val="ControlFlowTok"/>
    <w:basedOn w:val="VerbatimChar"/>
    <w:rPr>
      <w:rFonts w:ascii="Consolas" w:hAnsi="Consolas"/>
      <w:b/>
      <w:i/>
      <w:color w:val="204A87"/>
      <w:sz w:val="14"/>
      <w:szCs w:val="14"/>
      <w:shd w:color="auto" w:fill="F8F8F8" w:val="clear"/>
    </w:rPr>
  </w:style>
  <w:style w:customStyle="1" w:styleId="OperatorTok" w:type="character">
    <w:name w:val="OperatorTok"/>
    <w:basedOn w:val="VerbatimChar"/>
    <w:rPr>
      <w:rFonts w:ascii="Consolas" w:hAnsi="Consolas"/>
      <w:b/>
      <w:i/>
      <w:color w:val="CE5C00"/>
      <w:sz w:val="14"/>
      <w:szCs w:val="14"/>
      <w:shd w:color="auto" w:fill="F8F8F8" w:val="clear"/>
    </w:rPr>
  </w:style>
  <w:style w:customStyle="1" w:styleId="BuiltInTok" w:type="character">
    <w:name w:val="BuiltInTok"/>
    <w:basedOn w:val="VerbatimChar"/>
    <w:rPr>
      <w:rFonts w:ascii="Consolas" w:hAnsi="Consolas"/>
      <w:i/>
      <w:sz w:val="14"/>
      <w:szCs w:val="14"/>
      <w:shd w:color="auto" w:fill="F8F8F8" w:val="clear"/>
    </w:rPr>
  </w:style>
  <w:style w:customStyle="1" w:styleId="ExtensionTok" w:type="character">
    <w:name w:val="ExtensionTok"/>
    <w:basedOn w:val="VerbatimChar"/>
    <w:rPr>
      <w:rFonts w:ascii="Consolas" w:hAnsi="Consolas"/>
      <w:i/>
      <w:sz w:val="14"/>
      <w:szCs w:val="14"/>
      <w:shd w:color="auto" w:fill="F8F8F8" w:val="clear"/>
    </w:rPr>
  </w:style>
  <w:style w:customStyle="1" w:styleId="PreprocessorTok" w:type="character">
    <w:name w:val="PreprocessorTok"/>
    <w:basedOn w:val="VerbatimChar"/>
    <w:rPr>
      <w:rFonts w:ascii="Consolas" w:hAnsi="Consolas"/>
      <w:i w:val="0"/>
      <w:color w:val="8F5902"/>
      <w:sz w:val="14"/>
      <w:szCs w:val="14"/>
      <w:shd w:color="auto" w:fill="F8F8F8" w:val="clear"/>
    </w:rPr>
  </w:style>
  <w:style w:customStyle="1" w:styleId="AttributeTok" w:type="character">
    <w:name w:val="AttributeTok"/>
    <w:basedOn w:val="VerbatimChar"/>
    <w:rPr>
      <w:rFonts w:ascii="Consolas" w:hAnsi="Consolas"/>
      <w:i/>
      <w:color w:val="204A87"/>
      <w:sz w:val="14"/>
      <w:szCs w:val="14"/>
      <w:shd w:color="auto" w:fill="F8F8F8" w:val="clear"/>
    </w:rPr>
  </w:style>
  <w:style w:customStyle="1" w:styleId="RegionMarkerTok" w:type="character">
    <w:name w:val="RegionMarkerTok"/>
    <w:basedOn w:val="VerbatimChar"/>
    <w:rPr>
      <w:rFonts w:ascii="Consolas" w:hAnsi="Consolas"/>
      <w:i/>
      <w:sz w:val="14"/>
      <w:szCs w:val="14"/>
      <w:shd w:color="auto" w:fill="F8F8F8" w:val="clear"/>
    </w:rPr>
  </w:style>
  <w:style w:customStyle="1" w:styleId="InformationTok" w:type="character">
    <w:name w:val="InformationTok"/>
    <w:basedOn w:val="VerbatimChar"/>
    <w:rPr>
      <w:rFonts w:ascii="Consolas" w:hAnsi="Consolas"/>
      <w:b/>
      <w:i w:val="0"/>
      <w:color w:val="8F5902"/>
      <w:sz w:val="14"/>
      <w:szCs w:val="14"/>
      <w:shd w:color="auto" w:fill="F8F8F8" w:val="clear"/>
    </w:rPr>
  </w:style>
  <w:style w:customStyle="1" w:styleId="WarningTok" w:type="character">
    <w:name w:val="WarningTok"/>
    <w:basedOn w:val="VerbatimChar"/>
    <w:rPr>
      <w:rFonts w:ascii="Consolas" w:hAnsi="Consolas"/>
      <w:b/>
      <w:i w:val="0"/>
      <w:color w:val="8F5902"/>
      <w:sz w:val="14"/>
      <w:szCs w:val="14"/>
      <w:shd w:color="auto" w:fill="F8F8F8" w:val="clear"/>
    </w:rPr>
  </w:style>
  <w:style w:customStyle="1" w:styleId="AlertTok" w:type="character">
    <w:name w:val="AlertTok"/>
    <w:basedOn w:val="VerbatimChar"/>
    <w:rPr>
      <w:rFonts w:ascii="Consolas" w:hAnsi="Consolas"/>
      <w:i/>
      <w:color w:val="EF2929"/>
      <w:sz w:val="14"/>
      <w:szCs w:val="14"/>
      <w:shd w:color="auto" w:fill="F8F8F8" w:val="clear"/>
    </w:rPr>
  </w:style>
  <w:style w:customStyle="1" w:styleId="ErrorTok" w:type="character">
    <w:name w:val="ErrorTok"/>
    <w:basedOn w:val="VerbatimChar"/>
    <w:rPr>
      <w:rFonts w:ascii="Consolas" w:hAnsi="Consolas"/>
      <w:b/>
      <w:i/>
      <w:color w:val="A40000"/>
      <w:sz w:val="14"/>
      <w:szCs w:val="14"/>
      <w:shd w:color="auto" w:fill="F8F8F8" w:val="clear"/>
    </w:rPr>
  </w:style>
  <w:style w:customStyle="1" w:styleId="NormalTok" w:type="character">
    <w:name w:val="NormalTok"/>
    <w:basedOn w:val="VerbatimChar"/>
    <w:rPr>
      <w:rFonts w:ascii="Consolas" w:hAnsi="Consolas"/>
      <w:i/>
      <w:sz w:val="14"/>
      <w:szCs w:val="14"/>
      <w:shd w:color="auto" w:fill="F8F8F8" w:val="clear"/>
    </w:rPr>
  </w:style>
  <w:style w:styleId="TOC2" w:type="paragraph">
    <w:name w:val="toc 2"/>
    <w:basedOn w:val="Normal"/>
    <w:next w:val="Normal"/>
    <w:autoRedefine/>
    <w:uiPriority w:val="39"/>
    <w:rsid w:val="001D239F"/>
    <w:pPr>
      <w:spacing w:after="0"/>
    </w:pPr>
    <w:rPr>
      <w:b/>
      <w:bCs/>
      <w:smallCaps/>
    </w:rPr>
  </w:style>
  <w:style w:styleId="TOC3" w:type="paragraph">
    <w:name w:val="toc 3"/>
    <w:basedOn w:val="Normal"/>
    <w:next w:val="Normal"/>
    <w:autoRedefine/>
    <w:uiPriority w:val="39"/>
    <w:rsid w:val="001D239F"/>
    <w:pPr>
      <w:spacing w:after="0"/>
    </w:pPr>
    <w:rPr>
      <w:smallCaps/>
    </w:rPr>
  </w:style>
  <w:style w:styleId="TOC1" w:type="paragraph">
    <w:name w:val="toc 1"/>
    <w:basedOn w:val="Normal"/>
    <w:next w:val="Normal"/>
    <w:autoRedefine/>
    <w:rsid w:val="001D239F"/>
    <w:pPr>
      <w:spacing w:after="360" w:before="360"/>
    </w:pPr>
    <w:rPr>
      <w:b/>
      <w:bCs/>
      <w:caps/>
      <w:u w:val="single"/>
    </w:rPr>
  </w:style>
  <w:style w:styleId="TOC4" w:type="paragraph">
    <w:name w:val="toc 4"/>
    <w:basedOn w:val="Normal"/>
    <w:next w:val="Normal"/>
    <w:autoRedefine/>
    <w:uiPriority w:val="39"/>
    <w:rsid w:val="001D239F"/>
    <w:pPr>
      <w:spacing w:after="0"/>
    </w:pPr>
  </w:style>
  <w:style w:styleId="TOC5" w:type="paragraph">
    <w:name w:val="toc 5"/>
    <w:basedOn w:val="Normal"/>
    <w:next w:val="Normal"/>
    <w:autoRedefine/>
    <w:uiPriority w:val="39"/>
    <w:rsid w:val="001D239F"/>
    <w:pPr>
      <w:spacing w:after="0"/>
    </w:pPr>
  </w:style>
  <w:style w:styleId="TOC6" w:type="paragraph">
    <w:name w:val="toc 6"/>
    <w:basedOn w:val="Normal"/>
    <w:next w:val="Normal"/>
    <w:autoRedefine/>
    <w:rsid w:val="001D239F"/>
    <w:pPr>
      <w:spacing w:after="0"/>
    </w:pPr>
  </w:style>
  <w:style w:styleId="TOC7" w:type="paragraph">
    <w:name w:val="toc 7"/>
    <w:basedOn w:val="Normal"/>
    <w:next w:val="Normal"/>
    <w:autoRedefine/>
    <w:rsid w:val="001D239F"/>
    <w:pPr>
      <w:spacing w:after="0"/>
    </w:pPr>
  </w:style>
  <w:style w:styleId="TOC8" w:type="paragraph">
    <w:name w:val="toc 8"/>
    <w:basedOn w:val="Normal"/>
    <w:next w:val="Normal"/>
    <w:autoRedefine/>
    <w:rsid w:val="001D239F"/>
    <w:pPr>
      <w:spacing w:after="0"/>
    </w:pPr>
  </w:style>
  <w:style w:styleId="TOC9" w:type="paragraph">
    <w:name w:val="toc 9"/>
    <w:basedOn w:val="Normal"/>
    <w:next w:val="Normal"/>
    <w:autoRedefine/>
    <w:rsid w:val="001D239F"/>
    <w:pPr>
      <w:spacing w:after="0"/>
    </w:pPr>
  </w:style>
  <w:style w:styleId="Subtitle" w:type="paragraph">
    <w:name w:val="Subtitle"/>
    <w:basedOn w:val="Normal"/>
    <w:next w:val="Normal"/>
    <w:link w:val="SubtitleChar"/>
    <w:uiPriority w:val="11"/>
    <w:qFormat/>
    <w:pPr>
      <w:spacing w:after="80"/>
      <w:jc w:val="center"/>
    </w:pPr>
    <w:rPr>
      <w:rFonts w:ascii="Play" w:cs="Play" w:eastAsia="Play" w:hAnsi="Play"/>
      <w:sz w:val="28"/>
      <w:szCs w:val="28"/>
    </w:rPr>
  </w:style>
  <w:style w:customStyle="1" w:styleId="a" w:type="table">
    <w:basedOn w:val="TableNormal"/>
    <w:tblPr>
      <w:tblStyleRowBandSize w:val="1"/>
      <w:tblStyleColBandSize w:val="1"/>
    </w:tblPr>
    <w:tblStylePr w:type="firstRow">
      <w:tblPr/>
      <w:tcPr>
        <w:tcBorders>
          <w:bottom w:val="nil"/>
        </w:tcBorders>
        <w:vAlign w:val="bottom"/>
      </w:tcPr>
    </w:tblStylePr>
  </w:style>
  <w:style w:customStyle="1" w:styleId="a0" w:type="table">
    <w:basedOn w:val="TableNormal"/>
    <w:tblPr>
      <w:tblStyleRowBandSize w:val="1"/>
      <w:tblStyleColBandSize w:val="1"/>
    </w:tblPr>
    <w:tblStylePr w:type="firstRow">
      <w:tblPr/>
      <w:tcPr>
        <w:tcBorders>
          <w:bottom w:val="nil"/>
        </w:tcBorders>
        <w:vAlign w:val="bottom"/>
      </w:tcPr>
    </w:tblStylePr>
  </w:style>
  <w:style w:customStyle="1" w:styleId="a1" w:type="table">
    <w:basedOn w:val="TableNormal"/>
    <w:tblPr>
      <w:tblStyleRowBandSize w:val="1"/>
      <w:tblStyleColBandSize w:val="1"/>
    </w:tblPr>
    <w:tblStylePr w:type="firstRow">
      <w:tblPr/>
      <w:tcPr>
        <w:tcBorders>
          <w:bottom w:val="nil"/>
        </w:tcBorders>
        <w:vAlign w:val="bottom"/>
      </w:tcPr>
    </w:tblStylePr>
  </w:style>
  <w:style w:customStyle="1" w:styleId="a2" w:type="table">
    <w:basedOn w:val="TableNormal"/>
    <w:tblPr>
      <w:tblStyleRowBandSize w:val="1"/>
      <w:tblStyleColBandSize w:val="1"/>
      <w:tblCellMar>
        <w:top w:type="dxa" w:w="100"/>
        <w:left w:type="dxa" w:w="100"/>
        <w:bottom w:type="dxa" w:w="100"/>
        <w:right w:type="dxa" w:w="100"/>
      </w:tblCellMar>
    </w:tblPr>
  </w:style>
  <w:style w:customStyle="1" w:styleId="a3" w:type="table">
    <w:basedOn w:val="TableNormal"/>
    <w:tblPr>
      <w:tblStyleRowBandSize w:val="1"/>
      <w:tblStyleColBandSize w:val="1"/>
      <w:tblCellMar>
        <w:top w:type="dxa" w:w="100"/>
        <w:left w:type="dxa" w:w="100"/>
        <w:bottom w:type="dxa" w:w="100"/>
        <w:right w:type="dxa" w:w="100"/>
      </w:tblCellMar>
    </w:tblPr>
  </w:style>
  <w:style w:customStyle="1" w:styleId="a4" w:type="table">
    <w:basedOn w:val="TableNormal"/>
    <w:tblPr>
      <w:tblStyleRowBandSize w:val="1"/>
      <w:tblStyleColBandSize w:val="1"/>
      <w:tblCellMar>
        <w:top w:type="dxa" w:w="100"/>
        <w:left w:type="dxa" w:w="100"/>
        <w:bottom w:type="dxa" w:w="100"/>
        <w:right w:type="dxa" w:w="100"/>
      </w:tblCellMar>
    </w:tblPr>
  </w:style>
  <w:style w:customStyle="1" w:styleId="a5" w:type="table">
    <w:basedOn w:val="TableNormal"/>
    <w:tblPr>
      <w:tblStyleRowBandSize w:val="1"/>
      <w:tblStyleColBandSize w:val="1"/>
      <w:tblCellMar>
        <w:top w:type="dxa" w:w="100"/>
        <w:left w:type="dxa" w:w="100"/>
        <w:bottom w:type="dxa" w:w="100"/>
        <w:right w:type="dxa" w:w="100"/>
      </w:tblCellMar>
    </w:tblPr>
  </w:style>
  <w:style w:customStyle="1" w:styleId="a6" w:type="table">
    <w:basedOn w:val="TableNormal"/>
    <w:tblPr>
      <w:tblStyleRowBandSize w:val="1"/>
      <w:tblStyleColBandSize w:val="1"/>
      <w:tblCellMar>
        <w:top w:type="dxa" w:w="100"/>
        <w:left w:type="dxa" w:w="100"/>
        <w:bottom w:type="dxa" w:w="100"/>
        <w:right w:type="dxa" w:w="100"/>
      </w:tblCellMar>
    </w:tblPr>
  </w:style>
  <w:style w:styleId="TOAHeading" w:type="paragraph">
    <w:name w:val="toa heading"/>
    <w:basedOn w:val="Normal"/>
    <w:next w:val="Normal"/>
    <w:rsid w:val="00AD6A50"/>
    <w:pPr>
      <w:spacing w:after="60" w:before="60"/>
      <w:jc w:val="center"/>
    </w:pPr>
    <w:rPr>
      <w:rFonts w:asciiTheme="majorHAnsi" w:cstheme="majorBidi" w:eastAsiaTheme="majorEastAsia" w:hAnsiTheme="majorHAnsi"/>
      <w:b/>
      <w:bCs/>
      <w:sz w:val="21"/>
      <w:szCs w:val="24"/>
      <w:lang w:eastAsia="zh-CN" w:val="en-US"/>
    </w:rPr>
  </w:style>
  <w:style w:styleId="Strong" w:type="character">
    <w:name w:val="Strong"/>
    <w:basedOn w:val="DefaultParagraphFont"/>
    <w:uiPriority w:val="22"/>
    <w:qFormat/>
    <w:rsid w:val="00DE287C"/>
    <w:rPr>
      <w:b/>
      <w:bCs/>
    </w:rPr>
  </w:style>
  <w:style w:styleId="ListParagraph" w:type="paragraph">
    <w:name w:val="List Paragraph"/>
    <w:basedOn w:val="Normal"/>
    <w:uiPriority w:val="34"/>
    <w:qFormat/>
    <w:rsid w:val="00701179"/>
    <w:pPr>
      <w:ind w:left="720"/>
      <w:contextualSpacing/>
    </w:pPr>
  </w:style>
  <w:style w:styleId="Quote" w:type="paragraph">
    <w:name w:val="Quote"/>
    <w:basedOn w:val="Normal"/>
    <w:next w:val="Normal"/>
    <w:link w:val="QuoteChar"/>
    <w:uiPriority w:val="29"/>
    <w:qFormat/>
    <w:rsid w:val="00201ADC"/>
    <w:pPr>
      <w:spacing w:after="160" w:before="200"/>
      <w:ind w:left="864" w:right="864"/>
      <w:jc w:val="center"/>
    </w:pPr>
    <w:rPr>
      <w:i/>
      <w:iCs/>
      <w:color w:themeColor="text1" w:themeTint="BF" w:val="404040"/>
    </w:rPr>
  </w:style>
  <w:style w:customStyle="1" w:styleId="QuoteChar" w:type="character">
    <w:name w:val="Quote Char"/>
    <w:basedOn w:val="DefaultParagraphFont"/>
    <w:link w:val="Quote"/>
    <w:uiPriority w:val="29"/>
    <w:rsid w:val="00201ADC"/>
    <w:rPr>
      <w:i/>
      <w:iCs/>
      <w:color w:themeColor="text1" w:themeTint="BF" w:val="404040"/>
    </w:rPr>
  </w:style>
  <w:style w:styleId="NoSpacing" w:type="paragraph">
    <w:name w:val="No Spacing"/>
    <w:uiPriority w:val="1"/>
    <w:qFormat/>
    <w:rsid w:val="00201ADC"/>
    <w:pPr>
      <w:spacing w:after="0" w:before="0" w:line="360" w:lineRule="auto"/>
    </w:pPr>
    <w:rPr>
      <w:rFonts w:ascii="Arial" w:hAnsi="Arial"/>
    </w:rPr>
  </w:style>
  <w:style w:styleId="NormalWeb" w:type="paragraph">
    <w:name w:val="Normal (Web)"/>
    <w:basedOn w:val="Normal"/>
    <w:uiPriority w:val="99"/>
    <w:unhideWhenUsed/>
    <w:rsid w:val="00D84195"/>
    <w:pPr>
      <w:spacing w:after="100" w:afterAutospacing="1" w:before="100" w:beforeAutospacing="1"/>
      <w:jc w:val="left"/>
    </w:pPr>
    <w:rPr>
      <w:sz w:val="24"/>
      <w:szCs w:val="24"/>
      <w:lang w:val="en-CA"/>
    </w:rPr>
  </w:style>
  <w:style w:styleId="Emphasis" w:type="character">
    <w:name w:val="Emphasis"/>
    <w:basedOn w:val="DefaultParagraphFont"/>
    <w:uiPriority w:val="20"/>
    <w:qFormat/>
    <w:rsid w:val="005B0C1C"/>
    <w:rPr>
      <w:i/>
      <w:iCs/>
    </w:rPr>
  </w:style>
  <w:style w:styleId="LineNumber" w:type="character">
    <w:name w:val="line number"/>
    <w:basedOn w:val="DefaultParagraphFont"/>
    <w:uiPriority w:val="99"/>
    <w:semiHidden/>
    <w:unhideWhenUsed/>
    <w:rsid w:val="00B13028"/>
  </w:style>
  <w:style w:styleId="BookTitle" w:type="character">
    <w:name w:val="Book Title"/>
    <w:basedOn w:val="DefaultParagraphFont"/>
    <w:uiPriority w:val="33"/>
    <w:qFormat/>
    <w:rsid w:val="00144330"/>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2.xml" Type="http://schemas.openxmlformats.org/officeDocument/2006/relationships/footer" /><Relationship Id="rId10" Target="footer1.xml" Type="http://schemas.openxmlformats.org/officeDocument/2006/relationships/footer" /><Relationship Type="http://schemas.openxmlformats.org/officeDocument/2006/relationships/image" Id="rId40" Target="media/rId40.png" /><Relationship Type="http://schemas.openxmlformats.org/officeDocument/2006/relationships/image" Id="rId52" Target="media/rId52.png" /><Relationship Type="http://schemas.openxmlformats.org/officeDocument/2006/relationships/image" Id="rId25" Target="media/rId25.png" /><Relationship Type="http://schemas.openxmlformats.org/officeDocument/2006/relationships/hyperlink" Id="rId99" Target="https://doi.org/10.1002/fee.2190" TargetMode="External" /><Relationship Type="http://schemas.openxmlformats.org/officeDocument/2006/relationships/hyperlink" Id="rId93" Target="https://doi.org/10.1007/s00442-022-05129-4" TargetMode="External" /><Relationship Type="http://schemas.openxmlformats.org/officeDocument/2006/relationships/hyperlink" Id="rId78" Target="https://doi.org/10.1007/s10453-010-9176-9" TargetMode="External" /><Relationship Type="http://schemas.openxmlformats.org/officeDocument/2006/relationships/hyperlink" Id="rId111" Target="https://doi.org/10.1016/j.ecolmodel.2013.10.034" TargetMode="External" /><Relationship Type="http://schemas.openxmlformats.org/officeDocument/2006/relationships/hyperlink" Id="rId107" Target="https://doi.org/10.1016/j.foreco.2026.123985" TargetMode="External" /><Relationship Type="http://schemas.openxmlformats.org/officeDocument/2006/relationships/hyperlink" Id="rId114" Target="https://doi.org/10.1079/PAVSNNR202116018" TargetMode="External" /><Relationship Type="http://schemas.openxmlformats.org/officeDocument/2006/relationships/hyperlink" Id="rId103" Target="https://doi.org/10.1093/aesa/64.2.534" TargetMode="External" /><Relationship Type="http://schemas.openxmlformats.org/officeDocument/2006/relationships/hyperlink" Id="rId91" Target="https://doi.org/10.1111/j.1439-0418.1972.tb01745.x" TargetMode="External" /><Relationship Type="http://schemas.openxmlformats.org/officeDocument/2006/relationships/hyperlink" Id="rId105" Target="https://doi.org/10.1111/j.1654-1103.2002.tb02087.x" TargetMode="External" /><Relationship Type="http://schemas.openxmlformats.org/officeDocument/2006/relationships/hyperlink" Id="rId87" Target="https://doi.org/10.1111/jen.13262" TargetMode="External" /><Relationship Type="http://schemas.openxmlformats.org/officeDocument/2006/relationships/hyperlink" Id="rId95" Target="https://doi.org/10.1139/X08-066" TargetMode="External" /><Relationship Type="http://schemas.openxmlformats.org/officeDocument/2006/relationships/hyperlink" Id="rId97" Target="https://doi.org/10.1139/cjfr-2018-0304" TargetMode="External" /><Relationship Type="http://schemas.openxmlformats.org/officeDocument/2006/relationships/hyperlink" Id="rId89" Target="https://doi.org/10.1175/BAMS-D-21-0075.1" TargetMode="External" /><Relationship Type="http://schemas.openxmlformats.org/officeDocument/2006/relationships/hyperlink" Id="rId80" Target="https://doi.org/10.1175/JAMC-D-13-0147.1" TargetMode="External" /><Relationship Type="http://schemas.openxmlformats.org/officeDocument/2006/relationships/hyperlink" Id="rId101" Target="https://doi.org/10.1175/JHM486.1" TargetMode="External" /><Relationship Type="http://schemas.openxmlformats.org/officeDocument/2006/relationships/hyperlink" Id="rId82" Target="https://doi.org/10.2737/int-rp-400" TargetMode="External" /><Relationship Type="http://schemas.openxmlformats.org/officeDocument/2006/relationships/hyperlink" Id="rId85" Target="https://doi.org/10.3390/f9110715" TargetMode="External" /><Relationship Type="http://schemas.openxmlformats.org/officeDocument/2006/relationships/hyperlink" Id="rId75" Target="https://github.com/seamusrobertmurphy/beetle-topography-and-wind-study" TargetMode="External" /><Relationship Type="http://schemas.openxmlformats.org/officeDocument/2006/relationships/hyperlink" Id="rId109" Target="https://open.canada.ca/data/en/dataset/957782bf-847c-4644-a757-e383c0057995" TargetMode="External" /></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footnotes.xml.rels><?xml version="1.0" encoding="UTF-8"?><Relationships xmlns="http://schemas.openxmlformats.org/package/2006/relationships"><Relationship Type="http://schemas.openxmlformats.org/officeDocument/2006/relationships/hyperlink" Id="rId99" Target="https://doi.org/10.1002/fee.2190" TargetMode="External" /><Relationship Type="http://schemas.openxmlformats.org/officeDocument/2006/relationships/hyperlink" Id="rId93" Target="https://doi.org/10.1007/s00442-022-05129-4" TargetMode="External" /><Relationship Type="http://schemas.openxmlformats.org/officeDocument/2006/relationships/hyperlink" Id="rId78" Target="https://doi.org/10.1007/s10453-010-9176-9" TargetMode="External" /><Relationship Type="http://schemas.openxmlformats.org/officeDocument/2006/relationships/hyperlink" Id="rId111" Target="https://doi.org/10.1016/j.ecolmodel.2013.10.034" TargetMode="External" /><Relationship Type="http://schemas.openxmlformats.org/officeDocument/2006/relationships/hyperlink" Id="rId107" Target="https://doi.org/10.1016/j.foreco.2026.123985" TargetMode="External" /><Relationship Type="http://schemas.openxmlformats.org/officeDocument/2006/relationships/hyperlink" Id="rId114" Target="https://doi.org/10.1079/PAVSNNR202116018" TargetMode="External" /><Relationship Type="http://schemas.openxmlformats.org/officeDocument/2006/relationships/hyperlink" Id="rId103" Target="https://doi.org/10.1093/aesa/64.2.534" TargetMode="External" /><Relationship Type="http://schemas.openxmlformats.org/officeDocument/2006/relationships/hyperlink" Id="rId91" Target="https://doi.org/10.1111/j.1439-0418.1972.tb01745.x" TargetMode="External" /><Relationship Type="http://schemas.openxmlformats.org/officeDocument/2006/relationships/hyperlink" Id="rId105" Target="https://doi.org/10.1111/j.1654-1103.2002.tb02087.x" TargetMode="External" /><Relationship Type="http://schemas.openxmlformats.org/officeDocument/2006/relationships/hyperlink" Id="rId87" Target="https://doi.org/10.1111/jen.13262" TargetMode="External" /><Relationship Type="http://schemas.openxmlformats.org/officeDocument/2006/relationships/hyperlink" Id="rId95" Target="https://doi.org/10.1139/X08-066" TargetMode="External" /><Relationship Type="http://schemas.openxmlformats.org/officeDocument/2006/relationships/hyperlink" Id="rId97" Target="https://doi.org/10.1139/cjfr-2018-0304" TargetMode="External" /><Relationship Type="http://schemas.openxmlformats.org/officeDocument/2006/relationships/hyperlink" Id="rId89" Target="https://doi.org/10.1175/BAMS-D-21-0075.1" TargetMode="External" /><Relationship Type="http://schemas.openxmlformats.org/officeDocument/2006/relationships/hyperlink" Id="rId80" Target="https://doi.org/10.1175/JAMC-D-13-0147.1" TargetMode="External" /><Relationship Type="http://schemas.openxmlformats.org/officeDocument/2006/relationships/hyperlink" Id="rId101" Target="https://doi.org/10.1175/JHM486.1" TargetMode="External" /><Relationship Type="http://schemas.openxmlformats.org/officeDocument/2006/relationships/hyperlink" Id="rId82" Target="https://doi.org/10.2737/int-rp-400" TargetMode="External" /><Relationship Type="http://schemas.openxmlformats.org/officeDocument/2006/relationships/hyperlink" Id="rId85" Target="https://doi.org/10.3390/f9110715" TargetMode="External" /><Relationship Type="http://schemas.openxmlformats.org/officeDocument/2006/relationships/hyperlink" Id="rId75" Target="https://github.com/seamusrobertmurphy/beetle-topography-and-wind-study" TargetMode="External" /><Relationship Type="http://schemas.openxmlformats.org/officeDocument/2006/relationships/hyperlink" Id="rId109" Target="https://open.canada.ca/data/en/dataset/957782bf-847c-4644-a757-e383c005799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37</Pages>
  <Words>13130</Words>
  <Characters>74841</Characters>
  <Application>Microsoft Office Word</Application>
  <DocSecurity>0</DocSecurity>
  <Lines>623</Lines>
  <Paragraphs>175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Testing the wind disruption hypothesis for beetle refugia</dc:title>
  <dc:creator>Seamus Murphy</dc:creator>
  <cp:keywords>Dendroctonus ponderosae, forest disturbance, insect outbreaks, Landsat time series, refugia, British Columbia</cp:keywords>
  <dcterms:created xsi:type="dcterms:W3CDTF">2026-08-30T20:01:02Z</dcterms:created>
  <dcterms:modified xsi:type="dcterms:W3CDTF">2026-08-30T20:01:02Z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ways_allow_html">
    <vt:lpwstr>True</vt:lpwstr>
  </property>
  <property fmtid="{D5CDD505-2E9C-101B-9397-08002B2CF9AE}" pid="3" name="authors">
    <vt:lpwstr/>
  </property>
  <property fmtid="{D5CDD505-2E9C-101B-9397-08002B2CF9AE}" pid="4" name="biblio-config">
    <vt:lpwstr>True</vt:lpwstr>
  </property>
  <property fmtid="{D5CDD505-2E9C-101B-9397-08002B2CF9AE}" pid="5" name="bibliography">
    <vt:lpwstr>../04.references/references-beetle.bib</vt:lpwstr>
  </property>
  <property fmtid="{D5CDD505-2E9C-101B-9397-08002B2CF9AE}" pid="6" name="by-author">
    <vt:lpwstr/>
  </property>
  <property fmtid="{D5CDD505-2E9C-101B-9397-08002B2CF9AE}" pid="7" name="csl">
    <vt:lpwstr>../04.references/apa-6th-edition.csl</vt:lpwstr>
  </property>
  <property fmtid="{D5CDD505-2E9C-101B-9397-08002B2CF9AE}" pid="8" name="date">
    <vt:lpwstr>2026-08-30</vt:lpwstr>
  </property>
  <property fmtid="{D5CDD505-2E9C-101B-9397-08002B2CF9AE}" pid="9" name="editor">
    <vt:lpwstr>visual</vt:lpwstr>
  </property>
  <property fmtid="{D5CDD505-2E9C-101B-9397-08002B2CF9AE}" pid="10" name="execute">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subtitle">
    <vt:lpwstr>Stand density, terrain and wind as competing controls on mountain pine beetle attack (Dendroctonus ponderosae) in the Selkirk Mountains of British Columbia</vt:lpwstr>
  </property>
  <property fmtid="{D5CDD505-2E9C-101B-9397-08002B2CF9AE}" pid="16" name="toc-title">
    <vt:lpwstr>Table of contents</vt:lpwstr>
  </property>
</Properties>
</file>