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Tables</w:t>
      </w:r>
    </w:p>
    <w:bookmarkStart w:id="20" w:name="table-1"/>
    <w:p>
      <w:pPr>
        <w:pStyle w:val="Heading1"/>
      </w:pPr>
      <w:r>
        <w:t xml:space="preserve">Table 1</w:t>
      </w:r>
    </w:p>
    <w:p>
      <w:pPr>
        <w:pStyle w:val="FirstParagraph"/>
      </w:pPr>
      <w:r>
        <w:t xml:space="preserve">Stand structure over the 173,086 sampled cell-periods, from the annual Vegetation Resources Inventory snapshots. SD was the standard deviation, SE the standard error of the mean, and Skew and Kurt. the bias-corrected skewness and excess kurtosis.</w:t>
      </w:r>
    </w:p>
    <w:tbl>
      <w:tblPr>
        <w:tblStyle w:val="Table"/>
        <w:tblLook w:firstRow="1" w:lastRow="0" w:firstColumn="0" w:lastColumn="0" w:noHBand="0" w:noVBand="0" w:val="0020"/>
        <w:tblW w:w="9354" w:type="dxa"/>
        <w:tblLayout w:type="fixed"/>
      </w:tblPr>
      <w:tblGrid>
        <w:gridCol w:w="3866"/>
        <w:gridCol w:w="711"/>
        <w:gridCol w:w="711"/>
        <w:gridCol w:w="610"/>
        <w:gridCol w:w="711"/>
        <w:gridCol w:w="610"/>
        <w:gridCol w:w="915"/>
        <w:gridCol w:w="610"/>
        <w:gridCol w:w="610"/>
      </w:tblGrid>
      <w:tr>
        <w:trPr>
          <w:tblHeader w:val="on"/>
          <w:trHeight w:val="624" w:hRule="exact"/>
        </w:trPr>
        <w:tc>
          <w:tcPr>
            <w:tcW w:w="3866" w:type="dxa"/>
          </w:tcPr>
          <w:p>
            <w:pPr>
              <w:pStyle w:val="Compact"/>
              <w:jc w:val="left"/>
              <w:rPr>
                <w:sz w:val="16"/>
                <w:szCs w:val="16"/>
              </w:rPr>
            </w:pPr>
            <w:r>
              <w:rPr>
                <w:sz w:val="16"/>
                <w:szCs w:val="16"/>
              </w:rPr>
              <w:t xml:space="preserve">Attribute</w:t>
            </w:r>
          </w:p>
        </w:tc>
        <w:tc>
          <w:tcPr>
            <w:tcW w:w="711" w:type="dxa"/>
          </w:tcPr>
          <w:p>
            <w:pPr>
              <w:pStyle w:val="Compact"/>
              <w:jc w:val="left"/>
              <w:rPr>
                <w:sz w:val="16"/>
                <w:szCs w:val="16"/>
              </w:rPr>
            </w:pPr>
            <w:r>
              <w:rPr>
                <w:sz w:val="16"/>
                <w:szCs w:val="16"/>
              </w:rPr>
              <w:t xml:space="preserve">Mean</w:t>
            </w:r>
          </w:p>
        </w:tc>
        <w:tc>
          <w:tcPr>
            <w:tcW w:w="711" w:type="dxa"/>
          </w:tcPr>
          <w:p>
            <w:pPr>
              <w:pStyle w:val="Compact"/>
              <w:jc w:val="left"/>
              <w:rPr>
                <w:sz w:val="16"/>
                <w:szCs w:val="16"/>
              </w:rPr>
            </w:pPr>
            <w:r>
              <w:rPr>
                <w:sz w:val="16"/>
                <w:szCs w:val="16"/>
              </w:rPr>
              <w:t xml:space="preserve">SD</w:t>
            </w:r>
          </w:p>
        </w:tc>
        <w:tc>
          <w:tcPr>
            <w:tcW w:w="610" w:type="dxa"/>
          </w:tcPr>
          <w:p>
            <w:pPr>
              <w:pStyle w:val="Compact"/>
              <w:jc w:val="left"/>
              <w:rPr>
                <w:sz w:val="16"/>
                <w:szCs w:val="16"/>
              </w:rPr>
            </w:pPr>
            <w:r>
              <w:rPr>
                <w:sz w:val="16"/>
                <w:szCs w:val="16"/>
              </w:rPr>
              <w:t xml:space="preserve">SE</w:t>
            </w:r>
          </w:p>
        </w:tc>
        <w:tc>
          <w:tcPr>
            <w:tcW w:w="711" w:type="dxa"/>
          </w:tcPr>
          <w:p>
            <w:pPr>
              <w:pStyle w:val="Compact"/>
              <w:jc w:val="left"/>
              <w:rPr>
                <w:sz w:val="16"/>
                <w:szCs w:val="16"/>
              </w:rPr>
            </w:pPr>
            <w:r>
              <w:rPr>
                <w:sz w:val="16"/>
                <w:szCs w:val="16"/>
              </w:rPr>
              <w:t xml:space="preserve">Median</w:t>
            </w:r>
          </w:p>
        </w:tc>
        <w:tc>
          <w:tcPr>
            <w:tcW w:w="610" w:type="dxa"/>
          </w:tcPr>
          <w:p>
            <w:pPr>
              <w:pStyle w:val="Compact"/>
              <w:jc w:val="left"/>
              <w:rPr>
                <w:sz w:val="16"/>
                <w:szCs w:val="16"/>
              </w:rPr>
            </w:pPr>
            <w:r>
              <w:rPr>
                <w:sz w:val="16"/>
                <w:szCs w:val="16"/>
              </w:rPr>
              <w:t xml:space="preserve">Min</w:t>
            </w:r>
          </w:p>
        </w:tc>
        <w:tc>
          <w:tcPr>
            <w:tcW w:w="915" w:type="dxa"/>
          </w:tcPr>
          <w:p>
            <w:pPr>
              <w:pStyle w:val="Compact"/>
              <w:jc w:val="left"/>
              <w:rPr>
                <w:sz w:val="16"/>
                <w:szCs w:val="16"/>
              </w:rPr>
            </w:pPr>
            <w:r>
              <w:rPr>
                <w:sz w:val="16"/>
                <w:szCs w:val="16"/>
              </w:rPr>
              <w:t xml:space="preserve">Max</w:t>
            </w:r>
          </w:p>
        </w:tc>
        <w:tc>
          <w:tcPr>
            <w:tcW w:w="610" w:type="dxa"/>
          </w:tcPr>
          <w:p>
            <w:pPr>
              <w:pStyle w:val="Compact"/>
              <w:jc w:val="left"/>
              <w:rPr>
                <w:sz w:val="16"/>
                <w:szCs w:val="16"/>
              </w:rPr>
            </w:pPr>
            <w:r>
              <w:rPr>
                <w:sz w:val="16"/>
                <w:szCs w:val="16"/>
              </w:rPr>
              <w:t xml:space="preserve">Skew</w:t>
            </w:r>
          </w:p>
        </w:tc>
        <w:tc>
          <w:tcPr>
            <w:tcW w:w="610" w:type="dxa"/>
          </w:tcPr>
          <w:p>
            <w:pPr>
              <w:pStyle w:val="Compact"/>
              <w:jc w:val="left"/>
              <w:rPr>
                <w:sz w:val="16"/>
                <w:szCs w:val="16"/>
              </w:rPr>
            </w:pPr>
            <w:r>
              <w:rPr>
                <w:sz w:val="16"/>
                <w:szCs w:val="16"/>
              </w:rPr>
              <w:t xml:space="preserve">Kurt.</w:t>
            </w:r>
          </w:p>
        </w:tc>
      </w:tr>
      <w:tr>
        <w:trPr>
          <w:trHeight w:val="340" w:hRule="exact"/>
        </w:trPr>
        <w:tc>
          <w:tcPr>
            <w:tcW w:w="3866" w:type="dxa"/>
          </w:tcPr>
          <w:p>
            <w:pPr>
              <w:pStyle w:val="Compact"/>
              <w:jc w:val="left"/>
              <w:rPr>
                <w:sz w:val="16"/>
                <w:szCs w:val="16"/>
              </w:rPr>
            </w:pPr>
            <w:r>
              <w:rPr>
                <w:sz w:val="16"/>
                <w:szCs w:val="16"/>
              </w:rPr>
              <w:t xml:space="preserve">Stand basal area (m² ha⁻¹)</w:t>
            </w:r>
          </w:p>
        </w:tc>
        <w:tc>
          <w:tcPr>
            <w:tcW w:w="711" w:type="dxa"/>
          </w:tcPr>
          <w:p>
            <w:pPr>
              <w:pStyle w:val="Compact"/>
              <w:jc w:val="left"/>
              <w:rPr>
                <w:sz w:val="16"/>
                <w:szCs w:val="16"/>
              </w:rPr>
            </w:pPr>
            <w:r>
              <w:rPr>
                <w:sz w:val="16"/>
                <w:szCs w:val="16"/>
              </w:rPr>
              <w:t xml:space="preserve">32.99</w:t>
            </w:r>
          </w:p>
        </w:tc>
        <w:tc>
          <w:tcPr>
            <w:tcW w:w="711" w:type="dxa"/>
          </w:tcPr>
          <w:p>
            <w:pPr>
              <w:pStyle w:val="Compact"/>
              <w:jc w:val="left"/>
              <w:rPr>
                <w:sz w:val="16"/>
                <w:szCs w:val="16"/>
              </w:rPr>
            </w:pPr>
            <w:r>
              <w:rPr>
                <w:sz w:val="16"/>
                <w:szCs w:val="16"/>
              </w:rPr>
              <w:t xml:space="preserve">14.23</w:t>
            </w:r>
          </w:p>
        </w:tc>
        <w:tc>
          <w:tcPr>
            <w:tcW w:w="610" w:type="dxa"/>
          </w:tcPr>
          <w:p>
            <w:pPr>
              <w:pStyle w:val="Compact"/>
              <w:jc w:val="left"/>
              <w:rPr>
                <w:sz w:val="16"/>
                <w:szCs w:val="16"/>
              </w:rPr>
            </w:pPr>
            <w:r>
              <w:rPr>
                <w:sz w:val="16"/>
                <w:szCs w:val="16"/>
              </w:rPr>
              <w:t xml:space="preserve">0.037</w:t>
            </w:r>
          </w:p>
        </w:tc>
        <w:tc>
          <w:tcPr>
            <w:tcW w:w="711" w:type="dxa"/>
          </w:tcPr>
          <w:p>
            <w:pPr>
              <w:pStyle w:val="Compact"/>
              <w:jc w:val="left"/>
              <w:rPr>
                <w:sz w:val="16"/>
                <w:szCs w:val="16"/>
              </w:rPr>
            </w:pPr>
            <w:r>
              <w:rPr>
                <w:sz w:val="16"/>
                <w:szCs w:val="16"/>
              </w:rPr>
              <w:t xml:space="preserve">36.12</w:t>
            </w:r>
          </w:p>
        </w:tc>
        <w:tc>
          <w:tcPr>
            <w:tcW w:w="610" w:type="dxa"/>
          </w:tcPr>
          <w:p>
            <w:pPr>
              <w:pStyle w:val="Compact"/>
              <w:jc w:val="left"/>
              <w:rPr>
                <w:sz w:val="16"/>
                <w:szCs w:val="16"/>
              </w:rPr>
            </w:pPr>
            <w:r>
              <w:rPr>
                <w:sz w:val="16"/>
                <w:szCs w:val="16"/>
              </w:rPr>
              <w:t xml:space="preserve">0.00</w:t>
            </w:r>
          </w:p>
        </w:tc>
        <w:tc>
          <w:tcPr>
            <w:tcW w:w="915" w:type="dxa"/>
          </w:tcPr>
          <w:p>
            <w:pPr>
              <w:pStyle w:val="Compact"/>
              <w:jc w:val="left"/>
              <w:rPr>
                <w:sz w:val="16"/>
                <w:szCs w:val="16"/>
              </w:rPr>
            </w:pPr>
            <w:r>
              <w:rPr>
                <w:sz w:val="16"/>
                <w:szCs w:val="16"/>
              </w:rPr>
              <w:t xml:space="preserve">93.49</w:t>
            </w:r>
          </w:p>
        </w:tc>
        <w:tc>
          <w:tcPr>
            <w:tcW w:w="610" w:type="dxa"/>
          </w:tcPr>
          <w:p>
            <w:pPr>
              <w:pStyle w:val="Compact"/>
              <w:jc w:val="left"/>
              <w:rPr>
                <w:sz w:val="16"/>
                <w:szCs w:val="16"/>
              </w:rPr>
            </w:pPr>
            <w:r>
              <w:rPr>
                <w:sz w:val="16"/>
                <w:szCs w:val="16"/>
              </w:rPr>
              <w:t xml:space="preserve">-0.71</w:t>
            </w:r>
          </w:p>
        </w:tc>
        <w:tc>
          <w:tcPr>
            <w:tcW w:w="610" w:type="dxa"/>
          </w:tcPr>
          <w:p>
            <w:pPr>
              <w:pStyle w:val="Compact"/>
              <w:jc w:val="left"/>
              <w:rPr>
                <w:sz w:val="16"/>
                <w:szCs w:val="16"/>
              </w:rPr>
            </w:pPr>
            <w:r>
              <w:rPr>
                <w:sz w:val="16"/>
                <w:szCs w:val="16"/>
              </w:rPr>
              <w:t xml:space="preserve">0.51</w:t>
            </w:r>
          </w:p>
        </w:tc>
      </w:tr>
      <w:tr>
        <w:trPr>
          <w:trHeight w:val="340" w:hRule="exact"/>
        </w:trPr>
        <w:tc>
          <w:tcPr>
            <w:tcW w:w="3866" w:type="dxa"/>
          </w:tcPr>
          <w:p>
            <w:pPr>
              <w:pStyle w:val="Compact"/>
              <w:jc w:val="left"/>
              <w:rPr>
                <w:sz w:val="16"/>
                <w:szCs w:val="16"/>
              </w:rPr>
            </w:pPr>
            <w:r>
              <w:rPr>
                <w:sz w:val="16"/>
                <w:szCs w:val="16"/>
              </w:rPr>
              <w:t xml:space="preserve">Crown closure (%)</w:t>
            </w:r>
          </w:p>
        </w:tc>
        <w:tc>
          <w:tcPr>
            <w:tcW w:w="711" w:type="dxa"/>
          </w:tcPr>
          <w:p>
            <w:pPr>
              <w:pStyle w:val="Compact"/>
              <w:jc w:val="left"/>
              <w:rPr>
                <w:sz w:val="16"/>
                <w:szCs w:val="16"/>
              </w:rPr>
            </w:pPr>
            <w:r>
              <w:rPr>
                <w:sz w:val="16"/>
                <w:szCs w:val="16"/>
              </w:rPr>
              <w:t xml:space="preserve">47.01</w:t>
            </w:r>
          </w:p>
        </w:tc>
        <w:tc>
          <w:tcPr>
            <w:tcW w:w="711" w:type="dxa"/>
          </w:tcPr>
          <w:p>
            <w:pPr>
              <w:pStyle w:val="Compact"/>
              <w:jc w:val="left"/>
              <w:rPr>
                <w:sz w:val="16"/>
                <w:szCs w:val="16"/>
              </w:rPr>
            </w:pPr>
            <w:r>
              <w:rPr>
                <w:sz w:val="16"/>
                <w:szCs w:val="16"/>
              </w:rPr>
              <w:t xml:space="preserve">16.91</w:t>
            </w:r>
          </w:p>
        </w:tc>
        <w:tc>
          <w:tcPr>
            <w:tcW w:w="610" w:type="dxa"/>
          </w:tcPr>
          <w:p>
            <w:pPr>
              <w:pStyle w:val="Compact"/>
              <w:jc w:val="left"/>
              <w:rPr>
                <w:sz w:val="16"/>
                <w:szCs w:val="16"/>
              </w:rPr>
            </w:pPr>
            <w:r>
              <w:rPr>
                <w:sz w:val="16"/>
                <w:szCs w:val="16"/>
              </w:rPr>
              <w:t xml:space="preserve">0.043</w:t>
            </w:r>
          </w:p>
        </w:tc>
        <w:tc>
          <w:tcPr>
            <w:tcW w:w="711" w:type="dxa"/>
          </w:tcPr>
          <w:p>
            <w:pPr>
              <w:pStyle w:val="Compact"/>
              <w:jc w:val="left"/>
              <w:rPr>
                <w:sz w:val="16"/>
                <w:szCs w:val="16"/>
              </w:rPr>
            </w:pPr>
            <w:r>
              <w:rPr>
                <w:sz w:val="16"/>
                <w:szCs w:val="16"/>
              </w:rPr>
              <w:t xml:space="preserve">50.00</w:t>
            </w:r>
          </w:p>
        </w:tc>
        <w:tc>
          <w:tcPr>
            <w:tcW w:w="610" w:type="dxa"/>
          </w:tcPr>
          <w:p>
            <w:pPr>
              <w:pStyle w:val="Compact"/>
              <w:jc w:val="left"/>
              <w:rPr>
                <w:sz w:val="16"/>
                <w:szCs w:val="16"/>
              </w:rPr>
            </w:pPr>
            <w:r>
              <w:rPr>
                <w:sz w:val="16"/>
                <w:szCs w:val="16"/>
              </w:rPr>
              <w:t xml:space="preserve">1.00</w:t>
            </w:r>
          </w:p>
        </w:tc>
        <w:tc>
          <w:tcPr>
            <w:tcW w:w="915" w:type="dxa"/>
          </w:tcPr>
          <w:p>
            <w:pPr>
              <w:pStyle w:val="Compact"/>
              <w:jc w:val="left"/>
              <w:rPr>
                <w:sz w:val="16"/>
                <w:szCs w:val="16"/>
              </w:rPr>
            </w:pPr>
            <w:r>
              <w:rPr>
                <w:sz w:val="16"/>
                <w:szCs w:val="16"/>
              </w:rPr>
              <w:t xml:space="preserve">90.00</w:t>
            </w:r>
          </w:p>
        </w:tc>
        <w:tc>
          <w:tcPr>
            <w:tcW w:w="610" w:type="dxa"/>
          </w:tcPr>
          <w:p>
            <w:pPr>
              <w:pStyle w:val="Compact"/>
              <w:jc w:val="left"/>
              <w:rPr>
                <w:sz w:val="16"/>
                <w:szCs w:val="16"/>
              </w:rPr>
            </w:pPr>
            <w:r>
              <w:rPr>
                <w:sz w:val="16"/>
                <w:szCs w:val="16"/>
              </w:rPr>
              <w:t xml:space="preserve">-1.28</w:t>
            </w:r>
          </w:p>
        </w:tc>
        <w:tc>
          <w:tcPr>
            <w:tcW w:w="610" w:type="dxa"/>
          </w:tcPr>
          <w:p>
            <w:pPr>
              <w:pStyle w:val="Compact"/>
              <w:jc w:val="left"/>
              <w:rPr>
                <w:sz w:val="16"/>
                <w:szCs w:val="16"/>
              </w:rPr>
            </w:pPr>
            <w:r>
              <w:rPr>
                <w:sz w:val="16"/>
                <w:szCs w:val="16"/>
              </w:rPr>
              <w:t xml:space="preserve">0.96</w:t>
            </w:r>
          </w:p>
        </w:tc>
      </w:tr>
      <w:tr>
        <w:trPr>
          <w:trHeight w:val="340" w:hRule="exact"/>
        </w:trPr>
        <w:tc>
          <w:tcPr>
            <w:tcW w:w="3866" w:type="dxa"/>
          </w:tcPr>
          <w:p>
            <w:pPr>
              <w:pStyle w:val="Compact"/>
              <w:jc w:val="left"/>
              <w:rPr>
                <w:sz w:val="16"/>
                <w:szCs w:val="16"/>
              </w:rPr>
            </w:pPr>
            <w:r>
              <w:rPr>
                <w:sz w:val="16"/>
                <w:szCs w:val="16"/>
              </w:rPr>
              <w:t xml:space="preserve">Live stems (n/ha)</w:t>
            </w:r>
          </w:p>
        </w:tc>
        <w:tc>
          <w:tcPr>
            <w:tcW w:w="711" w:type="dxa"/>
          </w:tcPr>
          <w:p>
            <w:pPr>
              <w:pStyle w:val="Compact"/>
              <w:jc w:val="left"/>
              <w:rPr>
                <w:sz w:val="16"/>
                <w:szCs w:val="16"/>
              </w:rPr>
            </w:pPr>
            <w:r>
              <w:rPr>
                <w:sz w:val="16"/>
                <w:szCs w:val="16"/>
              </w:rPr>
              <w:t xml:space="preserve">818.76</w:t>
            </w:r>
          </w:p>
        </w:tc>
        <w:tc>
          <w:tcPr>
            <w:tcW w:w="711" w:type="dxa"/>
          </w:tcPr>
          <w:p>
            <w:pPr>
              <w:pStyle w:val="Compact"/>
              <w:jc w:val="left"/>
              <w:rPr>
                <w:sz w:val="16"/>
                <w:szCs w:val="16"/>
              </w:rPr>
            </w:pPr>
            <w:r>
              <w:rPr>
                <w:sz w:val="16"/>
                <w:szCs w:val="16"/>
              </w:rPr>
              <w:t xml:space="preserve">649.74</w:t>
            </w:r>
          </w:p>
        </w:tc>
        <w:tc>
          <w:tcPr>
            <w:tcW w:w="610" w:type="dxa"/>
          </w:tcPr>
          <w:p>
            <w:pPr>
              <w:pStyle w:val="Compact"/>
              <w:jc w:val="left"/>
              <w:rPr>
                <w:sz w:val="16"/>
                <w:szCs w:val="16"/>
              </w:rPr>
            </w:pPr>
            <w:r>
              <w:rPr>
                <w:sz w:val="16"/>
                <w:szCs w:val="16"/>
              </w:rPr>
              <w:t xml:space="preserve">1.661</w:t>
            </w:r>
          </w:p>
        </w:tc>
        <w:tc>
          <w:tcPr>
            <w:tcW w:w="711" w:type="dxa"/>
          </w:tcPr>
          <w:p>
            <w:pPr>
              <w:pStyle w:val="Compact"/>
              <w:jc w:val="left"/>
              <w:rPr>
                <w:sz w:val="16"/>
                <w:szCs w:val="16"/>
              </w:rPr>
            </w:pPr>
            <w:r>
              <w:rPr>
                <w:sz w:val="16"/>
                <w:szCs w:val="16"/>
              </w:rPr>
              <w:t xml:space="preserve">770.00</w:t>
            </w:r>
          </w:p>
        </w:tc>
        <w:tc>
          <w:tcPr>
            <w:tcW w:w="610" w:type="dxa"/>
          </w:tcPr>
          <w:p>
            <w:pPr>
              <w:pStyle w:val="Compact"/>
              <w:jc w:val="left"/>
              <w:rPr>
                <w:sz w:val="16"/>
                <w:szCs w:val="16"/>
              </w:rPr>
            </w:pPr>
            <w:r>
              <w:rPr>
                <w:sz w:val="16"/>
                <w:szCs w:val="16"/>
              </w:rPr>
              <w:t xml:space="preserve">0.00</w:t>
            </w:r>
          </w:p>
        </w:tc>
        <w:tc>
          <w:tcPr>
            <w:tcW w:w="915" w:type="dxa"/>
          </w:tcPr>
          <w:p>
            <w:pPr>
              <w:pStyle w:val="Compact"/>
              <w:jc w:val="left"/>
              <w:rPr>
                <w:sz w:val="16"/>
                <w:szCs w:val="16"/>
              </w:rPr>
            </w:pPr>
            <w:r>
              <w:rPr>
                <w:sz w:val="16"/>
                <w:szCs w:val="16"/>
              </w:rPr>
              <w:t xml:space="preserve">19400.00</w:t>
            </w:r>
          </w:p>
        </w:tc>
        <w:tc>
          <w:tcPr>
            <w:tcW w:w="610" w:type="dxa"/>
          </w:tcPr>
          <w:p>
            <w:pPr>
              <w:pStyle w:val="Compact"/>
              <w:jc w:val="left"/>
              <w:rPr>
                <w:sz w:val="16"/>
                <w:szCs w:val="16"/>
              </w:rPr>
            </w:pPr>
            <w:r>
              <w:rPr>
                <w:sz w:val="16"/>
                <w:szCs w:val="16"/>
              </w:rPr>
              <w:t xml:space="preserve">6.68</w:t>
            </w:r>
          </w:p>
        </w:tc>
        <w:tc>
          <w:tcPr>
            <w:tcW w:w="610" w:type="dxa"/>
          </w:tcPr>
          <w:p>
            <w:pPr>
              <w:pStyle w:val="Compact"/>
              <w:jc w:val="left"/>
              <w:rPr>
                <w:sz w:val="16"/>
                <w:szCs w:val="16"/>
              </w:rPr>
            </w:pPr>
            <w:r>
              <w:rPr>
                <w:sz w:val="16"/>
                <w:szCs w:val="16"/>
              </w:rPr>
              <w:t xml:space="preserve">72.89</w:t>
            </w:r>
          </w:p>
        </w:tc>
      </w:tr>
      <w:tr>
        <w:trPr>
          <w:trHeight w:val="340" w:hRule="exact"/>
        </w:trPr>
        <w:tc>
          <w:tcPr>
            <w:tcW w:w="3866" w:type="dxa"/>
          </w:tcPr>
          <w:p>
            <w:pPr>
              <w:pStyle w:val="Compact"/>
              <w:jc w:val="left"/>
              <w:rPr>
                <w:sz w:val="16"/>
                <w:szCs w:val="16"/>
              </w:rPr>
            </w:pPr>
            <w:r>
              <w:rPr>
                <w:sz w:val="16"/>
                <w:szCs w:val="16"/>
              </w:rPr>
              <w:t xml:space="preserve">Quadratic mean diameter (cm)</w:t>
            </w:r>
          </w:p>
        </w:tc>
        <w:tc>
          <w:tcPr>
            <w:tcW w:w="711" w:type="dxa"/>
          </w:tcPr>
          <w:p>
            <w:pPr>
              <w:pStyle w:val="Compact"/>
              <w:jc w:val="left"/>
              <w:rPr>
                <w:sz w:val="16"/>
                <w:szCs w:val="16"/>
              </w:rPr>
            </w:pPr>
            <w:r>
              <w:rPr>
                <w:sz w:val="16"/>
                <w:szCs w:val="16"/>
              </w:rPr>
              <w:t xml:space="preserve">26.26</w:t>
            </w:r>
          </w:p>
        </w:tc>
        <w:tc>
          <w:tcPr>
            <w:tcW w:w="711" w:type="dxa"/>
          </w:tcPr>
          <w:p>
            <w:pPr>
              <w:pStyle w:val="Compact"/>
              <w:jc w:val="left"/>
              <w:rPr>
                <w:sz w:val="16"/>
                <w:szCs w:val="16"/>
              </w:rPr>
            </w:pPr>
            <w:r>
              <w:rPr>
                <w:sz w:val="16"/>
                <w:szCs w:val="16"/>
              </w:rPr>
              <w:t xml:space="preserve">6.27</w:t>
            </w:r>
          </w:p>
        </w:tc>
        <w:tc>
          <w:tcPr>
            <w:tcW w:w="610" w:type="dxa"/>
          </w:tcPr>
          <w:p>
            <w:pPr>
              <w:pStyle w:val="Compact"/>
              <w:jc w:val="left"/>
              <w:rPr>
                <w:sz w:val="16"/>
                <w:szCs w:val="16"/>
              </w:rPr>
            </w:pPr>
            <w:r>
              <w:rPr>
                <w:sz w:val="16"/>
                <w:szCs w:val="16"/>
              </w:rPr>
              <w:t xml:space="preserve">0.016</w:t>
            </w:r>
          </w:p>
        </w:tc>
        <w:tc>
          <w:tcPr>
            <w:tcW w:w="711" w:type="dxa"/>
          </w:tcPr>
          <w:p>
            <w:pPr>
              <w:pStyle w:val="Compact"/>
              <w:jc w:val="left"/>
              <w:rPr>
                <w:sz w:val="16"/>
                <w:szCs w:val="16"/>
              </w:rPr>
            </w:pPr>
            <w:r>
              <w:rPr>
                <w:sz w:val="16"/>
                <w:szCs w:val="16"/>
              </w:rPr>
              <w:t xml:space="preserve">25.74</w:t>
            </w:r>
          </w:p>
        </w:tc>
        <w:tc>
          <w:tcPr>
            <w:tcW w:w="610" w:type="dxa"/>
          </w:tcPr>
          <w:p>
            <w:pPr>
              <w:pStyle w:val="Compact"/>
              <w:jc w:val="left"/>
              <w:rPr>
                <w:sz w:val="16"/>
                <w:szCs w:val="16"/>
              </w:rPr>
            </w:pPr>
            <w:r>
              <w:rPr>
                <w:sz w:val="16"/>
                <w:szCs w:val="16"/>
              </w:rPr>
              <w:t xml:space="preserve">13.55</w:t>
            </w:r>
          </w:p>
        </w:tc>
        <w:tc>
          <w:tcPr>
            <w:tcW w:w="915" w:type="dxa"/>
          </w:tcPr>
          <w:p>
            <w:pPr>
              <w:pStyle w:val="Compact"/>
              <w:jc w:val="left"/>
              <w:rPr>
                <w:sz w:val="16"/>
                <w:szCs w:val="16"/>
              </w:rPr>
            </w:pPr>
            <w:r>
              <w:rPr>
                <w:sz w:val="16"/>
                <w:szCs w:val="16"/>
              </w:rPr>
              <w:t xml:space="preserve">78.78</w:t>
            </w:r>
          </w:p>
        </w:tc>
        <w:tc>
          <w:tcPr>
            <w:tcW w:w="610" w:type="dxa"/>
          </w:tcPr>
          <w:p>
            <w:pPr>
              <w:pStyle w:val="Compact"/>
              <w:jc w:val="left"/>
              <w:rPr>
                <w:sz w:val="16"/>
                <w:szCs w:val="16"/>
              </w:rPr>
            </w:pPr>
            <w:r>
              <w:rPr>
                <w:sz w:val="16"/>
                <w:szCs w:val="16"/>
              </w:rPr>
              <w:t xml:space="preserve">1.10</w:t>
            </w:r>
          </w:p>
        </w:tc>
        <w:tc>
          <w:tcPr>
            <w:tcW w:w="610" w:type="dxa"/>
          </w:tcPr>
          <w:p>
            <w:pPr>
              <w:pStyle w:val="Compact"/>
              <w:jc w:val="left"/>
              <w:rPr>
                <w:sz w:val="16"/>
                <w:szCs w:val="16"/>
              </w:rPr>
            </w:pPr>
            <w:r>
              <w:rPr>
                <w:sz w:val="16"/>
                <w:szCs w:val="16"/>
              </w:rPr>
              <w:t xml:space="preserve">2.37</w:t>
            </w:r>
          </w:p>
        </w:tc>
      </w:tr>
      <w:tr>
        <w:trPr>
          <w:trHeight w:val="340" w:hRule="exact"/>
        </w:trPr>
        <w:tc>
          <w:tcPr>
            <w:tcW w:w="3866" w:type="dxa"/>
          </w:tcPr>
          <w:p>
            <w:pPr>
              <w:pStyle w:val="Compact"/>
              <w:jc w:val="left"/>
              <w:rPr>
                <w:sz w:val="16"/>
                <w:szCs w:val="16"/>
              </w:rPr>
            </w:pPr>
            <w:r>
              <w:rPr>
                <w:sz w:val="16"/>
                <w:szCs w:val="16"/>
              </w:rPr>
              <w:t xml:space="preserve">Stand age (years)</w:t>
            </w:r>
          </w:p>
        </w:tc>
        <w:tc>
          <w:tcPr>
            <w:tcW w:w="711" w:type="dxa"/>
          </w:tcPr>
          <w:p>
            <w:pPr>
              <w:pStyle w:val="Compact"/>
              <w:jc w:val="left"/>
              <w:rPr>
                <w:sz w:val="16"/>
                <w:szCs w:val="16"/>
              </w:rPr>
            </w:pPr>
            <w:r>
              <w:rPr>
                <w:sz w:val="16"/>
                <w:szCs w:val="16"/>
              </w:rPr>
              <w:t xml:space="preserve">107.03</w:t>
            </w:r>
          </w:p>
        </w:tc>
        <w:tc>
          <w:tcPr>
            <w:tcW w:w="711" w:type="dxa"/>
          </w:tcPr>
          <w:p>
            <w:pPr>
              <w:pStyle w:val="Compact"/>
              <w:jc w:val="left"/>
              <w:rPr>
                <w:sz w:val="16"/>
                <w:szCs w:val="16"/>
              </w:rPr>
            </w:pPr>
            <w:r>
              <w:rPr>
                <w:sz w:val="16"/>
                <w:szCs w:val="16"/>
              </w:rPr>
              <w:t xml:space="preserve">32.31</w:t>
            </w:r>
          </w:p>
        </w:tc>
        <w:tc>
          <w:tcPr>
            <w:tcW w:w="610" w:type="dxa"/>
          </w:tcPr>
          <w:p>
            <w:pPr>
              <w:pStyle w:val="Compact"/>
              <w:jc w:val="left"/>
              <w:rPr>
                <w:sz w:val="16"/>
                <w:szCs w:val="16"/>
              </w:rPr>
            </w:pPr>
            <w:r>
              <w:rPr>
                <w:sz w:val="16"/>
                <w:szCs w:val="16"/>
              </w:rPr>
              <w:t xml:space="preserve">0.082</w:t>
            </w:r>
          </w:p>
        </w:tc>
        <w:tc>
          <w:tcPr>
            <w:tcW w:w="711" w:type="dxa"/>
          </w:tcPr>
          <w:p>
            <w:pPr>
              <w:pStyle w:val="Compact"/>
              <w:jc w:val="left"/>
              <w:rPr>
                <w:sz w:val="16"/>
                <w:szCs w:val="16"/>
              </w:rPr>
            </w:pPr>
            <w:r>
              <w:rPr>
                <w:sz w:val="16"/>
                <w:szCs w:val="16"/>
              </w:rPr>
              <w:t xml:space="preserve">108.00</w:t>
            </w:r>
          </w:p>
        </w:tc>
        <w:tc>
          <w:tcPr>
            <w:tcW w:w="610" w:type="dxa"/>
          </w:tcPr>
          <w:p>
            <w:pPr>
              <w:pStyle w:val="Compact"/>
              <w:jc w:val="left"/>
              <w:rPr>
                <w:sz w:val="16"/>
                <w:szCs w:val="16"/>
              </w:rPr>
            </w:pPr>
            <w:r>
              <w:rPr>
                <w:sz w:val="16"/>
                <w:szCs w:val="16"/>
              </w:rPr>
              <w:t xml:space="preserve">4.00</w:t>
            </w:r>
          </w:p>
        </w:tc>
        <w:tc>
          <w:tcPr>
            <w:tcW w:w="915" w:type="dxa"/>
          </w:tcPr>
          <w:p>
            <w:pPr>
              <w:pStyle w:val="Compact"/>
              <w:jc w:val="left"/>
              <w:rPr>
                <w:sz w:val="16"/>
                <w:szCs w:val="16"/>
              </w:rPr>
            </w:pPr>
            <w:r>
              <w:rPr>
                <w:sz w:val="16"/>
                <w:szCs w:val="16"/>
              </w:rPr>
              <w:t xml:space="preserve">337.00</w:t>
            </w:r>
          </w:p>
        </w:tc>
        <w:tc>
          <w:tcPr>
            <w:tcW w:w="610" w:type="dxa"/>
          </w:tcPr>
          <w:p>
            <w:pPr>
              <w:pStyle w:val="Compact"/>
              <w:jc w:val="left"/>
              <w:rPr>
                <w:sz w:val="16"/>
                <w:szCs w:val="16"/>
              </w:rPr>
            </w:pPr>
            <w:r>
              <w:rPr>
                <w:sz w:val="16"/>
                <w:szCs w:val="16"/>
              </w:rPr>
              <w:t xml:space="preserve">-0.06</w:t>
            </w:r>
          </w:p>
        </w:tc>
        <w:tc>
          <w:tcPr>
            <w:tcW w:w="610" w:type="dxa"/>
          </w:tcPr>
          <w:p>
            <w:pPr>
              <w:pStyle w:val="Compact"/>
              <w:jc w:val="left"/>
              <w:rPr>
                <w:sz w:val="16"/>
                <w:szCs w:val="16"/>
              </w:rPr>
            </w:pPr>
            <w:r>
              <w:rPr>
                <w:sz w:val="16"/>
                <w:szCs w:val="16"/>
              </w:rPr>
              <w:t xml:space="preserve">4.85</w:t>
            </w:r>
          </w:p>
        </w:tc>
      </w:tr>
      <w:tr>
        <w:trPr>
          <w:trHeight w:val="340" w:hRule="exact"/>
        </w:trPr>
        <w:tc>
          <w:tcPr>
            <w:tcW w:w="3866" w:type="dxa"/>
          </w:tcPr>
          <w:p>
            <w:pPr>
              <w:pStyle w:val="Compact"/>
              <w:jc w:val="left"/>
              <w:rPr>
                <w:sz w:val="16"/>
                <w:szCs w:val="16"/>
              </w:rPr>
            </w:pPr>
            <w:r>
              <w:rPr>
                <w:sz w:val="16"/>
                <w:szCs w:val="16"/>
              </w:rPr>
              <w:t xml:space="preserve">Stand height (m)</w:t>
            </w:r>
          </w:p>
        </w:tc>
        <w:tc>
          <w:tcPr>
            <w:tcW w:w="711" w:type="dxa"/>
          </w:tcPr>
          <w:p>
            <w:pPr>
              <w:pStyle w:val="Compact"/>
              <w:jc w:val="left"/>
              <w:rPr>
                <w:sz w:val="16"/>
                <w:szCs w:val="16"/>
              </w:rPr>
            </w:pPr>
            <w:r>
              <w:rPr>
                <w:sz w:val="16"/>
                <w:szCs w:val="16"/>
              </w:rPr>
              <w:t xml:space="preserve">24.90</w:t>
            </w:r>
          </w:p>
        </w:tc>
        <w:tc>
          <w:tcPr>
            <w:tcW w:w="711" w:type="dxa"/>
          </w:tcPr>
          <w:p>
            <w:pPr>
              <w:pStyle w:val="Compact"/>
              <w:jc w:val="left"/>
              <w:rPr>
                <w:sz w:val="16"/>
                <w:szCs w:val="16"/>
              </w:rPr>
            </w:pPr>
            <w:r>
              <w:rPr>
                <w:sz w:val="16"/>
                <w:szCs w:val="16"/>
              </w:rPr>
              <w:t xml:space="preserve">7.90</w:t>
            </w:r>
          </w:p>
        </w:tc>
        <w:tc>
          <w:tcPr>
            <w:tcW w:w="610" w:type="dxa"/>
          </w:tcPr>
          <w:p>
            <w:pPr>
              <w:pStyle w:val="Compact"/>
              <w:jc w:val="left"/>
              <w:rPr>
                <w:sz w:val="16"/>
                <w:szCs w:val="16"/>
              </w:rPr>
            </w:pPr>
            <w:r>
              <w:rPr>
                <w:sz w:val="16"/>
                <w:szCs w:val="16"/>
              </w:rPr>
              <w:t xml:space="preserve">0.020</w:t>
            </w:r>
          </w:p>
        </w:tc>
        <w:tc>
          <w:tcPr>
            <w:tcW w:w="711" w:type="dxa"/>
          </w:tcPr>
          <w:p>
            <w:pPr>
              <w:pStyle w:val="Compact"/>
              <w:jc w:val="left"/>
              <w:rPr>
                <w:sz w:val="16"/>
                <w:szCs w:val="16"/>
              </w:rPr>
            </w:pPr>
            <w:r>
              <w:rPr>
                <w:sz w:val="16"/>
                <w:szCs w:val="16"/>
              </w:rPr>
              <w:t xml:space="preserve">25.40</w:t>
            </w:r>
          </w:p>
        </w:tc>
        <w:tc>
          <w:tcPr>
            <w:tcW w:w="610" w:type="dxa"/>
          </w:tcPr>
          <w:p>
            <w:pPr>
              <w:pStyle w:val="Compact"/>
              <w:jc w:val="left"/>
              <w:rPr>
                <w:sz w:val="16"/>
                <w:szCs w:val="16"/>
              </w:rPr>
            </w:pPr>
            <w:r>
              <w:rPr>
                <w:sz w:val="16"/>
                <w:szCs w:val="16"/>
              </w:rPr>
              <w:t xml:space="preserve">0.00</w:t>
            </w:r>
          </w:p>
        </w:tc>
        <w:tc>
          <w:tcPr>
            <w:tcW w:w="915" w:type="dxa"/>
          </w:tcPr>
          <w:p>
            <w:pPr>
              <w:pStyle w:val="Compact"/>
              <w:jc w:val="left"/>
              <w:rPr>
                <w:sz w:val="16"/>
                <w:szCs w:val="16"/>
              </w:rPr>
            </w:pPr>
            <w:r>
              <w:rPr>
                <w:sz w:val="16"/>
                <w:szCs w:val="16"/>
              </w:rPr>
              <w:t xml:space="preserve">42.30</w:t>
            </w:r>
          </w:p>
        </w:tc>
        <w:tc>
          <w:tcPr>
            <w:tcW w:w="610" w:type="dxa"/>
          </w:tcPr>
          <w:p>
            <w:pPr>
              <w:pStyle w:val="Compact"/>
              <w:jc w:val="left"/>
              <w:rPr>
                <w:sz w:val="16"/>
                <w:szCs w:val="16"/>
              </w:rPr>
            </w:pPr>
            <w:r>
              <w:rPr>
                <w:sz w:val="16"/>
                <w:szCs w:val="16"/>
              </w:rPr>
              <w:t xml:space="preserve">-0.88</w:t>
            </w:r>
          </w:p>
        </w:tc>
        <w:tc>
          <w:tcPr>
            <w:tcW w:w="610" w:type="dxa"/>
          </w:tcPr>
          <w:p>
            <w:pPr>
              <w:pStyle w:val="Compact"/>
              <w:jc w:val="left"/>
              <w:rPr>
                <w:sz w:val="16"/>
                <w:szCs w:val="16"/>
              </w:rPr>
            </w:pPr>
            <w:r>
              <w:rPr>
                <w:sz w:val="16"/>
                <w:szCs w:val="16"/>
              </w:rPr>
              <w:t xml:space="preserve">1.46</w:t>
            </w:r>
          </w:p>
        </w:tc>
      </w:tr>
      <w:tr>
        <w:trPr>
          <w:trHeight w:val="340" w:hRule="exact"/>
        </w:trPr>
        <w:tc>
          <w:tcPr>
            <w:tcW w:w="3866" w:type="dxa"/>
          </w:tcPr>
          <w:p>
            <w:pPr>
              <w:pStyle w:val="Compact"/>
              <w:jc w:val="left"/>
              <w:rPr>
                <w:sz w:val="16"/>
                <w:szCs w:val="16"/>
              </w:rPr>
            </w:pPr>
            <w:r>
              <w:rPr>
                <w:sz w:val="16"/>
                <w:szCs w:val="16"/>
              </w:rPr>
              <w:t xml:space="preserve">Standing volume (m³ ha⁻¹)</w:t>
            </w:r>
          </w:p>
        </w:tc>
        <w:tc>
          <w:tcPr>
            <w:tcW w:w="711" w:type="dxa"/>
          </w:tcPr>
          <w:p>
            <w:pPr>
              <w:pStyle w:val="Compact"/>
              <w:jc w:val="left"/>
              <w:rPr>
                <w:sz w:val="16"/>
                <w:szCs w:val="16"/>
              </w:rPr>
            </w:pPr>
            <w:r>
              <w:rPr>
                <w:sz w:val="16"/>
                <w:szCs w:val="16"/>
              </w:rPr>
              <w:t xml:space="preserve">251.09</w:t>
            </w:r>
          </w:p>
        </w:tc>
        <w:tc>
          <w:tcPr>
            <w:tcW w:w="711" w:type="dxa"/>
          </w:tcPr>
          <w:p>
            <w:pPr>
              <w:pStyle w:val="Compact"/>
              <w:jc w:val="left"/>
              <w:rPr>
                <w:sz w:val="16"/>
                <w:szCs w:val="16"/>
              </w:rPr>
            </w:pPr>
            <w:r>
              <w:rPr>
                <w:sz w:val="16"/>
                <w:szCs w:val="16"/>
              </w:rPr>
              <w:t xml:space="preserve">144.01</w:t>
            </w:r>
          </w:p>
        </w:tc>
        <w:tc>
          <w:tcPr>
            <w:tcW w:w="610" w:type="dxa"/>
          </w:tcPr>
          <w:p>
            <w:pPr>
              <w:pStyle w:val="Compact"/>
              <w:jc w:val="left"/>
              <w:rPr>
                <w:sz w:val="16"/>
                <w:szCs w:val="16"/>
              </w:rPr>
            </w:pPr>
            <w:r>
              <w:rPr>
                <w:sz w:val="16"/>
                <w:szCs w:val="16"/>
              </w:rPr>
              <w:t xml:space="preserve">0.374</w:t>
            </w:r>
          </w:p>
        </w:tc>
        <w:tc>
          <w:tcPr>
            <w:tcW w:w="711" w:type="dxa"/>
          </w:tcPr>
          <w:p>
            <w:pPr>
              <w:pStyle w:val="Compact"/>
              <w:jc w:val="left"/>
              <w:rPr>
                <w:sz w:val="16"/>
                <w:szCs w:val="16"/>
              </w:rPr>
            </w:pPr>
            <w:r>
              <w:rPr>
                <w:sz w:val="16"/>
                <w:szCs w:val="16"/>
              </w:rPr>
              <w:t xml:space="preserve">250.59</w:t>
            </w:r>
          </w:p>
        </w:tc>
        <w:tc>
          <w:tcPr>
            <w:tcW w:w="610" w:type="dxa"/>
          </w:tcPr>
          <w:p>
            <w:pPr>
              <w:pStyle w:val="Compact"/>
              <w:jc w:val="left"/>
              <w:rPr>
                <w:sz w:val="16"/>
                <w:szCs w:val="16"/>
              </w:rPr>
            </w:pPr>
            <w:r>
              <w:rPr>
                <w:sz w:val="16"/>
                <w:szCs w:val="16"/>
              </w:rPr>
              <w:t xml:space="preserve">0.00</w:t>
            </w:r>
          </w:p>
        </w:tc>
        <w:tc>
          <w:tcPr>
            <w:tcW w:w="915" w:type="dxa"/>
          </w:tcPr>
          <w:p>
            <w:pPr>
              <w:pStyle w:val="Compact"/>
              <w:jc w:val="left"/>
              <w:rPr>
                <w:sz w:val="16"/>
                <w:szCs w:val="16"/>
              </w:rPr>
            </w:pPr>
            <w:r>
              <w:rPr>
                <w:sz w:val="16"/>
                <w:szCs w:val="16"/>
              </w:rPr>
              <w:t xml:space="preserve">889.64</w:t>
            </w:r>
          </w:p>
        </w:tc>
        <w:tc>
          <w:tcPr>
            <w:tcW w:w="610" w:type="dxa"/>
          </w:tcPr>
          <w:p>
            <w:pPr>
              <w:pStyle w:val="Compact"/>
              <w:jc w:val="left"/>
              <w:rPr>
                <w:sz w:val="16"/>
                <w:szCs w:val="16"/>
              </w:rPr>
            </w:pPr>
            <w:r>
              <w:rPr>
                <w:sz w:val="16"/>
                <w:szCs w:val="16"/>
              </w:rPr>
              <w:t xml:space="preserve">0.15</w:t>
            </w:r>
          </w:p>
        </w:tc>
        <w:tc>
          <w:tcPr>
            <w:tcW w:w="610" w:type="dxa"/>
          </w:tcPr>
          <w:p>
            <w:pPr>
              <w:pStyle w:val="Compact"/>
              <w:jc w:val="left"/>
              <w:rPr>
                <w:sz w:val="16"/>
                <w:szCs w:val="16"/>
              </w:rPr>
            </w:pPr>
            <w:r>
              <w:rPr>
                <w:sz w:val="16"/>
                <w:szCs w:val="16"/>
              </w:rPr>
              <w:t xml:space="preserve">-0.46</w:t>
            </w:r>
          </w:p>
        </w:tc>
      </w:tr>
      <w:tr>
        <w:trPr>
          <w:trHeight w:val="340" w:hRule="exact"/>
        </w:trPr>
        <w:tc>
          <w:tcPr>
            <w:tcW w:w="3866" w:type="dxa"/>
          </w:tcPr>
          <w:p>
            <w:pPr>
              <w:pStyle w:val="Compact"/>
              <w:jc w:val="left"/>
              <w:rPr>
                <w:sz w:val="16"/>
                <w:szCs w:val="16"/>
              </w:rPr>
            </w:pPr>
            <w:r>
              <w:rPr>
                <w:sz w:val="16"/>
                <w:szCs w:val="16"/>
              </w:rPr>
              <w:t xml:space="preserve">Lodgepole pine cover (%)</w:t>
            </w:r>
          </w:p>
        </w:tc>
        <w:tc>
          <w:tcPr>
            <w:tcW w:w="711" w:type="dxa"/>
          </w:tcPr>
          <w:p>
            <w:pPr>
              <w:pStyle w:val="Compact"/>
              <w:jc w:val="left"/>
              <w:rPr>
                <w:sz w:val="16"/>
                <w:szCs w:val="16"/>
              </w:rPr>
            </w:pPr>
            <w:r>
              <w:rPr>
                <w:sz w:val="16"/>
                <w:szCs w:val="16"/>
              </w:rPr>
              <w:t xml:space="preserve">20.19</w:t>
            </w:r>
          </w:p>
        </w:tc>
        <w:tc>
          <w:tcPr>
            <w:tcW w:w="711" w:type="dxa"/>
          </w:tcPr>
          <w:p>
            <w:pPr>
              <w:pStyle w:val="Compact"/>
              <w:jc w:val="left"/>
              <w:rPr>
                <w:sz w:val="16"/>
                <w:szCs w:val="16"/>
              </w:rPr>
            </w:pPr>
            <w:r>
              <w:rPr>
                <w:sz w:val="16"/>
                <w:szCs w:val="16"/>
              </w:rPr>
              <w:t xml:space="preserve">26.35</w:t>
            </w:r>
          </w:p>
        </w:tc>
        <w:tc>
          <w:tcPr>
            <w:tcW w:w="610" w:type="dxa"/>
          </w:tcPr>
          <w:p>
            <w:pPr>
              <w:pStyle w:val="Compact"/>
              <w:jc w:val="left"/>
              <w:rPr>
                <w:sz w:val="16"/>
                <w:szCs w:val="16"/>
              </w:rPr>
            </w:pPr>
            <w:r>
              <w:rPr>
                <w:sz w:val="16"/>
                <w:szCs w:val="16"/>
              </w:rPr>
              <w:t xml:space="preserve">0.064</w:t>
            </w:r>
          </w:p>
        </w:tc>
        <w:tc>
          <w:tcPr>
            <w:tcW w:w="711" w:type="dxa"/>
          </w:tcPr>
          <w:p>
            <w:pPr>
              <w:pStyle w:val="Compact"/>
              <w:jc w:val="left"/>
              <w:rPr>
                <w:sz w:val="16"/>
                <w:szCs w:val="16"/>
              </w:rPr>
            </w:pPr>
            <w:r>
              <w:rPr>
                <w:sz w:val="16"/>
                <w:szCs w:val="16"/>
              </w:rPr>
              <w:t xml:space="preserve">10.00</w:t>
            </w:r>
          </w:p>
        </w:tc>
        <w:tc>
          <w:tcPr>
            <w:tcW w:w="610" w:type="dxa"/>
          </w:tcPr>
          <w:p>
            <w:pPr>
              <w:pStyle w:val="Compact"/>
              <w:jc w:val="left"/>
              <w:rPr>
                <w:sz w:val="16"/>
                <w:szCs w:val="16"/>
              </w:rPr>
            </w:pPr>
            <w:r>
              <w:rPr>
                <w:sz w:val="16"/>
                <w:szCs w:val="16"/>
              </w:rPr>
              <w:t xml:space="preserve">0.00</w:t>
            </w:r>
          </w:p>
        </w:tc>
        <w:tc>
          <w:tcPr>
            <w:tcW w:w="915" w:type="dxa"/>
          </w:tcPr>
          <w:p>
            <w:pPr>
              <w:pStyle w:val="Compact"/>
              <w:jc w:val="left"/>
              <w:rPr>
                <w:sz w:val="16"/>
                <w:szCs w:val="16"/>
              </w:rPr>
            </w:pPr>
            <w:r>
              <w:rPr>
                <w:sz w:val="16"/>
                <w:szCs w:val="16"/>
              </w:rPr>
              <w:t xml:space="preserve">100.00</w:t>
            </w:r>
          </w:p>
        </w:tc>
        <w:tc>
          <w:tcPr>
            <w:tcW w:w="610" w:type="dxa"/>
          </w:tcPr>
          <w:p>
            <w:pPr>
              <w:pStyle w:val="Compact"/>
              <w:jc w:val="left"/>
              <w:rPr>
                <w:sz w:val="16"/>
                <w:szCs w:val="16"/>
              </w:rPr>
            </w:pPr>
            <w:r>
              <w:rPr>
                <w:sz w:val="16"/>
                <w:szCs w:val="16"/>
              </w:rPr>
              <w:t xml:space="preserve">1.39</w:t>
            </w:r>
          </w:p>
        </w:tc>
        <w:tc>
          <w:tcPr>
            <w:tcW w:w="610" w:type="dxa"/>
          </w:tcPr>
          <w:p>
            <w:pPr>
              <w:pStyle w:val="Compact"/>
              <w:jc w:val="left"/>
              <w:rPr>
                <w:sz w:val="16"/>
                <w:szCs w:val="16"/>
              </w:rPr>
            </w:pPr>
            <w:r>
              <w:rPr>
                <w:sz w:val="16"/>
                <w:szCs w:val="16"/>
              </w:rPr>
              <w:t xml:space="preserve">1.09</w:t>
            </w:r>
          </w:p>
        </w:tc>
      </w:tr>
      <w:tr>
        <w:trPr>
          <w:trHeight w:val="340" w:hRule="exact"/>
        </w:trPr>
        <w:tc>
          <w:tcPr>
            <w:tcW w:w="3866" w:type="dxa"/>
          </w:tcPr>
          <w:p>
            <w:pPr>
              <w:pStyle w:val="Compact"/>
              <w:jc w:val="left"/>
              <w:rPr>
                <w:sz w:val="16"/>
                <w:szCs w:val="16"/>
              </w:rPr>
            </w:pPr>
            <w:r>
              <w:rPr>
                <w:sz w:val="16"/>
                <w:szCs w:val="16"/>
              </w:rPr>
              <w:t xml:space="preserve">Susceptible pine basal area (m² ha⁻¹)</w:t>
            </w:r>
          </w:p>
        </w:tc>
        <w:tc>
          <w:tcPr>
            <w:tcW w:w="711" w:type="dxa"/>
          </w:tcPr>
          <w:p>
            <w:pPr>
              <w:pStyle w:val="Compact"/>
              <w:jc w:val="left"/>
              <w:rPr>
                <w:sz w:val="16"/>
                <w:szCs w:val="16"/>
              </w:rPr>
            </w:pPr>
            <w:r>
              <w:rPr>
                <w:sz w:val="16"/>
                <w:szCs w:val="16"/>
              </w:rPr>
              <w:t xml:space="preserve">7.34</w:t>
            </w:r>
          </w:p>
        </w:tc>
        <w:tc>
          <w:tcPr>
            <w:tcW w:w="711" w:type="dxa"/>
          </w:tcPr>
          <w:p>
            <w:pPr>
              <w:pStyle w:val="Compact"/>
              <w:jc w:val="left"/>
              <w:rPr>
                <w:sz w:val="16"/>
                <w:szCs w:val="16"/>
              </w:rPr>
            </w:pPr>
            <w:r>
              <w:rPr>
                <w:sz w:val="16"/>
                <w:szCs w:val="16"/>
              </w:rPr>
              <w:t xml:space="preserve">9.87</w:t>
            </w:r>
          </w:p>
        </w:tc>
        <w:tc>
          <w:tcPr>
            <w:tcW w:w="610" w:type="dxa"/>
          </w:tcPr>
          <w:p>
            <w:pPr>
              <w:pStyle w:val="Compact"/>
              <w:jc w:val="left"/>
              <w:rPr>
                <w:sz w:val="16"/>
                <w:szCs w:val="16"/>
              </w:rPr>
            </w:pPr>
            <w:r>
              <w:rPr>
                <w:sz w:val="16"/>
                <w:szCs w:val="16"/>
              </w:rPr>
              <w:t xml:space="preserve">0.026</w:t>
            </w:r>
          </w:p>
        </w:tc>
        <w:tc>
          <w:tcPr>
            <w:tcW w:w="711" w:type="dxa"/>
          </w:tcPr>
          <w:p>
            <w:pPr>
              <w:pStyle w:val="Compact"/>
              <w:jc w:val="left"/>
              <w:rPr>
                <w:sz w:val="16"/>
                <w:szCs w:val="16"/>
              </w:rPr>
            </w:pPr>
            <w:r>
              <w:rPr>
                <w:sz w:val="16"/>
                <w:szCs w:val="16"/>
              </w:rPr>
              <w:t xml:space="preserve">3.42</w:t>
            </w:r>
          </w:p>
        </w:tc>
        <w:tc>
          <w:tcPr>
            <w:tcW w:w="610" w:type="dxa"/>
          </w:tcPr>
          <w:p>
            <w:pPr>
              <w:pStyle w:val="Compact"/>
              <w:jc w:val="left"/>
              <w:rPr>
                <w:sz w:val="16"/>
                <w:szCs w:val="16"/>
              </w:rPr>
            </w:pPr>
            <w:r>
              <w:rPr>
                <w:sz w:val="16"/>
                <w:szCs w:val="16"/>
              </w:rPr>
              <w:t xml:space="preserve">0.00</w:t>
            </w:r>
          </w:p>
        </w:tc>
        <w:tc>
          <w:tcPr>
            <w:tcW w:w="915" w:type="dxa"/>
          </w:tcPr>
          <w:p>
            <w:pPr>
              <w:pStyle w:val="Compact"/>
              <w:jc w:val="left"/>
              <w:rPr>
                <w:sz w:val="16"/>
                <w:szCs w:val="16"/>
              </w:rPr>
            </w:pPr>
            <w:r>
              <w:rPr>
                <w:sz w:val="16"/>
                <w:szCs w:val="16"/>
              </w:rPr>
              <w:t xml:space="preserve">48.30</w:t>
            </w:r>
          </w:p>
        </w:tc>
        <w:tc>
          <w:tcPr>
            <w:tcW w:w="610" w:type="dxa"/>
          </w:tcPr>
          <w:p>
            <w:pPr>
              <w:pStyle w:val="Compact"/>
              <w:jc w:val="left"/>
              <w:rPr>
                <w:sz w:val="16"/>
                <w:szCs w:val="16"/>
              </w:rPr>
            </w:pPr>
            <w:r>
              <w:rPr>
                <w:sz w:val="16"/>
                <w:szCs w:val="16"/>
              </w:rPr>
              <w:t xml:space="preserve">1.53</w:t>
            </w:r>
          </w:p>
        </w:tc>
        <w:tc>
          <w:tcPr>
            <w:tcW w:w="610" w:type="dxa"/>
          </w:tcPr>
          <w:p>
            <w:pPr>
              <w:pStyle w:val="Compact"/>
              <w:jc w:val="left"/>
              <w:rPr>
                <w:sz w:val="16"/>
                <w:szCs w:val="16"/>
              </w:rPr>
            </w:pPr>
            <w:r>
              <w:rPr>
                <w:sz w:val="16"/>
                <w:szCs w:val="16"/>
              </w:rPr>
              <w:t xml:space="preserve">1.86</w:t>
            </w:r>
          </w:p>
        </w:tc>
      </w:tr>
    </w:tbl>
    <w:p>
      <w:r>
        <w:br w:type="page"/>
      </w:r>
    </w:p>
    <w:bookmarkEnd w:id="20"/>
    <w:bookmarkStart w:id="21" w:name="table-2"/>
    <w:p>
      <w:pPr>
        <w:pStyle w:val="Heading1"/>
      </w:pPr>
      <w:r>
        <w:t xml:space="preserve">Table 2</w:t>
      </w:r>
    </w:p>
    <w:p>
      <w:pPr>
        <w:pStyle w:val="FirstParagraph"/>
      </w:pPr>
      <w:r>
        <w:t xml:space="preserve">Accuracy of the three red-stage classifiers over repeated random splits that held out a quarter of the field plots and of the 100 m blocks of undisturbed pixels, as mean and standard deviation with the 2.5th and 97.5th percentiles of the splits. The model with the highest mean kappa set the cut used on every map.</w:t>
      </w:r>
    </w:p>
    <w:tbl>
      <w:tblPr>
        <w:tblStyle w:val="Table"/>
        <w:tblLook w:firstRow="1" w:lastRow="0" w:firstColumn="0" w:lastColumn="0" w:noHBand="0" w:noVBand="0" w:val="0020"/>
        <w:tblW w:w="9354" w:type="dxa"/>
        <w:tblLayout w:type="fixed"/>
      </w:tblPr>
      <w:tblGrid>
        <w:gridCol w:w="2359"/>
        <w:gridCol w:w="1100"/>
        <w:gridCol w:w="1179"/>
        <w:gridCol w:w="1100"/>
        <w:gridCol w:w="1179"/>
        <w:gridCol w:w="943"/>
        <w:gridCol w:w="943"/>
        <w:gridCol w:w="551"/>
      </w:tblGrid>
      <w:tr>
        <w:trPr>
          <w:tblHeader w:val="on"/>
          <w:trHeight w:val="624" w:hRule="exact"/>
        </w:trPr>
        <w:tc>
          <w:tcPr>
            <w:tcW w:w="2359" w:type="dxa"/>
          </w:tcPr>
          <w:p>
            <w:pPr>
              <w:pStyle w:val="Compact"/>
              <w:jc w:val="left"/>
              <w:rPr>
                <w:sz w:val="16"/>
                <w:szCs w:val="16"/>
              </w:rPr>
            </w:pPr>
            <w:r>
              <w:rPr>
                <w:sz w:val="16"/>
                <w:szCs w:val="16"/>
              </w:rPr>
              <w:t xml:space="preserve">Model</w:t>
            </w:r>
          </w:p>
        </w:tc>
        <w:tc>
          <w:tcPr>
            <w:tcW w:w="1100" w:type="dxa"/>
          </w:tcPr>
          <w:p>
            <w:pPr>
              <w:pStyle w:val="Compact"/>
              <w:jc w:val="left"/>
              <w:rPr>
                <w:sz w:val="16"/>
                <w:szCs w:val="16"/>
              </w:rPr>
            </w:pPr>
            <w:r>
              <w:rPr>
                <w:sz w:val="16"/>
                <w:szCs w:val="16"/>
              </w:rPr>
              <w:t xml:space="preserve">Accuracy</w:t>
            </w:r>
          </w:p>
        </w:tc>
        <w:tc>
          <w:tcPr>
            <w:tcW w:w="1179" w:type="dxa"/>
          </w:tcPr>
          <w:p>
            <w:pPr>
              <w:pStyle w:val="Compact"/>
              <w:jc w:val="left"/>
              <w:rPr>
                <w:sz w:val="16"/>
                <w:szCs w:val="16"/>
              </w:rPr>
            </w:pPr>
            <w:r>
              <w:rPr>
                <w:sz w:val="16"/>
                <w:szCs w:val="16"/>
              </w:rPr>
              <w:t xml:space="preserve">Accuracy 95%</w:t>
            </w:r>
          </w:p>
        </w:tc>
        <w:tc>
          <w:tcPr>
            <w:tcW w:w="1100" w:type="dxa"/>
          </w:tcPr>
          <w:p>
            <w:pPr>
              <w:pStyle w:val="Compact"/>
              <w:jc w:val="left"/>
              <w:rPr>
                <w:sz w:val="16"/>
                <w:szCs w:val="16"/>
              </w:rPr>
            </w:pPr>
            <w:r>
              <w:rPr>
                <w:sz w:val="16"/>
                <w:szCs w:val="16"/>
              </w:rPr>
              <w:t xml:space="preserve">Kappa</w:t>
            </w:r>
          </w:p>
        </w:tc>
        <w:tc>
          <w:tcPr>
            <w:tcW w:w="1179" w:type="dxa"/>
          </w:tcPr>
          <w:p>
            <w:pPr>
              <w:pStyle w:val="Compact"/>
              <w:jc w:val="left"/>
              <w:rPr>
                <w:sz w:val="16"/>
                <w:szCs w:val="16"/>
              </w:rPr>
            </w:pPr>
            <w:r>
              <w:rPr>
                <w:sz w:val="16"/>
                <w:szCs w:val="16"/>
              </w:rPr>
              <w:t xml:space="preserve">Kappa 95%</w:t>
            </w:r>
          </w:p>
        </w:tc>
        <w:tc>
          <w:tcPr>
            <w:tcW w:w="943" w:type="dxa"/>
          </w:tcPr>
          <w:p>
            <w:pPr>
              <w:pStyle w:val="Compact"/>
              <w:jc w:val="left"/>
              <w:rPr>
                <w:sz w:val="16"/>
                <w:szCs w:val="16"/>
              </w:rPr>
            </w:pPr>
            <w:r>
              <w:rPr>
                <w:sz w:val="16"/>
                <w:szCs w:val="16"/>
              </w:rPr>
              <w:t xml:space="preserve">Sensitivity</w:t>
            </w:r>
          </w:p>
        </w:tc>
        <w:tc>
          <w:tcPr>
            <w:tcW w:w="943" w:type="dxa"/>
          </w:tcPr>
          <w:p>
            <w:pPr>
              <w:pStyle w:val="Compact"/>
              <w:jc w:val="left"/>
              <w:rPr>
                <w:sz w:val="16"/>
                <w:szCs w:val="16"/>
              </w:rPr>
            </w:pPr>
            <w:r>
              <w:rPr>
                <w:sz w:val="16"/>
                <w:szCs w:val="16"/>
              </w:rPr>
              <w:t xml:space="preserve">Specificity</w:t>
            </w:r>
          </w:p>
        </w:tc>
        <w:tc>
          <w:tcPr>
            <w:tcW w:w="551" w:type="dxa"/>
          </w:tcPr>
          <w:p>
            <w:pPr>
              <w:pStyle w:val="Compact"/>
              <w:jc w:val="left"/>
              <w:rPr>
                <w:sz w:val="16"/>
                <w:szCs w:val="16"/>
              </w:rPr>
            </w:pPr>
            <w:r>
              <w:rPr>
                <w:sz w:val="16"/>
                <w:szCs w:val="16"/>
              </w:rPr>
              <w:t xml:space="preserve">Chosen</w:t>
            </w:r>
          </w:p>
        </w:tc>
      </w:tr>
      <w:tr>
        <w:trPr>
          <w:trHeight w:val="340" w:hRule="exact"/>
        </w:trPr>
        <w:tc>
          <w:tcPr>
            <w:tcW w:w="2359" w:type="dxa"/>
          </w:tcPr>
          <w:p>
            <w:pPr>
              <w:pStyle w:val="Compact"/>
              <w:jc w:val="left"/>
              <w:rPr>
                <w:sz w:val="16"/>
                <w:szCs w:val="16"/>
              </w:rPr>
            </w:pPr>
            <w:r>
              <w:rPr>
                <w:sz w:val="16"/>
                <w:szCs w:val="16"/>
              </w:rPr>
              <w:t xml:space="preserve">gradient boosting</w:t>
            </w:r>
          </w:p>
        </w:tc>
        <w:tc>
          <w:tcPr>
            <w:tcW w:w="1100" w:type="dxa"/>
          </w:tcPr>
          <w:p>
            <w:pPr>
              <w:pStyle w:val="Compact"/>
              <w:jc w:val="left"/>
              <w:rPr>
                <w:sz w:val="16"/>
                <w:szCs w:val="16"/>
              </w:rPr>
            </w:pPr>
            <w:r>
              <w:rPr>
                <w:sz w:val="16"/>
                <w:szCs w:val="16"/>
              </w:rPr>
              <w:t xml:space="preserve">0.912 ± 0.049</w:t>
            </w:r>
          </w:p>
        </w:tc>
        <w:tc>
          <w:tcPr>
            <w:tcW w:w="1179" w:type="dxa"/>
          </w:tcPr>
          <w:p>
            <w:pPr>
              <w:pStyle w:val="Compact"/>
              <w:jc w:val="left"/>
              <w:rPr>
                <w:sz w:val="16"/>
                <w:szCs w:val="16"/>
              </w:rPr>
            </w:pPr>
            <w:r>
              <w:rPr>
                <w:sz w:val="16"/>
                <w:szCs w:val="16"/>
              </w:rPr>
              <w:t xml:space="preserve">0.820 to 1.000</w:t>
            </w:r>
          </w:p>
        </w:tc>
        <w:tc>
          <w:tcPr>
            <w:tcW w:w="1100" w:type="dxa"/>
          </w:tcPr>
          <w:p>
            <w:pPr>
              <w:pStyle w:val="Compact"/>
              <w:jc w:val="left"/>
              <w:rPr>
                <w:sz w:val="16"/>
                <w:szCs w:val="16"/>
              </w:rPr>
            </w:pPr>
            <w:r>
              <w:rPr>
                <w:sz w:val="16"/>
                <w:szCs w:val="16"/>
              </w:rPr>
              <w:t xml:space="preserve">0.810 ± 0.106</w:t>
            </w:r>
          </w:p>
        </w:tc>
        <w:tc>
          <w:tcPr>
            <w:tcW w:w="1179" w:type="dxa"/>
          </w:tcPr>
          <w:p>
            <w:pPr>
              <w:pStyle w:val="Compact"/>
              <w:jc w:val="left"/>
              <w:rPr>
                <w:sz w:val="16"/>
                <w:szCs w:val="16"/>
              </w:rPr>
            </w:pPr>
            <w:r>
              <w:rPr>
                <w:sz w:val="16"/>
                <w:szCs w:val="16"/>
              </w:rPr>
              <w:t xml:space="preserve">0.614 to 1.000</w:t>
            </w:r>
          </w:p>
        </w:tc>
        <w:tc>
          <w:tcPr>
            <w:tcW w:w="943" w:type="dxa"/>
          </w:tcPr>
          <w:p>
            <w:pPr>
              <w:pStyle w:val="Compact"/>
              <w:jc w:val="left"/>
              <w:rPr>
                <w:sz w:val="16"/>
                <w:szCs w:val="16"/>
              </w:rPr>
            </w:pPr>
            <w:r>
              <w:rPr>
                <w:sz w:val="16"/>
                <w:szCs w:val="16"/>
              </w:rPr>
              <w:t xml:space="preserve">0.920</w:t>
            </w:r>
          </w:p>
        </w:tc>
        <w:tc>
          <w:tcPr>
            <w:tcW w:w="943" w:type="dxa"/>
          </w:tcPr>
          <w:p>
            <w:pPr>
              <w:pStyle w:val="Compact"/>
              <w:jc w:val="left"/>
              <w:rPr>
                <w:sz w:val="16"/>
                <w:szCs w:val="16"/>
              </w:rPr>
            </w:pPr>
            <w:r>
              <w:rPr>
                <w:sz w:val="16"/>
                <w:szCs w:val="16"/>
              </w:rPr>
              <w:t xml:space="preserve">0.899</w:t>
            </w:r>
          </w:p>
        </w:tc>
        <w:tc>
          <w:tcPr>
            <w:tcW w:w="551" w:type="dxa"/>
          </w:tcPr>
          <w:p>
            <w:pPr>
              <w:pStyle w:val="Compact"/>
              <w:jc w:val="left"/>
              <w:rPr>
                <w:sz w:val="16"/>
                <w:szCs w:val="16"/>
              </w:rPr>
            </w:pPr>
          </w:p>
        </w:tc>
      </w:tr>
      <w:tr>
        <w:trPr>
          <w:trHeight w:val="340" w:hRule="exact"/>
        </w:trPr>
        <w:tc>
          <w:tcPr>
            <w:tcW w:w="2359" w:type="dxa"/>
          </w:tcPr>
          <w:p>
            <w:pPr>
              <w:pStyle w:val="Compact"/>
              <w:jc w:val="left"/>
              <w:rPr>
                <w:sz w:val="16"/>
                <w:szCs w:val="16"/>
              </w:rPr>
            </w:pPr>
            <w:r>
              <w:rPr>
                <w:sz w:val="16"/>
                <w:szCs w:val="16"/>
              </w:rPr>
              <w:t xml:space="preserve">random forest</w:t>
            </w:r>
          </w:p>
        </w:tc>
        <w:tc>
          <w:tcPr>
            <w:tcW w:w="1100" w:type="dxa"/>
          </w:tcPr>
          <w:p>
            <w:pPr>
              <w:pStyle w:val="Compact"/>
              <w:jc w:val="left"/>
              <w:rPr>
                <w:sz w:val="16"/>
                <w:szCs w:val="16"/>
              </w:rPr>
            </w:pPr>
            <w:r>
              <w:rPr>
                <w:sz w:val="16"/>
                <w:szCs w:val="16"/>
              </w:rPr>
              <w:t xml:space="preserve">0.898 ± 0.046</w:t>
            </w:r>
          </w:p>
        </w:tc>
        <w:tc>
          <w:tcPr>
            <w:tcW w:w="1179" w:type="dxa"/>
          </w:tcPr>
          <w:p>
            <w:pPr>
              <w:pStyle w:val="Compact"/>
              <w:jc w:val="left"/>
              <w:rPr>
                <w:sz w:val="16"/>
                <w:szCs w:val="16"/>
              </w:rPr>
            </w:pPr>
            <w:r>
              <w:rPr>
                <w:sz w:val="16"/>
                <w:szCs w:val="16"/>
              </w:rPr>
              <w:t xml:space="preserve">0.810 to 0.976</w:t>
            </w:r>
          </w:p>
        </w:tc>
        <w:tc>
          <w:tcPr>
            <w:tcW w:w="1100" w:type="dxa"/>
          </w:tcPr>
          <w:p>
            <w:pPr>
              <w:pStyle w:val="Compact"/>
              <w:jc w:val="left"/>
              <w:rPr>
                <w:sz w:val="16"/>
                <w:szCs w:val="16"/>
              </w:rPr>
            </w:pPr>
            <w:r>
              <w:rPr>
                <w:sz w:val="16"/>
                <w:szCs w:val="16"/>
              </w:rPr>
              <w:t xml:space="preserve">0.778 ± 0.099</w:t>
            </w:r>
          </w:p>
        </w:tc>
        <w:tc>
          <w:tcPr>
            <w:tcW w:w="1179" w:type="dxa"/>
          </w:tcPr>
          <w:p>
            <w:pPr>
              <w:pStyle w:val="Compact"/>
              <w:jc w:val="left"/>
              <w:rPr>
                <w:sz w:val="16"/>
                <w:szCs w:val="16"/>
              </w:rPr>
            </w:pPr>
            <w:r>
              <w:rPr>
                <w:sz w:val="16"/>
                <w:szCs w:val="16"/>
              </w:rPr>
              <w:t xml:space="preserve">0.585 to 0.948</w:t>
            </w:r>
          </w:p>
        </w:tc>
        <w:tc>
          <w:tcPr>
            <w:tcW w:w="943" w:type="dxa"/>
          </w:tcPr>
          <w:p>
            <w:pPr>
              <w:pStyle w:val="Compact"/>
              <w:jc w:val="left"/>
              <w:rPr>
                <w:sz w:val="16"/>
                <w:szCs w:val="16"/>
              </w:rPr>
            </w:pPr>
            <w:r>
              <w:rPr>
                <w:sz w:val="16"/>
                <w:szCs w:val="16"/>
              </w:rPr>
              <w:t xml:space="preserve">0.925</w:t>
            </w:r>
          </w:p>
        </w:tc>
        <w:tc>
          <w:tcPr>
            <w:tcW w:w="943" w:type="dxa"/>
          </w:tcPr>
          <w:p>
            <w:pPr>
              <w:pStyle w:val="Compact"/>
              <w:jc w:val="left"/>
              <w:rPr>
                <w:sz w:val="16"/>
                <w:szCs w:val="16"/>
              </w:rPr>
            </w:pPr>
            <w:r>
              <w:rPr>
                <w:sz w:val="16"/>
                <w:szCs w:val="16"/>
              </w:rPr>
              <w:t xml:space="preserve">0.854</w:t>
            </w:r>
          </w:p>
        </w:tc>
        <w:tc>
          <w:tcPr>
            <w:tcW w:w="551" w:type="dxa"/>
          </w:tcPr>
          <w:p>
            <w:pPr>
              <w:pStyle w:val="Compact"/>
              <w:jc w:val="left"/>
              <w:rPr>
                <w:sz w:val="16"/>
                <w:szCs w:val="16"/>
              </w:rPr>
            </w:pPr>
          </w:p>
        </w:tc>
      </w:tr>
      <w:tr>
        <w:trPr>
          <w:trHeight w:val="340" w:hRule="exact"/>
        </w:trPr>
        <w:tc>
          <w:tcPr>
            <w:tcW w:w="2359" w:type="dxa"/>
          </w:tcPr>
          <w:p>
            <w:pPr>
              <w:pStyle w:val="Compact"/>
              <w:jc w:val="left"/>
              <w:rPr>
                <w:sz w:val="16"/>
                <w:szCs w:val="16"/>
              </w:rPr>
            </w:pPr>
            <w:r>
              <w:rPr>
                <w:sz w:val="16"/>
                <w:szCs w:val="16"/>
              </w:rPr>
              <w:t xml:space="preserve">radial support vector machine</w:t>
            </w:r>
          </w:p>
        </w:tc>
        <w:tc>
          <w:tcPr>
            <w:tcW w:w="1100" w:type="dxa"/>
          </w:tcPr>
          <w:p>
            <w:pPr>
              <w:pStyle w:val="Compact"/>
              <w:jc w:val="left"/>
              <w:rPr>
                <w:sz w:val="16"/>
                <w:szCs w:val="16"/>
              </w:rPr>
            </w:pPr>
            <w:r>
              <w:rPr>
                <w:sz w:val="16"/>
                <w:szCs w:val="16"/>
              </w:rPr>
              <w:t xml:space="preserve">0.934 ± 0.037</w:t>
            </w:r>
          </w:p>
        </w:tc>
        <w:tc>
          <w:tcPr>
            <w:tcW w:w="1179" w:type="dxa"/>
          </w:tcPr>
          <w:p>
            <w:pPr>
              <w:pStyle w:val="Compact"/>
              <w:jc w:val="left"/>
              <w:rPr>
                <w:sz w:val="16"/>
                <w:szCs w:val="16"/>
              </w:rPr>
            </w:pPr>
            <w:r>
              <w:rPr>
                <w:sz w:val="16"/>
                <w:szCs w:val="16"/>
              </w:rPr>
              <w:t xml:space="preserve">0.859 to 1.000</w:t>
            </w:r>
          </w:p>
        </w:tc>
        <w:tc>
          <w:tcPr>
            <w:tcW w:w="1100" w:type="dxa"/>
          </w:tcPr>
          <w:p>
            <w:pPr>
              <w:pStyle w:val="Compact"/>
              <w:jc w:val="left"/>
              <w:rPr>
                <w:sz w:val="16"/>
                <w:szCs w:val="16"/>
              </w:rPr>
            </w:pPr>
            <w:r>
              <w:rPr>
                <w:sz w:val="16"/>
                <w:szCs w:val="16"/>
              </w:rPr>
              <w:t xml:space="preserve">0.859 ± 0.081</w:t>
            </w:r>
          </w:p>
        </w:tc>
        <w:tc>
          <w:tcPr>
            <w:tcW w:w="1179" w:type="dxa"/>
          </w:tcPr>
          <w:p>
            <w:pPr>
              <w:pStyle w:val="Compact"/>
              <w:jc w:val="left"/>
              <w:rPr>
                <w:sz w:val="16"/>
                <w:szCs w:val="16"/>
              </w:rPr>
            </w:pPr>
            <w:r>
              <w:rPr>
                <w:sz w:val="16"/>
                <w:szCs w:val="16"/>
              </w:rPr>
              <w:t xml:space="preserve">0.682 to 1.000</w:t>
            </w:r>
          </w:p>
        </w:tc>
        <w:tc>
          <w:tcPr>
            <w:tcW w:w="943" w:type="dxa"/>
          </w:tcPr>
          <w:p>
            <w:pPr>
              <w:pStyle w:val="Compact"/>
              <w:jc w:val="left"/>
              <w:rPr>
                <w:sz w:val="16"/>
                <w:szCs w:val="16"/>
              </w:rPr>
            </w:pPr>
            <w:r>
              <w:rPr>
                <w:sz w:val="16"/>
                <w:szCs w:val="16"/>
              </w:rPr>
              <w:t xml:space="preserve">0.913</w:t>
            </w:r>
          </w:p>
        </w:tc>
        <w:tc>
          <w:tcPr>
            <w:tcW w:w="943" w:type="dxa"/>
          </w:tcPr>
          <w:p>
            <w:pPr>
              <w:pStyle w:val="Compact"/>
              <w:jc w:val="left"/>
              <w:rPr>
                <w:sz w:val="16"/>
                <w:szCs w:val="16"/>
              </w:rPr>
            </w:pPr>
            <w:r>
              <w:rPr>
                <w:sz w:val="16"/>
                <w:szCs w:val="16"/>
              </w:rPr>
              <w:t xml:space="preserve">0.968</w:t>
            </w:r>
          </w:p>
        </w:tc>
        <w:tc>
          <w:tcPr>
            <w:tcW w:w="551" w:type="dxa"/>
          </w:tcPr>
          <w:p>
            <w:pPr>
              <w:pStyle w:val="Compact"/>
              <w:jc w:val="left"/>
              <w:rPr>
                <w:sz w:val="16"/>
                <w:szCs w:val="16"/>
              </w:rPr>
            </w:pPr>
            <w:r>
              <w:rPr>
                <w:sz w:val="16"/>
                <w:szCs w:val="16"/>
              </w:rPr>
              <w:t xml:space="preserve">yes</w:t>
            </w:r>
          </w:p>
        </w:tc>
      </w:tr>
    </w:tbl>
    <w:p>
      <w:r>
        <w:br w:type="page"/>
      </w:r>
    </w:p>
    <w:bookmarkEnd w:id="21"/>
    <w:bookmarkStart w:id="22" w:name="table-3"/>
    <w:p>
      <w:pPr>
        <w:pStyle w:val="Heading1"/>
      </w:pPr>
      <w:r>
        <w:t xml:space="preserve">Table 3</w:t>
      </w:r>
    </w:p>
    <w:p>
      <w:pPr>
        <w:pStyle w:val="FirstParagraph"/>
      </w:pPr>
      <w:r>
        <w:t xml:space="preserve">Dependence terms compared on AIC over 46,124 cell-periods, every model carrying a fixed effect for each period. Previous period meant the preceding sixteen-day period of the same season and previous year the same period of the preceding outbreak year. Delta AIC was the difference from the lowest.</w:t>
      </w:r>
    </w:p>
    <w:tbl>
      <w:tblPr>
        <w:tblStyle w:val="Table"/>
        <w:tblLook w:firstRow="1" w:lastRow="0" w:firstColumn="0" w:lastColumn="0" w:noHBand="0" w:noVBand="0" w:val="0020"/>
        <w:tblW w:w="9354" w:type="dxa"/>
        <w:tblLayout w:type="fixed"/>
      </w:tblPr>
      <w:tblGrid>
        <w:gridCol w:w="7744"/>
        <w:gridCol w:w="241"/>
        <w:gridCol w:w="564"/>
        <w:gridCol w:w="805"/>
      </w:tblGrid>
      <w:tr>
        <w:trPr>
          <w:tblHeader w:val="on"/>
          <w:trHeight w:val="624" w:hRule="exact"/>
        </w:trPr>
        <w:tc>
          <w:tcPr>
            <w:tcW w:w="7744" w:type="dxa"/>
          </w:tcPr>
          <w:p>
            <w:pPr>
              <w:pStyle w:val="Compact"/>
              <w:jc w:val="left"/>
              <w:rPr>
                <w:sz w:val="16"/>
                <w:szCs w:val="16"/>
              </w:rPr>
            </w:pPr>
            <w:r>
              <w:rPr>
                <w:sz w:val="16"/>
                <w:szCs w:val="16"/>
              </w:rPr>
              <w:t xml:space="preserve">Terms</w:t>
            </w:r>
          </w:p>
        </w:tc>
        <w:tc>
          <w:tcPr>
            <w:tcW w:w="241" w:type="dxa"/>
          </w:tcPr>
          <w:p>
            <w:pPr>
              <w:pStyle w:val="Compact"/>
              <w:jc w:val="left"/>
              <w:rPr>
                <w:sz w:val="16"/>
                <w:szCs w:val="16"/>
              </w:rPr>
            </w:pPr>
            <w:r>
              <w:rPr>
                <w:sz w:val="16"/>
                <w:szCs w:val="16"/>
              </w:rPr>
              <w:t xml:space="preserve">k</w:t>
            </w:r>
          </w:p>
        </w:tc>
        <w:tc>
          <w:tcPr>
            <w:tcW w:w="564" w:type="dxa"/>
          </w:tcPr>
          <w:p>
            <w:pPr>
              <w:pStyle w:val="Compact"/>
              <w:jc w:val="left"/>
              <w:rPr>
                <w:sz w:val="16"/>
                <w:szCs w:val="16"/>
              </w:rPr>
            </w:pPr>
            <w:r>
              <w:rPr>
                <w:sz w:val="16"/>
                <w:szCs w:val="16"/>
              </w:rPr>
              <w:t xml:space="preserve">AIC</w:t>
            </w:r>
          </w:p>
        </w:tc>
        <w:tc>
          <w:tcPr>
            <w:tcW w:w="805" w:type="dxa"/>
          </w:tcPr>
          <w:p>
            <w:pPr>
              <w:pStyle w:val="Compact"/>
              <w:jc w:val="left"/>
              <w:rPr>
                <w:sz w:val="16"/>
                <w:szCs w:val="16"/>
              </w:rPr>
            </w:pPr>
            <w:r>
              <w:rPr>
                <w:sz w:val="16"/>
                <w:szCs w:val="16"/>
              </w:rPr>
              <w:t xml:space="preserve">Delta AIC</w:t>
            </w:r>
          </w:p>
        </w:tc>
      </w:tr>
      <w:tr>
        <w:trPr>
          <w:trHeight w:val="340" w:hRule="exact"/>
        </w:trPr>
        <w:tc>
          <w:tcPr>
            <w:tcW w:w="7744" w:type="dxa"/>
          </w:tcPr>
          <w:p>
            <w:pPr>
              <w:pStyle w:val="Compact"/>
              <w:jc w:val="left"/>
              <w:rPr>
                <w:sz w:val="16"/>
                <w:szCs w:val="16"/>
              </w:rPr>
            </w:pPr>
            <w:r>
              <w:rPr>
                <w:sz w:val="16"/>
                <w:szCs w:val="16"/>
              </w:rPr>
              <w:t xml:space="preserve">epoch</w:t>
            </w:r>
          </w:p>
        </w:tc>
        <w:tc>
          <w:tcPr>
            <w:tcW w:w="241" w:type="dxa"/>
          </w:tcPr>
          <w:p>
            <w:pPr>
              <w:pStyle w:val="Compact"/>
              <w:jc w:val="left"/>
              <w:rPr>
                <w:sz w:val="16"/>
                <w:szCs w:val="16"/>
              </w:rPr>
            </w:pPr>
            <w:r>
              <w:rPr>
                <w:sz w:val="16"/>
                <w:szCs w:val="16"/>
              </w:rPr>
              <w:t xml:space="preserve">32</w:t>
            </w:r>
          </w:p>
        </w:tc>
        <w:tc>
          <w:tcPr>
            <w:tcW w:w="564" w:type="dxa"/>
          </w:tcPr>
          <w:p>
            <w:pPr>
              <w:pStyle w:val="Compact"/>
              <w:jc w:val="left"/>
              <w:rPr>
                <w:sz w:val="16"/>
                <w:szCs w:val="16"/>
              </w:rPr>
            </w:pPr>
            <w:r>
              <w:rPr>
                <w:sz w:val="16"/>
                <w:szCs w:val="16"/>
              </w:rPr>
              <w:t xml:space="preserve">63,232</w:t>
            </w:r>
          </w:p>
        </w:tc>
        <w:tc>
          <w:tcPr>
            <w:tcW w:w="805" w:type="dxa"/>
          </w:tcPr>
          <w:p>
            <w:pPr>
              <w:pStyle w:val="Compact"/>
              <w:jc w:val="left"/>
              <w:rPr>
                <w:sz w:val="16"/>
                <w:szCs w:val="16"/>
              </w:rPr>
            </w:pPr>
            <w:r>
              <w:rPr>
                <w:sz w:val="16"/>
                <w:szCs w:val="16"/>
              </w:rPr>
              <w:t xml:space="preserve">19,107.5</w:t>
            </w:r>
          </w:p>
        </w:tc>
      </w:tr>
      <w:tr>
        <w:trPr>
          <w:trHeight w:val="340" w:hRule="exact"/>
        </w:trPr>
        <w:tc>
          <w:tcPr>
            <w:tcW w:w="7744" w:type="dxa"/>
          </w:tcPr>
          <w:p>
            <w:pPr>
              <w:pStyle w:val="Compact"/>
              <w:jc w:val="left"/>
              <w:rPr>
                <w:sz w:val="16"/>
                <w:szCs w:val="16"/>
              </w:rPr>
            </w:pPr>
            <w:r>
              <w:rPr>
                <w:sz w:val="16"/>
                <w:szCs w:val="16"/>
              </w:rPr>
              <w:t xml:space="preserve">epoch + previous period self</w:t>
            </w:r>
          </w:p>
        </w:tc>
        <w:tc>
          <w:tcPr>
            <w:tcW w:w="241" w:type="dxa"/>
          </w:tcPr>
          <w:p>
            <w:pPr>
              <w:pStyle w:val="Compact"/>
              <w:jc w:val="left"/>
              <w:rPr>
                <w:sz w:val="16"/>
                <w:szCs w:val="16"/>
              </w:rPr>
            </w:pPr>
            <w:r>
              <w:rPr>
                <w:sz w:val="16"/>
                <w:szCs w:val="16"/>
              </w:rPr>
              <w:t xml:space="preserve">33</w:t>
            </w:r>
          </w:p>
        </w:tc>
        <w:tc>
          <w:tcPr>
            <w:tcW w:w="564" w:type="dxa"/>
          </w:tcPr>
          <w:p>
            <w:pPr>
              <w:pStyle w:val="Compact"/>
              <w:jc w:val="left"/>
              <w:rPr>
                <w:sz w:val="16"/>
                <w:szCs w:val="16"/>
              </w:rPr>
            </w:pPr>
            <w:r>
              <w:rPr>
                <w:sz w:val="16"/>
                <w:szCs w:val="16"/>
              </w:rPr>
              <w:t xml:space="preserve">53,602</w:t>
            </w:r>
          </w:p>
        </w:tc>
        <w:tc>
          <w:tcPr>
            <w:tcW w:w="805" w:type="dxa"/>
          </w:tcPr>
          <w:p>
            <w:pPr>
              <w:pStyle w:val="Compact"/>
              <w:jc w:val="left"/>
              <w:rPr>
                <w:sz w:val="16"/>
                <w:szCs w:val="16"/>
              </w:rPr>
            </w:pPr>
            <w:r>
              <w:rPr>
                <w:sz w:val="16"/>
                <w:szCs w:val="16"/>
              </w:rPr>
              <w:t xml:space="preserve">9,478.1</w:t>
            </w:r>
          </w:p>
        </w:tc>
      </w:tr>
      <w:tr>
        <w:trPr>
          <w:trHeight w:val="340" w:hRule="exact"/>
        </w:trPr>
        <w:tc>
          <w:tcPr>
            <w:tcW w:w="7744" w:type="dxa"/>
          </w:tcPr>
          <w:p>
            <w:pPr>
              <w:pStyle w:val="Compact"/>
              <w:jc w:val="left"/>
              <w:rPr>
                <w:sz w:val="16"/>
                <w:szCs w:val="16"/>
              </w:rPr>
            </w:pPr>
            <w:r>
              <w:rPr>
                <w:sz w:val="16"/>
                <w:szCs w:val="16"/>
              </w:rPr>
              <w:t xml:space="preserve">epoch + previous year self</w:t>
            </w:r>
          </w:p>
        </w:tc>
        <w:tc>
          <w:tcPr>
            <w:tcW w:w="241" w:type="dxa"/>
          </w:tcPr>
          <w:p>
            <w:pPr>
              <w:pStyle w:val="Compact"/>
              <w:jc w:val="left"/>
              <w:rPr>
                <w:sz w:val="16"/>
                <w:szCs w:val="16"/>
              </w:rPr>
            </w:pPr>
            <w:r>
              <w:rPr>
                <w:sz w:val="16"/>
                <w:szCs w:val="16"/>
              </w:rPr>
              <w:t xml:space="preserve">33</w:t>
            </w:r>
          </w:p>
        </w:tc>
        <w:tc>
          <w:tcPr>
            <w:tcW w:w="564" w:type="dxa"/>
          </w:tcPr>
          <w:p>
            <w:pPr>
              <w:pStyle w:val="Compact"/>
              <w:jc w:val="left"/>
              <w:rPr>
                <w:sz w:val="16"/>
                <w:szCs w:val="16"/>
              </w:rPr>
            </w:pPr>
            <w:r>
              <w:rPr>
                <w:sz w:val="16"/>
                <w:szCs w:val="16"/>
              </w:rPr>
              <w:t xml:space="preserve">51,494</w:t>
            </w:r>
          </w:p>
        </w:tc>
        <w:tc>
          <w:tcPr>
            <w:tcW w:w="805" w:type="dxa"/>
          </w:tcPr>
          <w:p>
            <w:pPr>
              <w:pStyle w:val="Compact"/>
              <w:jc w:val="left"/>
              <w:rPr>
                <w:sz w:val="16"/>
                <w:szCs w:val="16"/>
              </w:rPr>
            </w:pPr>
            <w:r>
              <w:rPr>
                <w:sz w:val="16"/>
                <w:szCs w:val="16"/>
              </w:rPr>
              <w:t xml:space="preserve">7,370.1</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w:t>
            </w:r>
          </w:p>
        </w:tc>
        <w:tc>
          <w:tcPr>
            <w:tcW w:w="241" w:type="dxa"/>
          </w:tcPr>
          <w:p>
            <w:pPr>
              <w:pStyle w:val="Compact"/>
              <w:jc w:val="left"/>
              <w:rPr>
                <w:sz w:val="16"/>
                <w:szCs w:val="16"/>
              </w:rPr>
            </w:pPr>
            <w:r>
              <w:rPr>
                <w:sz w:val="16"/>
                <w:szCs w:val="16"/>
              </w:rPr>
              <w:t xml:space="preserve">34</w:t>
            </w:r>
          </w:p>
        </w:tc>
        <w:tc>
          <w:tcPr>
            <w:tcW w:w="564" w:type="dxa"/>
          </w:tcPr>
          <w:p>
            <w:pPr>
              <w:pStyle w:val="Compact"/>
              <w:jc w:val="left"/>
              <w:rPr>
                <w:sz w:val="16"/>
                <w:szCs w:val="16"/>
              </w:rPr>
            </w:pPr>
            <w:r>
              <w:rPr>
                <w:sz w:val="16"/>
                <w:szCs w:val="16"/>
              </w:rPr>
              <w:t xml:space="preserve">46,575</w:t>
            </w:r>
          </w:p>
        </w:tc>
        <w:tc>
          <w:tcPr>
            <w:tcW w:w="805" w:type="dxa"/>
          </w:tcPr>
          <w:p>
            <w:pPr>
              <w:pStyle w:val="Compact"/>
              <w:jc w:val="left"/>
              <w:rPr>
                <w:sz w:val="16"/>
                <w:szCs w:val="16"/>
              </w:rPr>
            </w:pPr>
            <w:r>
              <w:rPr>
                <w:sz w:val="16"/>
                <w:szCs w:val="16"/>
              </w:rPr>
              <w:t xml:space="preserve">2,450.8</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period nbr42</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44,848</w:t>
            </w:r>
          </w:p>
        </w:tc>
        <w:tc>
          <w:tcPr>
            <w:tcW w:w="805" w:type="dxa"/>
          </w:tcPr>
          <w:p>
            <w:pPr>
              <w:pStyle w:val="Compact"/>
              <w:jc w:val="left"/>
              <w:rPr>
                <w:sz w:val="16"/>
                <w:szCs w:val="16"/>
              </w:rPr>
            </w:pPr>
            <w:r>
              <w:rPr>
                <w:sz w:val="16"/>
                <w:szCs w:val="16"/>
              </w:rPr>
              <w:t xml:space="preserve">723.8</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period nbr90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44,556</w:t>
            </w:r>
          </w:p>
        </w:tc>
        <w:tc>
          <w:tcPr>
            <w:tcW w:w="805" w:type="dxa"/>
          </w:tcPr>
          <w:p>
            <w:pPr>
              <w:pStyle w:val="Compact"/>
              <w:jc w:val="left"/>
              <w:rPr>
                <w:sz w:val="16"/>
                <w:szCs w:val="16"/>
              </w:rPr>
            </w:pPr>
            <w:r>
              <w:rPr>
                <w:sz w:val="16"/>
                <w:szCs w:val="16"/>
              </w:rPr>
              <w:t xml:space="preserve">431.8</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period nbr150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44,751</w:t>
            </w:r>
          </w:p>
        </w:tc>
        <w:tc>
          <w:tcPr>
            <w:tcW w:w="805" w:type="dxa"/>
          </w:tcPr>
          <w:p>
            <w:pPr>
              <w:pStyle w:val="Compact"/>
              <w:jc w:val="left"/>
              <w:rPr>
                <w:sz w:val="16"/>
                <w:szCs w:val="16"/>
              </w:rPr>
            </w:pPr>
            <w:r>
              <w:rPr>
                <w:sz w:val="16"/>
                <w:szCs w:val="16"/>
              </w:rPr>
              <w:t xml:space="preserve">626.5</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period nbr210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44,975</w:t>
            </w:r>
          </w:p>
        </w:tc>
        <w:tc>
          <w:tcPr>
            <w:tcW w:w="805" w:type="dxa"/>
          </w:tcPr>
          <w:p>
            <w:pPr>
              <w:pStyle w:val="Compact"/>
              <w:jc w:val="left"/>
              <w:rPr>
                <w:sz w:val="16"/>
                <w:szCs w:val="16"/>
              </w:rPr>
            </w:pPr>
            <w:r>
              <w:rPr>
                <w:sz w:val="16"/>
                <w:szCs w:val="16"/>
              </w:rPr>
              <w:t xml:space="preserve">851.1</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period nbr510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45,726</w:t>
            </w:r>
          </w:p>
        </w:tc>
        <w:tc>
          <w:tcPr>
            <w:tcW w:w="805" w:type="dxa"/>
          </w:tcPr>
          <w:p>
            <w:pPr>
              <w:pStyle w:val="Compact"/>
              <w:jc w:val="left"/>
              <w:rPr>
                <w:sz w:val="16"/>
                <w:szCs w:val="16"/>
              </w:rPr>
            </w:pPr>
            <w:r>
              <w:rPr>
                <w:sz w:val="16"/>
                <w:szCs w:val="16"/>
              </w:rPr>
              <w:t xml:space="preserve">1,601.9</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period nbr1050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46,152</w:t>
            </w:r>
          </w:p>
        </w:tc>
        <w:tc>
          <w:tcPr>
            <w:tcW w:w="805" w:type="dxa"/>
          </w:tcPr>
          <w:p>
            <w:pPr>
              <w:pStyle w:val="Compact"/>
              <w:jc w:val="left"/>
              <w:rPr>
                <w:sz w:val="16"/>
                <w:szCs w:val="16"/>
              </w:rPr>
            </w:pPr>
            <w:r>
              <w:rPr>
                <w:sz w:val="16"/>
                <w:szCs w:val="16"/>
              </w:rPr>
              <w:t xml:space="preserve">2,027.5</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year nbr42</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45,942</w:t>
            </w:r>
          </w:p>
        </w:tc>
        <w:tc>
          <w:tcPr>
            <w:tcW w:w="805" w:type="dxa"/>
          </w:tcPr>
          <w:p>
            <w:pPr>
              <w:pStyle w:val="Compact"/>
              <w:jc w:val="left"/>
              <w:rPr>
                <w:sz w:val="16"/>
                <w:szCs w:val="16"/>
              </w:rPr>
            </w:pPr>
            <w:r>
              <w:rPr>
                <w:sz w:val="16"/>
                <w:szCs w:val="16"/>
              </w:rPr>
              <w:t xml:space="preserve">1,817.7</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year nbr90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45,615</w:t>
            </w:r>
          </w:p>
        </w:tc>
        <w:tc>
          <w:tcPr>
            <w:tcW w:w="805" w:type="dxa"/>
          </w:tcPr>
          <w:p>
            <w:pPr>
              <w:pStyle w:val="Compact"/>
              <w:jc w:val="left"/>
              <w:rPr>
                <w:sz w:val="16"/>
                <w:szCs w:val="16"/>
              </w:rPr>
            </w:pPr>
            <w:r>
              <w:rPr>
                <w:sz w:val="16"/>
                <w:szCs w:val="16"/>
              </w:rPr>
              <w:t xml:space="preserve">1,491.2</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year nbr150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45,623</w:t>
            </w:r>
          </w:p>
        </w:tc>
        <w:tc>
          <w:tcPr>
            <w:tcW w:w="805" w:type="dxa"/>
          </w:tcPr>
          <w:p>
            <w:pPr>
              <w:pStyle w:val="Compact"/>
              <w:jc w:val="left"/>
              <w:rPr>
                <w:sz w:val="16"/>
                <w:szCs w:val="16"/>
              </w:rPr>
            </w:pPr>
            <w:r>
              <w:rPr>
                <w:sz w:val="16"/>
                <w:szCs w:val="16"/>
              </w:rPr>
              <w:t xml:space="preserve">1,499.1</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year nbr210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45,696</w:t>
            </w:r>
          </w:p>
        </w:tc>
        <w:tc>
          <w:tcPr>
            <w:tcW w:w="805" w:type="dxa"/>
          </w:tcPr>
          <w:p>
            <w:pPr>
              <w:pStyle w:val="Compact"/>
              <w:jc w:val="left"/>
              <w:rPr>
                <w:sz w:val="16"/>
                <w:szCs w:val="16"/>
              </w:rPr>
            </w:pPr>
            <w:r>
              <w:rPr>
                <w:sz w:val="16"/>
                <w:szCs w:val="16"/>
              </w:rPr>
              <w:t xml:space="preserve">1,571.4</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year nbr510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46,063</w:t>
            </w:r>
          </w:p>
        </w:tc>
        <w:tc>
          <w:tcPr>
            <w:tcW w:w="805" w:type="dxa"/>
          </w:tcPr>
          <w:p>
            <w:pPr>
              <w:pStyle w:val="Compact"/>
              <w:jc w:val="left"/>
              <w:rPr>
                <w:sz w:val="16"/>
                <w:szCs w:val="16"/>
              </w:rPr>
            </w:pPr>
            <w:r>
              <w:rPr>
                <w:sz w:val="16"/>
                <w:szCs w:val="16"/>
              </w:rPr>
              <w:t xml:space="preserve">1,939.2</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year nbr1050</w:t>
            </w:r>
          </w:p>
        </w:tc>
        <w:tc>
          <w:tcPr>
            <w:tcW w:w="241" w:type="dxa"/>
          </w:tcPr>
          <w:p>
            <w:pPr>
              <w:pStyle w:val="Compact"/>
              <w:jc w:val="left"/>
              <w:rPr>
                <w:sz w:val="16"/>
                <w:szCs w:val="16"/>
              </w:rPr>
            </w:pPr>
            <w:r>
              <w:rPr>
                <w:sz w:val="16"/>
                <w:szCs w:val="16"/>
              </w:rPr>
              <w:t xml:space="preserve">35</w:t>
            </w:r>
          </w:p>
        </w:tc>
        <w:tc>
          <w:tcPr>
            <w:tcW w:w="564" w:type="dxa"/>
          </w:tcPr>
          <w:p>
            <w:pPr>
              <w:pStyle w:val="Compact"/>
              <w:jc w:val="left"/>
              <w:rPr>
                <w:sz w:val="16"/>
                <w:szCs w:val="16"/>
              </w:rPr>
            </w:pPr>
            <w:r>
              <w:rPr>
                <w:sz w:val="16"/>
                <w:szCs w:val="16"/>
              </w:rPr>
              <w:t xml:space="preserve">46,270</w:t>
            </w:r>
          </w:p>
        </w:tc>
        <w:tc>
          <w:tcPr>
            <w:tcW w:w="805" w:type="dxa"/>
          </w:tcPr>
          <w:p>
            <w:pPr>
              <w:pStyle w:val="Compact"/>
              <w:jc w:val="left"/>
              <w:rPr>
                <w:sz w:val="16"/>
                <w:szCs w:val="16"/>
              </w:rPr>
            </w:pPr>
            <w:r>
              <w:rPr>
                <w:sz w:val="16"/>
                <w:szCs w:val="16"/>
              </w:rPr>
              <w:t xml:space="preserve">2,145.9</w:t>
            </w:r>
          </w:p>
        </w:tc>
      </w:tr>
      <w:tr>
        <w:trPr>
          <w:trHeight w:val="340" w:hRule="exact"/>
        </w:trPr>
        <w:tc>
          <w:tcPr>
            <w:tcW w:w="7744" w:type="dxa"/>
          </w:tcPr>
          <w:p>
            <w:pPr>
              <w:pStyle w:val="Compact"/>
              <w:jc w:val="left"/>
              <w:rPr>
                <w:sz w:val="16"/>
                <w:szCs w:val="16"/>
              </w:rPr>
            </w:pPr>
            <w:r>
              <w:rPr>
                <w:sz w:val="16"/>
                <w:szCs w:val="16"/>
              </w:rPr>
              <w:t xml:space="preserve">epoch + previous period self + previous year self + previous period nbr90 + previous year nbr90</w:t>
            </w:r>
          </w:p>
        </w:tc>
        <w:tc>
          <w:tcPr>
            <w:tcW w:w="241" w:type="dxa"/>
          </w:tcPr>
          <w:p>
            <w:pPr>
              <w:pStyle w:val="Compact"/>
              <w:jc w:val="left"/>
              <w:rPr>
                <w:sz w:val="16"/>
                <w:szCs w:val="16"/>
              </w:rPr>
            </w:pPr>
            <w:r>
              <w:rPr>
                <w:sz w:val="16"/>
                <w:szCs w:val="16"/>
              </w:rPr>
              <w:t xml:space="preserve">36</w:t>
            </w:r>
          </w:p>
        </w:tc>
        <w:tc>
          <w:tcPr>
            <w:tcW w:w="564" w:type="dxa"/>
          </w:tcPr>
          <w:p>
            <w:pPr>
              <w:pStyle w:val="Compact"/>
              <w:jc w:val="left"/>
              <w:rPr>
                <w:sz w:val="16"/>
                <w:szCs w:val="16"/>
              </w:rPr>
            </w:pPr>
            <w:r>
              <w:rPr>
                <w:sz w:val="16"/>
                <w:szCs w:val="16"/>
              </w:rPr>
              <w:t xml:space="preserve">44,124</w:t>
            </w:r>
          </w:p>
        </w:tc>
        <w:tc>
          <w:tcPr>
            <w:tcW w:w="805" w:type="dxa"/>
          </w:tcPr>
          <w:p>
            <w:pPr>
              <w:pStyle w:val="Compact"/>
              <w:jc w:val="left"/>
              <w:rPr>
                <w:sz w:val="16"/>
                <w:szCs w:val="16"/>
              </w:rPr>
            </w:pPr>
            <w:r>
              <w:rPr>
                <w:sz w:val="16"/>
                <w:szCs w:val="16"/>
              </w:rPr>
              <w:t xml:space="preserve">0.0</w:t>
            </w:r>
          </w:p>
        </w:tc>
      </w:tr>
    </w:tbl>
    <w:p>
      <w:r>
        <w:br w:type="page"/>
      </w:r>
    </w:p>
    <w:bookmarkEnd w:id="22"/>
    <w:bookmarkStart w:id="23" w:name="table-4"/>
    <w:p>
      <w:pPr>
        <w:pStyle w:val="Heading1"/>
      </w:pPr>
      <w:r>
        <w:t xml:space="preserve">Table 4</w:t>
      </w:r>
    </w:p>
    <w:p>
      <w:pPr>
        <w:pStyle w:val="FirstParagraph"/>
      </w:pPr>
      <w:r>
        <w:t xml:space="preserve">Coefficients of the final model, without and with a latent spatial field. Environmental coefficients were changes in log-odds per standard deviation and dependence coefficients were per unit of the term. Significance was marked * p ≤ 0.05, ** p ≤ 0.01, *** p ≤ 0.001, **** p ≤ 0.0001.</w:t>
      </w:r>
    </w:p>
    <w:tbl>
      <w:tblPr>
        <w:tblStyle w:val="Table"/>
        <w:tblLook w:firstRow="1" w:lastRow="0" w:firstColumn="0" w:lastColumn="0" w:noHBand="0" w:noVBand="0" w:val="0020"/>
        <w:tblW w:w="9354" w:type="dxa"/>
        <w:tblLayout w:type="fixed"/>
      </w:tblPr>
      <w:tblGrid>
        <w:gridCol w:w="3914"/>
        <w:gridCol w:w="1049"/>
        <w:gridCol w:w="572"/>
        <w:gridCol w:w="2005"/>
        <w:gridCol w:w="1814"/>
      </w:tblGrid>
      <w:tr>
        <w:trPr>
          <w:tblHeader w:val="on"/>
          <w:trHeight w:val="624" w:hRule="exact"/>
        </w:trPr>
        <w:tc>
          <w:tcPr>
            <w:tcW w:w="3914" w:type="dxa"/>
          </w:tcPr>
          <w:p>
            <w:pPr>
              <w:pStyle w:val="Compact"/>
              <w:jc w:val="left"/>
              <w:rPr>
                <w:sz w:val="16"/>
                <w:szCs w:val="16"/>
              </w:rPr>
            </w:pPr>
            <w:r>
              <w:rPr>
                <w:sz w:val="16"/>
                <w:szCs w:val="16"/>
              </w:rPr>
              <w:t xml:space="preserve">Term</w:t>
            </w:r>
          </w:p>
        </w:tc>
        <w:tc>
          <w:tcPr>
            <w:tcW w:w="1049" w:type="dxa"/>
          </w:tcPr>
          <w:p>
            <w:pPr>
              <w:pStyle w:val="Compact"/>
              <w:jc w:val="left"/>
              <w:rPr>
                <w:sz w:val="16"/>
                <w:szCs w:val="16"/>
              </w:rPr>
            </w:pPr>
            <w:r>
              <w:rPr>
                <w:sz w:val="16"/>
                <w:szCs w:val="16"/>
              </w:rPr>
              <w:t xml:space="preserve">Estimate</w:t>
            </w:r>
          </w:p>
        </w:tc>
        <w:tc>
          <w:tcPr>
            <w:tcW w:w="572" w:type="dxa"/>
          </w:tcPr>
          <w:p>
            <w:pPr>
              <w:pStyle w:val="Compact"/>
              <w:jc w:val="left"/>
              <w:rPr>
                <w:sz w:val="16"/>
                <w:szCs w:val="16"/>
              </w:rPr>
            </w:pPr>
            <w:r>
              <w:rPr>
                <w:sz w:val="16"/>
                <w:szCs w:val="16"/>
              </w:rPr>
              <w:t xml:space="preserve">SE</w:t>
            </w:r>
          </w:p>
        </w:tc>
        <w:tc>
          <w:tcPr>
            <w:tcW w:w="2005" w:type="dxa"/>
          </w:tcPr>
          <w:p>
            <w:pPr>
              <w:pStyle w:val="Compact"/>
              <w:jc w:val="left"/>
              <w:rPr>
                <w:sz w:val="16"/>
                <w:szCs w:val="16"/>
              </w:rPr>
            </w:pPr>
            <w:r>
              <w:rPr>
                <w:sz w:val="16"/>
                <w:szCs w:val="16"/>
              </w:rPr>
              <w:t xml:space="preserve">Odds ratio (95% CI)</w:t>
            </w:r>
          </w:p>
        </w:tc>
        <w:tc>
          <w:tcPr>
            <w:tcW w:w="1814" w:type="dxa"/>
          </w:tcPr>
          <w:p>
            <w:pPr>
              <w:pStyle w:val="Compact"/>
              <w:jc w:val="left"/>
              <w:rPr>
                <w:sz w:val="16"/>
                <w:szCs w:val="16"/>
              </w:rPr>
            </w:pPr>
            <w:r>
              <w:rPr>
                <w:sz w:val="16"/>
                <w:szCs w:val="16"/>
              </w:rPr>
              <w:t xml:space="preserve">With spatial field</w:t>
            </w:r>
          </w:p>
        </w:tc>
      </w:tr>
      <w:tr>
        <w:trPr>
          <w:trHeight w:val="340" w:hRule="exact"/>
        </w:trPr>
        <w:tc>
          <w:tcPr>
            <w:tcW w:w="3914" w:type="dxa"/>
          </w:tcPr>
          <w:p>
            <w:pPr>
              <w:pStyle w:val="Compact"/>
              <w:jc w:val="left"/>
              <w:rPr>
                <w:sz w:val="16"/>
                <w:szCs w:val="16"/>
              </w:rPr>
            </w:pPr>
            <w:r>
              <w:rPr>
                <w:sz w:val="16"/>
                <w:szCs w:val="16"/>
              </w:rPr>
              <w:t xml:space="preserve">Attack in the same cell, previous period</w:t>
            </w:r>
          </w:p>
        </w:tc>
        <w:tc>
          <w:tcPr>
            <w:tcW w:w="1049" w:type="dxa"/>
          </w:tcPr>
          <w:p>
            <w:pPr>
              <w:pStyle w:val="Compact"/>
              <w:jc w:val="left"/>
              <w:rPr>
                <w:sz w:val="16"/>
                <w:szCs w:val="16"/>
              </w:rPr>
            </w:pPr>
            <w:r>
              <w:rPr>
                <w:sz w:val="16"/>
                <w:szCs w:val="16"/>
              </w:rPr>
              <w:t xml:space="preserve">+0.780****</w:t>
            </w:r>
          </w:p>
        </w:tc>
        <w:tc>
          <w:tcPr>
            <w:tcW w:w="572" w:type="dxa"/>
          </w:tcPr>
          <w:p>
            <w:pPr>
              <w:pStyle w:val="Compact"/>
              <w:jc w:val="left"/>
              <w:rPr>
                <w:sz w:val="16"/>
                <w:szCs w:val="16"/>
              </w:rPr>
            </w:pPr>
            <w:r>
              <w:rPr>
                <w:sz w:val="16"/>
                <w:szCs w:val="16"/>
              </w:rPr>
              <w:t xml:space="preserve">0.044</w:t>
            </w:r>
          </w:p>
        </w:tc>
        <w:tc>
          <w:tcPr>
            <w:tcW w:w="2005" w:type="dxa"/>
          </w:tcPr>
          <w:p>
            <w:pPr>
              <w:pStyle w:val="Compact"/>
              <w:jc w:val="left"/>
              <w:rPr>
                <w:sz w:val="16"/>
                <w:szCs w:val="16"/>
              </w:rPr>
            </w:pPr>
            <w:r>
              <w:rPr>
                <w:sz w:val="16"/>
                <w:szCs w:val="16"/>
              </w:rPr>
              <w:t xml:space="preserve">2.18 (2.00 to 2.38)</w:t>
            </w:r>
          </w:p>
        </w:tc>
        <w:tc>
          <w:tcPr>
            <w:tcW w:w="1814" w:type="dxa"/>
          </w:tcPr>
          <w:p>
            <w:pPr>
              <w:pStyle w:val="Compact"/>
              <w:jc w:val="left"/>
              <w:rPr>
                <w:sz w:val="16"/>
                <w:szCs w:val="16"/>
              </w:rPr>
            </w:pPr>
            <w:r>
              <w:rPr>
                <w:sz w:val="16"/>
                <w:szCs w:val="16"/>
              </w:rPr>
              <w:t xml:space="preserve">+0.787****</w:t>
            </w:r>
          </w:p>
        </w:tc>
      </w:tr>
      <w:tr>
        <w:trPr>
          <w:trHeight w:val="340" w:hRule="exact"/>
        </w:trPr>
        <w:tc>
          <w:tcPr>
            <w:tcW w:w="3914" w:type="dxa"/>
          </w:tcPr>
          <w:p>
            <w:pPr>
              <w:pStyle w:val="Compact"/>
              <w:jc w:val="left"/>
              <w:rPr>
                <w:sz w:val="16"/>
                <w:szCs w:val="16"/>
              </w:rPr>
            </w:pPr>
            <w:r>
              <w:rPr>
                <w:sz w:val="16"/>
                <w:szCs w:val="16"/>
              </w:rPr>
              <w:t xml:space="preserve">Attack in the same cell, previous year</w:t>
            </w:r>
          </w:p>
        </w:tc>
        <w:tc>
          <w:tcPr>
            <w:tcW w:w="1049" w:type="dxa"/>
          </w:tcPr>
          <w:p>
            <w:pPr>
              <w:pStyle w:val="Compact"/>
              <w:jc w:val="left"/>
              <w:rPr>
                <w:sz w:val="16"/>
                <w:szCs w:val="16"/>
              </w:rPr>
            </w:pPr>
            <w:r>
              <w:rPr>
                <w:sz w:val="16"/>
                <w:szCs w:val="16"/>
              </w:rPr>
              <w:t xml:space="preserve">+1.816****</w:t>
            </w:r>
          </w:p>
        </w:tc>
        <w:tc>
          <w:tcPr>
            <w:tcW w:w="572" w:type="dxa"/>
          </w:tcPr>
          <w:p>
            <w:pPr>
              <w:pStyle w:val="Compact"/>
              <w:jc w:val="left"/>
              <w:rPr>
                <w:sz w:val="16"/>
                <w:szCs w:val="16"/>
              </w:rPr>
            </w:pPr>
            <w:r>
              <w:rPr>
                <w:sz w:val="16"/>
                <w:szCs w:val="16"/>
              </w:rPr>
              <w:t xml:space="preserve">0.044</w:t>
            </w:r>
          </w:p>
        </w:tc>
        <w:tc>
          <w:tcPr>
            <w:tcW w:w="2005" w:type="dxa"/>
          </w:tcPr>
          <w:p>
            <w:pPr>
              <w:pStyle w:val="Compact"/>
              <w:jc w:val="left"/>
              <w:rPr>
                <w:sz w:val="16"/>
                <w:szCs w:val="16"/>
              </w:rPr>
            </w:pPr>
            <w:r>
              <w:rPr>
                <w:sz w:val="16"/>
                <w:szCs w:val="16"/>
              </w:rPr>
              <w:t xml:space="preserve">6.15 (5.65 to 6.70)</w:t>
            </w:r>
          </w:p>
        </w:tc>
        <w:tc>
          <w:tcPr>
            <w:tcW w:w="1814" w:type="dxa"/>
          </w:tcPr>
          <w:p>
            <w:pPr>
              <w:pStyle w:val="Compact"/>
              <w:jc w:val="left"/>
              <w:rPr>
                <w:sz w:val="16"/>
                <w:szCs w:val="16"/>
              </w:rPr>
            </w:pPr>
            <w:r>
              <w:rPr>
                <w:sz w:val="16"/>
                <w:szCs w:val="16"/>
              </w:rPr>
              <w:t xml:space="preserve">+1.875****</w:t>
            </w:r>
          </w:p>
        </w:tc>
      </w:tr>
      <w:tr>
        <w:trPr>
          <w:trHeight w:val="340" w:hRule="exact"/>
        </w:trPr>
        <w:tc>
          <w:tcPr>
            <w:tcW w:w="3914" w:type="dxa"/>
          </w:tcPr>
          <w:p>
            <w:pPr>
              <w:pStyle w:val="Compact"/>
              <w:jc w:val="left"/>
              <w:rPr>
                <w:sz w:val="16"/>
                <w:szCs w:val="16"/>
              </w:rPr>
            </w:pPr>
            <w:r>
              <w:rPr>
                <w:sz w:val="16"/>
                <w:szCs w:val="16"/>
              </w:rPr>
              <w:t xml:space="preserve">Attack within 90 m, previous period</w:t>
            </w:r>
          </w:p>
        </w:tc>
        <w:tc>
          <w:tcPr>
            <w:tcW w:w="1049" w:type="dxa"/>
          </w:tcPr>
          <w:p>
            <w:pPr>
              <w:pStyle w:val="Compact"/>
              <w:jc w:val="left"/>
              <w:rPr>
                <w:sz w:val="16"/>
                <w:szCs w:val="16"/>
              </w:rPr>
            </w:pPr>
            <w:r>
              <w:rPr>
                <w:sz w:val="16"/>
                <w:szCs w:val="16"/>
              </w:rPr>
              <w:t xml:space="preserve">+2.278****</w:t>
            </w:r>
          </w:p>
        </w:tc>
        <w:tc>
          <w:tcPr>
            <w:tcW w:w="572" w:type="dxa"/>
          </w:tcPr>
          <w:p>
            <w:pPr>
              <w:pStyle w:val="Compact"/>
              <w:jc w:val="left"/>
              <w:rPr>
                <w:sz w:val="16"/>
                <w:szCs w:val="16"/>
              </w:rPr>
            </w:pPr>
            <w:r>
              <w:rPr>
                <w:sz w:val="16"/>
                <w:szCs w:val="16"/>
              </w:rPr>
              <w:t xml:space="preserve">0.075</w:t>
            </w:r>
          </w:p>
        </w:tc>
        <w:tc>
          <w:tcPr>
            <w:tcW w:w="2005" w:type="dxa"/>
          </w:tcPr>
          <w:p>
            <w:pPr>
              <w:pStyle w:val="Compact"/>
              <w:jc w:val="left"/>
              <w:rPr>
                <w:sz w:val="16"/>
                <w:szCs w:val="16"/>
              </w:rPr>
            </w:pPr>
            <w:r>
              <w:rPr>
                <w:sz w:val="16"/>
                <w:szCs w:val="16"/>
              </w:rPr>
              <w:t xml:space="preserve">9.76 (8.43 to 11.31)</w:t>
            </w:r>
          </w:p>
        </w:tc>
        <w:tc>
          <w:tcPr>
            <w:tcW w:w="1814" w:type="dxa"/>
          </w:tcPr>
          <w:p>
            <w:pPr>
              <w:pStyle w:val="Compact"/>
              <w:jc w:val="left"/>
              <w:rPr>
                <w:sz w:val="16"/>
                <w:szCs w:val="16"/>
              </w:rPr>
            </w:pPr>
            <w:r>
              <w:rPr>
                <w:sz w:val="16"/>
                <w:szCs w:val="16"/>
              </w:rPr>
              <w:t xml:space="preserve">+1.966****</w:t>
            </w:r>
          </w:p>
        </w:tc>
      </w:tr>
      <w:tr>
        <w:trPr>
          <w:trHeight w:val="340" w:hRule="exact"/>
        </w:trPr>
        <w:tc>
          <w:tcPr>
            <w:tcW w:w="3914" w:type="dxa"/>
          </w:tcPr>
          <w:p>
            <w:pPr>
              <w:pStyle w:val="Compact"/>
              <w:jc w:val="left"/>
              <w:rPr>
                <w:sz w:val="16"/>
                <w:szCs w:val="16"/>
              </w:rPr>
            </w:pPr>
            <w:r>
              <w:rPr>
                <w:sz w:val="16"/>
                <w:szCs w:val="16"/>
              </w:rPr>
              <w:t xml:space="preserve">Attack within 90 m, previous year</w:t>
            </w:r>
          </w:p>
        </w:tc>
        <w:tc>
          <w:tcPr>
            <w:tcW w:w="1049" w:type="dxa"/>
          </w:tcPr>
          <w:p>
            <w:pPr>
              <w:pStyle w:val="Compact"/>
              <w:jc w:val="left"/>
              <w:rPr>
                <w:sz w:val="16"/>
                <w:szCs w:val="16"/>
              </w:rPr>
            </w:pPr>
            <w:r>
              <w:rPr>
                <w:sz w:val="16"/>
                <w:szCs w:val="16"/>
              </w:rPr>
              <w:t xml:space="preserve">+1.294****</w:t>
            </w:r>
          </w:p>
        </w:tc>
        <w:tc>
          <w:tcPr>
            <w:tcW w:w="572" w:type="dxa"/>
          </w:tcPr>
          <w:p>
            <w:pPr>
              <w:pStyle w:val="Compact"/>
              <w:jc w:val="left"/>
              <w:rPr>
                <w:sz w:val="16"/>
                <w:szCs w:val="16"/>
              </w:rPr>
            </w:pPr>
            <w:r>
              <w:rPr>
                <w:sz w:val="16"/>
                <w:szCs w:val="16"/>
              </w:rPr>
              <w:t xml:space="preserve">0.078</w:t>
            </w:r>
          </w:p>
        </w:tc>
        <w:tc>
          <w:tcPr>
            <w:tcW w:w="2005" w:type="dxa"/>
          </w:tcPr>
          <w:p>
            <w:pPr>
              <w:pStyle w:val="Compact"/>
              <w:jc w:val="left"/>
              <w:rPr>
                <w:sz w:val="16"/>
                <w:szCs w:val="16"/>
              </w:rPr>
            </w:pPr>
            <w:r>
              <w:rPr>
                <w:sz w:val="16"/>
                <w:szCs w:val="16"/>
              </w:rPr>
              <w:t xml:space="preserve">3.65 (3.13 to 4.25)</w:t>
            </w:r>
          </w:p>
        </w:tc>
        <w:tc>
          <w:tcPr>
            <w:tcW w:w="1814" w:type="dxa"/>
          </w:tcPr>
          <w:p>
            <w:pPr>
              <w:pStyle w:val="Compact"/>
              <w:jc w:val="left"/>
              <w:rPr>
                <w:sz w:val="16"/>
                <w:szCs w:val="16"/>
              </w:rPr>
            </w:pPr>
            <w:r>
              <w:rPr>
                <w:sz w:val="16"/>
                <w:szCs w:val="16"/>
              </w:rPr>
              <w:t xml:space="preserve">+1.155****</w:t>
            </w:r>
          </w:p>
        </w:tc>
      </w:tr>
      <w:tr>
        <w:trPr>
          <w:trHeight w:val="340" w:hRule="exact"/>
        </w:trPr>
        <w:tc>
          <w:tcPr>
            <w:tcW w:w="3914" w:type="dxa"/>
          </w:tcPr>
          <w:p>
            <w:pPr>
              <w:pStyle w:val="Compact"/>
              <w:jc w:val="left"/>
              <w:rPr>
                <w:sz w:val="16"/>
                <w:szCs w:val="16"/>
              </w:rPr>
            </w:pPr>
            <w:r>
              <w:rPr>
                <w:sz w:val="16"/>
                <w:szCs w:val="16"/>
              </w:rPr>
              <w:t xml:space="preserve">Height above valley floor (m)</w:t>
            </w:r>
          </w:p>
        </w:tc>
        <w:tc>
          <w:tcPr>
            <w:tcW w:w="1049" w:type="dxa"/>
          </w:tcPr>
          <w:p>
            <w:pPr>
              <w:pStyle w:val="Compact"/>
              <w:jc w:val="left"/>
              <w:rPr>
                <w:sz w:val="16"/>
                <w:szCs w:val="16"/>
              </w:rPr>
            </w:pPr>
            <w:r>
              <w:rPr>
                <w:sz w:val="16"/>
                <w:szCs w:val="16"/>
              </w:rPr>
              <w:t xml:space="preserve">-0.174****</w:t>
            </w:r>
          </w:p>
        </w:tc>
        <w:tc>
          <w:tcPr>
            <w:tcW w:w="572" w:type="dxa"/>
          </w:tcPr>
          <w:p>
            <w:pPr>
              <w:pStyle w:val="Compact"/>
              <w:jc w:val="left"/>
              <w:rPr>
                <w:sz w:val="16"/>
                <w:szCs w:val="16"/>
              </w:rPr>
            </w:pPr>
            <w:r>
              <w:rPr>
                <w:sz w:val="16"/>
                <w:szCs w:val="16"/>
              </w:rPr>
              <w:t xml:space="preserve">0.027</w:t>
            </w:r>
          </w:p>
        </w:tc>
        <w:tc>
          <w:tcPr>
            <w:tcW w:w="2005" w:type="dxa"/>
          </w:tcPr>
          <w:p>
            <w:pPr>
              <w:pStyle w:val="Compact"/>
              <w:jc w:val="left"/>
              <w:rPr>
                <w:sz w:val="16"/>
                <w:szCs w:val="16"/>
              </w:rPr>
            </w:pPr>
            <w:r>
              <w:rPr>
                <w:sz w:val="16"/>
                <w:szCs w:val="16"/>
              </w:rPr>
              <w:t xml:space="preserve">0.84 (0.80 to 0.89)</w:t>
            </w:r>
          </w:p>
        </w:tc>
        <w:tc>
          <w:tcPr>
            <w:tcW w:w="1814" w:type="dxa"/>
          </w:tcPr>
          <w:p>
            <w:pPr>
              <w:pStyle w:val="Compact"/>
              <w:jc w:val="left"/>
              <w:rPr>
                <w:sz w:val="16"/>
                <w:szCs w:val="16"/>
              </w:rPr>
            </w:pPr>
            <w:r>
              <w:rPr>
                <w:sz w:val="16"/>
                <w:szCs w:val="16"/>
              </w:rPr>
              <w:t xml:space="preserve">+0.009</w:t>
            </w:r>
          </w:p>
        </w:tc>
      </w:tr>
      <w:tr>
        <w:trPr>
          <w:trHeight w:val="340" w:hRule="exact"/>
        </w:trPr>
        <w:tc>
          <w:tcPr>
            <w:tcW w:w="3914" w:type="dxa"/>
          </w:tcPr>
          <w:p>
            <w:pPr>
              <w:pStyle w:val="Compact"/>
              <w:jc w:val="left"/>
              <w:rPr>
                <w:sz w:val="16"/>
                <w:szCs w:val="16"/>
              </w:rPr>
            </w:pPr>
            <w:r>
              <w:rPr>
                <w:sz w:val="16"/>
                <w:szCs w:val="16"/>
              </w:rPr>
              <w:t xml:space="preserve">Elevation (m)</w:t>
            </w:r>
          </w:p>
        </w:tc>
        <w:tc>
          <w:tcPr>
            <w:tcW w:w="1049" w:type="dxa"/>
          </w:tcPr>
          <w:p>
            <w:pPr>
              <w:pStyle w:val="Compact"/>
              <w:jc w:val="left"/>
              <w:rPr>
                <w:sz w:val="16"/>
                <w:szCs w:val="16"/>
              </w:rPr>
            </w:pPr>
            <w:r>
              <w:rPr>
                <w:sz w:val="16"/>
                <w:szCs w:val="16"/>
              </w:rPr>
              <w:t xml:space="preserve">+0.102****</w:t>
            </w:r>
          </w:p>
        </w:tc>
        <w:tc>
          <w:tcPr>
            <w:tcW w:w="572" w:type="dxa"/>
          </w:tcPr>
          <w:p>
            <w:pPr>
              <w:pStyle w:val="Compact"/>
              <w:jc w:val="left"/>
              <w:rPr>
                <w:sz w:val="16"/>
                <w:szCs w:val="16"/>
              </w:rPr>
            </w:pPr>
            <w:r>
              <w:rPr>
                <w:sz w:val="16"/>
                <w:szCs w:val="16"/>
              </w:rPr>
              <w:t xml:space="preserve">0.019</w:t>
            </w:r>
          </w:p>
        </w:tc>
        <w:tc>
          <w:tcPr>
            <w:tcW w:w="2005" w:type="dxa"/>
          </w:tcPr>
          <w:p>
            <w:pPr>
              <w:pStyle w:val="Compact"/>
              <w:jc w:val="left"/>
              <w:rPr>
                <w:sz w:val="16"/>
                <w:szCs w:val="16"/>
              </w:rPr>
            </w:pPr>
            <w:r>
              <w:rPr>
                <w:sz w:val="16"/>
                <w:szCs w:val="16"/>
              </w:rPr>
              <w:t xml:space="preserve">1.11 (1.07 to 1.15)</w:t>
            </w:r>
          </w:p>
        </w:tc>
        <w:tc>
          <w:tcPr>
            <w:tcW w:w="1814" w:type="dxa"/>
          </w:tcPr>
          <w:p>
            <w:pPr>
              <w:pStyle w:val="Compact"/>
              <w:jc w:val="left"/>
              <w:rPr>
                <w:sz w:val="16"/>
                <w:szCs w:val="16"/>
              </w:rPr>
            </w:pPr>
            <w:r>
              <w:rPr>
                <w:sz w:val="16"/>
                <w:szCs w:val="16"/>
              </w:rPr>
              <w:t xml:space="preserve">+0.371*</w:t>
            </w:r>
          </w:p>
        </w:tc>
      </w:tr>
      <w:tr>
        <w:trPr>
          <w:trHeight w:val="340" w:hRule="exact"/>
        </w:trPr>
        <w:tc>
          <w:tcPr>
            <w:tcW w:w="3914" w:type="dxa"/>
          </w:tcPr>
          <w:p>
            <w:pPr>
              <w:pStyle w:val="Compact"/>
              <w:jc w:val="left"/>
              <w:rPr>
                <w:sz w:val="16"/>
                <w:szCs w:val="16"/>
              </w:rPr>
            </w:pPr>
            <w:r>
              <w:rPr>
                <w:sz w:val="16"/>
                <w:szCs w:val="16"/>
              </w:rPr>
              <w:t xml:space="preserve">Crown closure (%)</w:t>
            </w:r>
          </w:p>
        </w:tc>
        <w:tc>
          <w:tcPr>
            <w:tcW w:w="1049" w:type="dxa"/>
          </w:tcPr>
          <w:p>
            <w:pPr>
              <w:pStyle w:val="Compact"/>
              <w:jc w:val="left"/>
              <w:rPr>
                <w:sz w:val="16"/>
                <w:szCs w:val="16"/>
              </w:rPr>
            </w:pPr>
            <w:r>
              <w:rPr>
                <w:sz w:val="16"/>
                <w:szCs w:val="16"/>
              </w:rPr>
              <w:t xml:space="preserve">+0.139****</w:t>
            </w:r>
          </w:p>
        </w:tc>
        <w:tc>
          <w:tcPr>
            <w:tcW w:w="572" w:type="dxa"/>
          </w:tcPr>
          <w:p>
            <w:pPr>
              <w:pStyle w:val="Compact"/>
              <w:jc w:val="left"/>
              <w:rPr>
                <w:sz w:val="16"/>
                <w:szCs w:val="16"/>
              </w:rPr>
            </w:pPr>
            <w:r>
              <w:rPr>
                <w:sz w:val="16"/>
                <w:szCs w:val="16"/>
              </w:rPr>
              <w:t xml:space="preserve">0.016</w:t>
            </w:r>
          </w:p>
        </w:tc>
        <w:tc>
          <w:tcPr>
            <w:tcW w:w="2005" w:type="dxa"/>
          </w:tcPr>
          <w:p>
            <w:pPr>
              <w:pStyle w:val="Compact"/>
              <w:jc w:val="left"/>
              <w:rPr>
                <w:sz w:val="16"/>
                <w:szCs w:val="16"/>
              </w:rPr>
            </w:pPr>
            <w:r>
              <w:rPr>
                <w:sz w:val="16"/>
                <w:szCs w:val="16"/>
              </w:rPr>
              <w:t xml:space="preserve">1.15 (1.11 to 1.19)</w:t>
            </w:r>
          </w:p>
        </w:tc>
        <w:tc>
          <w:tcPr>
            <w:tcW w:w="1814" w:type="dxa"/>
          </w:tcPr>
          <w:p>
            <w:pPr>
              <w:pStyle w:val="Compact"/>
              <w:jc w:val="left"/>
              <w:rPr>
                <w:sz w:val="16"/>
                <w:szCs w:val="16"/>
              </w:rPr>
            </w:pPr>
            <w:r>
              <w:rPr>
                <w:sz w:val="16"/>
                <w:szCs w:val="16"/>
              </w:rPr>
              <w:t xml:space="preserve">+0.056**</w:t>
            </w:r>
          </w:p>
        </w:tc>
      </w:tr>
      <w:tr>
        <w:trPr>
          <w:trHeight w:val="340" w:hRule="exact"/>
        </w:trPr>
        <w:tc>
          <w:tcPr>
            <w:tcW w:w="3914" w:type="dxa"/>
          </w:tcPr>
          <w:p>
            <w:pPr>
              <w:pStyle w:val="Compact"/>
              <w:jc w:val="left"/>
              <w:rPr>
                <w:sz w:val="16"/>
                <w:szCs w:val="16"/>
              </w:rPr>
            </w:pPr>
            <w:r>
              <w:rPr>
                <w:sz w:val="16"/>
                <w:szCs w:val="16"/>
              </w:rPr>
              <w:t xml:space="preserve">Susceptible pine basal area (m² ha⁻¹)</w:t>
            </w:r>
          </w:p>
        </w:tc>
        <w:tc>
          <w:tcPr>
            <w:tcW w:w="1049" w:type="dxa"/>
          </w:tcPr>
          <w:p>
            <w:pPr>
              <w:pStyle w:val="Compact"/>
              <w:jc w:val="left"/>
              <w:rPr>
                <w:sz w:val="16"/>
                <w:szCs w:val="16"/>
              </w:rPr>
            </w:pPr>
            <w:r>
              <w:rPr>
                <w:sz w:val="16"/>
                <w:szCs w:val="16"/>
              </w:rPr>
              <w:t xml:space="preserve">+0.069****</w:t>
            </w:r>
          </w:p>
        </w:tc>
        <w:tc>
          <w:tcPr>
            <w:tcW w:w="572" w:type="dxa"/>
          </w:tcPr>
          <w:p>
            <w:pPr>
              <w:pStyle w:val="Compact"/>
              <w:jc w:val="left"/>
              <w:rPr>
                <w:sz w:val="16"/>
                <w:szCs w:val="16"/>
              </w:rPr>
            </w:pPr>
            <w:r>
              <w:rPr>
                <w:sz w:val="16"/>
                <w:szCs w:val="16"/>
              </w:rPr>
              <w:t xml:space="preserve">0.017</w:t>
            </w:r>
          </w:p>
        </w:tc>
        <w:tc>
          <w:tcPr>
            <w:tcW w:w="2005" w:type="dxa"/>
          </w:tcPr>
          <w:p>
            <w:pPr>
              <w:pStyle w:val="Compact"/>
              <w:jc w:val="left"/>
              <w:rPr>
                <w:sz w:val="16"/>
                <w:szCs w:val="16"/>
              </w:rPr>
            </w:pPr>
            <w:r>
              <w:rPr>
                <w:sz w:val="16"/>
                <w:szCs w:val="16"/>
              </w:rPr>
              <w:t xml:space="preserve">1.07 (1.04 to 1.11)</w:t>
            </w:r>
          </w:p>
        </w:tc>
        <w:tc>
          <w:tcPr>
            <w:tcW w:w="1814" w:type="dxa"/>
          </w:tcPr>
          <w:p>
            <w:pPr>
              <w:pStyle w:val="Compact"/>
              <w:jc w:val="left"/>
              <w:rPr>
                <w:sz w:val="16"/>
                <w:szCs w:val="16"/>
              </w:rPr>
            </w:pPr>
            <w:r>
              <w:rPr>
                <w:sz w:val="16"/>
                <w:szCs w:val="16"/>
              </w:rPr>
              <w:t xml:space="preserve">+0.106****</w:t>
            </w:r>
          </w:p>
        </w:tc>
      </w:tr>
      <w:tr>
        <w:trPr>
          <w:trHeight w:val="340" w:hRule="exact"/>
        </w:trPr>
        <w:tc>
          <w:tcPr>
            <w:tcW w:w="3914" w:type="dxa"/>
          </w:tcPr>
          <w:p>
            <w:pPr>
              <w:pStyle w:val="Compact"/>
              <w:jc w:val="left"/>
              <w:rPr>
                <w:sz w:val="16"/>
                <w:szCs w:val="16"/>
              </w:rPr>
            </w:pPr>
            <w:r>
              <w:rPr>
                <w:sz w:val="16"/>
                <w:szCs w:val="16"/>
              </w:rPr>
              <w:t xml:space="preserve">Normalised height</w:t>
            </w:r>
          </w:p>
        </w:tc>
        <w:tc>
          <w:tcPr>
            <w:tcW w:w="1049" w:type="dxa"/>
          </w:tcPr>
          <w:p>
            <w:pPr>
              <w:pStyle w:val="Compact"/>
              <w:jc w:val="left"/>
              <w:rPr>
                <w:sz w:val="16"/>
                <w:szCs w:val="16"/>
              </w:rPr>
            </w:pPr>
            <w:r>
              <w:rPr>
                <w:sz w:val="16"/>
                <w:szCs w:val="16"/>
              </w:rPr>
              <w:t xml:space="preserve">+0.040</w:t>
            </w:r>
          </w:p>
        </w:tc>
        <w:tc>
          <w:tcPr>
            <w:tcW w:w="572" w:type="dxa"/>
          </w:tcPr>
          <w:p>
            <w:pPr>
              <w:pStyle w:val="Compact"/>
              <w:jc w:val="left"/>
              <w:rPr>
                <w:sz w:val="16"/>
                <w:szCs w:val="16"/>
              </w:rPr>
            </w:pPr>
            <w:r>
              <w:rPr>
                <w:sz w:val="16"/>
                <w:szCs w:val="16"/>
              </w:rPr>
              <w:t xml:space="preserve">0.021</w:t>
            </w:r>
          </w:p>
        </w:tc>
        <w:tc>
          <w:tcPr>
            <w:tcW w:w="2005" w:type="dxa"/>
          </w:tcPr>
          <w:p>
            <w:pPr>
              <w:pStyle w:val="Compact"/>
              <w:jc w:val="left"/>
              <w:rPr>
                <w:sz w:val="16"/>
                <w:szCs w:val="16"/>
              </w:rPr>
            </w:pPr>
            <w:r>
              <w:rPr>
                <w:sz w:val="16"/>
                <w:szCs w:val="16"/>
              </w:rPr>
              <w:t xml:space="preserve">1.04 (1.00 to 1.08)</w:t>
            </w:r>
          </w:p>
        </w:tc>
        <w:tc>
          <w:tcPr>
            <w:tcW w:w="1814" w:type="dxa"/>
          </w:tcPr>
          <w:p>
            <w:pPr>
              <w:pStyle w:val="Compact"/>
              <w:jc w:val="left"/>
              <w:rPr>
                <w:sz w:val="16"/>
                <w:szCs w:val="16"/>
              </w:rPr>
            </w:pPr>
            <w:r>
              <w:rPr>
                <w:sz w:val="16"/>
                <w:szCs w:val="16"/>
              </w:rPr>
              <w:t xml:space="preserve">+0.078</w:t>
            </w:r>
          </w:p>
        </w:tc>
      </w:tr>
      <w:tr>
        <w:trPr>
          <w:trHeight w:val="340" w:hRule="exact"/>
        </w:trPr>
        <w:tc>
          <w:tcPr>
            <w:tcW w:w="3914" w:type="dxa"/>
          </w:tcPr>
          <w:p>
            <w:pPr>
              <w:pStyle w:val="Compact"/>
              <w:jc w:val="left"/>
              <w:rPr>
                <w:sz w:val="16"/>
                <w:szCs w:val="16"/>
              </w:rPr>
            </w:pPr>
            <w:r>
              <w:rPr>
                <w:sz w:val="16"/>
                <w:szCs w:val="16"/>
              </w:rPr>
              <w:t xml:space="preserve">Stand age (years)</w:t>
            </w:r>
          </w:p>
        </w:tc>
        <w:tc>
          <w:tcPr>
            <w:tcW w:w="1049" w:type="dxa"/>
          </w:tcPr>
          <w:p>
            <w:pPr>
              <w:pStyle w:val="Compact"/>
              <w:jc w:val="left"/>
              <w:rPr>
                <w:sz w:val="16"/>
                <w:szCs w:val="16"/>
              </w:rPr>
            </w:pPr>
            <w:r>
              <w:rPr>
                <w:sz w:val="16"/>
                <w:szCs w:val="16"/>
              </w:rPr>
              <w:t xml:space="preserve">+0.109****</w:t>
            </w:r>
          </w:p>
        </w:tc>
        <w:tc>
          <w:tcPr>
            <w:tcW w:w="572" w:type="dxa"/>
          </w:tcPr>
          <w:p>
            <w:pPr>
              <w:pStyle w:val="Compact"/>
              <w:jc w:val="left"/>
              <w:rPr>
                <w:sz w:val="16"/>
                <w:szCs w:val="16"/>
              </w:rPr>
            </w:pPr>
            <w:r>
              <w:rPr>
                <w:sz w:val="16"/>
                <w:szCs w:val="16"/>
              </w:rPr>
              <w:t xml:space="preserve">0.015</w:t>
            </w:r>
          </w:p>
        </w:tc>
        <w:tc>
          <w:tcPr>
            <w:tcW w:w="2005" w:type="dxa"/>
          </w:tcPr>
          <w:p>
            <w:pPr>
              <w:pStyle w:val="Compact"/>
              <w:jc w:val="left"/>
              <w:rPr>
                <w:sz w:val="16"/>
                <w:szCs w:val="16"/>
              </w:rPr>
            </w:pPr>
            <w:r>
              <w:rPr>
                <w:sz w:val="16"/>
                <w:szCs w:val="16"/>
              </w:rPr>
              <w:t xml:space="preserve">1.12 (1.08 to 1.15)</w:t>
            </w:r>
          </w:p>
        </w:tc>
        <w:tc>
          <w:tcPr>
            <w:tcW w:w="1814" w:type="dxa"/>
          </w:tcPr>
          <w:p>
            <w:pPr>
              <w:pStyle w:val="Compact"/>
              <w:jc w:val="left"/>
              <w:rPr>
                <w:sz w:val="16"/>
                <w:szCs w:val="16"/>
              </w:rPr>
            </w:pPr>
            <w:r>
              <w:rPr>
                <w:sz w:val="16"/>
                <w:szCs w:val="16"/>
              </w:rPr>
              <w:t xml:space="preserve">+0.114****</w:t>
            </w:r>
          </w:p>
        </w:tc>
      </w:tr>
      <w:tr>
        <w:trPr>
          <w:trHeight w:val="340" w:hRule="exact"/>
        </w:trPr>
        <w:tc>
          <w:tcPr>
            <w:tcW w:w="3914" w:type="dxa"/>
          </w:tcPr>
          <w:p>
            <w:pPr>
              <w:pStyle w:val="Compact"/>
              <w:jc w:val="left"/>
              <w:rPr>
                <w:sz w:val="16"/>
                <w:szCs w:val="16"/>
              </w:rPr>
            </w:pPr>
            <w:r>
              <w:rPr>
                <w:sz w:val="16"/>
                <w:szCs w:val="16"/>
              </w:rPr>
              <w:t xml:space="preserve">Vector ruggedness measure</w:t>
            </w:r>
          </w:p>
        </w:tc>
        <w:tc>
          <w:tcPr>
            <w:tcW w:w="1049" w:type="dxa"/>
          </w:tcPr>
          <w:p>
            <w:pPr>
              <w:pStyle w:val="Compact"/>
              <w:jc w:val="left"/>
              <w:rPr>
                <w:sz w:val="16"/>
                <w:szCs w:val="16"/>
              </w:rPr>
            </w:pPr>
            <w:r>
              <w:rPr>
                <w:sz w:val="16"/>
                <w:szCs w:val="16"/>
              </w:rPr>
              <w:t xml:space="preserve">-0.021</w:t>
            </w:r>
          </w:p>
        </w:tc>
        <w:tc>
          <w:tcPr>
            <w:tcW w:w="572" w:type="dxa"/>
          </w:tcPr>
          <w:p>
            <w:pPr>
              <w:pStyle w:val="Compact"/>
              <w:jc w:val="left"/>
              <w:rPr>
                <w:sz w:val="16"/>
                <w:szCs w:val="16"/>
              </w:rPr>
            </w:pPr>
            <w:r>
              <w:rPr>
                <w:sz w:val="16"/>
                <w:szCs w:val="16"/>
              </w:rPr>
              <w:t xml:space="preserve">0.014</w:t>
            </w:r>
          </w:p>
        </w:tc>
        <w:tc>
          <w:tcPr>
            <w:tcW w:w="2005" w:type="dxa"/>
          </w:tcPr>
          <w:p>
            <w:pPr>
              <w:pStyle w:val="Compact"/>
              <w:jc w:val="left"/>
              <w:rPr>
                <w:sz w:val="16"/>
                <w:szCs w:val="16"/>
              </w:rPr>
            </w:pPr>
            <w:r>
              <w:rPr>
                <w:sz w:val="16"/>
                <w:szCs w:val="16"/>
              </w:rPr>
              <w:t xml:space="preserve">0.98 (0.95 to 1.01)</w:t>
            </w:r>
          </w:p>
        </w:tc>
        <w:tc>
          <w:tcPr>
            <w:tcW w:w="1814" w:type="dxa"/>
          </w:tcPr>
          <w:p>
            <w:pPr>
              <w:pStyle w:val="Compact"/>
              <w:jc w:val="left"/>
              <w:rPr>
                <w:sz w:val="16"/>
                <w:szCs w:val="16"/>
              </w:rPr>
            </w:pPr>
            <w:r>
              <w:rPr>
                <w:sz w:val="16"/>
                <w:szCs w:val="16"/>
              </w:rPr>
              <w:t xml:space="preserve">-0.003</w:t>
            </w:r>
          </w:p>
        </w:tc>
      </w:tr>
      <w:tr>
        <w:trPr>
          <w:trHeight w:val="340" w:hRule="exact"/>
        </w:trPr>
        <w:tc>
          <w:tcPr>
            <w:tcW w:w="3914" w:type="dxa"/>
          </w:tcPr>
          <w:p>
            <w:pPr>
              <w:pStyle w:val="Compact"/>
              <w:jc w:val="left"/>
              <w:rPr>
                <w:sz w:val="16"/>
                <w:szCs w:val="16"/>
              </w:rPr>
            </w:pPr>
            <w:r>
              <w:rPr>
                <w:sz w:val="16"/>
                <w:szCs w:val="16"/>
              </w:rPr>
              <w:t xml:space="preserve">Northness</w:t>
            </w:r>
          </w:p>
        </w:tc>
        <w:tc>
          <w:tcPr>
            <w:tcW w:w="1049" w:type="dxa"/>
          </w:tcPr>
          <w:p>
            <w:pPr>
              <w:pStyle w:val="Compact"/>
              <w:jc w:val="left"/>
              <w:rPr>
                <w:sz w:val="16"/>
                <w:szCs w:val="16"/>
              </w:rPr>
            </w:pPr>
            <w:r>
              <w:rPr>
                <w:sz w:val="16"/>
                <w:szCs w:val="16"/>
              </w:rPr>
              <w:t xml:space="preserve">+0.045**</w:t>
            </w:r>
          </w:p>
        </w:tc>
        <w:tc>
          <w:tcPr>
            <w:tcW w:w="572" w:type="dxa"/>
          </w:tcPr>
          <w:p>
            <w:pPr>
              <w:pStyle w:val="Compact"/>
              <w:jc w:val="left"/>
              <w:rPr>
                <w:sz w:val="16"/>
                <w:szCs w:val="16"/>
              </w:rPr>
            </w:pPr>
            <w:r>
              <w:rPr>
                <w:sz w:val="16"/>
                <w:szCs w:val="16"/>
              </w:rPr>
              <w:t xml:space="preserve">0.015</w:t>
            </w:r>
          </w:p>
        </w:tc>
        <w:tc>
          <w:tcPr>
            <w:tcW w:w="2005" w:type="dxa"/>
          </w:tcPr>
          <w:p>
            <w:pPr>
              <w:pStyle w:val="Compact"/>
              <w:jc w:val="left"/>
              <w:rPr>
                <w:sz w:val="16"/>
                <w:szCs w:val="16"/>
              </w:rPr>
            </w:pPr>
            <w:r>
              <w:rPr>
                <w:sz w:val="16"/>
                <w:szCs w:val="16"/>
              </w:rPr>
              <w:t xml:space="preserve">1.05 (1.02 to 1.08)</w:t>
            </w:r>
          </w:p>
        </w:tc>
        <w:tc>
          <w:tcPr>
            <w:tcW w:w="1814" w:type="dxa"/>
          </w:tcPr>
          <w:p>
            <w:pPr>
              <w:pStyle w:val="Compact"/>
              <w:jc w:val="left"/>
              <w:rPr>
                <w:sz w:val="16"/>
                <w:szCs w:val="16"/>
              </w:rPr>
            </w:pPr>
            <w:r>
              <w:rPr>
                <w:sz w:val="16"/>
                <w:szCs w:val="16"/>
              </w:rPr>
              <w:t xml:space="preserve">+0.077*</w:t>
            </w:r>
          </w:p>
        </w:tc>
      </w:tr>
      <w:tr>
        <w:trPr>
          <w:trHeight w:val="340" w:hRule="exact"/>
        </w:trPr>
        <w:tc>
          <w:tcPr>
            <w:tcW w:w="3914" w:type="dxa"/>
          </w:tcPr>
          <w:p>
            <w:pPr>
              <w:pStyle w:val="Compact"/>
              <w:jc w:val="left"/>
              <w:rPr>
                <w:sz w:val="16"/>
                <w:szCs w:val="16"/>
              </w:rPr>
            </w:pPr>
            <w:r>
              <w:rPr>
                <w:sz w:val="16"/>
                <w:szCs w:val="16"/>
              </w:rPr>
              <w:t xml:space="preserve">Stand height (m)</w:t>
            </w:r>
          </w:p>
        </w:tc>
        <w:tc>
          <w:tcPr>
            <w:tcW w:w="1049" w:type="dxa"/>
          </w:tcPr>
          <w:p>
            <w:pPr>
              <w:pStyle w:val="Compact"/>
              <w:jc w:val="left"/>
              <w:rPr>
                <w:sz w:val="16"/>
                <w:szCs w:val="16"/>
              </w:rPr>
            </w:pPr>
            <w:r>
              <w:rPr>
                <w:sz w:val="16"/>
                <w:szCs w:val="16"/>
              </w:rPr>
              <w:t xml:space="preserve">-0.067****</w:t>
            </w:r>
          </w:p>
        </w:tc>
        <w:tc>
          <w:tcPr>
            <w:tcW w:w="572" w:type="dxa"/>
          </w:tcPr>
          <w:p>
            <w:pPr>
              <w:pStyle w:val="Compact"/>
              <w:jc w:val="left"/>
              <w:rPr>
                <w:sz w:val="16"/>
                <w:szCs w:val="16"/>
              </w:rPr>
            </w:pPr>
            <w:r>
              <w:rPr>
                <w:sz w:val="16"/>
                <w:szCs w:val="16"/>
              </w:rPr>
              <w:t xml:space="preserve">0.016</w:t>
            </w:r>
          </w:p>
        </w:tc>
        <w:tc>
          <w:tcPr>
            <w:tcW w:w="2005" w:type="dxa"/>
          </w:tcPr>
          <w:p>
            <w:pPr>
              <w:pStyle w:val="Compact"/>
              <w:jc w:val="left"/>
              <w:rPr>
                <w:sz w:val="16"/>
                <w:szCs w:val="16"/>
              </w:rPr>
            </w:pPr>
            <w:r>
              <w:rPr>
                <w:sz w:val="16"/>
                <w:szCs w:val="16"/>
              </w:rPr>
              <w:t xml:space="preserve">0.94 (0.91 to 0.97)</w:t>
            </w:r>
          </w:p>
        </w:tc>
        <w:tc>
          <w:tcPr>
            <w:tcW w:w="1814" w:type="dxa"/>
          </w:tcPr>
          <w:p>
            <w:pPr>
              <w:pStyle w:val="Compact"/>
              <w:jc w:val="left"/>
              <w:rPr>
                <w:sz w:val="16"/>
                <w:szCs w:val="16"/>
              </w:rPr>
            </w:pPr>
            <w:r>
              <w:rPr>
                <w:sz w:val="16"/>
                <w:szCs w:val="16"/>
              </w:rPr>
              <w:t xml:space="preserve">-0.016</w:t>
            </w:r>
          </w:p>
        </w:tc>
      </w:tr>
      <w:tr>
        <w:trPr>
          <w:trHeight w:val="340" w:hRule="exact"/>
        </w:trPr>
        <w:tc>
          <w:tcPr>
            <w:tcW w:w="3914" w:type="dxa"/>
          </w:tcPr>
          <w:p>
            <w:pPr>
              <w:pStyle w:val="Compact"/>
              <w:jc w:val="left"/>
              <w:rPr>
                <w:sz w:val="16"/>
                <w:szCs w:val="16"/>
              </w:rPr>
            </w:pPr>
            <w:r>
              <w:rPr>
                <w:sz w:val="16"/>
                <w:szCs w:val="16"/>
              </w:rPr>
              <w:t xml:space="preserve">Topographic wetness index</w:t>
            </w:r>
          </w:p>
        </w:tc>
        <w:tc>
          <w:tcPr>
            <w:tcW w:w="1049" w:type="dxa"/>
          </w:tcPr>
          <w:p>
            <w:pPr>
              <w:pStyle w:val="Compact"/>
              <w:jc w:val="left"/>
              <w:rPr>
                <w:sz w:val="16"/>
                <w:szCs w:val="16"/>
              </w:rPr>
            </w:pPr>
            <w:r>
              <w:rPr>
                <w:sz w:val="16"/>
                <w:szCs w:val="16"/>
              </w:rPr>
              <w:t xml:space="preserve">+0.087****</w:t>
            </w:r>
          </w:p>
        </w:tc>
        <w:tc>
          <w:tcPr>
            <w:tcW w:w="572" w:type="dxa"/>
          </w:tcPr>
          <w:p>
            <w:pPr>
              <w:pStyle w:val="Compact"/>
              <w:jc w:val="left"/>
              <w:rPr>
                <w:sz w:val="16"/>
                <w:szCs w:val="16"/>
              </w:rPr>
            </w:pPr>
            <w:r>
              <w:rPr>
                <w:sz w:val="16"/>
                <w:szCs w:val="16"/>
              </w:rPr>
              <w:t xml:space="preserve">0.021</w:t>
            </w:r>
          </w:p>
        </w:tc>
        <w:tc>
          <w:tcPr>
            <w:tcW w:w="2005" w:type="dxa"/>
          </w:tcPr>
          <w:p>
            <w:pPr>
              <w:pStyle w:val="Compact"/>
              <w:jc w:val="left"/>
              <w:rPr>
                <w:sz w:val="16"/>
                <w:szCs w:val="16"/>
              </w:rPr>
            </w:pPr>
            <w:r>
              <w:rPr>
                <w:sz w:val="16"/>
                <w:szCs w:val="16"/>
              </w:rPr>
              <w:t xml:space="preserve">1.09 (1.05 to 1.14)</w:t>
            </w:r>
          </w:p>
        </w:tc>
        <w:tc>
          <w:tcPr>
            <w:tcW w:w="1814" w:type="dxa"/>
          </w:tcPr>
          <w:p>
            <w:pPr>
              <w:pStyle w:val="Compact"/>
              <w:jc w:val="left"/>
              <w:rPr>
                <w:sz w:val="16"/>
                <w:szCs w:val="16"/>
              </w:rPr>
            </w:pPr>
            <w:r>
              <w:rPr>
                <w:sz w:val="16"/>
                <w:szCs w:val="16"/>
              </w:rPr>
              <w:t xml:space="preserve">+0.007</w:t>
            </w:r>
          </w:p>
        </w:tc>
      </w:tr>
      <w:tr>
        <w:trPr>
          <w:trHeight w:val="340" w:hRule="exact"/>
        </w:trPr>
        <w:tc>
          <w:tcPr>
            <w:tcW w:w="3914" w:type="dxa"/>
          </w:tcPr>
          <w:p>
            <w:pPr>
              <w:pStyle w:val="Compact"/>
              <w:jc w:val="left"/>
              <w:rPr>
                <w:sz w:val="16"/>
                <w:szCs w:val="16"/>
              </w:rPr>
            </w:pPr>
            <w:r>
              <w:rPr>
                <w:sz w:val="16"/>
                <w:szCs w:val="16"/>
              </w:rPr>
              <w:t xml:space="preserve">Plan curvature</w:t>
            </w:r>
          </w:p>
        </w:tc>
        <w:tc>
          <w:tcPr>
            <w:tcW w:w="1049" w:type="dxa"/>
          </w:tcPr>
          <w:p>
            <w:pPr>
              <w:pStyle w:val="Compact"/>
              <w:jc w:val="left"/>
              <w:rPr>
                <w:sz w:val="16"/>
                <w:szCs w:val="16"/>
              </w:rPr>
            </w:pPr>
            <w:r>
              <w:rPr>
                <w:sz w:val="16"/>
                <w:szCs w:val="16"/>
              </w:rPr>
              <w:t xml:space="preserve">+0.022</w:t>
            </w:r>
          </w:p>
        </w:tc>
        <w:tc>
          <w:tcPr>
            <w:tcW w:w="572" w:type="dxa"/>
          </w:tcPr>
          <w:p>
            <w:pPr>
              <w:pStyle w:val="Compact"/>
              <w:jc w:val="left"/>
              <w:rPr>
                <w:sz w:val="16"/>
                <w:szCs w:val="16"/>
              </w:rPr>
            </w:pPr>
            <w:r>
              <w:rPr>
                <w:sz w:val="16"/>
                <w:szCs w:val="16"/>
              </w:rPr>
              <w:t xml:space="preserve">0.014</w:t>
            </w:r>
          </w:p>
        </w:tc>
        <w:tc>
          <w:tcPr>
            <w:tcW w:w="2005" w:type="dxa"/>
          </w:tcPr>
          <w:p>
            <w:pPr>
              <w:pStyle w:val="Compact"/>
              <w:jc w:val="left"/>
              <w:rPr>
                <w:sz w:val="16"/>
                <w:szCs w:val="16"/>
              </w:rPr>
            </w:pPr>
            <w:r>
              <w:rPr>
                <w:sz w:val="16"/>
                <w:szCs w:val="16"/>
              </w:rPr>
              <w:t xml:space="preserve">1.02 (0.99 to 1.05)</w:t>
            </w:r>
          </w:p>
        </w:tc>
        <w:tc>
          <w:tcPr>
            <w:tcW w:w="1814" w:type="dxa"/>
          </w:tcPr>
          <w:p>
            <w:pPr>
              <w:pStyle w:val="Compact"/>
              <w:jc w:val="left"/>
              <w:rPr>
                <w:sz w:val="16"/>
                <w:szCs w:val="16"/>
              </w:rPr>
            </w:pPr>
            <w:r>
              <w:rPr>
                <w:sz w:val="16"/>
                <w:szCs w:val="16"/>
              </w:rPr>
              <w:t xml:space="preserve">+0.006</w:t>
            </w:r>
          </w:p>
        </w:tc>
      </w:tr>
    </w:tbl>
    <w:bookmarkEnd w:id="23"/>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Tables</dc:title>
  <dc:creator/>
  <cp:keywords/>
  <dcterms:created xsi:type="dcterms:W3CDTF">2026-09-30T03:23:09Z</dcterms:created>
  <dcterms:modified xsi:type="dcterms:W3CDTF">2026-09-30T03:23:09Z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../04.references/references-beetle.bib</vt:lpwstr>
  </property>
  <property fmtid="{D5CDD505-2E9C-101B-9397-08002B2CF9AE}" pid="4" name="csl">
    <vt:lpwstr>../04.references/apa.csl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ppress-bibliography">
    <vt:lpwstr>True</vt:lpwstr>
  </property>
  <property fmtid="{D5CDD505-2E9C-101B-9397-08002B2CF9AE}" pid="11" name="toc-title">
    <vt:lpwstr>Table of contents</vt:lpwstr>
  </property>
</Properties>
</file>