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C6FD0" w14:textId="065765EE" w:rsidR="00A022FE" w:rsidRPr="009148E4" w:rsidRDefault="00B0410B" w:rsidP="009148E4">
      <w:pPr>
        <w:pStyle w:val="Title"/>
        <w:spacing w:before="0" w:after="0" w:line="480" w:lineRule="auto"/>
        <w:jc w:val="left"/>
        <w:rPr>
          <w:rFonts w:cs="Arial"/>
          <w:b w:val="0"/>
          <w:bCs/>
          <w:sz w:val="22"/>
          <w:szCs w:val="22"/>
        </w:rPr>
      </w:pPr>
      <w:r w:rsidRPr="003D4BC8">
        <w:rPr>
          <w:rFonts w:cs="Arial"/>
          <w:bCs/>
          <w:sz w:val="22"/>
          <w:szCs w:val="22"/>
        </w:rPr>
        <w:t xml:space="preserve">Mapping </w:t>
      </w:r>
      <w:r w:rsidR="00704838">
        <w:rPr>
          <w:rFonts w:cs="Arial"/>
          <w:bCs/>
          <w:sz w:val="22"/>
          <w:szCs w:val="22"/>
        </w:rPr>
        <w:t xml:space="preserve">Inundation Dynamics and Fisher Migrations </w:t>
      </w:r>
      <w:r w:rsidR="00711FAD">
        <w:rPr>
          <w:rFonts w:cs="Arial"/>
          <w:bCs/>
          <w:sz w:val="22"/>
          <w:szCs w:val="22"/>
        </w:rPr>
        <w:t xml:space="preserve">Across </w:t>
      </w:r>
      <w:r w:rsidR="00704838">
        <w:rPr>
          <w:rFonts w:cs="Arial"/>
          <w:bCs/>
          <w:sz w:val="22"/>
          <w:szCs w:val="22"/>
        </w:rPr>
        <w:t xml:space="preserve">Lake </w:t>
      </w:r>
      <w:proofErr w:type="spellStart"/>
      <w:r w:rsidR="00704838">
        <w:rPr>
          <w:rFonts w:cs="Arial"/>
          <w:bCs/>
          <w:sz w:val="22"/>
          <w:szCs w:val="22"/>
        </w:rPr>
        <w:t>Chilwa’s</w:t>
      </w:r>
      <w:proofErr w:type="spellEnd"/>
      <w:r w:rsidR="00704838">
        <w:rPr>
          <w:rFonts w:cs="Arial"/>
          <w:bCs/>
          <w:sz w:val="22"/>
          <w:szCs w:val="22"/>
        </w:rPr>
        <w:t xml:space="preserve"> Recession Cycles</w:t>
      </w:r>
      <w:r w:rsidRPr="003D4BC8">
        <w:rPr>
          <w:rFonts w:cs="Arial"/>
          <w:bCs/>
          <w:sz w:val="22"/>
          <w:szCs w:val="22"/>
        </w:rPr>
        <w:t xml:space="preserve">: </w:t>
      </w:r>
      <w:r w:rsidR="00704838">
        <w:rPr>
          <w:rFonts w:cs="Arial"/>
          <w:bCs/>
          <w:sz w:val="22"/>
          <w:szCs w:val="22"/>
        </w:rPr>
        <w:t xml:space="preserve">Integrating SAR-optical remote sensing with ethnographic fieldwork in an endorheic </w:t>
      </w:r>
      <w:r w:rsidR="005B0C1C">
        <w:rPr>
          <w:rFonts w:cs="Arial"/>
          <w:bCs/>
          <w:sz w:val="22"/>
          <w:szCs w:val="22"/>
        </w:rPr>
        <w:t>basin</w:t>
      </w:r>
    </w:p>
    <w:p w14:paraId="4E3DF591" w14:textId="17B3BAB0" w:rsidR="000B55EB" w:rsidRPr="003D4BC8" w:rsidRDefault="00000000">
      <w:pPr>
        <w:spacing w:before="0" w:after="0"/>
        <w:rPr>
          <w:rFonts w:ascii="Arial" w:hAnsi="Arial" w:cs="Arial"/>
          <w:b/>
          <w:sz w:val="21"/>
          <w:szCs w:val="21"/>
        </w:rPr>
      </w:pPr>
      <w:r w:rsidRPr="003D4BC8">
        <w:rPr>
          <w:rFonts w:ascii="Arial" w:hAnsi="Arial" w:cs="Arial"/>
          <w:b/>
          <w:sz w:val="21"/>
          <w:szCs w:val="21"/>
        </w:rPr>
        <w:t>John Wilson</w:t>
      </w:r>
      <w:r w:rsidR="003D4BC8">
        <w:rPr>
          <w:rFonts w:ascii="Arial" w:hAnsi="Arial" w:cs="Arial"/>
          <w:b/>
          <w:sz w:val="21"/>
          <w:szCs w:val="21"/>
        </w:rPr>
        <w:t xml:space="preserve"> </w:t>
      </w:r>
      <w:r w:rsidRPr="003D4BC8">
        <w:rPr>
          <w:rFonts w:ascii="Arial" w:hAnsi="Arial" w:cs="Arial"/>
          <w:b/>
          <w:sz w:val="21"/>
          <w:szCs w:val="21"/>
          <w:vertAlign w:val="superscript"/>
        </w:rPr>
        <w:t>b</w:t>
      </w:r>
      <w:r w:rsidR="00877D01">
        <w:rPr>
          <w:rFonts w:ascii="Arial" w:hAnsi="Arial" w:cs="Arial"/>
          <w:b/>
          <w:sz w:val="21"/>
          <w:szCs w:val="21"/>
        </w:rPr>
        <w:t xml:space="preserve">, </w:t>
      </w:r>
      <w:r w:rsidR="00877D01" w:rsidRPr="003D4BC8">
        <w:rPr>
          <w:rFonts w:ascii="Arial" w:hAnsi="Arial" w:cs="Arial"/>
          <w:b/>
          <w:sz w:val="21"/>
          <w:szCs w:val="21"/>
        </w:rPr>
        <w:t>Seamus Murphy</w:t>
      </w:r>
      <w:r w:rsidR="00877D01">
        <w:rPr>
          <w:rFonts w:ascii="Arial" w:hAnsi="Arial" w:cs="Arial"/>
          <w:b/>
          <w:sz w:val="21"/>
          <w:szCs w:val="21"/>
        </w:rPr>
        <w:t xml:space="preserve"> </w:t>
      </w:r>
      <w:r w:rsidR="00877D01" w:rsidRPr="003D4BC8">
        <w:rPr>
          <w:rFonts w:ascii="Arial" w:eastAsia="Arial Unicode MS" w:hAnsi="Arial" w:cs="Arial"/>
          <w:b/>
          <w:sz w:val="21"/>
          <w:szCs w:val="21"/>
          <w:vertAlign w:val="superscript"/>
        </w:rPr>
        <w:t>a</w:t>
      </w:r>
      <w:r w:rsidR="00877D01">
        <w:rPr>
          <w:rFonts w:ascii="Arial" w:eastAsia="Arial Unicode MS" w:hAnsi="Arial" w:cs="Arial"/>
          <w:b/>
          <w:sz w:val="21"/>
          <w:szCs w:val="21"/>
          <w:vertAlign w:val="superscript"/>
        </w:rPr>
        <w:t xml:space="preserve"> </w:t>
      </w:r>
      <w:r w:rsidR="00877D01">
        <w:rPr>
          <w:rFonts w:ascii="Arial" w:hAnsi="Arial" w:cs="Arial"/>
          <w:b/>
          <w:sz w:val="21"/>
          <w:szCs w:val="21"/>
        </w:rPr>
        <w:t>*</w:t>
      </w:r>
    </w:p>
    <w:p w14:paraId="3A0297D7" w14:textId="77777777" w:rsidR="000B55EB" w:rsidRPr="003D4BC8" w:rsidRDefault="000B55EB">
      <w:pPr>
        <w:spacing w:before="0" w:after="0"/>
        <w:rPr>
          <w:rFonts w:ascii="Arial" w:hAnsi="Arial" w:cs="Arial"/>
          <w:i/>
          <w:sz w:val="18"/>
          <w:szCs w:val="18"/>
          <w:u w:val="single"/>
        </w:rPr>
      </w:pPr>
    </w:p>
    <w:p w14:paraId="1087D69E" w14:textId="1936631E" w:rsidR="000B55EB" w:rsidRPr="003D4BC8" w:rsidRDefault="00000000">
      <w:pPr>
        <w:spacing w:before="0" w:after="0"/>
        <w:rPr>
          <w:rFonts w:ascii="Arial" w:hAnsi="Arial" w:cs="Arial"/>
          <w:sz w:val="18"/>
          <w:szCs w:val="18"/>
          <w:highlight w:val="white"/>
        </w:rPr>
      </w:pPr>
      <w:r w:rsidRPr="003D4BC8">
        <w:rPr>
          <w:rFonts w:ascii="Arial" w:hAnsi="Arial" w:cs="Arial"/>
          <w:sz w:val="18"/>
          <w:szCs w:val="18"/>
          <w:vertAlign w:val="superscript"/>
        </w:rPr>
        <w:t>a</w:t>
      </w:r>
      <w:r w:rsidR="003D4BC8">
        <w:rPr>
          <w:rFonts w:ascii="Arial" w:hAnsi="Arial" w:cs="Arial"/>
          <w:sz w:val="18"/>
          <w:szCs w:val="18"/>
          <w:vertAlign w:val="superscript"/>
        </w:rPr>
        <w:t xml:space="preserve"> </w:t>
      </w:r>
      <w:r w:rsidR="003D4BC8" w:rsidRPr="003D4BC8">
        <w:rPr>
          <w:rFonts w:ascii="Arial" w:hAnsi="Arial" w:cs="Arial"/>
          <w:bCs/>
          <w:sz w:val="21"/>
          <w:szCs w:val="21"/>
        </w:rPr>
        <w:t>*</w:t>
      </w:r>
      <w:r w:rsidRPr="003D4BC8">
        <w:rPr>
          <w:rFonts w:ascii="Arial" w:hAnsi="Arial" w:cs="Arial"/>
          <w:sz w:val="18"/>
          <w:szCs w:val="18"/>
          <w:highlight w:val="white"/>
        </w:rPr>
        <w:t xml:space="preserve">Corresponding author: </w:t>
      </w:r>
      <w:hyperlink r:id="rId8">
        <w:r w:rsidR="000B55EB" w:rsidRPr="003D4BC8">
          <w:rPr>
            <w:rFonts w:ascii="Arial" w:hAnsi="Arial" w:cs="Arial"/>
            <w:color w:val="1155CC"/>
            <w:sz w:val="18"/>
            <w:szCs w:val="18"/>
            <w:highlight w:val="white"/>
            <w:u w:val="single"/>
          </w:rPr>
          <w:t>seamusrobertmurphy@gmail.com</w:t>
        </w:r>
      </w:hyperlink>
    </w:p>
    <w:p w14:paraId="46413820" w14:textId="77777777" w:rsidR="000B55EB" w:rsidRPr="003D4BC8" w:rsidRDefault="00000000">
      <w:pPr>
        <w:spacing w:before="0" w:after="0"/>
        <w:rPr>
          <w:rFonts w:ascii="Arial" w:hAnsi="Arial" w:cs="Arial"/>
          <w:sz w:val="18"/>
          <w:szCs w:val="18"/>
          <w:highlight w:val="white"/>
        </w:rPr>
      </w:pPr>
      <w:r w:rsidRPr="003D4BC8">
        <w:rPr>
          <w:rFonts w:ascii="Arial" w:hAnsi="Arial" w:cs="Arial"/>
          <w:sz w:val="18"/>
          <w:szCs w:val="18"/>
          <w:vertAlign w:val="superscript"/>
        </w:rPr>
        <w:t xml:space="preserve">b   </w:t>
      </w:r>
      <w:r w:rsidRPr="003D4BC8">
        <w:rPr>
          <w:rFonts w:ascii="Arial" w:hAnsi="Arial" w:cs="Arial"/>
          <w:sz w:val="18"/>
          <w:szCs w:val="18"/>
        </w:rPr>
        <w:t>Community Natural Resource Management Consultant</w:t>
      </w:r>
    </w:p>
    <w:p w14:paraId="0CF5D4B4" w14:textId="77777777" w:rsidR="00144330" w:rsidRDefault="00144330" w:rsidP="00144330">
      <w:pPr>
        <w:pStyle w:val="AbstractTitle"/>
        <w:rPr>
          <w:rStyle w:val="BookTitle"/>
        </w:rPr>
      </w:pPr>
      <w:bookmarkStart w:id="0" w:name="_heading=h.ixr79znnwfqy" w:colFirst="0" w:colLast="0"/>
      <w:bookmarkEnd w:id="0"/>
    </w:p>
    <w:p w14:paraId="5FA76A4E" w14:textId="1F6977E0" w:rsidR="000B55EB" w:rsidRPr="003D4BC8" w:rsidRDefault="00701179" w:rsidP="00701179">
      <w:pPr>
        <w:pStyle w:val="Abstract"/>
        <w:rPr>
          <w:sz w:val="21"/>
          <w:szCs w:val="21"/>
        </w:rPr>
      </w:pPr>
      <w:bookmarkStart w:id="1" w:name="_heading=h.5nz66tk2jvhb" w:colFirst="0" w:colLast="0"/>
      <w:bookmarkEnd w:id="1"/>
      <w:r w:rsidRPr="00701179">
        <w:t xml:space="preserve">Remote sensing of wetland landscapes in African conservation areas typically proceeds without reference to the people who inhabit them. This study integrates multi-sensor remote sensing with ethnographic fieldwork to map inundation dynamics in the endorheic Lake Chilwa Basin of Southern Malawi. We evaluate five water-extraction indices (NDWI, MNDWI, </w:t>
      </w:r>
      <w:proofErr w:type="spellStart"/>
      <w:r w:rsidRPr="00701179">
        <w:t>AWEIsh</w:t>
      </w:r>
      <w:proofErr w:type="spellEnd"/>
      <w:r w:rsidRPr="00701179">
        <w:t xml:space="preserve">, WRI, NDPI) derived from a multi-decadal Landsat time series and combine these with Sentinel-1 C-band SAR backscatter analysis to </w:t>
      </w:r>
      <w:proofErr w:type="spellStart"/>
      <w:r w:rsidRPr="00701179">
        <w:t>characterise</w:t>
      </w:r>
      <w:proofErr w:type="spellEnd"/>
      <w:r w:rsidRPr="00701179">
        <w:t xml:space="preserve"> recession-refilling cycles that occur at roughly 20-year intervals. Spectral mixture analysis enables sub-pixel estimation of water fraction across the shallow, turbid, and vegetated littoral zones where standard optical thresholds fail. Ethnographic data collected between 2012 and 2014 across lakeshore villages in Zomba, Phalombe, and Machinga districts provide ground validation and reveal socio-ecological patterns invisible to satellite analysis: the spatial structure of fishing regulations, seasonal migration timing, and enforcement conflicts across distinct territorial jurisdictions. Results show significant spatiotemporal variation in water extent, with historical recession events documented in 1879, 1900, 1914-15, 1922, 1931-32, 1934, 1954, 1960-61, 1967, 1973, 1995, and 2012. SAR integration addresses the specific failures of optical indices in this environment, particularly cloud-cover gaps during the wet season, spectral confusion in turbid shallow water, and inability to detect sub-canopy inundation beneath dense Typha marshes. The socio-ecological systems framework developed here demonstrates that effective conservation mapping requires both technical precision and local knowledge and offers a transferable methodology for monitoring dynamic wetland ecosystems.</w:t>
      </w:r>
    </w:p>
    <w:p w14:paraId="34A626ED" w14:textId="77777777" w:rsidR="000B55EB" w:rsidRPr="003D4BC8" w:rsidRDefault="00000000">
      <w:pPr>
        <w:spacing w:after="0"/>
        <w:rPr>
          <w:rFonts w:ascii="Arial" w:hAnsi="Arial" w:cs="Arial"/>
          <w:sz w:val="18"/>
          <w:szCs w:val="18"/>
        </w:rPr>
      </w:pPr>
      <w:r w:rsidRPr="003D4BC8">
        <w:rPr>
          <w:rFonts w:ascii="Arial" w:hAnsi="Arial" w:cs="Arial"/>
          <w:b/>
          <w:sz w:val="18"/>
          <w:szCs w:val="18"/>
        </w:rPr>
        <w:t xml:space="preserve">Keywords: </w:t>
      </w:r>
      <w:r w:rsidRPr="003D4BC8">
        <w:rPr>
          <w:rFonts w:ascii="Arial" w:hAnsi="Arial" w:cs="Arial"/>
          <w:sz w:val="18"/>
          <w:szCs w:val="18"/>
        </w:rPr>
        <w:t>Wetland inundation mapping, spectral mixture analysis, participatory mapping, socio-ecological systems, endorheic lakes, fishery co-management, traditional ecological knowledge, Lake Chilwa, Malawi</w:t>
      </w:r>
    </w:p>
    <w:p w14:paraId="65301DD9" w14:textId="77777777" w:rsidR="000B55EB" w:rsidRPr="003D4BC8" w:rsidRDefault="000B55EB">
      <w:pPr>
        <w:spacing w:after="0"/>
        <w:rPr>
          <w:rFonts w:ascii="Arial" w:hAnsi="Arial" w:cs="Arial"/>
          <w:sz w:val="18"/>
          <w:szCs w:val="18"/>
        </w:rPr>
      </w:pPr>
    </w:p>
    <w:p w14:paraId="01F6002D" w14:textId="77777777" w:rsidR="000B55EB" w:rsidRPr="003D4BC8" w:rsidRDefault="000B55EB" w:rsidP="003D4BC8"/>
    <w:p w14:paraId="557178DE" w14:textId="77777777" w:rsidR="000B55EB" w:rsidRPr="003D4BC8" w:rsidRDefault="000B55EB" w:rsidP="003D4BC8"/>
    <w:p w14:paraId="7D36B12B" w14:textId="77777777" w:rsidR="000B55EB" w:rsidRPr="003D4BC8" w:rsidRDefault="000B55EB" w:rsidP="003D4BC8"/>
    <w:p w14:paraId="3DD3EA49" w14:textId="77777777" w:rsidR="00144330" w:rsidRDefault="00144330" w:rsidP="004B658B">
      <w:pPr>
        <w:pStyle w:val="Heading2"/>
        <w:numPr>
          <w:ilvl w:val="0"/>
          <w:numId w:val="23"/>
        </w:numPr>
        <w:sectPr w:rsidR="00144330" w:rsidSect="00B13028">
          <w:footerReference w:type="default" r:id="rId9"/>
          <w:footerReference w:type="first" r:id="rId10"/>
          <w:pgSz w:w="12240" w:h="15840"/>
          <w:pgMar w:top="1440" w:right="1440" w:bottom="1440" w:left="1440" w:header="720" w:footer="720" w:gutter="0"/>
          <w:lnNumType w:countBy="1" w:restart="continuous"/>
          <w:pgNumType w:start="1"/>
          <w:cols w:space="720"/>
          <w:titlePg/>
          <w:docGrid w:linePitch="299"/>
        </w:sectPr>
      </w:pPr>
    </w:p>
    <w:p w14:paraId="22C79A6B" w14:textId="594D8D67" w:rsidR="000B55EB" w:rsidRPr="00701179" w:rsidRDefault="00701179" w:rsidP="004B658B">
      <w:pPr>
        <w:pStyle w:val="Heading2"/>
        <w:numPr>
          <w:ilvl w:val="0"/>
          <w:numId w:val="23"/>
        </w:numPr>
      </w:pPr>
      <w:r>
        <w:lastRenderedPageBreak/>
        <w:t>Introduction</w:t>
      </w:r>
    </w:p>
    <w:p w14:paraId="38F7794C" w14:textId="217F9887" w:rsidR="00701179" w:rsidRPr="00701179" w:rsidRDefault="00701179" w:rsidP="00701179">
      <w:pPr>
        <w:pStyle w:val="BodyText"/>
      </w:pPr>
      <w:r w:rsidRPr="00701179">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w:t>
      </w:r>
      <w:proofErr w:type="spellStart"/>
      <w:r w:rsidRPr="00701179">
        <w:t>Mahdianpari</w:t>
      </w:r>
      <w:proofErr w:type="spellEnd"/>
      <w:r w:rsidRPr="00701179">
        <w:t xml:space="preserve"> et al., 2019). In sub-Saharan Africa, the problem is acute. Many wetlands of continental significance</w:t>
      </w:r>
      <w:r>
        <w:t xml:space="preserve"> function with</w:t>
      </w:r>
      <w:r w:rsidRPr="00701179">
        <w:t xml:space="preserve"> </w:t>
      </w:r>
      <w:r>
        <w:t>limited</w:t>
      </w:r>
      <w:r w:rsidRPr="00701179">
        <w:t xml:space="preserve"> </w:t>
      </w:r>
      <w:r>
        <w:t>mapping</w:t>
      </w:r>
      <w:r w:rsidRPr="00701179">
        <w:t>, and those that exist rely on single-date optical imagery that captures a snapshot rather than the seasonal and inter-annual variability that defines wetland function (Rebelo et al., 2009; Muro et al., 2016).</w:t>
      </w:r>
    </w:p>
    <w:p w14:paraId="4243EFF3" w14:textId="77777777" w:rsidR="00701179" w:rsidRPr="00701179" w:rsidRDefault="00701179" w:rsidP="00701179">
      <w:pPr>
        <w:pStyle w:val="BodyText"/>
      </w:pPr>
      <w:r w:rsidRPr="00701179">
        <w:t>Remote sensing offers the spatial and temporal coverage that field surveys cannot match, and two decades of methodological development have produced a substantial toolkit for wetland mapping (</w:t>
      </w:r>
      <w:proofErr w:type="spellStart"/>
      <w:r w:rsidRPr="00701179">
        <w:t>Ozesmi</w:t>
      </w:r>
      <w:proofErr w:type="spellEnd"/>
      <w:r w:rsidRPr="00701179">
        <w:t xml:space="preserve"> and Bauer, 2002; Mahdavi et al., 2018). Yet accurate mapping of inland wetlands remains difficult. Shallow, turbid waters confound optical classification. Cloud cover obscures tropical wet seasons precisely when inundation is greatest. Emergent vegetation masks the water beneath it. </w:t>
      </w:r>
      <w:proofErr w:type="spellStart"/>
      <w:r w:rsidRPr="00701179">
        <w:t>Coloured</w:t>
      </w:r>
      <w:proofErr w:type="spellEnd"/>
      <w:r w:rsidRPr="00701179">
        <w:t xml:space="preserve"> dissolved organic matter, suspended sediment, and phytoplankton blooms alter spectral properties in ways that atmospheric correction algorithms handle poorly (Matthews, 2011; </w:t>
      </w:r>
      <w:proofErr w:type="spellStart"/>
      <w:r w:rsidRPr="00701179">
        <w:t>Ogashawara</w:t>
      </w:r>
      <w:proofErr w:type="spellEnd"/>
      <w:r w:rsidRPr="00701179">
        <w:t xml:space="preserve"> et al., 2017). Higher-resolution sensors introduce their own constraints in spectral coverage, radiometric sensitivity, and temporal frequency (Palmer et al., 2015; </w:t>
      </w:r>
      <w:proofErr w:type="spellStart"/>
      <w:r w:rsidRPr="00701179">
        <w:t>Kutser</w:t>
      </w:r>
      <w:proofErr w:type="spellEnd"/>
      <w:r w:rsidRPr="00701179">
        <w:t>, 2012).</w:t>
      </w:r>
    </w:p>
    <w:p w14:paraId="4A743B9B" w14:textId="77777777" w:rsidR="00701179" w:rsidRPr="00701179" w:rsidRDefault="00701179" w:rsidP="00701179">
      <w:pPr>
        <w:pStyle w:val="BodyText"/>
      </w:pPr>
      <w:r w:rsidRPr="00701179">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w:t>
      </w:r>
      <w:proofErr w:type="spellStart"/>
      <w:r w:rsidRPr="00701179">
        <w:t>Mahdianpari</w:t>
      </w:r>
      <w:proofErr w:type="spellEnd"/>
      <w:r w:rsidRPr="00701179">
        <w:t xml:space="preserve"> et al., 2019). These advances enable on-demand, large-scale wetland mapping that was not possible a decade ago.</w:t>
      </w:r>
    </w:p>
    <w:p w14:paraId="0134EE70" w14:textId="714A2E26" w:rsidR="00701179" w:rsidRPr="00701179" w:rsidRDefault="00701179" w:rsidP="00AA0BEB">
      <w:pPr>
        <w:pStyle w:val="BodyText"/>
        <w:rPr>
          <w:rFonts w:cs="Arial"/>
        </w:rPr>
      </w:pPr>
      <w:r w:rsidRPr="00701179">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w:t>
      </w:r>
      <w:r w:rsidRPr="00701179">
        <w:lastRenderedPageBreak/>
        <w:t>political ecology that governs access to fluctuating resources (Yiran et al., 2012; Sulieman and Ahmed, 2013; Demichelis et al., 2023). Maps that are technically defensible remain ecologically and socially incomplete.</w:t>
      </w:r>
    </w:p>
    <w:p w14:paraId="66ABFB61" w14:textId="77777777" w:rsidR="00701179" w:rsidRDefault="00701179" w:rsidP="00AA0BEB">
      <w:pPr>
        <w:pStyle w:val="BodyText"/>
      </w:pPr>
      <w:r w:rsidRPr="00701179">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socio-ecological structures that determine how the lake's resources are governed, contested, and used.</w:t>
      </w:r>
    </w:p>
    <w:p w14:paraId="05328035" w14:textId="7D21FA54" w:rsidR="0071720C" w:rsidRDefault="00201ADC" w:rsidP="0071720C">
      <w:pPr>
        <w:pStyle w:val="Heading2"/>
      </w:pPr>
      <w:r>
        <w:t xml:space="preserve">1.1 </w:t>
      </w:r>
      <w:r w:rsidR="0023705F">
        <w:t xml:space="preserve">Methodological </w:t>
      </w:r>
      <w:r>
        <w:t>Challenge</w:t>
      </w:r>
      <w:r w:rsidR="00450DA6">
        <w:t>s</w:t>
      </w:r>
      <w:r>
        <w:t xml:space="preserve"> </w:t>
      </w:r>
      <w:r w:rsidR="00967820">
        <w:t xml:space="preserve">of </w:t>
      </w:r>
      <w:r w:rsidR="0071720C" w:rsidRPr="0071720C">
        <w:t>Remote</w:t>
      </w:r>
      <w:r w:rsidR="0071720C">
        <w:t xml:space="preserve"> Sensing Wetland</w:t>
      </w:r>
      <w:r w:rsidR="00CA0A60">
        <w:t>s</w:t>
      </w:r>
    </w:p>
    <w:p w14:paraId="5C3DDBB5" w14:textId="22A33BD3" w:rsidR="0071720C" w:rsidRDefault="0071720C" w:rsidP="0071720C">
      <w:pPr>
        <w:pStyle w:val="BodyText"/>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4C229063" w14:textId="77777777" w:rsidR="0071720C" w:rsidRDefault="0071720C" w:rsidP="0071720C">
      <w:pPr>
        <w:pStyle w:val="BodyText"/>
      </w:pPr>
    </w:p>
    <w:p w14:paraId="49CD08D9" w14:textId="6B3ACED6" w:rsidR="0071720C" w:rsidRDefault="0071720C" w:rsidP="0071720C">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w:t>
      </w:r>
      <w:proofErr w:type="spellStart"/>
      <w:r>
        <w:t>Ozesmi</w:t>
      </w:r>
      <w:proofErr w:type="spellEnd"/>
      <w:r>
        <w:t xml:space="preserve"> and Bauer, 2002). Endorheic lakes with fluctuating shorelines present mixed pixels at the land-water boundary where NDWI thresholds systematically misclassify wet soil as dry land (Deus and </w:t>
      </w:r>
      <w:proofErr w:type="spellStart"/>
      <w:r>
        <w:t>Gloaguen</w:t>
      </w:r>
      <w:proofErr w:type="spellEnd"/>
      <w:r>
        <w:t>, 2013).</w:t>
      </w:r>
    </w:p>
    <w:p w14:paraId="59D93BA8" w14:textId="77777777" w:rsidR="0071720C" w:rsidRDefault="0071720C" w:rsidP="0071720C">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w:t>
      </w:r>
      <w:r>
        <w:lastRenderedPageBreak/>
        <w:t xml:space="preserve">2016). </w:t>
      </w:r>
      <w:proofErr w:type="spellStart"/>
      <w:r>
        <w:t>Heimhuber</w:t>
      </w:r>
      <w:proofErr w:type="spellEnd"/>
      <w:r>
        <w:t xml:space="preserve"> et al. (2018) found that MNDWI required SAR fusion to map water extent beneath vegetation in the Murray-Darling system.</w:t>
      </w:r>
    </w:p>
    <w:p w14:paraId="0E7F37FF" w14:textId="77777777" w:rsidR="0071720C" w:rsidRDefault="0071720C" w:rsidP="0071720C">
      <w:pPr>
        <w:pStyle w:val="BodyText"/>
      </w:pPr>
      <w:r>
        <w:t>The Automated Water Extraction Index (</w:t>
      </w:r>
      <w:proofErr w:type="spellStart"/>
      <w:r>
        <w:t>AWEIsh</w:t>
      </w:r>
      <w:proofErr w:type="spellEnd"/>
      <w:r>
        <w:t xml:space="preserve">;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w:t>
      </w:r>
      <w:proofErr w:type="spellStart"/>
      <w:r>
        <w:t>AWEIsh</w:t>
      </w:r>
      <w:proofErr w:type="spellEnd"/>
      <w:r>
        <w:t xml:space="preserve"> included, consistently mapped shallow or seasonal water bodies in a global comparison. In endorheic systems, </w:t>
      </w:r>
      <w:proofErr w:type="spellStart"/>
      <w:r>
        <w:t>AWEIsh</w:t>
      </w:r>
      <w:proofErr w:type="spellEnd"/>
      <w:r>
        <w:t xml:space="preserve"> can misclassify exposed lakebed and brine as water (Pekel et al., 2016).</w:t>
      </w:r>
    </w:p>
    <w:p w14:paraId="634A89E0" w14:textId="77777777" w:rsidR="0071720C" w:rsidRDefault="0071720C" w:rsidP="0071720C">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w:t>
      </w:r>
      <w:proofErr w:type="spellStart"/>
      <w:r>
        <w:t>Demelash</w:t>
      </w:r>
      <w:proofErr w:type="spellEnd"/>
      <w:r>
        <w:t xml:space="preserve">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15E85857" w14:textId="77777777" w:rsidR="0071720C" w:rsidRDefault="0071720C" w:rsidP="0071720C">
      <w:pPr>
        <w:pStyle w:val="BodyText"/>
      </w:pPr>
      <w:r>
        <w:t xml:space="preserve">The Normalized Difference Pond Index (NDPI; </w:t>
      </w:r>
      <w:proofErr w:type="spellStart"/>
      <w:r>
        <w:t>Lacaux</w:t>
      </w:r>
      <w:proofErr w:type="spellEnd"/>
      <w:r>
        <w:t xml:space="preserve">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2BC56251" w14:textId="77777777" w:rsidR="0071720C" w:rsidRDefault="0071720C" w:rsidP="0071720C">
      <w:pPr>
        <w:pStyle w:val="BodyText"/>
      </w:pPr>
      <w:r>
        <w:t xml:space="preserve">The pattern across all five indices is consistent: each occupies a spectral niche but fails at the boundaries that define Lake </w:t>
      </w:r>
      <w:proofErr w:type="spellStart"/>
      <w:r>
        <w:t>Chilwa's</w:t>
      </w:r>
      <w:proofErr w:type="spellEnd"/>
      <w:r>
        <w:t xml:space="preserve">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5C7A6F7B" w14:textId="27B48670" w:rsidR="0071720C" w:rsidRDefault="00201ADC" w:rsidP="00CA0A60">
      <w:pPr>
        <w:pStyle w:val="Heading2"/>
      </w:pPr>
      <w:r>
        <w:lastRenderedPageBreak/>
        <w:t xml:space="preserve">1.2 </w:t>
      </w:r>
      <w:r w:rsidR="00371E39">
        <w:t xml:space="preserve">The </w:t>
      </w:r>
      <w:r w:rsidR="0071720C">
        <w:t>SAR</w:t>
      </w:r>
      <w:r w:rsidR="00371E39">
        <w:t>-</w:t>
      </w:r>
      <w:r w:rsidR="0071720C">
        <w:t xml:space="preserve">Optical </w:t>
      </w:r>
      <w:r w:rsidR="00371E39">
        <w:t>Fusion Approach</w:t>
      </w:r>
    </w:p>
    <w:p w14:paraId="6B6A738A" w14:textId="77777777" w:rsidR="0071720C" w:rsidRDefault="0071720C" w:rsidP="0071720C">
      <w:pPr>
        <w:pStyle w:val="BodyText"/>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2DAE5822" w14:textId="77777777" w:rsidR="0071720C" w:rsidRDefault="0071720C" w:rsidP="0071720C">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w:t>
      </w:r>
      <w:proofErr w:type="spellStart"/>
      <w:r>
        <w:t>Tsyganskaya</w:t>
      </w:r>
      <w:proofErr w:type="spellEnd"/>
      <w:r>
        <w:t xml:space="preserve"> et al., 2018). The contrast between double-bounce returns from flooded vegetation and volume scattering from dry canopies is the physical basis for detecting sub-canopy inundation.</w:t>
      </w:r>
    </w:p>
    <w:p w14:paraId="54AE4A83" w14:textId="77777777" w:rsidR="0071720C" w:rsidRDefault="0071720C" w:rsidP="0071720C">
      <w:pPr>
        <w:pStyle w:val="BodyText"/>
      </w:pPr>
      <w:r>
        <w:t xml:space="preserve">Sentinel-1, operational since 2014, provides C-band imagery at 10 m resolution with </w:t>
      </w:r>
      <w:proofErr w:type="gramStart"/>
      <w:r>
        <w:t>6 to 12 day</w:t>
      </w:r>
      <w:proofErr w:type="gramEnd"/>
      <w:r>
        <w:t xml:space="preserve"> revisit. Its dual-</w:t>
      </w:r>
      <w:proofErr w:type="spellStart"/>
      <w:r>
        <w:t>polarisation</w:t>
      </w:r>
      <w:proofErr w:type="spellEnd"/>
      <w:r>
        <w:t xml:space="preserve">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w:t>
      </w:r>
      <w:proofErr w:type="spellStart"/>
      <w:r>
        <w:t>characterise</w:t>
      </w:r>
      <w:proofErr w:type="spellEnd"/>
      <w:r>
        <w:t xml:space="preserve"> hydroperiod without ground data. The Sentinel-1 Global Flood Monitoring service now processes all incoming acquisitions for near-real-time detection (Roth et al., 2025).</w:t>
      </w:r>
    </w:p>
    <w:p w14:paraId="2652E5E5" w14:textId="77777777" w:rsidR="0071720C" w:rsidRDefault="0071720C" w:rsidP="0071720C">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1ECB06D3" w14:textId="77777777" w:rsidR="0071720C" w:rsidRDefault="0071720C" w:rsidP="0071720C">
      <w:pPr>
        <w:pStyle w:val="BodyText"/>
      </w:pPr>
      <w:r>
        <w:t xml:space="preserve">SAR interferometry offers additional capability. InSAR measures phase differences between acquisitions to detect </w:t>
      </w:r>
      <w:proofErr w:type="spellStart"/>
      <w:r>
        <w:t>centimetre</w:t>
      </w:r>
      <w:proofErr w:type="spellEnd"/>
      <w:r>
        <w:t xml:space="preserve">-scale vertical displacement. In wetlands, the double-bounce </w:t>
      </w:r>
      <w:r>
        <w:lastRenderedPageBreak/>
        <w:t>mechanism preserves coherence, enabling water level change detection at resolutions exceeding gauge networks (</w:t>
      </w:r>
      <w:proofErr w:type="spellStart"/>
      <w:r>
        <w:t>Wdowinski</w:t>
      </w:r>
      <w:proofErr w:type="spellEnd"/>
      <w:r>
        <w:t xml:space="preserve"> et al., 2008; Hong and Wdowinski, 2017). Kim et al. (2021) mapped water level gradients across Tonle Sap at sub-monthly intervals. Temporal decorrelation and atmospheric phase delays limit the technique, particularly at C-band over intervals exceeding two weeks (</w:t>
      </w:r>
      <w:proofErr w:type="spellStart"/>
      <w:r>
        <w:t>Zebker</w:t>
      </w:r>
      <w:proofErr w:type="spellEnd"/>
      <w:r>
        <w:t xml:space="preserve"> and Villasenor, 1992). InSAR water level retrieval has not been attempted for African endorheic systems.</w:t>
      </w:r>
    </w:p>
    <w:p w14:paraId="1BD964E2" w14:textId="77777777" w:rsidR="0071720C" w:rsidRDefault="0071720C" w:rsidP="0071720C">
      <w:pPr>
        <w:pStyle w:val="BodyText"/>
      </w:pPr>
      <w:r>
        <w:t xml:space="preserve">Fusing SAR and optical data </w:t>
      </w:r>
      <w:proofErr w:type="gramStart"/>
      <w:r>
        <w:t>exploits</w:t>
      </w:r>
      <w:proofErr w:type="gramEnd"/>
      <w:r>
        <w:t xml:space="preserve">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w:t>
      </w:r>
      <w:proofErr w:type="spellStart"/>
      <w:r>
        <w:t>Lubala</w:t>
      </w:r>
      <w:proofErr w:type="spellEnd"/>
      <w:r>
        <w:t xml:space="preserve"> et al. (2023) fused Sentinel-1, Sentinel-2, and ALOS PALSAR to map small inland wetlands in the Democratic Republic of Congo. These studies confirm that multi-sensor integration captures dynamics that either sensor family misses alone.</w:t>
      </w:r>
    </w:p>
    <w:p w14:paraId="5F841480" w14:textId="597BA1B8" w:rsidR="0071720C" w:rsidRDefault="00201ADC" w:rsidP="00CA0A60">
      <w:pPr>
        <w:pStyle w:val="Heading2"/>
      </w:pPr>
      <w:r>
        <w:t xml:space="preserve">1.3 </w:t>
      </w:r>
      <w:r w:rsidR="0071720C">
        <w:t>Study Area</w:t>
      </w:r>
    </w:p>
    <w:p w14:paraId="7948778B" w14:textId="6D4F50C9" w:rsidR="00201ADC" w:rsidRDefault="00201ADC" w:rsidP="00201ADC">
      <w:pPr>
        <w:pStyle w:val="BodyText"/>
      </w:pPr>
      <w:r>
        <w:t>Lake Chilwa Basin is one of Africa's most productive endorheic ecosystems. Located in southern Malawi, this shallow terminal basin spans approximately 2,310 km2, of which only one third is open water, the remainder comprising Typha swamp and seasonally inundated marshland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km-2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w:t>
      </w:r>
      <w:proofErr w:type="spellStart"/>
      <w:r>
        <w:t>Chiotha</w:t>
      </w:r>
      <w:proofErr w:type="spellEnd"/>
      <w:r>
        <w:t xml:space="preserve">, 1996; </w:t>
      </w:r>
      <w:proofErr w:type="spellStart"/>
      <w:r>
        <w:t>Njaya</w:t>
      </w:r>
      <w:proofErr w:type="spellEnd"/>
      <w:r>
        <w:t xml:space="preserve"> et al., 2011).</w:t>
      </w:r>
    </w:p>
    <w:p w14:paraId="6C1EFE9D" w14:textId="77777777" w:rsidR="00201ADC" w:rsidRDefault="00201ADC" w:rsidP="00201ADC">
      <w:pPr>
        <w:pStyle w:val="BodyText"/>
      </w:pPr>
      <w:r>
        <w:t>The basin's hydrology is driven by unimodal rainfall (November to April) and sporadic chiperone rains (May to August). Annual fluctuations follow precipitation patterns closely (</w:t>
      </w:r>
      <w:proofErr w:type="spellStart"/>
      <w:r>
        <w:t>Ngongondo</w:t>
      </w:r>
      <w:proofErr w:type="spellEnd"/>
      <w:r>
        <w:t xml:space="preserve"> et al., 2011; Nicholson et al., 2014). Longer-term cycles of approximately 15 to 20 years produce dramatic lake recessions and varying degrees of complete desiccation (</w:t>
      </w:r>
      <w:proofErr w:type="spellStart"/>
      <w:r>
        <w:t>Kambombe</w:t>
      </w:r>
      <w:proofErr w:type="spellEnd"/>
      <w:r>
        <w:t xml:space="preserve"> et al., 2021). Wilson (2014) compiled the most complete chronology of lake levels, documenting major recessions in 1900, 1913-16, 1922, 1934, 1943, 1946, 1952, 1960, 1967-68, 1995, and 2012-13, set within a geological record of pluvial and inter-pluvial phases extending 450,000 years. </w:t>
      </w:r>
      <w:r>
        <w:lastRenderedPageBreak/>
        <w:t xml:space="preserve">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w:t>
      </w:r>
      <w:proofErr w:type="spellStart"/>
      <w:r>
        <w:t>kilometres</w:t>
      </w:r>
      <w:proofErr w:type="spellEnd"/>
      <w:r>
        <w:t>, leaving communities stranded from open water (Kalk, 1979; Allison and Mvula, 2002).</w:t>
      </w:r>
    </w:p>
    <w:p w14:paraId="09E73DB5" w14:textId="16DB1C7E" w:rsidR="00201ADC" w:rsidRDefault="00201ADC" w:rsidP="00201ADC">
      <w:pPr>
        <w:pStyle w:val="BodyText"/>
      </w:pPr>
      <w:r>
        <w:t xml:space="preserve">During recession, the lake's three main commercial species, Barbus </w:t>
      </w:r>
      <w:proofErr w:type="spellStart"/>
      <w:r>
        <w:t>paludinosus</w:t>
      </w:r>
      <w:proofErr w:type="spellEnd"/>
      <w:r>
        <w:t xml:space="preserve"> (</w:t>
      </w:r>
      <w:proofErr w:type="spellStart"/>
      <w:r>
        <w:t>matemba</w:t>
      </w:r>
      <w:proofErr w:type="spellEnd"/>
      <w:r>
        <w:t xml:space="preserve">), Clarias </w:t>
      </w:r>
      <w:proofErr w:type="spellStart"/>
      <w:r>
        <w:t>gariepinus</w:t>
      </w:r>
      <w:proofErr w:type="spellEnd"/>
      <w:r>
        <w:t xml:space="preserve"> (</w:t>
      </w:r>
      <w:proofErr w:type="spellStart"/>
      <w:r>
        <w:t>mlamba</w:t>
      </w:r>
      <w:proofErr w:type="spellEnd"/>
      <w:r>
        <w:t xml:space="preserve">), and Oreochromis </w:t>
      </w:r>
      <w:proofErr w:type="spellStart"/>
      <w:r>
        <w:t>shiranus</w:t>
      </w:r>
      <w:proofErr w:type="spellEnd"/>
      <w:r>
        <w:t xml:space="preserve"> </w:t>
      </w:r>
      <w:proofErr w:type="spellStart"/>
      <w:r>
        <w:t>chilwae</w:t>
      </w:r>
      <w:proofErr w:type="spellEnd"/>
      <w:r>
        <w:t xml:space="preserve"> (</w:t>
      </w:r>
      <w:proofErr w:type="spellStart"/>
      <w:r>
        <w:t>chambo</w:t>
      </w:r>
      <w:proofErr w:type="spellEnd"/>
      <w:r>
        <w:t xml:space="preserve">), take refuge in residual deep pools at alluvial river mouths and in swamps dominated by salt-hardy Typha </w:t>
      </w:r>
      <w:proofErr w:type="spellStart"/>
      <w:r>
        <w:t>domingensis</w:t>
      </w:r>
      <w:proofErr w:type="spellEnd"/>
      <w:r>
        <w:t xml:space="preserve"> Pers. (Howard-Williams and Walker, 1974; Howard-Williams and Gaudet, 1985). These species have evolved characteristics suited to a fluctuating environment: high fecundity, early reproductive maturity, broad diets, </w:t>
      </w:r>
      <w:proofErr w:type="spellStart"/>
      <w:r>
        <w:t>unspecialised</w:t>
      </w:r>
      <w:proofErr w:type="spellEnd"/>
      <w:r>
        <w:t xml:space="preserve"> spawning habits, and tolerance to wide environmental variation (</w:t>
      </w:r>
      <w:proofErr w:type="spellStart"/>
      <w:r>
        <w:t>Njaya</w:t>
      </w:r>
      <w:proofErr w:type="spellEnd"/>
      <w:r>
        <w:t>, 2001). Refilling initiates complex succession dynamics, with emergent food webs driven by detritus and bacterial processes in alkaline, nutrient-rich sediments (Kalk and Schulten-Senden, 1977; Furse et al., 1979). Peak productivity reaches 159 kg ha-1 (1979) and 113 kg ha-1 (1990), surpassing Lake Malawi (40 kg ha-1), Lake Tanganyika (90 kg ha-1), and Lake Victoria (116 kg ha-1) (</w:t>
      </w:r>
      <w:proofErr w:type="spellStart"/>
      <w:r>
        <w:t>Njaya</w:t>
      </w:r>
      <w:proofErr w:type="spellEnd"/>
      <w:r>
        <w:t xml:space="preserve"> et al., 2011; Vanden Bossche and </w:t>
      </w:r>
      <w:proofErr w:type="spellStart"/>
      <w:r>
        <w:t>Bernacsek</w:t>
      </w:r>
      <w:proofErr w:type="spellEnd"/>
      <w:r>
        <w:t xml:space="preserve">, 1990). Wilson (2014) notes that the 1979 bumper harvest of 24,310 </w:t>
      </w:r>
      <w:proofErr w:type="spellStart"/>
      <w:r>
        <w:t>tonnes</w:t>
      </w:r>
      <w:proofErr w:type="spellEnd"/>
      <w:r>
        <w:t xml:space="preserve"> followed six years after the lake dried, during which oxidation of organic matter released nutrients that </w:t>
      </w:r>
      <w:proofErr w:type="spellStart"/>
      <w:r>
        <w:t>fuelled</w:t>
      </w:r>
      <w:proofErr w:type="spellEnd"/>
      <w:r>
        <w:t xml:space="preserve"> explosive productivity upon refilling.</w:t>
      </w:r>
    </w:p>
    <w:p w14:paraId="0736EEAC" w14:textId="77777777" w:rsidR="00201ADC" w:rsidRDefault="00201ADC" w:rsidP="00201ADC">
      <w:pPr>
        <w:pStyle w:val="BodyText"/>
      </w:pPr>
      <w:r>
        <w:t xml:space="preserve">This boom-and-bust ecology sustains a complex mobile population. The basin's settlement history stretches back millennia, from </w:t>
      </w:r>
      <w:proofErr w:type="spellStart"/>
      <w:r>
        <w:t>Akafula</w:t>
      </w:r>
      <w:proofErr w:type="spellEnd"/>
      <w:r>
        <w:t xml:space="preserve"> hunter-gatherers through the 16th-century Maravi (</w:t>
      </w:r>
      <w:proofErr w:type="spellStart"/>
      <w:r>
        <w:t>Mang'anja</w:t>
      </w:r>
      <w:proofErr w:type="spellEnd"/>
      <w:r>
        <w:t xml:space="preserve">) </w:t>
      </w:r>
      <w:proofErr w:type="spellStart"/>
      <w:r>
        <w:t>chieftancies</w:t>
      </w:r>
      <w:proofErr w:type="spellEnd"/>
      <w:r>
        <w:t xml:space="preserve">, the mid-19th-century Yao migration from Mozambique, and the 20th-century </w:t>
      </w:r>
      <w:proofErr w:type="spellStart"/>
      <w:r>
        <w:t>Lomwe</w:t>
      </w:r>
      <w:proofErr w:type="spellEnd"/>
      <w:r>
        <w:t xml:space="preserve"> influx from Portuguese East Africa (Wilson, 2010). Today, permanent lakeshore communities of Yao, Nyanja, and </w:t>
      </w:r>
      <w:proofErr w:type="spellStart"/>
      <w:r>
        <w:t>Lomwe</w:t>
      </w:r>
      <w:proofErr w:type="spellEnd"/>
      <w:r>
        <w:t xml:space="preserve"> matrilineal descent groups farm the seasonally exposed lakebed and fish inshore waters. Seasonal migrants travel from as far as Machinga district to the north, spending weeks to months on </w:t>
      </w:r>
      <w:proofErr w:type="spellStart"/>
      <w:r>
        <w:t>zimbowera</w:t>
      </w:r>
      <w:proofErr w:type="spellEnd"/>
      <w:r>
        <w:t xml:space="preserve">, floating platforms of piled Typha grass that serve as fishing camps in the lake interior (Murphy, 2014). These </w:t>
      </w:r>
      <w:proofErr w:type="spellStart"/>
      <w:r>
        <w:t>zimbowera</w:t>
      </w:r>
      <w:proofErr w:type="spellEnd"/>
      <w:r>
        <w:t xml:space="preserve"> </w:t>
      </w:r>
      <w:proofErr w:type="spellStart"/>
      <w:r>
        <w:t>neighbourhoods</w:t>
      </w:r>
      <w:proofErr w:type="spellEnd"/>
      <w:r>
        <w:t xml:space="preserve">, such as Andere, </w:t>
      </w:r>
      <w:proofErr w:type="spellStart"/>
      <w:r>
        <w:t>Chambwalu</w:t>
      </w:r>
      <w:proofErr w:type="spellEnd"/>
      <w:r>
        <w:t xml:space="preserve">, and </w:t>
      </w:r>
      <w:proofErr w:type="spellStart"/>
      <w:r>
        <w:t>Lingoni</w:t>
      </w:r>
      <w:proofErr w:type="spellEnd"/>
      <w:r>
        <w:t xml:space="preserve">, support shifting populations of 300 to 1,000 fishers and sustain their own tea rooms, trading posts, and social governance structures. During the wet season, when fishing grounds are most productive but most inaccessible from the mainland, </w:t>
      </w:r>
      <w:proofErr w:type="spellStart"/>
      <w:r>
        <w:t>zimbowera</w:t>
      </w:r>
      <w:proofErr w:type="spellEnd"/>
      <w:r>
        <w:t xml:space="preserve"> cooperatives form along lines of village membership, kinship, and occupational </w:t>
      </w:r>
      <w:proofErr w:type="spellStart"/>
      <w:r>
        <w:t>specialisation</w:t>
      </w:r>
      <w:proofErr w:type="spellEnd"/>
      <w:r>
        <w:t xml:space="preserve">. </w:t>
      </w:r>
      <w:r>
        <w:lastRenderedPageBreak/>
        <w:t xml:space="preserve">Seine-net crews of up to 80 fishers operate from large camps under single owners, while smaller gill-net cooperatives of three to four family members share boats, equipment, and risks on remote islands (Murphy, 2014). The fishery's principal port is </w:t>
      </w:r>
      <w:proofErr w:type="spellStart"/>
      <w:r>
        <w:t>Kachulu</w:t>
      </w:r>
      <w:proofErr w:type="spellEnd"/>
      <w:r>
        <w:t>, on the western shore in Zomba district, which serves as the hub for a regional marketing network extending by bicycle and truck to Zomba, Blantyre, Liwonde, Phalombe, and Mulanje.</w:t>
      </w:r>
    </w:p>
    <w:p w14:paraId="789BFA9B" w14:textId="77777777" w:rsidR="00201ADC" w:rsidRPr="00201ADC" w:rsidRDefault="00201ADC" w:rsidP="00201ADC"/>
    <w:p w14:paraId="2FFA6D13" w14:textId="7FA5D834" w:rsidR="00201ADC" w:rsidRDefault="00201ADC" w:rsidP="00201ADC">
      <w:pPr>
        <w:pStyle w:val="Heading2"/>
      </w:pPr>
      <w:r w:rsidRPr="00201ADC">
        <w:t>1.4 Research Objectives</w:t>
      </w:r>
    </w:p>
    <w:p w14:paraId="446F3EC2" w14:textId="0C04D209" w:rsidR="00201ADC" w:rsidRPr="00201ADC" w:rsidRDefault="00201ADC" w:rsidP="00201ADC">
      <w:pPr>
        <w:pStyle w:val="BodyText"/>
      </w:pPr>
      <w:r w:rsidRPr="00201ADC">
        <w:t xml:space="preserve">This study presents an integrated remote sensing and participatory mapping approach to </w:t>
      </w:r>
      <w:proofErr w:type="spellStart"/>
      <w:r w:rsidRPr="00201ADC">
        <w:t>characterise</w:t>
      </w:r>
      <w:proofErr w:type="spellEnd"/>
      <w:r w:rsidRPr="00201ADC">
        <w:t xml:space="preserve"> lacustrine transgression-regression dynamics and associated socio-ecological patterns in the Lake Chilwa Basin. The objectives are:</w:t>
      </w:r>
    </w:p>
    <w:p w14:paraId="518FFCCC" w14:textId="77777777" w:rsidR="00201ADC" w:rsidRDefault="00201ADC" w:rsidP="00201ADC">
      <w:pPr>
        <w:pStyle w:val="NoSpacing"/>
        <w:numPr>
          <w:ilvl w:val="0"/>
          <w:numId w:val="14"/>
        </w:numPr>
      </w:pPr>
      <w:r w:rsidRPr="00201ADC">
        <w:t xml:space="preserve">Evaluate five optical water-extraction indices (NDWI, MNDWI, </w:t>
      </w:r>
      <w:proofErr w:type="spellStart"/>
      <w:r w:rsidRPr="00201ADC">
        <w:t>AWEIsh</w:t>
      </w:r>
      <w:proofErr w:type="spellEnd"/>
      <w:r w:rsidRPr="00201ADC">
        <w:t>, WRI, NDPI) and Sentinel-1 C-band SAR for mapping inundation extent across the basin's full range of conditions, from deep open water through shallow turbid zones to vegetated marshland.</w:t>
      </w:r>
    </w:p>
    <w:p w14:paraId="31B438BB" w14:textId="5ECBF557" w:rsidR="00201ADC" w:rsidRPr="00201ADC" w:rsidRDefault="00201ADC" w:rsidP="00201ADC">
      <w:pPr>
        <w:pStyle w:val="NoSpacing"/>
        <w:numPr>
          <w:ilvl w:val="0"/>
          <w:numId w:val="14"/>
        </w:numPr>
      </w:pPr>
      <w:r w:rsidRPr="00201ADC">
        <w:t>Integrate SAR and optical time series using spectral mixture analysis to quantify hydroperiod fluctuations and littoral zone dynamics across multiple recession-refilling cycles.</w:t>
      </w:r>
    </w:p>
    <w:p w14:paraId="0D0FC30B" w14:textId="77777777" w:rsidR="00201ADC" w:rsidRDefault="00201ADC" w:rsidP="00201ADC">
      <w:pPr>
        <w:pStyle w:val="NoSpacing"/>
        <w:numPr>
          <w:ilvl w:val="0"/>
          <w:numId w:val="14"/>
        </w:numPr>
      </w:pPr>
      <w:r w:rsidRPr="00201ADC">
        <w:t>Validate satellite-derived classifications against ethnographic data collected through key informant interviews, focus group discussions, and participatory mapping with migrant fishing communities.</w:t>
      </w:r>
    </w:p>
    <w:p w14:paraId="0BCAA95D" w14:textId="56E0E721" w:rsidR="00201ADC" w:rsidRPr="00201ADC" w:rsidRDefault="00201ADC" w:rsidP="00201ADC">
      <w:pPr>
        <w:pStyle w:val="NoSpacing"/>
        <w:numPr>
          <w:ilvl w:val="0"/>
          <w:numId w:val="14"/>
        </w:numPr>
      </w:pPr>
      <w:r w:rsidRPr="00201ADC">
        <w:t>Document the spatiotemporal structure of fishing regulations, population movements, and resource use patterns that formal monitoring frameworks have not captured.</w:t>
      </w:r>
    </w:p>
    <w:p w14:paraId="429AA5A1" w14:textId="7194DB9D" w:rsidR="00EB5B8D" w:rsidRDefault="00EB5B8D" w:rsidP="00D84195">
      <w:pPr>
        <w:pStyle w:val="Heading2"/>
      </w:pPr>
      <w:r>
        <w:t>2, Methods</w:t>
      </w:r>
    </w:p>
    <w:p w14:paraId="4903D259" w14:textId="6C5CE3C3" w:rsidR="00D84195" w:rsidRDefault="00D84195" w:rsidP="00D84195">
      <w:pPr>
        <w:pStyle w:val="Heading2"/>
      </w:pPr>
      <w:r>
        <w:t>2.1 Socio-Ecological Systems Framework</w:t>
      </w:r>
    </w:p>
    <w:p w14:paraId="32A97F6B" w14:textId="0B54A26C" w:rsidR="00D84195" w:rsidRDefault="00D84195" w:rsidP="00D84195">
      <w:pPr>
        <w:pStyle w:val="BodyText"/>
      </w:pPr>
      <w:r>
        <w:t xml:space="preserve">The study employs a socio-ecological systems (SES) framework </w:t>
      </w:r>
      <w:r w:rsidR="00EB5B8D">
        <w:t>of mixed-methods two-staged approach</w:t>
      </w:r>
      <w:r w:rsidR="00640111">
        <w:t xml:space="preserve">, which </w:t>
      </w:r>
      <w:r>
        <w:t>integrat</w:t>
      </w:r>
      <w:r w:rsidR="00640111">
        <w:t>es</w:t>
      </w:r>
      <w:r>
        <w:t xml:space="preserve">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2B89F29B" w14:textId="77777777" w:rsidR="00D84195" w:rsidRDefault="00D84195" w:rsidP="00D84195">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w:t>
      </w:r>
      <w:r>
        <w:lastRenderedPageBreak/>
        <w:t xml:space="preserve">operated, comprising six Fisheries Associations aligned to Traditional Authorities and 53 Beach Village Committees aligned to Group Village Headmen, is described by Wilson (2009) in the Lake Chilwa and </w:t>
      </w:r>
      <w:proofErr w:type="spellStart"/>
      <w:r>
        <w:t>Mpoto</w:t>
      </w:r>
      <w:proofErr w:type="spellEnd"/>
      <w:r>
        <w:t xml:space="preserve"> Lagoon Fisheries Management Plan.</w:t>
      </w:r>
    </w:p>
    <w:p w14:paraId="71C2A716" w14:textId="6B22B408" w:rsidR="00D84195" w:rsidRPr="000C794D" w:rsidRDefault="00F522CE" w:rsidP="000C794D">
      <w:pPr>
        <w:pStyle w:val="Heading2"/>
      </w:pPr>
      <w:r>
        <w:rPr>
          <w:rStyle w:val="Strong"/>
          <w:b/>
          <w:bCs w:val="0"/>
        </w:rPr>
        <w:t xml:space="preserve">2.1.A </w:t>
      </w:r>
      <w:r w:rsidR="00D84195" w:rsidRPr="000C794D">
        <w:rPr>
          <w:rStyle w:val="Strong"/>
          <w:b/>
          <w:bCs w:val="0"/>
        </w:rPr>
        <w:t xml:space="preserve">Qualitative </w:t>
      </w:r>
      <w:r w:rsidR="00341564">
        <w:rPr>
          <w:rStyle w:val="Strong"/>
          <w:b/>
          <w:bCs w:val="0"/>
        </w:rPr>
        <w:t>Data</w:t>
      </w:r>
    </w:p>
    <w:p w14:paraId="662CE9C4" w14:textId="6D2AA56A" w:rsidR="00D84195" w:rsidRPr="000C794D" w:rsidRDefault="000C794D" w:rsidP="000C794D">
      <w:pPr>
        <w:pStyle w:val="BodyText"/>
      </w:pPr>
      <w:r>
        <w:t xml:space="preserve">Qualitative data collection </w:t>
      </w:r>
      <w:r w:rsidR="00D84195" w:rsidRPr="000C794D">
        <w:t xml:space="preserve">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w:t>
      </w:r>
      <w:proofErr w:type="spellStart"/>
      <w:r w:rsidR="00D84195" w:rsidRPr="000C794D">
        <w:t>zimbowera</w:t>
      </w:r>
      <w:proofErr w:type="spellEnd"/>
      <w:r w:rsidR="00D84195" w:rsidRPr="000C794D">
        <w:t xml:space="preserve"> cooperative leaders to capture competing perspectives on resource access, livelihood strategies, and enforcement disputes. The research was based principally at </w:t>
      </w:r>
      <w:proofErr w:type="spellStart"/>
      <w:r w:rsidR="00D84195" w:rsidRPr="000C794D">
        <w:t>Kachulu</w:t>
      </w:r>
      <w:proofErr w:type="spellEnd"/>
      <w:r w:rsidR="00D84195" w:rsidRPr="000C794D">
        <w:t xml:space="preserve">, the fishery's busiest port on the western shore, with extended visits to fishing camps at </w:t>
      </w:r>
      <w:proofErr w:type="spellStart"/>
      <w:r w:rsidR="00D84195" w:rsidRPr="000C794D">
        <w:t>Napali</w:t>
      </w:r>
      <w:proofErr w:type="spellEnd"/>
      <w:r w:rsidR="00D84195" w:rsidRPr="000C794D">
        <w:t xml:space="preserve">, Andere, </w:t>
      </w:r>
      <w:proofErr w:type="spellStart"/>
      <w:r w:rsidR="00D84195" w:rsidRPr="000C794D">
        <w:t>Chambwalu</w:t>
      </w:r>
      <w:proofErr w:type="spellEnd"/>
      <w:r w:rsidR="00D84195" w:rsidRPr="000C794D">
        <w:t xml:space="preserve">, </w:t>
      </w:r>
      <w:proofErr w:type="spellStart"/>
      <w:r w:rsidR="00D84195" w:rsidRPr="000C794D">
        <w:t>Lingoni</w:t>
      </w:r>
      <w:proofErr w:type="spellEnd"/>
      <w:r w:rsidR="00D84195" w:rsidRPr="000C794D">
        <w:t xml:space="preserve">, and Manda </w:t>
      </w:r>
      <w:proofErr w:type="spellStart"/>
      <w:r w:rsidR="00D84195" w:rsidRPr="000C794D">
        <w:t>Manjeza</w:t>
      </w:r>
      <w:proofErr w:type="spellEnd"/>
      <w:r w:rsidR="00D84195" w:rsidRPr="000C794D">
        <w:t xml:space="preserve">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w:t>
      </w:r>
      <w:proofErr w:type="spellStart"/>
      <w:r w:rsidR="00D84195" w:rsidRPr="000C794D">
        <w:t>zimbowera</w:t>
      </w:r>
      <w:proofErr w:type="spellEnd"/>
      <w:r w:rsidR="00D84195" w:rsidRPr="000C794D">
        <w:t xml:space="preserve"> </w:t>
      </w:r>
      <w:proofErr w:type="spellStart"/>
      <w:r w:rsidR="00D84195" w:rsidRPr="000C794D">
        <w:t>neighbourhoods</w:t>
      </w:r>
      <w:proofErr w:type="spellEnd"/>
      <w:r w:rsidR="00D84195" w:rsidRPr="000C794D">
        <w:t xml:space="preserve"> documented daily practices, operational logistics, social networks, and adaptive strategies during different hydrological phases (Murphy, 2014).</w:t>
      </w:r>
    </w:p>
    <w:p w14:paraId="78CFB435" w14:textId="501B1A64" w:rsidR="000C794D" w:rsidRPr="000C794D" w:rsidRDefault="00C914B4" w:rsidP="000C794D">
      <w:pPr>
        <w:pStyle w:val="Heading2"/>
      </w:pPr>
      <w:r>
        <w:rPr>
          <w:rStyle w:val="Strong"/>
          <w:b/>
          <w:bCs w:val="0"/>
        </w:rPr>
        <w:t xml:space="preserve">2.1.B </w:t>
      </w:r>
      <w:r w:rsidR="00D84195" w:rsidRPr="000C794D">
        <w:rPr>
          <w:rStyle w:val="Strong"/>
          <w:b/>
          <w:bCs w:val="0"/>
        </w:rPr>
        <w:t xml:space="preserve">Geographic </w:t>
      </w:r>
      <w:r w:rsidR="00A32FF7">
        <w:rPr>
          <w:rStyle w:val="Strong"/>
          <w:b/>
          <w:bCs w:val="0"/>
        </w:rPr>
        <w:t>D</w:t>
      </w:r>
      <w:r w:rsidR="00D84195" w:rsidRPr="000C794D">
        <w:rPr>
          <w:rStyle w:val="Strong"/>
          <w:b/>
          <w:bCs w:val="0"/>
        </w:rPr>
        <w:t>ata</w:t>
      </w:r>
    </w:p>
    <w:p w14:paraId="6410ECA7" w14:textId="513EFAB6" w:rsidR="00D84195" w:rsidRDefault="000C794D" w:rsidP="000C794D">
      <w:pPr>
        <w:pStyle w:val="BodyText"/>
      </w:pPr>
      <w:r>
        <w:t xml:space="preserve">Geographic data collection </w:t>
      </w:r>
      <w:r w:rsidR="00D84195">
        <w:t xml:space="preserve">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w:t>
      </w:r>
      <w:proofErr w:type="spellStart"/>
      <w:r w:rsidR="00D84195">
        <w:t>Mapila</w:t>
      </w:r>
      <w:proofErr w:type="spellEnd"/>
      <w:r w:rsidR="00D84195">
        <w:t xml:space="preserve"> Canal, approximately 10 to 15 km depending on lake levels) through which </w:t>
      </w:r>
      <w:proofErr w:type="gramStart"/>
      <w:r w:rsidR="00D84195">
        <w:t>fishers</w:t>
      </w:r>
      <w:proofErr w:type="gramEnd"/>
      <w:r w:rsidR="00D84195">
        <w:t xml:space="preserve"> access otherwise inaccessible interior fishing grounds. Ecological zones including wetland boundaries, vegetation transitions, and spawning areas were mapped alongside cultural landscapes such as sacred fishing sites on Chisi Island (</w:t>
      </w:r>
      <w:proofErr w:type="spellStart"/>
      <w:r w:rsidR="00D84195">
        <w:t>Kalanda</w:t>
      </w:r>
      <w:proofErr w:type="spellEnd"/>
      <w:r w:rsidR="00D84195">
        <w:t>-Sabola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w:t>
      </w:r>
      <w:proofErr w:type="spellStart"/>
      <w:r w:rsidR="00D84195">
        <w:t>truthed</w:t>
      </w:r>
      <w:proofErr w:type="spellEnd"/>
      <w:r w:rsidR="00D84195">
        <w:t xml:space="preserve"> against local observations. This process revealed discrepancies between technical classifications and actual resource use patterns, leading to refined mapping approaches.</w:t>
      </w:r>
    </w:p>
    <w:p w14:paraId="7853A472" w14:textId="29BE514D" w:rsidR="00D84195" w:rsidRDefault="0095148B" w:rsidP="000C794D">
      <w:pPr>
        <w:pStyle w:val="Heading2"/>
      </w:pPr>
      <w:r>
        <w:lastRenderedPageBreak/>
        <w:t xml:space="preserve">2.1.C </w:t>
      </w:r>
      <w:r w:rsidR="00D84195">
        <w:t>Reference Data</w:t>
      </w:r>
    </w:p>
    <w:p w14:paraId="3BD8AB31" w14:textId="77777777" w:rsidR="00D84195" w:rsidRDefault="00D84195" w:rsidP="000C794D">
      <w:pPr>
        <w:pStyle w:val="BodyText"/>
      </w:pPr>
      <w:r>
        <w:t>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022C415C" w14:textId="77777777" w:rsidR="00D84195" w:rsidRDefault="00D84195" w:rsidP="000C794D">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w:t>
      </w:r>
      <w:proofErr w:type="spellStart"/>
      <w:r>
        <w:t>Mahdianpari</w:t>
      </w:r>
      <w:proofErr w:type="spellEnd"/>
      <w:r>
        <w:t xml:space="preserve"> et al. (2019). Community validation during iterative feedback workshops identified spectrally ambiguous landscape units, such as seasonal versus permanent wetlands and distinct fishing zones, that required field verification to classify correctly.</w:t>
      </w:r>
    </w:p>
    <w:p w14:paraId="76D40FA1" w14:textId="0D27A872" w:rsidR="00D84195" w:rsidRDefault="00D84195" w:rsidP="000C794D">
      <w:pPr>
        <w:pStyle w:val="Heading2"/>
      </w:pPr>
      <w:r>
        <w:t>2.</w:t>
      </w:r>
      <w:r w:rsidR="009C2A23">
        <w:t>2</w:t>
      </w:r>
      <w:r>
        <w:t xml:space="preserve"> Remote Sensing Framework</w:t>
      </w:r>
    </w:p>
    <w:p w14:paraId="6F7EA1B9" w14:textId="767D9716" w:rsidR="00CB42C7" w:rsidRDefault="00CB42C7" w:rsidP="00CB42C7">
      <w:pPr>
        <w:pStyle w:val="BodyText"/>
      </w:pPr>
      <w:r>
        <w:t xml:space="preserve">The remote sensing workflow integrates multi-temporal SAR backscatter analysis with optical spectral indices to map surface water extent variability. The area of interest was derived from </w:t>
      </w:r>
      <w:proofErr w:type="spellStart"/>
      <w:r>
        <w:t>HydroSHEDS</w:t>
      </w:r>
      <w:proofErr w:type="spellEnd"/>
      <w:r>
        <w:t xml:space="preserve"> level-6 basin boundaries filtered by a point location within Lake Chilwa, producing a single basin polygon used as the primary clip boundary for all raster and vector queries. Hydrological base layers from MERIT Hydro (v1.0.3), </w:t>
      </w:r>
      <w:proofErr w:type="spellStart"/>
      <w:r>
        <w:t>HydroSHEDS</w:t>
      </w:r>
      <w:proofErr w:type="spellEnd"/>
      <w:r>
        <w:t xml:space="preserve"> (v1.1), and JRC Global Surface Water (v1.4; 454 monthly images) provided elevation, flow direction, upstream drainage area, and historical surface water occurrence for cross-validation purposes. The temporal window extends as far back as Landsat data quality permits, driven by the need to capture multiple recession events that recur at approximately </w:t>
      </w:r>
      <w:r w:rsidR="005D34B2">
        <w:t xml:space="preserve">15 to </w:t>
      </w:r>
      <w:r>
        <w:t>20-year intervals.</w:t>
      </w:r>
    </w:p>
    <w:p w14:paraId="06671C72" w14:textId="0E0B8836" w:rsidR="00D84195" w:rsidRDefault="000E3232" w:rsidP="000C794D">
      <w:pPr>
        <w:pStyle w:val="Heading2"/>
      </w:pPr>
      <w:r>
        <w:t xml:space="preserve">2.2.A </w:t>
      </w:r>
      <w:r w:rsidR="00D84195">
        <w:t>SAR Processing</w:t>
      </w:r>
    </w:p>
    <w:p w14:paraId="3CBAF99C" w14:textId="77777777" w:rsidR="00D84195" w:rsidRDefault="00D84195" w:rsidP="000C794D">
      <w:pPr>
        <w:pStyle w:val="BodyText"/>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w:t>
      </w:r>
      <w:proofErr w:type="spellStart"/>
      <w:r>
        <w:t>Tsyganskaya</w:t>
      </w:r>
      <w:proofErr w:type="spellEnd"/>
      <w:r>
        <w:t xml:space="preserve"> et al., 2018).</w:t>
      </w:r>
    </w:p>
    <w:p w14:paraId="56B497F7" w14:textId="77777777" w:rsidR="00E92FF7" w:rsidRDefault="00E92FF7" w:rsidP="00E92FF7">
      <w:pPr>
        <w:pStyle w:val="BodyText"/>
      </w:pPr>
      <w:r>
        <w:lastRenderedPageBreak/>
        <w:t>Sentinel-1 data were processed through a Google Earth Engine pipeline that handles radiometric calibration, speckle filtering, and geometric correction at scale. GEE provides access to the full Sentinel-1 Ground Range Detected archive, pre-processed to sigma-0 backscatter coefficients with thermal noise removal, radiometric calibration, and terrain correction applied (Gorelick et al., 2017). The cloud-based pipeline eliminates the need to download, store, and process individual scenes locally, enabling batch analysis of multi-temporal image stacks that would be computationally prohibitive on conventional workstation systems (</w:t>
      </w:r>
      <w:proofErr w:type="spellStart"/>
      <w:r>
        <w:t>Mahdianpari</w:t>
      </w:r>
      <w:proofErr w:type="spellEnd"/>
      <w:r>
        <w:t xml:space="preserve"> et al., 2019). We filtered the archive to Interferometric Wide Swath mode with VV and VH polarisations in descending orbit, yielding 913 scenes over the study area. The processing workflow comprised:</w:t>
      </w:r>
    </w:p>
    <w:p w14:paraId="6936D38B" w14:textId="77777777" w:rsidR="00E92FF7" w:rsidRDefault="00E92FF7" w:rsidP="00E92FF7">
      <w:pPr>
        <w:pStyle w:val="NoSpacing"/>
        <w:numPr>
          <w:ilvl w:val="0"/>
          <w:numId w:val="25"/>
        </w:numPr>
        <w:tabs>
          <w:tab w:val="clear" w:pos="720"/>
          <w:tab w:val="num" w:pos="360"/>
        </w:tabs>
        <w:ind w:left="360"/>
      </w:pPr>
      <w:r>
        <w:t>Speckle filtering: focal mean filter (7 x 7 kernel) to reduce multiplicative noise, sufficient for time series compositing where multi-temporal averaging further suppresses speckle.</w:t>
      </w:r>
    </w:p>
    <w:p w14:paraId="775E5C27" w14:textId="77777777" w:rsidR="00E92FF7" w:rsidRDefault="00E92FF7" w:rsidP="00E92FF7">
      <w:pPr>
        <w:pStyle w:val="NoSpacing"/>
        <w:numPr>
          <w:ilvl w:val="0"/>
          <w:numId w:val="25"/>
        </w:numPr>
        <w:tabs>
          <w:tab w:val="clear" w:pos="720"/>
          <w:tab w:val="num" w:pos="360"/>
        </w:tabs>
        <w:ind w:left="360"/>
      </w:pPr>
      <w:r>
        <w:t>Derivation of VV/VH ratio and normalised difference bands to discriminate open water (low VV, low VH) from flooded vegetation (moderate VV, elevated VH from double-bounce scattering).</w:t>
      </w:r>
    </w:p>
    <w:p w14:paraId="7A022A24" w14:textId="77777777" w:rsidR="00E92FF7" w:rsidRDefault="00E92FF7" w:rsidP="00E92FF7">
      <w:pPr>
        <w:pStyle w:val="NoSpacing"/>
        <w:numPr>
          <w:ilvl w:val="0"/>
          <w:numId w:val="25"/>
        </w:numPr>
        <w:tabs>
          <w:tab w:val="clear" w:pos="720"/>
          <w:tab w:val="num" w:pos="360"/>
        </w:tabs>
        <w:ind w:left="360"/>
      </w:pPr>
      <w:r>
        <w:t>Water detection by adaptive thresholding: VV backscatter below -15 dB classified as water, calibrated against the 15th percentile of VV values within the basin.</w:t>
      </w:r>
    </w:p>
    <w:p w14:paraId="4017AF86" w14:textId="77777777" w:rsidR="00E92FF7" w:rsidRDefault="00E92FF7" w:rsidP="00E92FF7">
      <w:pPr>
        <w:pStyle w:val="NoSpacing"/>
        <w:numPr>
          <w:ilvl w:val="0"/>
          <w:numId w:val="25"/>
        </w:numPr>
        <w:tabs>
          <w:tab w:val="clear" w:pos="720"/>
          <w:tab w:val="num" w:pos="360"/>
        </w:tabs>
        <w:ind w:left="360"/>
      </w:pPr>
      <w:r>
        <w:t>Aggregation into 96 monthly composites spanning 2015 to 2024, with export of selected composites for any interferometric analysis requiring SNAP.</w:t>
      </w:r>
    </w:p>
    <w:p w14:paraId="2FB59C72" w14:textId="56AF68FA" w:rsidR="0011546F" w:rsidRDefault="0011546F" w:rsidP="0011546F">
      <w:pPr>
        <w:pStyle w:val="BodyText"/>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w:t>
      </w:r>
    </w:p>
    <w:p w14:paraId="75B70E22" w14:textId="6739C2B9" w:rsidR="00D84195" w:rsidRDefault="006A6B8D" w:rsidP="000C794D">
      <w:pPr>
        <w:pStyle w:val="Heading2"/>
      </w:pPr>
      <w:r>
        <w:t xml:space="preserve">2.2.B </w:t>
      </w:r>
      <w:r w:rsidR="00D84195">
        <w:t>Landsat Processing</w:t>
      </w:r>
    </w:p>
    <w:p w14:paraId="48A0E367" w14:textId="77777777" w:rsidR="00D14A85" w:rsidRDefault="00D14A85" w:rsidP="00D14A85">
      <w:pPr>
        <w:pStyle w:val="BodyText"/>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Collection 2 scale factors were applied (reflectance = DN x 0.0000275 - 0.2) and cloud and shadow pixels masked using the QA_PIXEL bitfield band. Scenes exceeding 30% cloud cover were excluded, yielding 1,335 harmonised scenes across the study area. GEE hosts the complete Landsat archive, enabling compositing of these multi-temporal image stacks spanning four decades without the storage and </w:t>
      </w:r>
      <w:r>
        <w:lastRenderedPageBreak/>
        <w:t>processing constraints that previously limited such analyses to single-date or annual composites (Gorelick et al., 2017).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producing 39 composites from 1984 to 2024 that form the core multi-decadal time series for characterising recession-refilling cycles.</w:t>
      </w:r>
    </w:p>
    <w:p w14:paraId="5E2E282E" w14:textId="2C9D0348" w:rsidR="00D14A85" w:rsidRDefault="00D14A85" w:rsidP="00763A02">
      <w:pPr>
        <w:pStyle w:val="BodyText"/>
      </w:pPr>
      <w:r>
        <w:t>To address threshold instability caused by dissolved salts, algal blooms, and variable turbidity in the endorheic system, Otsu's method was applied to derive adaptive water/non-water thresholds for each index per scene, following Pekel et al. (2016). Basin-wide MNDWI percentiles for a 2020 dry-season composite illustrate the bimodal distribution exploited by the method: the 10th percentile (-0.57) captures terrestrial surfaces, the 50th (-0.51) the land-dominated basin average, and the 90th (0.74) open water pixels.</w:t>
      </w:r>
    </w:p>
    <w:p w14:paraId="4B6CC6FA" w14:textId="15004C00" w:rsidR="00D84195" w:rsidRDefault="006A6B8D" w:rsidP="000C794D">
      <w:pPr>
        <w:pStyle w:val="Heading2"/>
      </w:pPr>
      <w:r>
        <w:t xml:space="preserve">2.2.C </w:t>
      </w:r>
      <w:r w:rsidR="00D84195">
        <w:t>Spectral In</w:t>
      </w:r>
      <w:r w:rsidR="000C794D">
        <w:t>dices</w:t>
      </w:r>
    </w:p>
    <w:p w14:paraId="271A5417" w14:textId="77777777" w:rsidR="00D84195" w:rsidRPr="000C794D" w:rsidRDefault="00D84195" w:rsidP="000C794D">
      <w:pPr>
        <w:pStyle w:val="BodyText"/>
      </w:pPr>
      <w:r w:rsidRPr="000C794D">
        <w:t>Five water-extraction indices were evaluated, selected to span the range of spectral approaches available for inland water mapping and to test their relative performance under the specific conditions Lake Chilwa presents:</w:t>
      </w:r>
    </w:p>
    <w:p w14:paraId="3818C614" w14:textId="77777777" w:rsidR="00D84195" w:rsidRPr="000C794D" w:rsidRDefault="00D84195" w:rsidP="000C794D">
      <w:pPr>
        <w:pStyle w:val="NoSpacing"/>
        <w:numPr>
          <w:ilvl w:val="0"/>
          <w:numId w:val="20"/>
        </w:numPr>
      </w:pPr>
      <w:r w:rsidRPr="000C794D">
        <w:rPr>
          <w:rStyle w:val="Strong"/>
          <w:b w:val="0"/>
          <w:bCs w:val="0"/>
        </w:rPr>
        <w:t>NDWI</w:t>
      </w:r>
      <w:r w:rsidRPr="000C794D">
        <w:t xml:space="preserve"> (McFeeters, 1996): (Green - NIR) / (Green + NIR). The original water index, sensitive to deep open water but prone to false negatives in turbid, shallow, or vegetated conditions due to elevated NIR reflectance from suspended sediment and canopy effects. Serves as the baseline against which other indices are compared.</w:t>
      </w:r>
    </w:p>
    <w:p w14:paraId="2973D14C" w14:textId="77777777" w:rsidR="00D84195" w:rsidRPr="000C794D" w:rsidRDefault="00D84195" w:rsidP="000C794D">
      <w:pPr>
        <w:pStyle w:val="NoSpacing"/>
        <w:numPr>
          <w:ilvl w:val="0"/>
          <w:numId w:val="20"/>
        </w:numPr>
      </w:pPr>
      <w:r w:rsidRPr="000C794D">
        <w:rPr>
          <w:rStyle w:val="Strong"/>
          <w:b w:val="0"/>
          <w:bCs w:val="0"/>
        </w:rPr>
        <w:t>MNDWI</w:t>
      </w:r>
      <w:r w:rsidRPr="000C794D">
        <w:t xml:space="preserve"> (Xu, 2006): (Green - SWIR1) / (Green + SWIR1). Substitutes SWIR for NIR, improving discrimination of water from built-up and bare-soil surfaces. The strongest single optical index for turbid water detection, though it fails beneath emergent vegetation and requires adaptive thresholding in saline systems.</w:t>
      </w:r>
    </w:p>
    <w:p w14:paraId="5B3116E4" w14:textId="77777777" w:rsidR="00D84195" w:rsidRPr="000C794D" w:rsidRDefault="00D84195" w:rsidP="000C794D">
      <w:pPr>
        <w:pStyle w:val="NoSpacing"/>
        <w:numPr>
          <w:ilvl w:val="0"/>
          <w:numId w:val="20"/>
        </w:numPr>
      </w:pPr>
      <w:proofErr w:type="spellStart"/>
      <w:r w:rsidRPr="000C794D">
        <w:rPr>
          <w:rStyle w:val="Strong"/>
          <w:b w:val="0"/>
          <w:bCs w:val="0"/>
        </w:rPr>
        <w:t>AWEIsh</w:t>
      </w:r>
      <w:proofErr w:type="spellEnd"/>
      <w:r w:rsidRPr="000C794D">
        <w:t xml:space="preserve"> (Feyisa et al., 2014): Blue + 2.5 x Green - 1.5 x (NIR + SWIR1) - 0.25 x SWIR2. A five-band combination </w:t>
      </w:r>
      <w:proofErr w:type="spellStart"/>
      <w:r w:rsidRPr="000C794D">
        <w:t>optimised</w:t>
      </w:r>
      <w:proofErr w:type="spellEnd"/>
      <w:r w:rsidRPr="000C794D">
        <w:t xml:space="preserve"> for shadow suppression and complex landscape discrimination. Outperforms simpler indices where topographic or shadow effects confound classification but offers no clear advantage in shallow vegetated wetlands.</w:t>
      </w:r>
    </w:p>
    <w:p w14:paraId="05481135" w14:textId="77777777" w:rsidR="00D84195" w:rsidRPr="000C794D" w:rsidRDefault="00D84195" w:rsidP="000C794D">
      <w:pPr>
        <w:pStyle w:val="NoSpacing"/>
        <w:numPr>
          <w:ilvl w:val="0"/>
          <w:numId w:val="20"/>
        </w:numPr>
      </w:pPr>
      <w:r w:rsidRPr="000C794D">
        <w:rPr>
          <w:rStyle w:val="Strong"/>
          <w:b w:val="0"/>
          <w:bCs w:val="0"/>
        </w:rPr>
        <w:t>WRI</w:t>
      </w:r>
      <w:r w:rsidRPr="000C794D">
        <w:t xml:space="preserve"> (Shen and Li, 2010): (Green + Red) / (NIR + SWIR1). A ratio index that suppresses cloud and shadow noise effectively. Competitive in bare-soil landscapes but vulnerable to inflation from suspended sediment in the red band and untested in endorheic systems.</w:t>
      </w:r>
    </w:p>
    <w:p w14:paraId="38C8D2B4" w14:textId="77777777" w:rsidR="00D84195" w:rsidRPr="000C794D" w:rsidRDefault="00D84195" w:rsidP="000C794D">
      <w:pPr>
        <w:pStyle w:val="NoSpacing"/>
        <w:numPr>
          <w:ilvl w:val="0"/>
          <w:numId w:val="20"/>
        </w:numPr>
      </w:pPr>
      <w:r w:rsidRPr="000C794D">
        <w:rPr>
          <w:rStyle w:val="Strong"/>
          <w:b w:val="0"/>
          <w:bCs w:val="0"/>
        </w:rPr>
        <w:lastRenderedPageBreak/>
        <w:t>NDPI</w:t>
      </w:r>
      <w:r w:rsidRPr="000C794D">
        <w:t xml:space="preserve"> (</w:t>
      </w:r>
      <w:proofErr w:type="spellStart"/>
      <w:r w:rsidRPr="000C794D">
        <w:t>Lacaux</w:t>
      </w:r>
      <w:proofErr w:type="spellEnd"/>
      <w:r w:rsidRPr="000C794D">
        <w:t xml:space="preserve"> et al., 2007): (SWIR1 - Green) / (SWIR1 + Green). Designed for temporary pond detection in semi-arid Africa using SPOT-5 data. The algebraic inverse of MNDWI, sensitive to the water-vegetation boundary where other indices fail. Most ecologically appropriate for Lake </w:t>
      </w:r>
      <w:proofErr w:type="spellStart"/>
      <w:r w:rsidRPr="000C794D">
        <w:t>Chilwa's</w:t>
      </w:r>
      <w:proofErr w:type="spellEnd"/>
      <w:r w:rsidRPr="000C794D">
        <w:t xml:space="preserve"> seasonal vegetated margins but loses sensitivity in deep or turbid water.</w:t>
      </w:r>
    </w:p>
    <w:p w14:paraId="0B4822EE" w14:textId="77777777" w:rsidR="00D84195" w:rsidRPr="000C794D" w:rsidRDefault="00D84195" w:rsidP="000C794D">
      <w:pPr>
        <w:pStyle w:val="BodyText"/>
      </w:pPr>
      <w:r w:rsidRPr="000C794D">
        <w:t>The multi-index approach tests each against SAR-derived water maps to quantify what optical sensors detect and what they miss across the basin's full range of conditions.</w:t>
      </w:r>
    </w:p>
    <w:p w14:paraId="6970A846" w14:textId="5DB0C8BF" w:rsidR="00D84195" w:rsidRDefault="005B756B" w:rsidP="000C794D">
      <w:pPr>
        <w:pStyle w:val="Heading2"/>
      </w:pPr>
      <w:r>
        <w:t xml:space="preserve">2.2.D </w:t>
      </w:r>
      <w:r w:rsidR="00D84195">
        <w:t>Spectral Mixture Analysis</w:t>
      </w:r>
    </w:p>
    <w:p w14:paraId="69E793D0" w14:textId="47416BCD" w:rsidR="006D2FFB" w:rsidRDefault="00D84195" w:rsidP="000C794D">
      <w:pPr>
        <w:pStyle w:val="BodyText"/>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w:t>
      </w:r>
      <w:proofErr w:type="spellStart"/>
      <w:r>
        <w:t>Halabisky</w:t>
      </w:r>
      <w:proofErr w:type="spellEnd"/>
      <w:r>
        <w:t xml:space="preserve"> et al., 2016; Huang et al., 2014; Shanmugam et al., 2006). The spectral characteristics of Lake Chilwa, with its dense marshlands, shallow waters, extensive detritus, phytoplankton blooms, and shoreline shadowing, make sub-pixel estimation essential.</w:t>
      </w:r>
    </w:p>
    <w:p w14:paraId="3BB4B52A" w14:textId="5AE3A2C0" w:rsidR="00D84195" w:rsidRDefault="00D84195" w:rsidP="000C794D">
      <w:pPr>
        <w:pStyle w:val="BodyText"/>
      </w:pPr>
      <w:r>
        <w:t>Endmember selection followed standard protocols, with training samples drawn from spectrally pure pixels identified through iterative refinement and community validation:</w:t>
      </w:r>
    </w:p>
    <w:p w14:paraId="1E96D8E9" w14:textId="14084E27" w:rsidR="00D84195" w:rsidRDefault="00D84195" w:rsidP="000C794D">
      <w:pPr>
        <w:pStyle w:val="NoSpacing"/>
        <w:numPr>
          <w:ilvl w:val="0"/>
          <w:numId w:val="22"/>
        </w:numPr>
      </w:pPr>
      <w:r>
        <w:t>Open water: 1</w:t>
      </w:r>
      <w:r w:rsidR="000C794D">
        <w:t>29</w:t>
      </w:r>
      <w:r>
        <w:t xml:space="preserve"> samples, purity threshold &gt;95%</w:t>
      </w:r>
    </w:p>
    <w:p w14:paraId="1C0C3585" w14:textId="0A6A2CCA" w:rsidR="00D84195" w:rsidRDefault="00D84195" w:rsidP="000C794D">
      <w:pPr>
        <w:pStyle w:val="NoSpacing"/>
        <w:numPr>
          <w:ilvl w:val="0"/>
          <w:numId w:val="22"/>
        </w:numPr>
      </w:pPr>
      <w:r>
        <w:t xml:space="preserve">Flooded vegetation: </w:t>
      </w:r>
      <w:r w:rsidR="000C794D">
        <w:t>117</w:t>
      </w:r>
      <w:r>
        <w:t xml:space="preserve"> samples, purity threshold &gt;85%</w:t>
      </w:r>
    </w:p>
    <w:p w14:paraId="1B6DDEC0" w14:textId="79ACA371" w:rsidR="00D84195" w:rsidRDefault="00D84195" w:rsidP="000C794D">
      <w:pPr>
        <w:pStyle w:val="NoSpacing"/>
        <w:numPr>
          <w:ilvl w:val="0"/>
          <w:numId w:val="22"/>
        </w:numPr>
      </w:pPr>
      <w:r>
        <w:t xml:space="preserve">Dry vegetation: </w:t>
      </w:r>
      <w:r w:rsidR="000C794D">
        <w:t>69</w:t>
      </w:r>
      <w:r>
        <w:t xml:space="preserve"> samples, purity threshold &gt;90%</w:t>
      </w:r>
    </w:p>
    <w:p w14:paraId="61071E66" w14:textId="38D6D6F2" w:rsidR="00D84195" w:rsidRDefault="00D84195" w:rsidP="000C794D">
      <w:pPr>
        <w:pStyle w:val="NoSpacing"/>
        <w:numPr>
          <w:ilvl w:val="0"/>
          <w:numId w:val="22"/>
        </w:numPr>
      </w:pPr>
      <w:r>
        <w:t xml:space="preserve">Bare soil: </w:t>
      </w:r>
      <w:r w:rsidR="000C794D">
        <w:t>42</w:t>
      </w:r>
      <w:r>
        <w:t xml:space="preserve"> samples, purity threshold &gt;85%</w:t>
      </w:r>
    </w:p>
    <w:p w14:paraId="6926272A" w14:textId="38F76440" w:rsidR="00D84195" w:rsidRDefault="00D84195" w:rsidP="000C794D">
      <w:pPr>
        <w:pStyle w:val="NoSpacing"/>
        <w:numPr>
          <w:ilvl w:val="0"/>
          <w:numId w:val="22"/>
        </w:numPr>
      </w:pPr>
      <w:r>
        <w:t xml:space="preserve">Urban/built: </w:t>
      </w:r>
      <w:r w:rsidR="000C794D">
        <w:t>28</w:t>
      </w:r>
      <w:r>
        <w:t xml:space="preserve"> samples, purity threshold &gt;90%</w:t>
      </w:r>
    </w:p>
    <w:p w14:paraId="77B9569D" w14:textId="0A6BBC22" w:rsidR="00D84195" w:rsidRDefault="000F4CBD" w:rsidP="000C794D">
      <w:pPr>
        <w:pStyle w:val="Heading2"/>
      </w:pPr>
      <w:r>
        <w:t>2.2.E</w:t>
      </w:r>
      <w:r w:rsidR="000C794D">
        <w:t xml:space="preserve"> </w:t>
      </w:r>
      <w:r w:rsidR="00D84195">
        <w:t>Training Samples and Classification</w:t>
      </w:r>
    </w:p>
    <w:p w14:paraId="7356F10D" w14:textId="77777777" w:rsidR="00E879FF" w:rsidRDefault="00E879FF" w:rsidP="00E879FF">
      <w:pPr>
        <w:pStyle w:val="BodyText"/>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Training samples were generated through threshold-based stratification of MNDWI and NDVI, then refined against community-identified landscape units. A total of 450 samples were collected: 150 open water, 200 flooded vegetation, 180 dry vegetation, 120 bare </w:t>
      </w:r>
      <w:proofErr w:type="gramStart"/>
      <w:r>
        <w:t>soil</w:t>
      </w:r>
      <w:proofErr w:type="gramEnd"/>
      <w:r>
        <w:t xml:space="preserve">, and 80 urban/built. The feature stack comprised 11 bands: six spectral (blue, green, red, NIR, SWIR1, SWIR2) and five water indices (NDWI, MNDWI, </w:t>
      </w:r>
      <w:proofErr w:type="spellStart"/>
      <w:r>
        <w:lastRenderedPageBreak/>
        <w:t>AWEIsh</w:t>
      </w:r>
      <w:proofErr w:type="spellEnd"/>
      <w:r>
        <w:t>, WRI, NDPI). Samples were split 70/30 into training and validation sets using a random column with a fixed seed to ensure reproducibility.</w:t>
      </w:r>
    </w:p>
    <w:p w14:paraId="221AA458" w14:textId="77777777" w:rsidR="001C3062" w:rsidRDefault="001C3062" w:rsidP="001C3062">
      <w:pPr>
        <w:pStyle w:val="BodyText"/>
      </w:pPr>
      <w:r>
        <w:t>Classification used a Random Forest (RF) algorithm, selected for its demonstrated superiority over traditional classifiers for wetland mapping (</w:t>
      </w:r>
      <w:proofErr w:type="spellStart"/>
      <w:r>
        <w:t>Mahdianpari</w:t>
      </w:r>
      <w:proofErr w:type="spellEnd"/>
      <w:r>
        <w:t xml:space="preserve">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w:t>
      </w:r>
      <w:proofErr w:type="spellStart"/>
      <w:r>
        <w:t>Breiman</w:t>
      </w:r>
      <w:proofErr w:type="spellEnd"/>
      <w:r>
        <w:t>, 2001). Both RF and Support Vector Machine classifiers have shown high accuracy for wetland discrimination, but RF requires fewer user-specified parameters and executes more efficiently on the large feature stacks generated by multi-temporal SAR-optical fusion (</w:t>
      </w:r>
      <w:proofErr w:type="spellStart"/>
      <w:r>
        <w:t>Mahdianpari</w:t>
      </w:r>
      <w:proofErr w:type="spellEnd"/>
      <w:r>
        <w:t xml:space="preserve"> et al., 2019). The classifier was implemented in GEE with 500 trees and temporal weighting to account for seasonal variations in water extent and vegetation phenology.</w:t>
      </w:r>
    </w:p>
    <w:p w14:paraId="42EC759A" w14:textId="0835A9B7" w:rsidR="00D84195" w:rsidRDefault="00B210DB" w:rsidP="00D84195">
      <w:pPr>
        <w:pStyle w:val="Heading2"/>
      </w:pPr>
      <w:r>
        <w:t xml:space="preserve">2.2.F </w:t>
      </w:r>
      <w:r w:rsidR="00D84195">
        <w:t>Accuracy Assessment</w:t>
      </w:r>
      <w:r w:rsidR="001158BA">
        <w:t>s</w:t>
      </w:r>
    </w:p>
    <w:p w14:paraId="5CAD1510" w14:textId="77777777" w:rsidR="00A90027" w:rsidRDefault="00A90027" w:rsidP="00A90027">
      <w:pPr>
        <w:pStyle w:val="BodyText"/>
      </w:pPr>
      <w:r>
        <w:t>Classification accuracy was assessed through both conventional metrics and community validation. Overall accuracy reached 81% with a kappa coefficient of 0.77. Producer's accuracy ranged from 71% (bare soil) to 89% (open water); user's accuracy from 68% (bare soil) to 92% (open water). Community validation showed 74 to 92% agreement on boundary delineation and seasonal timing, with disagreements concentrated in mixed-pixel zones and areas of rapid temporal change.</w:t>
      </w:r>
    </w:p>
    <w:p w14:paraId="51AB4F7E" w14:textId="77777777" w:rsidR="00D84195" w:rsidRDefault="00D84195" w:rsidP="00D84195">
      <w:pPr>
        <w:pStyle w:val="Heading2"/>
      </w:pPr>
      <w:r>
        <w:t>3. Results</w:t>
      </w:r>
    </w:p>
    <w:p w14:paraId="34157DAD" w14:textId="77777777" w:rsidR="00D84195" w:rsidRDefault="00D84195" w:rsidP="00D84195">
      <w:pPr>
        <w:pStyle w:val="Heading2"/>
      </w:pPr>
      <w:r>
        <w:t>3.1 Water Extent Dynamics</w:t>
      </w:r>
    </w:p>
    <w:p w14:paraId="0DB3A92A" w14:textId="6EB7A1D7" w:rsidR="0035418C" w:rsidRDefault="0035418C" w:rsidP="0035418C">
      <w:pPr>
        <w:pStyle w:val="BodyText"/>
      </w:pPr>
      <w:r>
        <w:t>The multi-decadal Landsat time series, comprising 39 annual median composites from 1,335 harmonised scenes (1984 to 2024), revealed two complete recession-refilling cycles within the observation period. Maximum wet-season extent ranged from 1,500 to 2,200 km</w:t>
      </w:r>
      <w:r>
        <w:rPr>
          <w:vertAlign w:val="superscript"/>
        </w:rPr>
        <w:t>2</w:t>
      </w:r>
      <w:r>
        <w:t xml:space="preserve"> (January to March); minimum dry-season extent from 400 to 800 km</w:t>
      </w:r>
      <w:r>
        <w:rPr>
          <w:vertAlign w:val="superscript"/>
        </w:rPr>
        <w:t>2</w:t>
      </w:r>
      <w:r>
        <w:t xml:space="preserve"> (August to October). The inter-annual coefficient of variation was 0.42.</w:t>
      </w:r>
    </w:p>
    <w:p w14:paraId="6E322B67" w14:textId="4D184172" w:rsidR="00BD1EA8" w:rsidRDefault="00BD1EA8" w:rsidP="00E4631A">
      <w:pPr>
        <w:pStyle w:val="BodyText"/>
        <w:spacing w:before="0" w:after="0"/>
      </w:pPr>
      <w:r>
        <w:rPr>
          <w:noProof/>
        </w:rPr>
        <w:lastRenderedPageBreak/>
        <w:drawing>
          <wp:inline distT="0" distB="0" distL="0" distR="0" wp14:anchorId="36939F23" wp14:editId="1EDE9923">
            <wp:extent cx="4995000" cy="3996000"/>
            <wp:effectExtent l="0" t="0" r="0" b="508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results_files/figure-docx/combined-timeseries-1.png"/>
                    <pic:cNvPicPr>
                      <a:picLocks noChangeAspect="1" noChangeArrowheads="1"/>
                    </pic:cNvPicPr>
                  </pic:nvPicPr>
                  <pic:blipFill>
                    <a:blip r:embed="rId11"/>
                    <a:stretch>
                      <a:fillRect/>
                    </a:stretch>
                  </pic:blipFill>
                  <pic:spPr bwMode="auto">
                    <a:xfrm>
                      <a:off x="0" y="0"/>
                      <a:ext cx="4995000" cy="3996000"/>
                    </a:xfrm>
                    <a:prstGeom prst="rect">
                      <a:avLst/>
                    </a:prstGeom>
                    <a:noFill/>
                    <a:ln w="9525">
                      <a:noFill/>
                      <a:headEnd/>
                      <a:tailEnd/>
                    </a:ln>
                  </pic:spPr>
                </pic:pic>
              </a:graphicData>
            </a:graphic>
          </wp:inline>
        </w:drawing>
      </w:r>
    </w:p>
    <w:p w14:paraId="72296ED3" w14:textId="1BC75157" w:rsidR="005C5B96" w:rsidRDefault="005C5B96" w:rsidP="00E4631A">
      <w:pPr>
        <w:pStyle w:val="AbstractTitle"/>
      </w:pPr>
      <w:r>
        <w:t xml:space="preserve">Figure 1: </w:t>
      </w:r>
      <w:r w:rsidRPr="005C5B96">
        <w:t>Multi-decadal water extent dynamics in the Lake Chilwa Basin. (a) Annual median MNDWI from 39 Landsat composites (1984 to 2024). (b) Monthly SAR-derived water fraction from 96 Sentinel-1 composites (2015 to 2024). Dashed vertical lines indicate the 1995 and 2012 recession events.</w:t>
      </w:r>
    </w:p>
    <w:p w14:paraId="54BDE2DE" w14:textId="55F6A51F" w:rsidR="00D63120" w:rsidRDefault="00D63120" w:rsidP="00D63120">
      <w:pPr>
        <w:pStyle w:val="BodyText"/>
      </w:pPr>
      <w:r>
        <w:t>Spectral mixture analysis resolved these dynamics at sub-pixel scale (Figure X). Basin-mean open water fraction ranged from 0.04 during the driest years to 0.21 during peak inundation, while flooded vegetation fraction showed an inverse pattern, rising from 0.05 in wet years to 0.14 during dry periods when standing water retreated beneath emergent canopy. The combined fraction remained relatively stable near 0.20 to 0.25 across most non-recession years, indicating that total inundated area (open water plus flooded vegetation) is more constant than either component alone. During the 1995 and 2012 recessions, the combined fraction dropped sharply as both open water and flooded vegetation contracted together, marking these events as basin-wide desiccation rather than lateral redistribution. This inverse relationship reflects the lateral migration of inundation through the Typha marshes during normal hydrological variation: as open water contracts, flooded vegetation expands at the margins, and vice versa. The combined signal captured inundation dynamics that binary water/non-water classifications missed entirely.</w:t>
      </w:r>
    </w:p>
    <w:p w14:paraId="208FA0A4" w14:textId="5001A10B" w:rsidR="00E4631A" w:rsidRDefault="002D7B74" w:rsidP="009571F8">
      <w:pPr>
        <w:pStyle w:val="BodyText"/>
        <w:spacing w:before="0" w:after="0"/>
        <w:jc w:val="center"/>
      </w:pPr>
      <w:r>
        <w:rPr>
          <w:noProof/>
        </w:rPr>
        <w:lastRenderedPageBreak/>
        <w:drawing>
          <wp:inline distT="0" distB="0" distL="0" distR="0" wp14:anchorId="698C0A52" wp14:editId="4E67D278">
            <wp:extent cx="3600000" cy="2880000"/>
            <wp:effectExtent l="0" t="0" r="0" b="3175"/>
            <wp:docPr id="12902090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3600000" cy="2880000"/>
                    </a:xfrm>
                    <a:prstGeom prst="rect">
                      <a:avLst/>
                    </a:prstGeom>
                    <a:noFill/>
                    <a:ln w="9525">
                      <a:noFill/>
                      <a:headEnd/>
                      <a:tailEnd/>
                    </a:ln>
                  </pic:spPr>
                </pic:pic>
              </a:graphicData>
            </a:graphic>
          </wp:inline>
        </w:drawing>
      </w:r>
    </w:p>
    <w:p w14:paraId="2145AA8B" w14:textId="66E9EA75" w:rsidR="00E4631A" w:rsidRDefault="00E4631A" w:rsidP="000E5E44">
      <w:pPr>
        <w:pStyle w:val="AbstractTitle"/>
      </w:pPr>
      <w:r>
        <w:t xml:space="preserve">Figure 2: </w:t>
      </w:r>
      <w:r w:rsidRPr="00E4631A">
        <w:t>Sub-pixel cover fractions from spectral mixture analysis (1984 to 2024). Blue: basin-mean open water fraction. Green: basin-mean flooded vegetation fraction. The inverse relationship</w:t>
      </w:r>
      <w:r w:rsidR="00736B8E">
        <w:t xml:space="preserve"> </w:t>
      </w:r>
      <w:r w:rsidRPr="00E4631A">
        <w:t>between components reflects lateral migration of inundation through Typha marshes. Both fractions collapse during the 1995 and 2012 recessions (dashed lines).</w:t>
      </w:r>
    </w:p>
    <w:p w14:paraId="7E18CA0D" w14:textId="77777777" w:rsidR="00D63120" w:rsidRDefault="00D63120" w:rsidP="00D63120">
      <w:pPr>
        <w:pStyle w:val="BodyText"/>
      </w:pPr>
      <w:r>
        <w:t xml:space="preserve">The 1995 recession reduced lake surface area to less than 10% of peak extent by September, with complete desiccation of the central basin recorded in both satellite imagery and community accounts. Refilling began with the 1995-96 wet season and required approximately four years to restore pre-recession water levels. The 2012 recession followed a similar trajectory, with surface area declining sharply between May and October before partial recovery in early 2013. In both events, residual water persisted only in the deepest channels and in swamp refugia along the basin's southern and eastern margins, consistent with historical patterns documented by Lancaster (1979) and </w:t>
      </w:r>
      <w:proofErr w:type="spellStart"/>
      <w:r>
        <w:t>Njaya</w:t>
      </w:r>
      <w:proofErr w:type="spellEnd"/>
      <w:r>
        <w:t xml:space="preserve"> et al. (2011).</w:t>
      </w:r>
    </w:p>
    <w:p w14:paraId="188508D3" w14:textId="430F8C0D" w:rsidR="00D63120" w:rsidRDefault="00D63120" w:rsidP="00D63120">
      <w:pPr>
        <w:pStyle w:val="BodyText"/>
      </w:pPr>
      <w:r>
        <w:t>Seasonal patterns were consistent across non-recession years. Water extent peaked in February to March, declined through the dry season, and reached minimum extent in September to October. The rate of recession varied with preceding wet-season rainfall totals, with drier years producing earlier and more extensive drawdown of the littoral margins.</w:t>
      </w:r>
    </w:p>
    <w:p w14:paraId="53BDE10A" w14:textId="77777777" w:rsidR="00D84195" w:rsidRPr="00D84195" w:rsidRDefault="00D84195" w:rsidP="00D84195">
      <w:pPr>
        <w:pStyle w:val="Heading2"/>
      </w:pPr>
      <w:r>
        <w:t>3.2 Spectral Index Performance</w:t>
      </w:r>
    </w:p>
    <w:p w14:paraId="008ED110" w14:textId="5B03EAFA" w:rsidR="006E156A" w:rsidRDefault="006E156A" w:rsidP="006E156A">
      <w:pPr>
        <w:pStyle w:val="BodyText"/>
      </w:pPr>
      <w:r>
        <w:t xml:space="preserve">The five optical indices performed as the literature predicted, with clear differentiation across Lake </w:t>
      </w:r>
      <w:proofErr w:type="spellStart"/>
      <w:r>
        <w:t>Chilwa's</w:t>
      </w:r>
      <w:proofErr w:type="spellEnd"/>
      <w:r>
        <w:t xml:space="preserve"> distinct hydrological zones (Figure X). Basin-wide annual median MNDWI values ranged from approximately -0.25 to -0.50, with pronounced dips during the 1995 and 2012 recessions </w:t>
      </w:r>
      <w:r>
        <w:lastRenderedPageBreak/>
        <w:t xml:space="preserve">visible in the time series. Inter-index correlation analysis (Table X) revealed that the five indices do not carry equivalent information. NDPI and MNDWI were perfectly inversely correlated (r = -1.000), confirming their algebraic identity. WRI correlated strongly with MNDWI (r = 0.829) and NDWI (r = 0.713), while NDWI and MNDWI showed only moderate correlation (r = 0.448), meaning they capture genuinely different spectral properties despite both being normalised water indices: the substitution of SWIR for NIR in MNDWI produces a substantially different sensitivity profile in turbid, shallow water. </w:t>
      </w:r>
      <w:proofErr w:type="spellStart"/>
      <w:r>
        <w:t>AWEIsh</w:t>
      </w:r>
      <w:proofErr w:type="spellEnd"/>
      <w:r>
        <w:t xml:space="preserve"> correlated more strongly with NDWI (r = 0.759) than with MNDWI (r = .557), consistent with their shared reliance on NIR-band contrast.</w:t>
      </w:r>
    </w:p>
    <w:p w14:paraId="48C88770" w14:textId="467CA6EA" w:rsidR="00D61E09" w:rsidRDefault="00D61E09" w:rsidP="00D61E09">
      <w:pPr>
        <w:pStyle w:val="AbstractTitle"/>
      </w:pPr>
      <w:r>
        <w:t xml:space="preserve">Table 1: </w:t>
      </w:r>
      <w:r w:rsidRPr="00D61E09">
        <w:t>Pairwise Pearson correlation coefficients among five spectral water indices computed from basin-wide annual median values (1984 to 2024). NDPI and MNDWI are perfectly inversely correlated (r = -1.000), confirming their algebraic identity.</w:t>
      </w:r>
    </w:p>
    <w:p w14:paraId="5F745AF9" w14:textId="57A2F15F" w:rsidR="00292A06" w:rsidRDefault="00292A06" w:rsidP="00D61E09">
      <w:pPr>
        <w:pStyle w:val="BodyText"/>
        <w:spacing w:before="0" w:after="0"/>
        <w:jc w:val="center"/>
      </w:pPr>
      <w:r>
        <w:rPr>
          <w:noProof/>
        </w:rPr>
        <w:drawing>
          <wp:inline distT="0" distB="0" distL="0" distR="0" wp14:anchorId="21129B43" wp14:editId="61DB1355">
            <wp:extent cx="5333336" cy="2519113"/>
            <wp:effectExtent l="0" t="0" r="127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results_files/figure-docx/index-comparison-1.png"/>
                    <pic:cNvPicPr>
                      <a:picLocks noChangeAspect="1" noChangeArrowheads="1"/>
                    </pic:cNvPicPr>
                  </pic:nvPicPr>
                  <pic:blipFill rotWithShape="1">
                    <a:blip r:embed="rId13"/>
                    <a:srcRect t="9231" b="13653"/>
                    <a:stretch>
                      <a:fillRect/>
                    </a:stretch>
                  </pic:blipFill>
                  <pic:spPr bwMode="auto">
                    <a:xfrm>
                      <a:off x="0" y="0"/>
                      <a:ext cx="5334000" cy="2519426"/>
                    </a:xfrm>
                    <a:prstGeom prst="rect">
                      <a:avLst/>
                    </a:prstGeom>
                    <a:noFill/>
                    <a:ln>
                      <a:noFill/>
                    </a:ln>
                    <a:extLst>
                      <a:ext uri="{53640926-AAD7-44D8-BBD7-CCE9431645EC}">
                        <a14:shadowObscured xmlns:a14="http://schemas.microsoft.com/office/drawing/2010/main"/>
                      </a:ext>
                    </a:extLst>
                  </pic:spPr>
                </pic:pic>
              </a:graphicData>
            </a:graphic>
          </wp:inline>
        </w:drawing>
      </w:r>
    </w:p>
    <w:p w14:paraId="7795361F" w14:textId="77777777" w:rsidR="0029044E" w:rsidRDefault="0029044E" w:rsidP="0029044E">
      <w:pPr>
        <w:pStyle w:val="BodyText"/>
      </w:pPr>
      <w:r>
        <w:t xml:space="preserve">MNDWI produced the highest overall accuracy for open water classification (producer's accuracy 0.89, user's accuracy 0.92) and the strongest single-index performance for turbid water detection across the 39-year time series. NDWI performed comparably in deep open water but was the weakest of the five under the turbid, shallow conditions that dominate the littoral zone, underestimating inundation extent by 12 to 18% relative to SAR-derived water masks. </w:t>
      </w:r>
      <w:proofErr w:type="spellStart"/>
      <w:r>
        <w:t>AWEIsh</w:t>
      </w:r>
      <w:proofErr w:type="spellEnd"/>
      <w:r>
        <w:t xml:space="preserve"> reduced shadow-related commission errors along the basin's elevated western margins but offered no clear advantage over MNDWI in the flat central and eastern zones where most inundation dynamics occur.</w:t>
      </w:r>
    </w:p>
    <w:p w14:paraId="324A353B" w14:textId="77777777" w:rsidR="0029044E" w:rsidRDefault="0029044E" w:rsidP="0029044E">
      <w:pPr>
        <w:pStyle w:val="BodyText"/>
      </w:pPr>
      <w:r>
        <w:t xml:space="preserve">WRI proved most useful during recession periods, when exposed lakebed and sparse vegetation dominate the landscape. Its performance declined during wet-season peak, when turbid water inflated red-band reflectance and compressed the ratio. NDPI tracked the water-vegetation </w:t>
      </w:r>
      <w:r>
        <w:lastRenderedPageBreak/>
        <w:t>boundary most effectively of the five indices, capturing the vegetated margins of seasonal ponds and the Typha swamp boundary, consistent with its design for pond detection in semi-arid African landscapes (</w:t>
      </w:r>
      <w:proofErr w:type="spellStart"/>
      <w:r>
        <w:t>Lacaux</w:t>
      </w:r>
      <w:proofErr w:type="spellEnd"/>
      <w:r>
        <w:t xml:space="preserve"> et al., 2007). However, it lost sensitivity in the deeper open water that constitutes the lake's core during non-recession years.</w:t>
      </w:r>
    </w:p>
    <w:p w14:paraId="63E8D68C" w14:textId="77777777" w:rsidR="0029044E" w:rsidRDefault="0029044E" w:rsidP="0029044E">
      <w:pPr>
        <w:pStyle w:val="BodyText"/>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C453E93" w14:textId="677E8656" w:rsidR="00292A06" w:rsidRDefault="00292A06" w:rsidP="00292A06">
      <w:pPr>
        <w:pStyle w:val="BodyText"/>
        <w:spacing w:before="0" w:after="0"/>
      </w:pPr>
      <w:r>
        <w:rPr>
          <w:noProof/>
        </w:rPr>
        <w:drawing>
          <wp:inline distT="0" distB="0" distL="0" distR="0" wp14:anchorId="7BF47186" wp14:editId="6BB40B2D">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1FA378D5" w14:textId="5556F99D" w:rsidR="00D84195" w:rsidRDefault="00D84195" w:rsidP="00292A06">
      <w:pPr>
        <w:pStyle w:val="BodyText"/>
        <w:spacing w:before="0"/>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D5F3A86" w14:textId="77777777" w:rsidR="00D84195" w:rsidRDefault="00D84195" w:rsidP="00D84195">
      <w:pPr>
        <w:pStyle w:val="Heading2"/>
      </w:pPr>
      <w:r>
        <w:lastRenderedPageBreak/>
        <w:t>3.3 SAR Integration</w:t>
      </w:r>
    </w:p>
    <w:p w14:paraId="259B3780" w14:textId="77777777" w:rsidR="0029044E" w:rsidRPr="0029044E" w:rsidRDefault="0029044E" w:rsidP="0029044E">
      <w:pPr>
        <w:pStyle w:val="NormalWeb"/>
        <w:spacing w:line="480" w:lineRule="auto"/>
        <w:rPr>
          <w:rFonts w:ascii="Aptos" w:hAnsi="Aptos"/>
        </w:rPr>
      </w:pPr>
      <w:r w:rsidRPr="0029044E">
        <w:rPr>
          <w:rFonts w:ascii="Aptos" w:hAnsi="Aptos"/>
        </w:rPr>
        <w:t>Sentinel-1 C-band backscatter analysis, drawn from 913 scenes aggregated into 96 monthly composites (2015 to 2024), provided continuous inundation mapping through the wet season, when cloud cover rendered 60 to 75% of optical acquisitions unusable. Multi-temporal composite images from wet and dry season pairs produced clear discrimination between open water (mean backscatter -22.4 dB VV), flooded vegetation (-12.8 dB VV, elevated by double-bounce returns), and dry land (-8.3 dB VV).</w:t>
      </w:r>
    </w:p>
    <w:p w14:paraId="4EACF7CD" w14:textId="77777777" w:rsidR="0029044E" w:rsidRPr="0029044E" w:rsidRDefault="0029044E" w:rsidP="0029044E">
      <w:pPr>
        <w:pStyle w:val="NormalWeb"/>
        <w:spacing w:line="480" w:lineRule="auto"/>
        <w:rPr>
          <w:rFonts w:ascii="Aptos" w:hAnsi="Aptos"/>
        </w:rPr>
      </w:pPr>
      <w:r w:rsidRPr="0029044E">
        <w:rPr>
          <w:rFonts w:ascii="Aptos" w:hAnsi="Aptos"/>
        </w:rPr>
        <w:t>The monthly time series (Figure X) revealed consistent seasonal oscillation in SAR-derived water fraction across the basin. Wet-season peaks reached 0.25 to 0.30 of the basin area, while dry-season troughs contracted to approximately 0.05, a five- to six-fold seasonal amplitude that repeated with striking regularity from 2016 to 2024. Earlier composites (2015) showed lower water fractions, reflecting both sparse scene density (one scene per composite versus six to nine from 2018 onward) and the residual effects of the 2012 recession. Mean VV backscatter across the basin ranged from -7.2 dB in low-water months to -12.0 dB during peak inundation, with VH following a parallel pattern approximately 7 dB lower. Wet-season composites (January 2020: VV mean -10.1 dB) and dry-season composites (August 2020) showed the clearest contrast, with the water mask expanding from the central basin outward along the southern and eastern marshes during refilling.</w:t>
      </w:r>
    </w:p>
    <w:p w14:paraId="5CAB4631" w14:textId="77777777" w:rsidR="0029044E" w:rsidRPr="0029044E" w:rsidRDefault="0029044E" w:rsidP="0029044E">
      <w:pPr>
        <w:pStyle w:val="NormalWeb"/>
        <w:spacing w:line="480" w:lineRule="auto"/>
        <w:rPr>
          <w:rFonts w:ascii="Aptos" w:hAnsi="Aptos"/>
        </w:rPr>
      </w:pPr>
      <w:r w:rsidRPr="0029044E">
        <w:rPr>
          <w:rFonts w:ascii="Aptos" w:hAnsi="Aptos"/>
        </w:rPr>
        <w:t xml:space="preserve">The gradient analysis, adapted from sea ice monitoring, proved effective for detecting the advancing and retreating water margin across the flat basin floor. Seasonal gradient magnitude maps revealed a distinct wavefront pattern during both recession and refilling, </w:t>
      </w:r>
      <w:r w:rsidRPr="0029044E">
        <w:rPr>
          <w:rFonts w:ascii="Aptos" w:hAnsi="Aptos"/>
        </w:rPr>
        <w:lastRenderedPageBreak/>
        <w:t>with the southern and eastern shores receding first and refilling last. This asymmetry, consistent with the basin's topographic gradient and drainage structure, was not apparent in the optical time series due to cloud-cover gaps during the critical transition months.</w:t>
      </w:r>
    </w:p>
    <w:p w14:paraId="3131FFAC" w14:textId="4FDAE545" w:rsidR="0029044E" w:rsidRPr="0029044E" w:rsidRDefault="0029044E" w:rsidP="0029044E">
      <w:pPr>
        <w:pStyle w:val="NormalWeb"/>
        <w:spacing w:line="480" w:lineRule="auto"/>
        <w:rPr>
          <w:rFonts w:ascii="Aptos" w:hAnsi="Aptos"/>
        </w:rPr>
      </w:pPr>
      <w:r w:rsidRPr="0029044E">
        <w:rPr>
          <w:rFonts w:ascii="Aptos" w:hAnsi="Aptos"/>
        </w:rPr>
        <w:t>SAR classification accuracy was highest for open water (producer's accuracy 0.94) and lowest for the Typha marsh interior (0.71), where dense canopy attenuated C-band returns and reduced the double-bounce signal. This limitation confirms the need for L-band data in dense emergent vegetation, as documented by Hess et al. (2003) and Clement et al. (2018).</w:t>
      </w:r>
    </w:p>
    <w:p w14:paraId="3FCB6D92" w14:textId="6B302616" w:rsidR="00D84195" w:rsidRDefault="00D84195" w:rsidP="00D84195">
      <w:pPr>
        <w:pStyle w:val="Heading2"/>
      </w:pPr>
      <w:r>
        <w:t xml:space="preserve">3.4 Population Migration </w:t>
      </w:r>
      <w:r w:rsidR="001E25AB">
        <w:t xml:space="preserve">&amp; </w:t>
      </w:r>
      <w:r>
        <w:t>Water Extent</w:t>
      </w:r>
    </w:p>
    <w:p w14:paraId="3CD828A6" w14:textId="77777777" w:rsidR="004A28CE" w:rsidRDefault="004A28CE" w:rsidP="004A28CE">
      <w:pPr>
        <w:pStyle w:val="BodyText"/>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4B9C388D" w14:textId="77777777" w:rsidR="004A28CE" w:rsidRDefault="004A28CE" w:rsidP="004A28CE">
      <w:pPr>
        <w:pStyle w:val="BodyText"/>
      </w:pPr>
      <w:r>
        <w:t xml:space="preserve">Migration operates at multiple temporal scales. Daily migrants travel to inshore fishing grounds and return the same day. Short-term seasonal migrants spend weeks to months on </w:t>
      </w:r>
      <w:proofErr w:type="spellStart"/>
      <w:r>
        <w:t>zimbowera</w:t>
      </w:r>
      <w:proofErr w:type="spellEnd"/>
      <w:r>
        <w:t xml:space="preserve">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w:t>
      </w:r>
      <w:r>
        <w:lastRenderedPageBreak/>
        <w:t>interdependently within the household economy, with fishing supporting lean months before harvest while also relieving pressure on household food supply when male members are away from the village.</w:t>
      </w:r>
    </w:p>
    <w:p w14:paraId="433267AB" w14:textId="77777777" w:rsidR="004A28CE" w:rsidRDefault="004A28CE" w:rsidP="004A28CE">
      <w:pPr>
        <w:pStyle w:val="BodyText"/>
      </w:pPr>
      <w:r>
        <w:t xml:space="preserve">During the 1995-96 refilling, key informant accounts documented sequential </w:t>
      </w:r>
      <w:proofErr w:type="spellStart"/>
      <w:r>
        <w:t>recolonisation</w:t>
      </w:r>
      <w:proofErr w:type="spellEnd"/>
      <w:r>
        <w:t xml:space="preserve">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w:t>
      </w:r>
      <w:proofErr w:type="spellStart"/>
      <w:r>
        <w:t>Mtengo</w:t>
      </w:r>
      <w:proofErr w:type="spellEnd"/>
      <w:r>
        <w:t xml:space="preserve"> </w:t>
      </w:r>
      <w:proofErr w:type="spellStart"/>
      <w:r>
        <w:t>Mtengo</w:t>
      </w:r>
      <w:proofErr w:type="spellEnd"/>
      <w:r>
        <w:t xml:space="preserve"> to </w:t>
      </w:r>
      <w:proofErr w:type="spellStart"/>
      <w:r>
        <w:t>Ntila</w:t>
      </w:r>
      <w:proofErr w:type="spellEnd"/>
      <w:r>
        <w:t xml:space="preserve">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14:paraId="7FBFDAEB" w14:textId="77777777" w:rsidR="004A28CE" w:rsidRDefault="004A28CE" w:rsidP="004A28CE">
      <w:pPr>
        <w:pStyle w:val="BodyText"/>
      </w:pPr>
      <w:r>
        <w:t>The 3-month anticipatory lag between community-reported migration and satellite-detected water level changes (r=0.73, p&lt;0.001) was consistent across both recession events. Local observers identified environmental shifts that preceded detectable changes in satellite imagery, including reduced turbidity in residual pools (indicating declining nutrient input), changes in bird assemblages at shoreline roosts, and the appearance of salt crusts on exposed lakebed. Northern lakeshore communities also used the seasonal retreat of the waterline to time the planting of wet gardens on newly exposed lakebed, selecting plots closer or further from the shore depending on their reading of the previous rainfall and the coming season's conditions (Murphy, 2014). These observations functioned as an informal early warning system that formal monitoring did not capture.</w:t>
      </w:r>
    </w:p>
    <w:p w14:paraId="6DE948E7" w14:textId="295603CD" w:rsidR="00D84195" w:rsidRPr="00D84195" w:rsidRDefault="00D84195" w:rsidP="00D84195">
      <w:pPr>
        <w:pStyle w:val="Heading2"/>
      </w:pPr>
      <w:r w:rsidRPr="00D84195">
        <w:t xml:space="preserve">3.5 Enforcement </w:t>
      </w:r>
      <w:r w:rsidR="001E25AB">
        <w:t xml:space="preserve">Patrols </w:t>
      </w:r>
      <w:r w:rsidRPr="00D84195">
        <w:t>and Territorial Mapping</w:t>
      </w:r>
    </w:p>
    <w:p w14:paraId="262D8D71" w14:textId="77777777" w:rsidR="004A28CE" w:rsidRDefault="004A28CE" w:rsidP="00A4105A">
      <w:pPr>
        <w:pStyle w:val="BodyText"/>
      </w:pPr>
      <w:r>
        <w:t>Community mapping identified 23 locations where formal fisheries regulations conflicted with traditional territorial claims. These conflicts clustered at the margins of jurisdictional boundaries between Zomba, Phalombe, and Machinga districts, particularly in areas where the retreating shoreline shifted fishing grounds across administrative borders.</w:t>
      </w:r>
    </w:p>
    <w:p w14:paraId="3C97F4C7" w14:textId="77777777" w:rsidR="004A28CE" w:rsidRDefault="004A28CE" w:rsidP="00A4105A">
      <w:pPr>
        <w:pStyle w:val="BodyText"/>
      </w:pPr>
      <w:r>
        <w:t xml:space="preserve">The governance structure itself is a product of the 1995 recession. During the drying of the lake in 1994, the Department of Fisheries established river village committees (RVCs) to protect fish refugia in deep pools at alluvial river mouths, where illegal </w:t>
      </w:r>
      <w:proofErr w:type="spellStart"/>
      <w:r>
        <w:t>katupe</w:t>
      </w:r>
      <w:proofErr w:type="spellEnd"/>
      <w:r>
        <w:t xml:space="preserve"> poisoning (</w:t>
      </w:r>
      <w:proofErr w:type="spellStart"/>
      <w:r>
        <w:t>Syzigium</w:t>
      </w:r>
      <w:proofErr w:type="spellEnd"/>
      <w:r>
        <w:t xml:space="preserve"> cordatum) had become common (Murphy, 2014). Following refilling, these RVCs were expanded into Beach </w:t>
      </w:r>
      <w:r>
        <w:lastRenderedPageBreak/>
        <w:t>Village Committees (BVCs) at 53 landing beaches under the Fisheries Management and Conservation Act of 1997, supported by the USAID-funded COMPASS programme in 2004. The Act gave BVCs authority to enforce regulations restricting seine-net operations during the closed season (January to April), to charge fines, demand equipment measurements, and impose licensing laws. However, jurisdictional boundaries accorded with the areas of group village headmen, an inheritance from the RVC structure that created ambiguity between fishing territories and administrative boundaries (</w:t>
      </w:r>
      <w:proofErr w:type="spellStart"/>
      <w:r>
        <w:t>Njaya</w:t>
      </w:r>
      <w:proofErr w:type="spellEnd"/>
      <w:r>
        <w:t>, 2009; Murphy, 2014).</w:t>
      </w:r>
    </w:p>
    <w:p w14:paraId="2C965022" w14:textId="77777777" w:rsidR="004A28CE" w:rsidRDefault="004A28CE" w:rsidP="00A4105A">
      <w:pPr>
        <w:pStyle w:val="BodyText"/>
      </w:pPr>
      <w:r>
        <w:t xml:space="preserve">In practice, a majority of BVCs were dominated by traditional leaders rather than working fishers, with committee positions held by traditional council members or village development committee secretaries and treasurers. Fishing regulation compliance reached 65% during active enforcement periods, with compliance patterns shaped by traditional territorial boundaries rather than formal jurisdictional lines. Migrant seine-net fishers reported selective compliance: they observed regulations enforced by traditional authorities with whom they had kinship or patron-client relationships, and disregarded those imposed by district fisheries officers operating outside their home territories. The structural conflict between resident gill-net fishers and migrant seine-net crews, documented in earlier violence at nearby Lake </w:t>
      </w:r>
      <w:proofErr w:type="spellStart"/>
      <w:r>
        <w:t>Chiutha</w:t>
      </w:r>
      <w:proofErr w:type="spellEnd"/>
      <w:r>
        <w:t xml:space="preserve"> where seine-net fishers were physically expelled and their camps burned (Murphy, 2014; Wilson, unpublished), was replicated in escalating tensions at Lake Chilwa. Seine-net crews breached regulations by destroying fixed gill-nets, while BVCs charged fines exceeding the statutory maximum of 20,000 MWK. Elder mediation resolved 89% of resource disputes where traditional boundaries received formal recognition, compared to 34% where only formal boundaries applied.</w:t>
      </w:r>
    </w:p>
    <w:p w14:paraId="1D8CFA07" w14:textId="77777777" w:rsidR="004A28CE" w:rsidRDefault="004A28CE" w:rsidP="00A4105A">
      <w:pPr>
        <w:pStyle w:val="BodyText"/>
      </w:pPr>
      <w:r>
        <w:t xml:space="preserve">Market participation showed distance decay (beta=-0.45), with road quality as the critical determinant. The marketing system at </w:t>
      </w:r>
      <w:proofErr w:type="spellStart"/>
      <w:r>
        <w:t>Kachulu</w:t>
      </w:r>
      <w:proofErr w:type="spellEnd"/>
      <w:r>
        <w:t xml:space="preserve"> Dock operates through grooved channels of </w:t>
      </w:r>
      <w:proofErr w:type="spellStart"/>
      <w:r>
        <w:t>clientelisation</w:t>
      </w:r>
      <w:proofErr w:type="spellEnd"/>
      <w:r>
        <w:t xml:space="preserve"> between informal guilds and committees of assemblers, processors, bicycle traders, and truck wholesalers, each with their own governance structures (Murphy, 2014). During recession, when fishing effort concentrated in residual pools, competition for access intensified and enforcement conflicts escalated. The spatial pattern of these conflicts, mapped through participatory exercises, corresponded to zones where SAR imagery showed the most rapid shoreline retreat, suggesting that the rate of environmental change, not merely its magnitude, drives resource conflict.</w:t>
      </w:r>
    </w:p>
    <w:p w14:paraId="4370610F" w14:textId="77777777" w:rsidR="00D84195" w:rsidRDefault="00D84195" w:rsidP="00D84195">
      <w:pPr>
        <w:pStyle w:val="Heading2"/>
      </w:pPr>
      <w:r>
        <w:lastRenderedPageBreak/>
        <w:t>4. Discussion</w:t>
      </w:r>
    </w:p>
    <w:p w14:paraId="0550167D" w14:textId="176E6045" w:rsidR="003B69D9" w:rsidRDefault="003B69D9" w:rsidP="0015101F">
      <w:pPr>
        <w:pStyle w:val="Heading2"/>
      </w:pPr>
      <w:r>
        <w:t xml:space="preserve">4.1 Remote Sensing </w:t>
      </w:r>
      <w:r w:rsidR="003675D9">
        <w:t>Strengths &amp; Weaknesses</w:t>
      </w:r>
    </w:p>
    <w:p w14:paraId="6C7B5C40" w14:textId="77777777" w:rsidR="003B69D9" w:rsidRDefault="003B69D9" w:rsidP="006D03B6">
      <w:pPr>
        <w:pStyle w:val="BodyText"/>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w:t>
      </w:r>
      <w:proofErr w:type="spellStart"/>
      <w:r>
        <w:t>Ozesmi</w:t>
      </w:r>
      <w:proofErr w:type="spellEnd"/>
      <w:r>
        <w:t xml:space="preserve"> and Bauer's (2002) observation that canopy reflectance dominates the spectral signal in emergent wetlands, and with Amani et al.'s (2020) finding that MNDWI yields false negatives beneath macrophyte cover.</w:t>
      </w:r>
    </w:p>
    <w:p w14:paraId="538EEED9" w14:textId="77777777" w:rsidR="003B69D9" w:rsidRDefault="003B69D9" w:rsidP="006D03B6">
      <w:pPr>
        <w:pStyle w:val="BodyText"/>
      </w:pPr>
      <w:r>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2D6DCE61" w14:textId="77777777" w:rsidR="003B69D9" w:rsidRDefault="003B69D9" w:rsidP="006D03B6">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w:t>
      </w:r>
      <w:proofErr w:type="spellStart"/>
      <w:r>
        <w:t>domingensis</w:t>
      </w:r>
      <w:proofErr w:type="spellEnd"/>
      <w:r>
        <w:t xml:space="preserve"> marshes constitute the principal refugium during recession and the first habitat to refill, this limitation matters. L-band data from ALOS PALSAR or the forthcoming NISAR mission would close this gap, though at coarser resolution and lower temporal frequency.</w:t>
      </w:r>
    </w:p>
    <w:p w14:paraId="68932704" w14:textId="77777777" w:rsidR="003B69D9" w:rsidRDefault="003B69D9" w:rsidP="006D03B6">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704CC51A" w14:textId="77777777" w:rsidR="003B69D9" w:rsidRDefault="003B69D9" w:rsidP="001C4B27">
      <w:pPr>
        <w:pStyle w:val="Heading2"/>
      </w:pPr>
      <w:r>
        <w:lastRenderedPageBreak/>
        <w:t>4.2 The Integration Gap</w:t>
      </w:r>
    </w:p>
    <w:p w14:paraId="4C3271ED" w14:textId="77777777" w:rsidR="003B69D9" w:rsidRDefault="003B69D9" w:rsidP="001C4B27">
      <w:pPr>
        <w:pStyle w:val="BodyText"/>
      </w:pPr>
      <w:r>
        <w:t xml:space="preserve">The literature on combining remote sensing with participatory or ethnographic methods for wetland management is sparse. Del Rio et al. (2018) achieved 81% classification accuracy by grounding Landsat-derived classes in Lozi ecological knowledge on the </w:t>
      </w:r>
      <w:proofErr w:type="spellStart"/>
      <w:r>
        <w:t>Barotse</w:t>
      </w:r>
      <w:proofErr w:type="spellEnd"/>
      <w:r>
        <w:t xml:space="preserve"> </w:t>
      </w:r>
      <w:proofErr w:type="gramStart"/>
      <w:r>
        <w:t>Floodplain, but</w:t>
      </w:r>
      <w:proofErr w:type="gramEnd"/>
      <w:r>
        <w:t xml:space="preserve">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w:t>
      </w:r>
      <w:proofErr w:type="spellStart"/>
      <w:r>
        <w:t>Ogooue</w:t>
      </w:r>
      <w:proofErr w:type="spellEnd"/>
      <w:r>
        <w:t xml:space="preserv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w:t>
      </w:r>
    </w:p>
    <w:p w14:paraId="46497820" w14:textId="77777777" w:rsidR="003B69D9" w:rsidRDefault="003B69D9" w:rsidP="001C4B27">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w:t>
      </w:r>
      <w:proofErr w:type="spellStart"/>
      <w:r>
        <w:t>Njaya's</w:t>
      </w:r>
      <w:proofErr w:type="spellEnd"/>
      <w:r>
        <w:t xml:space="preserve"> (2009) analysis of power asymmetries in Lake Chilwa co-management and extend it spatially, showing where those asymmetries produce observable conflicts on the ground.</w:t>
      </w:r>
    </w:p>
    <w:p w14:paraId="0B92341A" w14:textId="77777777" w:rsidR="003B69D9" w:rsidRDefault="003B69D9" w:rsidP="001C4B27">
      <w:pPr>
        <w:pStyle w:val="BodyText"/>
      </w:pPr>
      <w:r>
        <w:t xml:space="preserve">No published study integrates remote sensing of Lake </w:t>
      </w:r>
      <w:proofErr w:type="spellStart"/>
      <w:r>
        <w:t>Chilwa's</w:t>
      </w:r>
      <w:proofErr w:type="spellEnd"/>
      <w:r>
        <w:t xml:space="preserve"> inundation dynamics with participatory or ethnographic data from its fishing communities. Comparable endorheic systems in the Rift Valley, including Lakes Turkana, </w:t>
      </w:r>
      <w:proofErr w:type="spellStart"/>
      <w:r>
        <w:t>Rukwa</w:t>
      </w:r>
      <w:proofErr w:type="spellEnd"/>
      <w:r>
        <w:t>,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02E58012" w14:textId="77777777" w:rsidR="003B69D9" w:rsidRDefault="003B69D9" w:rsidP="00996049">
      <w:pPr>
        <w:pStyle w:val="Heading2"/>
      </w:pPr>
      <w:r>
        <w:t>4.3 Population Dynamics and Lake Recession</w:t>
      </w:r>
    </w:p>
    <w:p w14:paraId="396EF5FA" w14:textId="77777777" w:rsidR="003B69D9" w:rsidRDefault="003B69D9" w:rsidP="00996049">
      <w:pPr>
        <w:pStyle w:val="BodyText"/>
      </w:pPr>
      <w:r>
        <w:t xml:space="preserve">The correspondence between water extent and population movement across the basin over three decades constitutes the study's central empirical finding. The pattern, in-migration during refilling, out-migration preceding recession, with a consistent 3-month anticipatory lag, aligns with </w:t>
      </w:r>
      <w:proofErr w:type="spellStart"/>
      <w:r>
        <w:t>Sarch</w:t>
      </w:r>
      <w:proofErr w:type="spellEnd"/>
      <w:r>
        <w:t xml:space="preserve">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w:t>
      </w:r>
      <w:r>
        <w:lastRenderedPageBreak/>
        <w:t>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70DF3D94" w14:textId="77777777" w:rsidR="003B69D9" w:rsidRDefault="003B69D9" w:rsidP="00996049">
      <w:pPr>
        <w:pStyle w:val="BodyText"/>
      </w:pPr>
      <w:r>
        <w:t>The anticipatory lag deserves particular attention. Communities did not wait for official warnings or for the lake to dry. They read environmental signals, declining catch per unit effort, increasing salinity, the retreat of the shoreline beyond established camp boundaries,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w:t>
      </w:r>
      <w:proofErr w:type="spellStart"/>
      <w:r>
        <w:t>mkamwini</w:t>
      </w:r>
      <w:proofErr w:type="spellEnd"/>
      <w:r>
        <w:t xml:space="preserve">)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w:t>
      </w:r>
      <w:proofErr w:type="spellStart"/>
      <w:r>
        <w:t>recolonisation</w:t>
      </w:r>
      <w:proofErr w:type="spellEnd"/>
      <w:r>
        <w:t xml:space="preserve">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3F4A4BBB" w14:textId="77777777" w:rsidR="003B69D9" w:rsidRDefault="003B69D9" w:rsidP="00996049">
      <w:pPr>
        <w:pStyle w:val="BodyText"/>
      </w:pPr>
      <w:r>
        <w:t xml:space="preserve">This finding has implications beyond Lake Chilwa. Kolding and van </w:t>
      </w:r>
      <w:proofErr w:type="spellStart"/>
      <w:r>
        <w:t>Zwieten</w:t>
      </w:r>
      <w:proofErr w:type="spellEnd"/>
      <w:r>
        <w:t xml:space="preserve"> (2012) show that system productivity in African lakes increases with water-level instability, and that dryland fisheries are dominated by small, opportunistic species adapted to strong environmental disturbance. Lake </w:t>
      </w:r>
      <w:proofErr w:type="spellStart"/>
      <w:r>
        <w:t>Chilwa's</w:t>
      </w:r>
      <w:proofErr w:type="spellEnd"/>
      <w:r>
        <w:t xml:space="preserve"> three commercial species exemplify this: highly fecund, early-maturing, tolerant to wide environmental variation, with unspecialised spawning and broad diets (</w:t>
      </w:r>
      <w:proofErr w:type="spellStart"/>
      <w:r>
        <w:t>Njaya</w:t>
      </w:r>
      <w:proofErr w:type="spellEnd"/>
      <w:r>
        <w:t>, 2001). The dominant fisheries paradigm of optimal sustainable yields does not apply to such systems, where productivity is intrinsically unstable and the most effective strategies may be "opportunistic and 'unstable' in the conventional sense" (</w:t>
      </w:r>
      <w:proofErr w:type="spellStart"/>
      <w:r>
        <w:t>Sarch</w:t>
      </w:r>
      <w:proofErr w:type="spellEnd"/>
      <w:r>
        <w:t xml:space="preserve"> and Allison, 2000). But Bene (2003) complicates this by demonstrating that structural poverty limits the degree to which boom periods translate into lasting welfare gains. The boom-and-bust cycle is ecologically productive </w:t>
      </w:r>
      <w:r>
        <w:lastRenderedPageBreak/>
        <w:t xml:space="preserve">but socially precarious. Communities that survive recession through anticipatory migration return to a fishery that recovers rapidly but whose benefits are captured unevenly, as </w:t>
      </w:r>
      <w:proofErr w:type="spellStart"/>
      <w:r>
        <w:t>Njaya</w:t>
      </w:r>
      <w:proofErr w:type="spellEnd"/>
      <w:r>
        <w:t xml:space="preserve">, Donda, and Bene (2012) document through their analysis of power in Lake </w:t>
      </w:r>
      <w:proofErr w:type="spellStart"/>
      <w:r>
        <w:t>Chilwa's</w:t>
      </w:r>
      <w:proofErr w:type="spellEnd"/>
      <w:r>
        <w:t xml:space="preserve"> co-management structures.</w:t>
      </w:r>
    </w:p>
    <w:p w14:paraId="20480D3E" w14:textId="39C6803D" w:rsidR="003B69D9" w:rsidRDefault="003B69D9" w:rsidP="001C0F05">
      <w:pPr>
        <w:pStyle w:val="Heading2"/>
      </w:pPr>
      <w:r>
        <w:t xml:space="preserve">4.4 Fisheries Governance </w:t>
      </w:r>
      <w:r w:rsidR="00996049">
        <w:t xml:space="preserve">&amp; </w:t>
      </w:r>
      <w:r>
        <w:t>Monitoring</w:t>
      </w:r>
      <w:r w:rsidR="00996049">
        <w:t xml:space="preserve"> Limitations</w:t>
      </w:r>
    </w:p>
    <w:p w14:paraId="0730C1DE" w14:textId="77777777" w:rsidR="003B69D9" w:rsidRPr="004E0519" w:rsidRDefault="003B69D9" w:rsidP="004E0519">
      <w:pPr>
        <w:pStyle w:val="NormalWeb"/>
        <w:spacing w:line="360" w:lineRule="auto"/>
        <w:rPr>
          <w:sz w:val="22"/>
          <w:szCs w:val="22"/>
        </w:rPr>
      </w:pPr>
      <w:r w:rsidRPr="004E0519">
        <w:rPr>
          <w:sz w:val="22"/>
          <w:szCs w:val="22"/>
        </w:rPr>
        <w:t xml:space="preserve">The enforcement conflict mapping revealed a fishery governed not by the jurisdictional boundaries on official maps but by a layered system of traditional territorial claims, kinship obligations, and pragmatic accommodation between formal and informal authority. Wilson, Russell, and Dobson (2008) characterise Malawian fisheries governance as "a patchwork of traditional, modern, and post-modern regimes," and Lake Chilwa exemplifies this layering. The roots of the current system predate community-based management. Colonial licensing from the 1950s gave legitimacy to "Malawian migrant" fishers who had previously faced restrictions under locally governed institutions organised along ethnic lines (Chirwa, 1996; </w:t>
      </w:r>
      <w:proofErr w:type="spellStart"/>
      <w:r w:rsidRPr="004E0519">
        <w:rPr>
          <w:sz w:val="22"/>
          <w:szCs w:val="22"/>
        </w:rPr>
        <w:t>Njaya</w:t>
      </w:r>
      <w:proofErr w:type="spellEnd"/>
      <w:r w:rsidRPr="004E0519">
        <w:rPr>
          <w:sz w:val="22"/>
          <w:szCs w:val="22"/>
        </w:rPr>
        <w:t xml:space="preserve">, 2007). Returning labour migrants from Southern Rhodesia and South Africa sought commercial fishing licences in numbers sufficient to prompt a Commission of Enquiry in 1956. The political struggles between emerging classes of commercial fishermen and traditional authorities that followed have shaped the conflicts unfolding in Lake </w:t>
      </w:r>
      <w:proofErr w:type="spellStart"/>
      <w:r w:rsidRPr="004E0519">
        <w:rPr>
          <w:sz w:val="22"/>
          <w:szCs w:val="22"/>
        </w:rPr>
        <w:t>Chilwa's</w:t>
      </w:r>
      <w:proofErr w:type="spellEnd"/>
      <w:r w:rsidRPr="004E0519">
        <w:rPr>
          <w:sz w:val="22"/>
          <w:szCs w:val="22"/>
        </w:rPr>
        <w:t xml:space="preserve"> co-management structures today (Murphy, 2014).</w:t>
      </w:r>
    </w:p>
    <w:p w14:paraId="748A19EB" w14:textId="77777777" w:rsidR="003B69D9" w:rsidRDefault="003B69D9" w:rsidP="004E0519">
      <w:pPr>
        <w:pStyle w:val="BodyText"/>
      </w:pPr>
      <w:r>
        <w:t xml:space="preserve">The post-1995 participatory fisheries management programme inherited these tensions. Wilson (2009) documents the governance structure that emerged: six Fisheries Associations aligned to Traditional Authorities, with BVCs aligned to Group Village Headmen and operating within their jurisdictional areas. This structure was functional in principle but was formed at the intersection of two incompatible mandates: the 1997 Fisheries Act's aim to provide "local community participation" in management, and the reliance on group village headmen's jurisdictions that effectively placed enforcement in the hands of traditional leaders rather than working fishers (COMPASS, 2004; Murphy, 2014). Hara and Nielsen (2003), writing in a volume co-edited by Wilson, found that similar co-management failures across African fisheries stemmed from the same structural problem: grafting participatory mandates onto existing authority hierarchies without resolving the contradictions between them. The COMPASS programme's own assessment identified the problem clearly: "BVCs exclude the vested interests, the commercial investors, the businessmen who own gear and boats, who buy, sell and process fish, the transporters who control the markets and economic chain. The term BVC is therefore a misnomer" </w:t>
      </w:r>
      <w:r>
        <w:lastRenderedPageBreak/>
        <w:t>(COMPASS, 2004). Despite this recognition, BVC reform proceeded within the same institutional framework.</w:t>
      </w:r>
    </w:p>
    <w:p w14:paraId="71113604" w14:textId="77777777" w:rsidR="003B69D9" w:rsidRDefault="003B69D9" w:rsidP="004E0519">
      <w:pPr>
        <w:pStyle w:val="BodyText"/>
      </w:pPr>
      <w:r>
        <w:t xml:space="preserve">Migrant fishers complied selectively, observing regulations enforced by traditional authorities with whom they had established relationships and disregarding those imposed by district officers operating outside their home territories. This selective compliance, invisible to any monitoring system that tracks only catch volumes or vessel positions, determined conservation outcomes more directly than any formal enforcement mechanism. These findings are consistent with the broader literature on African fisheries governance. Nunan (2015) shows how elite capture operates through literacy requirements and social capital barriers that exclude poorer fishers from co-management committees. Donda, </w:t>
      </w:r>
      <w:proofErr w:type="spellStart"/>
      <w:r>
        <w:t>Njaya</w:t>
      </w:r>
      <w:proofErr w:type="spellEnd"/>
      <w:r>
        <w:t xml:space="preserve">, and Bene (2012) document how traditional leaders on Lake Chilwa extract tribute from seine fishermen through devolved governance structures. </w:t>
      </w:r>
      <w:proofErr w:type="spellStart"/>
      <w:r>
        <w:t>Kalanda</w:t>
      </w:r>
      <w:proofErr w:type="spellEnd"/>
      <w:r>
        <w:t>-Sabola et al. (2007) record how indigenous knowledge on Chisi Island regulates access to sacred fishing sites in ways that formal frameworks neither recognise nor incorporate. The political ecology of the fishery is inaccessible to remote sensing and largely invisible to conventional survey methods. It required extended ethnographic fieldwork to map.</w:t>
      </w:r>
    </w:p>
    <w:p w14:paraId="3C523C00" w14:textId="77777777" w:rsidR="003B69D9" w:rsidRDefault="003B69D9" w:rsidP="007F2E96">
      <w:pPr>
        <w:pStyle w:val="BodyText"/>
      </w:pPr>
      <w:r>
        <w:t xml:space="preserve">The spatial correlation between the rate of shoreline retreat and the intensity of enforcement conflicts suggests a mechanism: rapid environmental change compresses the resource base and forces competing users into overlapping territories, escalating disputes that stable conditions would not produce. This dynamic is analogous to what </w:t>
      </w:r>
      <w:proofErr w:type="spellStart"/>
      <w:r>
        <w:t>Sarch</w:t>
      </w:r>
      <w:proofErr w:type="spellEnd"/>
      <w:r>
        <w:t xml:space="preserve"> and Allison (2000) describe for Lake Chad, where institutional collapse, not merely environmental change, drove fishery decline among migrant communities. At Lake Chilwa, the institutions did not collapse, but their spatial jurisdiction ceased to match the spatial distribution of resources, creating governance gaps that remote sensing cannot detect but ethnographic mapping can. The precedent from Lake </w:t>
      </w:r>
      <w:proofErr w:type="spellStart"/>
      <w:r>
        <w:t>Chiutha</w:t>
      </w:r>
      <w:proofErr w:type="spellEnd"/>
      <w:r>
        <w:t xml:space="preserve">, where resident fishers violently expelled migrant seine-net crews and burned their camps following the 1992-95 recession (Murphy, 2014; Wilson, 2009), demonstrates what happens when these governance gaps are resolved by force rather than by institutional adaptation. The comparative experience across southern Malawi's lakes, from Lake </w:t>
      </w:r>
      <w:proofErr w:type="spellStart"/>
      <w:r>
        <w:t>Malombe's</w:t>
      </w:r>
      <w:proofErr w:type="spellEnd"/>
      <w:r>
        <w:t xml:space="preserve"> fisheries association failures through Lake </w:t>
      </w:r>
      <w:proofErr w:type="spellStart"/>
      <w:r>
        <w:t>Chiutha's</w:t>
      </w:r>
      <w:proofErr w:type="spellEnd"/>
      <w:r>
        <w:t xml:space="preserve"> violent exclusion to Lake </w:t>
      </w:r>
      <w:proofErr w:type="spellStart"/>
      <w:r>
        <w:t>Chilwa's</w:t>
      </w:r>
      <w:proofErr w:type="spellEnd"/>
      <w:r>
        <w:t xml:space="preserve"> ongoing selective compliance, constitutes a natural experiment in co-management under ecological fluctuation (Wilson, Russell, and Dobson, 2008; Wilson, 2009). Lopes et al. (1998), in work involving Wilson, documented analogous transitions from centralised to co-management in Mozambican artisanal fisheries, finding that effective devolution required genuine representation of fishing communities rather than delegation to existing authority structures.</w:t>
      </w:r>
    </w:p>
    <w:p w14:paraId="39D4B247" w14:textId="57D8E465" w:rsidR="003B69D9" w:rsidRPr="000B1FAD" w:rsidRDefault="003B69D9" w:rsidP="000B1FAD">
      <w:pPr>
        <w:pStyle w:val="Heading2"/>
      </w:pPr>
      <w:r w:rsidRPr="000B1FAD">
        <w:lastRenderedPageBreak/>
        <w:t xml:space="preserve">Methodological </w:t>
      </w:r>
      <w:r w:rsidR="007F2E96">
        <w:t>Weaknesses</w:t>
      </w:r>
    </w:p>
    <w:p w14:paraId="2FC8254F" w14:textId="77777777" w:rsidR="003B69D9" w:rsidRDefault="003B69D9" w:rsidP="000B1FAD">
      <w:pPr>
        <w:pStyle w:val="BodyText"/>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w:t>
      </w:r>
      <w:proofErr w:type="gramStart"/>
      <w:r>
        <w:t>6 to 12 day</w:t>
      </w:r>
      <w:proofErr w:type="gramEnd"/>
      <w:r>
        <w:t xml:space="preserve"> revisit partially addressed this gap, but the temporal resolution of community observation still exceeded what any satellite provides.</w:t>
      </w:r>
    </w:p>
    <w:p w14:paraId="2C4C2789" w14:textId="77777777" w:rsidR="003B69D9" w:rsidRDefault="003B69D9" w:rsidP="000B1FAD">
      <w:pPr>
        <w:pStyle w:val="BodyText"/>
      </w:pPr>
      <w:r>
        <w:t>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00957276" w14:textId="6C14E58F" w:rsidR="003B69D9" w:rsidRPr="00DB25A4" w:rsidRDefault="003B69D9" w:rsidP="00DB25A4">
      <w:pPr>
        <w:pStyle w:val="Heading2"/>
        <w:rPr>
          <w:rStyle w:val="Strong"/>
          <w:b/>
          <w:bCs w:val="0"/>
        </w:rPr>
      </w:pPr>
      <w:r w:rsidRPr="00DB25A4">
        <w:rPr>
          <w:rStyle w:val="Strong"/>
          <w:b/>
          <w:bCs w:val="0"/>
        </w:rPr>
        <w:t>Future Directions</w:t>
      </w:r>
    </w:p>
    <w:p w14:paraId="0054DB7C" w14:textId="77777777" w:rsidR="003B69D9" w:rsidRDefault="003B69D9" w:rsidP="00DB25A4">
      <w:pPr>
        <w:pStyle w:val="BodyText"/>
      </w:pPr>
      <w:r>
        <w:t xml:space="preserve">Four extensions would strengthen the framework developed here. First, L-band SAR (ALOS PALSAR-2 or NISAR) would improve flood detection beneath dense Typha, closing the most significant gap in the current sensor complement.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w:t>
      </w:r>
      <w:proofErr w:type="spellStart"/>
      <w:r>
        <w:t>Rukwa</w:t>
      </w:r>
      <w:proofErr w:type="spellEnd"/>
      <w:r>
        <w:t xml:space="preserve"> present analogous challenges and would test whether the integration framework transfers across different governance contexts and ecological conditions.</w:t>
      </w:r>
    </w:p>
    <w:p w14:paraId="5274C384" w14:textId="77777777" w:rsidR="003B69D9" w:rsidRDefault="003B69D9" w:rsidP="00DB25A4">
      <w:pPr>
        <w:pStyle w:val="BodyText"/>
      </w:pPr>
      <w:r>
        <w:t xml:space="preserve">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w:t>
      </w:r>
      <w:r>
        <w:lastRenderedPageBreak/>
        <w:t>satellite-derived products, would represent a genuine advance in wetland conservation monitoring.</w:t>
      </w:r>
    </w:p>
    <w:p w14:paraId="28F6AD47" w14:textId="77777777" w:rsidR="003B69D9" w:rsidRDefault="003B69D9" w:rsidP="00D84195">
      <w:pPr>
        <w:pStyle w:val="Heading2"/>
      </w:pPr>
    </w:p>
    <w:p w14:paraId="454708B4" w14:textId="77777777" w:rsidR="003B69D9" w:rsidRPr="003B69D9" w:rsidRDefault="003B69D9" w:rsidP="003B69D9"/>
    <w:p w14:paraId="6CAAF381" w14:textId="7F0975BC" w:rsidR="00D84195" w:rsidRDefault="00D84195" w:rsidP="00D84195">
      <w:pPr>
        <w:pStyle w:val="Heading2"/>
      </w:pPr>
      <w:r>
        <w:t>5. Conclusions</w:t>
      </w:r>
    </w:p>
    <w:p w14:paraId="754C982B" w14:textId="77777777" w:rsidR="00D84195" w:rsidRDefault="00D84195" w:rsidP="00D84195">
      <w:pPr>
        <w:pStyle w:val="BodyText"/>
      </w:pPr>
      <w:r>
        <w:t>This study mapped the recession-refilling dynamics of Lake Chilwa across two complete desiccation cycles using multi-sensor remote sensing validated against 18 months of ethnographic fieldwork. The findings support four conclusions.</w:t>
      </w:r>
    </w:p>
    <w:p w14:paraId="167690A6" w14:textId="77777777" w:rsidR="00D84195" w:rsidRDefault="00D84195" w:rsidP="00D84195">
      <w:pPr>
        <w:pStyle w:val="BodyText"/>
      </w:pPr>
      <w:r>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5D9800DA" w14:textId="77777777" w:rsidR="00D84195" w:rsidRDefault="00D84195" w:rsidP="00D84195">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2B658F27" w14:textId="77777777" w:rsidR="00D84195" w:rsidRDefault="00D84195" w:rsidP="00D84195">
      <w:pPr>
        <w:pStyle w:val="BodyText"/>
      </w:pPr>
      <w:r>
        <w:t xml:space="preserve">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w:t>
      </w:r>
      <w:proofErr w:type="gramStart"/>
      <w:r>
        <w:t>regulation, and</w:t>
      </w:r>
      <w:proofErr w:type="gramEnd"/>
      <w:r>
        <w:t xml:space="preserve"> were accessible only through sustained ethnographic fieldwork.</w:t>
      </w:r>
    </w:p>
    <w:p w14:paraId="72318A7B" w14:textId="77777777" w:rsidR="00D84195" w:rsidRDefault="00D84195" w:rsidP="00D84195">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w:t>
      </w:r>
      <w:r>
        <w:lastRenderedPageBreak/>
        <w:t xml:space="preserve">rapid participatory appraisal or structured surveys cannot reproduce the depth of understanding that extended immersion in fishing </w:t>
      </w:r>
      <w:proofErr w:type="gramStart"/>
      <w:r>
        <w:t>communities</w:t>
      </w:r>
      <w:proofErr w:type="gramEnd"/>
      <w:r>
        <w:t xml:space="preserve"> yields.</w:t>
      </w:r>
    </w:p>
    <w:p w14:paraId="719A7D2D" w14:textId="77777777" w:rsidR="00D84195" w:rsidRDefault="00D84195" w:rsidP="00D84195">
      <w:pPr>
        <w:pStyle w:val="BodyText"/>
      </w:pPr>
      <w:r>
        <w:t xml:space="preserve">The socio-ecological systems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w:t>
      </w:r>
      <w:proofErr w:type="gramStart"/>
      <w:r>
        <w:t>and</w:t>
      </w:r>
      <w:proofErr w:type="gramEnd"/>
      <w:r>
        <w:t xml:space="preserve"> that the social dimensions of wetland dynamics are as consequential as the biophysical ones for conservation outcomes.</w:t>
      </w:r>
    </w:p>
    <w:p w14:paraId="5E7BBAB5" w14:textId="77777777" w:rsidR="000B55EB" w:rsidRPr="003D4BC8" w:rsidRDefault="000B55EB">
      <w:pPr>
        <w:pBdr>
          <w:top w:val="nil"/>
          <w:left w:val="nil"/>
          <w:bottom w:val="nil"/>
          <w:right w:val="nil"/>
          <w:between w:val="nil"/>
        </w:pBdr>
        <w:jc w:val="left"/>
        <w:rPr>
          <w:rFonts w:ascii="Arial" w:hAnsi="Arial" w:cs="Arial"/>
        </w:rPr>
      </w:pPr>
    </w:p>
    <w:p w14:paraId="4BB6A8AA" w14:textId="77777777" w:rsidR="000B55EB" w:rsidRPr="003D4BC8" w:rsidRDefault="000B55EB">
      <w:pPr>
        <w:pBdr>
          <w:top w:val="nil"/>
          <w:left w:val="nil"/>
          <w:bottom w:val="nil"/>
          <w:right w:val="nil"/>
          <w:between w:val="nil"/>
        </w:pBdr>
        <w:jc w:val="left"/>
        <w:rPr>
          <w:rFonts w:ascii="Arial" w:hAnsi="Arial" w:cs="Arial"/>
        </w:rPr>
      </w:pPr>
    </w:p>
    <w:p w14:paraId="397165B6" w14:textId="77777777" w:rsidR="000B55EB" w:rsidRPr="003D4BC8" w:rsidRDefault="000B55EB">
      <w:pPr>
        <w:pBdr>
          <w:top w:val="nil"/>
          <w:left w:val="nil"/>
          <w:bottom w:val="nil"/>
          <w:right w:val="nil"/>
          <w:between w:val="nil"/>
        </w:pBdr>
        <w:jc w:val="left"/>
        <w:rPr>
          <w:rFonts w:ascii="Arial" w:hAnsi="Arial" w:cs="Arial"/>
        </w:rPr>
      </w:pPr>
    </w:p>
    <w:p w14:paraId="4E57DCCB" w14:textId="77777777" w:rsidR="000B55EB" w:rsidRPr="003D4BC8" w:rsidRDefault="000B55EB">
      <w:pPr>
        <w:pBdr>
          <w:top w:val="nil"/>
          <w:left w:val="nil"/>
          <w:bottom w:val="nil"/>
          <w:right w:val="nil"/>
          <w:between w:val="nil"/>
        </w:pBdr>
        <w:jc w:val="left"/>
        <w:rPr>
          <w:rFonts w:ascii="Arial" w:hAnsi="Arial" w:cs="Arial"/>
        </w:rPr>
      </w:pPr>
    </w:p>
    <w:p w14:paraId="1BBE443F" w14:textId="77777777" w:rsidR="000B55EB" w:rsidRPr="003D4BC8" w:rsidRDefault="000B55EB">
      <w:pPr>
        <w:pBdr>
          <w:top w:val="nil"/>
          <w:left w:val="nil"/>
          <w:bottom w:val="nil"/>
          <w:right w:val="nil"/>
          <w:between w:val="nil"/>
        </w:pBdr>
        <w:jc w:val="left"/>
        <w:rPr>
          <w:rFonts w:ascii="Arial" w:hAnsi="Arial" w:cs="Arial"/>
        </w:rPr>
      </w:pPr>
    </w:p>
    <w:p w14:paraId="6D4CD8F6" w14:textId="77777777" w:rsidR="000B55EB" w:rsidRPr="003D4BC8" w:rsidRDefault="000B55EB">
      <w:pPr>
        <w:pBdr>
          <w:top w:val="nil"/>
          <w:left w:val="nil"/>
          <w:bottom w:val="nil"/>
          <w:right w:val="nil"/>
          <w:between w:val="nil"/>
        </w:pBdr>
        <w:jc w:val="left"/>
        <w:rPr>
          <w:rFonts w:ascii="Arial" w:hAnsi="Arial" w:cs="Arial"/>
        </w:rPr>
      </w:pPr>
    </w:p>
    <w:p w14:paraId="4B0CC088" w14:textId="77777777" w:rsidR="00D931AC" w:rsidRDefault="00D931AC">
      <w:pPr>
        <w:pStyle w:val="Heading2"/>
        <w:rPr>
          <w:rFonts w:cs="Arial"/>
          <w:szCs w:val="24"/>
        </w:rPr>
      </w:pPr>
      <w:bookmarkStart w:id="2" w:name="_heading=h.mfqakx9bxc7z" w:colFirst="0" w:colLast="0"/>
      <w:bookmarkStart w:id="3" w:name="_heading=h.9ht3wnz0aq0h" w:colFirst="0" w:colLast="0"/>
      <w:bookmarkEnd w:id="2"/>
      <w:bookmarkEnd w:id="3"/>
    </w:p>
    <w:p w14:paraId="05A6B09D" w14:textId="77777777" w:rsidR="00D931AC" w:rsidRDefault="00D931AC">
      <w:pPr>
        <w:pStyle w:val="Heading2"/>
        <w:rPr>
          <w:rFonts w:cs="Arial"/>
          <w:szCs w:val="24"/>
        </w:rPr>
        <w:sectPr w:rsidR="00D931AC" w:rsidSect="00B13028">
          <w:pgSz w:w="12240" w:h="15840"/>
          <w:pgMar w:top="1440" w:right="1440" w:bottom="1440" w:left="1440" w:header="720" w:footer="720" w:gutter="0"/>
          <w:lnNumType w:countBy="1" w:restart="continuous"/>
          <w:pgNumType w:start="1"/>
          <w:cols w:space="720"/>
          <w:titlePg/>
          <w:docGrid w:linePitch="299"/>
        </w:sectPr>
      </w:pPr>
    </w:p>
    <w:p w14:paraId="0BDEA9C5" w14:textId="0F870D0F" w:rsidR="000B55EB" w:rsidRPr="003D4BC8" w:rsidRDefault="00000000">
      <w:pPr>
        <w:pStyle w:val="Heading2"/>
        <w:rPr>
          <w:rFonts w:cs="Arial"/>
          <w:szCs w:val="24"/>
        </w:rPr>
      </w:pPr>
      <w:r w:rsidRPr="003D4BC8">
        <w:rPr>
          <w:rFonts w:cs="Arial"/>
          <w:szCs w:val="24"/>
        </w:rPr>
        <w:lastRenderedPageBreak/>
        <w:t xml:space="preserve">6. </w:t>
      </w:r>
      <w:bookmarkStart w:id="4" w:name="bookmark=id.q93a9hmz9q86" w:colFirst="0" w:colLast="0"/>
      <w:bookmarkEnd w:id="4"/>
      <w:r w:rsidRPr="003D4BC8">
        <w:rPr>
          <w:rFonts w:cs="Arial"/>
          <w:szCs w:val="24"/>
        </w:rPr>
        <w:t>References</w:t>
      </w:r>
    </w:p>
    <w:p w14:paraId="305BB15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Acharya, T. D., Subedi, A., &amp; Lee, D. H. (2018). Evaluation of water indices for surface water mapping using Sentinel-2 imagery. </w:t>
      </w:r>
      <w:r w:rsidRPr="005B0C1C">
        <w:rPr>
          <w:rStyle w:val="Emphasis"/>
          <w:rFonts w:ascii="Arial" w:hAnsi="Arial" w:cs="Arial"/>
          <w:sz w:val="22"/>
          <w:szCs w:val="22"/>
        </w:rPr>
        <w:t>Sensors</w:t>
      </w:r>
      <w:r w:rsidRPr="005B0C1C">
        <w:rPr>
          <w:rFonts w:ascii="Arial" w:hAnsi="Arial" w:cs="Arial"/>
          <w:sz w:val="22"/>
          <w:szCs w:val="22"/>
        </w:rPr>
        <w:t xml:space="preserve">, </w:t>
      </w:r>
      <w:r w:rsidRPr="005B0C1C">
        <w:rPr>
          <w:rStyle w:val="Emphasis"/>
          <w:rFonts w:ascii="Arial" w:hAnsi="Arial" w:cs="Arial"/>
          <w:sz w:val="22"/>
          <w:szCs w:val="22"/>
        </w:rPr>
        <w:t>18</w:t>
      </w:r>
      <w:r w:rsidRPr="005B0C1C">
        <w:rPr>
          <w:rFonts w:ascii="Arial" w:hAnsi="Arial" w:cs="Arial"/>
          <w:sz w:val="22"/>
          <w:szCs w:val="22"/>
        </w:rPr>
        <w:t>(8), 2580.</w:t>
      </w:r>
    </w:p>
    <w:p w14:paraId="48B0326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Allison, E. H., &amp; Mvula, P. M. (2002). </w:t>
      </w:r>
      <w:r w:rsidRPr="005B0C1C">
        <w:rPr>
          <w:rStyle w:val="Emphasis"/>
          <w:rFonts w:ascii="Arial" w:hAnsi="Arial" w:cs="Arial"/>
          <w:sz w:val="22"/>
          <w:szCs w:val="22"/>
        </w:rPr>
        <w:t>Fishing livelihoods and fisheries management in Malawi</w:t>
      </w:r>
      <w:r w:rsidRPr="005B0C1C">
        <w:rPr>
          <w:rFonts w:ascii="Arial" w:hAnsi="Arial" w:cs="Arial"/>
          <w:sz w:val="22"/>
          <w:szCs w:val="22"/>
        </w:rPr>
        <w:t xml:space="preserve"> (LADDER Working Paper No. 23). Overseas Development Institute.</w:t>
      </w:r>
    </w:p>
    <w:p w14:paraId="2A8B39D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Amani, M., Brisco, B., Afshar, M., </w:t>
      </w:r>
      <w:proofErr w:type="spellStart"/>
      <w:r w:rsidRPr="005B0C1C">
        <w:rPr>
          <w:rFonts w:ascii="Arial" w:hAnsi="Arial" w:cs="Arial"/>
          <w:sz w:val="22"/>
          <w:szCs w:val="22"/>
        </w:rPr>
        <w:t>Mirmazloumi</w:t>
      </w:r>
      <w:proofErr w:type="spellEnd"/>
      <w:r w:rsidRPr="005B0C1C">
        <w:rPr>
          <w:rFonts w:ascii="Arial" w:hAnsi="Arial" w:cs="Arial"/>
          <w:sz w:val="22"/>
          <w:szCs w:val="22"/>
        </w:rPr>
        <w:t xml:space="preserve">, S. M., Mahdavi, S., Mirzadeh, S. M. J., Huang, W., &amp; Granger, J. (2019). A generalized supervised classification scheme to produce provincial wetland inventory maps: An application of Google Earth Engine for big geo data processing. </w:t>
      </w:r>
      <w:proofErr w:type="spellStart"/>
      <w:r w:rsidRPr="005B0C1C">
        <w:rPr>
          <w:rStyle w:val="Emphasis"/>
          <w:rFonts w:ascii="Arial" w:hAnsi="Arial" w:cs="Arial"/>
          <w:sz w:val="22"/>
          <w:szCs w:val="22"/>
        </w:rPr>
        <w:t>GIScience</w:t>
      </w:r>
      <w:proofErr w:type="spellEnd"/>
      <w:r w:rsidRPr="005B0C1C">
        <w:rPr>
          <w:rStyle w:val="Emphasis"/>
          <w:rFonts w:ascii="Arial" w:hAnsi="Arial" w:cs="Arial"/>
          <w:sz w:val="22"/>
          <w:szCs w:val="22"/>
        </w:rPr>
        <w:t xml:space="preserve"> and Remote Sensing</w:t>
      </w:r>
      <w:r w:rsidRPr="005B0C1C">
        <w:rPr>
          <w:rFonts w:ascii="Arial" w:hAnsi="Arial" w:cs="Arial"/>
          <w:sz w:val="22"/>
          <w:szCs w:val="22"/>
        </w:rPr>
        <w:t xml:space="preserve">, </w:t>
      </w:r>
      <w:r w:rsidRPr="005B0C1C">
        <w:rPr>
          <w:rStyle w:val="Emphasis"/>
          <w:rFonts w:ascii="Arial" w:hAnsi="Arial" w:cs="Arial"/>
          <w:sz w:val="22"/>
          <w:szCs w:val="22"/>
        </w:rPr>
        <w:t>56</w:t>
      </w:r>
      <w:r w:rsidRPr="005B0C1C">
        <w:rPr>
          <w:rFonts w:ascii="Arial" w:hAnsi="Arial" w:cs="Arial"/>
          <w:sz w:val="22"/>
          <w:szCs w:val="22"/>
        </w:rPr>
        <w:t>(7), 1023-1045.</w:t>
      </w:r>
    </w:p>
    <w:p w14:paraId="3A35E5E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Amani, M., Mahdavi, S., Afshar, M., Brisco, B., Huang, W., Mirzadeh, S. M. J., White, L., Banks, S., Montgomery, J., &amp; Hopkinson, C. (2020). Canadian wetland inventory using Google Earth Engine: The first map and preliminary results.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12</w:t>
      </w:r>
      <w:r w:rsidRPr="005B0C1C">
        <w:rPr>
          <w:rFonts w:ascii="Arial" w:hAnsi="Arial" w:cs="Arial"/>
          <w:sz w:val="22"/>
          <w:szCs w:val="22"/>
        </w:rPr>
        <w:t>(7), 1190.</w:t>
      </w:r>
    </w:p>
    <w:p w14:paraId="40C2E7F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Bene, C. (2003). When fishery rhymes with poverty: A first step beyond the old paradigm on poverty in small-scale fisheries. </w:t>
      </w:r>
      <w:r w:rsidRPr="005B0C1C">
        <w:rPr>
          <w:rStyle w:val="Emphasis"/>
          <w:rFonts w:ascii="Arial" w:hAnsi="Arial" w:cs="Arial"/>
          <w:sz w:val="22"/>
          <w:szCs w:val="22"/>
        </w:rPr>
        <w:t>World Development</w:t>
      </w:r>
      <w:r w:rsidRPr="005B0C1C">
        <w:rPr>
          <w:rFonts w:ascii="Arial" w:hAnsi="Arial" w:cs="Arial"/>
          <w:sz w:val="22"/>
          <w:szCs w:val="22"/>
        </w:rPr>
        <w:t xml:space="preserve">, </w:t>
      </w:r>
      <w:r w:rsidRPr="005B0C1C">
        <w:rPr>
          <w:rStyle w:val="Emphasis"/>
          <w:rFonts w:ascii="Arial" w:hAnsi="Arial" w:cs="Arial"/>
          <w:sz w:val="22"/>
          <w:szCs w:val="22"/>
        </w:rPr>
        <w:t>31</w:t>
      </w:r>
      <w:r w:rsidRPr="005B0C1C">
        <w:rPr>
          <w:rFonts w:ascii="Arial" w:hAnsi="Arial" w:cs="Arial"/>
          <w:sz w:val="22"/>
          <w:szCs w:val="22"/>
        </w:rPr>
        <w:t>(6), 949-975.</w:t>
      </w:r>
    </w:p>
    <w:p w14:paraId="1049453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Breiman</w:t>
      </w:r>
      <w:proofErr w:type="spellEnd"/>
      <w:r w:rsidRPr="005B0C1C">
        <w:rPr>
          <w:rFonts w:ascii="Arial" w:hAnsi="Arial" w:cs="Arial"/>
          <w:sz w:val="22"/>
          <w:szCs w:val="22"/>
        </w:rPr>
        <w:t xml:space="preserve">, L. (2001). Random forests. </w:t>
      </w:r>
      <w:r w:rsidRPr="005B0C1C">
        <w:rPr>
          <w:rStyle w:val="Emphasis"/>
          <w:rFonts w:ascii="Arial" w:hAnsi="Arial" w:cs="Arial"/>
          <w:sz w:val="22"/>
          <w:szCs w:val="22"/>
        </w:rPr>
        <w:t>Machine Learning</w:t>
      </w:r>
      <w:r w:rsidRPr="005B0C1C">
        <w:rPr>
          <w:rFonts w:ascii="Arial" w:hAnsi="Arial" w:cs="Arial"/>
          <w:sz w:val="22"/>
          <w:szCs w:val="22"/>
        </w:rPr>
        <w:t xml:space="preserve">, </w:t>
      </w:r>
      <w:r w:rsidRPr="005B0C1C">
        <w:rPr>
          <w:rStyle w:val="Emphasis"/>
          <w:rFonts w:ascii="Arial" w:hAnsi="Arial" w:cs="Arial"/>
          <w:sz w:val="22"/>
          <w:szCs w:val="22"/>
        </w:rPr>
        <w:t>45</w:t>
      </w:r>
      <w:r w:rsidRPr="005B0C1C">
        <w:rPr>
          <w:rFonts w:ascii="Arial" w:hAnsi="Arial" w:cs="Arial"/>
          <w:sz w:val="22"/>
          <w:szCs w:val="22"/>
        </w:rPr>
        <w:t>(1), 5-32.</w:t>
      </w:r>
    </w:p>
    <w:p w14:paraId="65F15D6B"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Campos, J. C., Sillero, N., &amp; Brito, J. C. (2012). Normalized difference water indexes have dissimilar performances in detecting seasonal and permanent water in the Sahara-Sahel transition zone. </w:t>
      </w:r>
      <w:r w:rsidRPr="005B0C1C">
        <w:rPr>
          <w:rStyle w:val="Emphasis"/>
          <w:rFonts w:ascii="Arial" w:hAnsi="Arial" w:cs="Arial"/>
          <w:sz w:val="22"/>
          <w:szCs w:val="22"/>
        </w:rPr>
        <w:t>Journal of Hydrology</w:t>
      </w:r>
      <w:r w:rsidRPr="005B0C1C">
        <w:rPr>
          <w:rFonts w:ascii="Arial" w:hAnsi="Arial" w:cs="Arial"/>
          <w:sz w:val="22"/>
          <w:szCs w:val="22"/>
        </w:rPr>
        <w:t xml:space="preserve">, </w:t>
      </w:r>
      <w:r w:rsidRPr="005B0C1C">
        <w:rPr>
          <w:rStyle w:val="Emphasis"/>
          <w:rFonts w:ascii="Arial" w:hAnsi="Arial" w:cs="Arial"/>
          <w:sz w:val="22"/>
          <w:szCs w:val="22"/>
        </w:rPr>
        <w:t>464-465</w:t>
      </w:r>
      <w:r w:rsidRPr="005B0C1C">
        <w:rPr>
          <w:rFonts w:ascii="Arial" w:hAnsi="Arial" w:cs="Arial"/>
          <w:sz w:val="22"/>
          <w:szCs w:val="22"/>
        </w:rPr>
        <w:t>, 438-446.</w:t>
      </w:r>
    </w:p>
    <w:p w14:paraId="7799B72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Chirwa, W. C. (1996). Fishing rights, ecology and conservation along southern Lake Malawi, 1920-1964. </w:t>
      </w:r>
      <w:r w:rsidRPr="005B0C1C">
        <w:rPr>
          <w:rStyle w:val="Emphasis"/>
          <w:rFonts w:ascii="Arial" w:hAnsi="Arial" w:cs="Arial"/>
          <w:sz w:val="22"/>
          <w:szCs w:val="22"/>
        </w:rPr>
        <w:t>African Affairs</w:t>
      </w:r>
      <w:r w:rsidRPr="005B0C1C">
        <w:rPr>
          <w:rFonts w:ascii="Arial" w:hAnsi="Arial" w:cs="Arial"/>
          <w:sz w:val="22"/>
          <w:szCs w:val="22"/>
        </w:rPr>
        <w:t xml:space="preserve">, </w:t>
      </w:r>
      <w:r w:rsidRPr="005B0C1C">
        <w:rPr>
          <w:rStyle w:val="Emphasis"/>
          <w:rFonts w:ascii="Arial" w:hAnsi="Arial" w:cs="Arial"/>
          <w:sz w:val="22"/>
          <w:szCs w:val="22"/>
        </w:rPr>
        <w:t>95</w:t>
      </w:r>
      <w:r w:rsidRPr="005B0C1C">
        <w:rPr>
          <w:rFonts w:ascii="Arial" w:hAnsi="Arial" w:cs="Arial"/>
          <w:sz w:val="22"/>
          <w:szCs w:val="22"/>
        </w:rPr>
        <w:t>(380), 351-377.</w:t>
      </w:r>
    </w:p>
    <w:p w14:paraId="5F150300"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Chiotha</w:t>
      </w:r>
      <w:proofErr w:type="spellEnd"/>
      <w:r w:rsidRPr="005B0C1C">
        <w:rPr>
          <w:rFonts w:ascii="Arial" w:hAnsi="Arial" w:cs="Arial"/>
          <w:sz w:val="22"/>
          <w:szCs w:val="22"/>
        </w:rPr>
        <w:t xml:space="preserve">, S. S. (1996). Contribution of the fishery of Lake Chilwa to the national total fish production of Malawi. In M. Kalk, A. J. McLachlan, &amp; C. Howard-Williams (Eds.), </w:t>
      </w:r>
      <w:r w:rsidRPr="005B0C1C">
        <w:rPr>
          <w:rStyle w:val="Emphasis"/>
          <w:rFonts w:ascii="Arial" w:hAnsi="Arial" w:cs="Arial"/>
          <w:sz w:val="22"/>
          <w:szCs w:val="22"/>
        </w:rPr>
        <w:t>Lake Chilwa: Studies of change in a tropical ecosystem</w:t>
      </w:r>
      <w:r w:rsidRPr="005B0C1C">
        <w:rPr>
          <w:rFonts w:ascii="Arial" w:hAnsi="Arial" w:cs="Arial"/>
          <w:sz w:val="22"/>
          <w:szCs w:val="22"/>
        </w:rPr>
        <w:t xml:space="preserve"> (</w:t>
      </w:r>
      <w:proofErr w:type="spellStart"/>
      <w:r w:rsidRPr="005B0C1C">
        <w:rPr>
          <w:rFonts w:ascii="Arial" w:hAnsi="Arial" w:cs="Arial"/>
          <w:sz w:val="22"/>
          <w:szCs w:val="22"/>
        </w:rPr>
        <w:t>Monographiae</w:t>
      </w:r>
      <w:proofErr w:type="spellEnd"/>
      <w:r w:rsidRPr="005B0C1C">
        <w:rPr>
          <w:rFonts w:ascii="Arial" w:hAnsi="Arial" w:cs="Arial"/>
          <w:sz w:val="22"/>
          <w:szCs w:val="22"/>
        </w:rPr>
        <w:t xml:space="preserve"> </w:t>
      </w:r>
      <w:proofErr w:type="spellStart"/>
      <w:r w:rsidRPr="005B0C1C">
        <w:rPr>
          <w:rFonts w:ascii="Arial" w:hAnsi="Arial" w:cs="Arial"/>
          <w:sz w:val="22"/>
          <w:szCs w:val="22"/>
        </w:rPr>
        <w:t>Biologicae</w:t>
      </w:r>
      <w:proofErr w:type="spellEnd"/>
      <w:r w:rsidRPr="005B0C1C">
        <w:rPr>
          <w:rFonts w:ascii="Arial" w:hAnsi="Arial" w:cs="Arial"/>
          <w:sz w:val="22"/>
          <w:szCs w:val="22"/>
        </w:rPr>
        <w:t xml:space="preserve"> 35). Junk.</w:t>
      </w:r>
    </w:p>
    <w:p w14:paraId="4421061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Clement, M. A., Kilsby, C. G., &amp; Moore, P. (2018). Multi-temporal synthetic aperture radar flood mapping using change detection. </w:t>
      </w:r>
      <w:r w:rsidRPr="005B0C1C">
        <w:rPr>
          <w:rStyle w:val="Emphasis"/>
          <w:rFonts w:ascii="Arial" w:hAnsi="Arial" w:cs="Arial"/>
          <w:sz w:val="22"/>
          <w:szCs w:val="22"/>
        </w:rPr>
        <w:t>Journal of Flood Risk Management</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(2), 152-168.</w:t>
      </w:r>
    </w:p>
    <w:p w14:paraId="41F4950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COMPASS. (2004). </w:t>
      </w:r>
      <w:r w:rsidRPr="005B0C1C">
        <w:rPr>
          <w:rStyle w:val="Emphasis"/>
          <w:rFonts w:ascii="Arial" w:hAnsi="Arial" w:cs="Arial"/>
          <w:sz w:val="22"/>
          <w:szCs w:val="22"/>
        </w:rPr>
        <w:t>Fisheries management policy by-laws: Legal toolbox for participative fisheries management in Malawi</w:t>
      </w:r>
      <w:r w:rsidRPr="005B0C1C">
        <w:rPr>
          <w:rFonts w:ascii="Arial" w:hAnsi="Arial" w:cs="Arial"/>
          <w:sz w:val="22"/>
          <w:szCs w:val="22"/>
        </w:rPr>
        <w:t>. USAID/Community Partnerships for Sustainable Resource Management in Malawi.</w:t>
      </w:r>
    </w:p>
    <w:p w14:paraId="5F06D9A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Crossley, R., Davison-Hirshmann, S., Owen, B., &amp; Shaw, P. (1983). Lake level fluctuations during the last 2,000 years in Malawi. In </w:t>
      </w:r>
      <w:r w:rsidRPr="005B0C1C">
        <w:rPr>
          <w:rStyle w:val="Emphasis"/>
          <w:rFonts w:ascii="Arial" w:hAnsi="Arial" w:cs="Arial"/>
          <w:sz w:val="22"/>
          <w:szCs w:val="22"/>
        </w:rPr>
        <w:t>SASQUA International Symposium, Swaziland</w:t>
      </w:r>
      <w:r w:rsidRPr="005B0C1C">
        <w:rPr>
          <w:rFonts w:ascii="Arial" w:hAnsi="Arial" w:cs="Arial"/>
          <w:sz w:val="22"/>
          <w:szCs w:val="22"/>
        </w:rPr>
        <w:t xml:space="preserve"> (pp. 305-316).</w:t>
      </w:r>
    </w:p>
    <w:p w14:paraId="24D7E16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Davidson, N. C. (2014). How much wetland has the world lost? Long-term and recent trends in global wetland area. </w:t>
      </w:r>
      <w:r w:rsidRPr="005B0C1C">
        <w:rPr>
          <w:rStyle w:val="Emphasis"/>
          <w:rFonts w:ascii="Arial" w:hAnsi="Arial" w:cs="Arial"/>
          <w:sz w:val="22"/>
          <w:szCs w:val="22"/>
        </w:rPr>
        <w:t>Marine and Freshwater Research</w:t>
      </w:r>
      <w:r w:rsidRPr="005B0C1C">
        <w:rPr>
          <w:rFonts w:ascii="Arial" w:hAnsi="Arial" w:cs="Arial"/>
          <w:sz w:val="22"/>
          <w:szCs w:val="22"/>
        </w:rPr>
        <w:t xml:space="preserve">, </w:t>
      </w:r>
      <w:r w:rsidRPr="005B0C1C">
        <w:rPr>
          <w:rStyle w:val="Emphasis"/>
          <w:rFonts w:ascii="Arial" w:hAnsi="Arial" w:cs="Arial"/>
          <w:sz w:val="22"/>
          <w:szCs w:val="22"/>
        </w:rPr>
        <w:t>65</w:t>
      </w:r>
      <w:r w:rsidRPr="005B0C1C">
        <w:rPr>
          <w:rFonts w:ascii="Arial" w:hAnsi="Arial" w:cs="Arial"/>
          <w:sz w:val="22"/>
          <w:szCs w:val="22"/>
        </w:rPr>
        <w:t>(10), 934-941.</w:t>
      </w:r>
    </w:p>
    <w:p w14:paraId="08EE5C0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Del Rio, T., Groot, J. C. J., &amp; DeClerck, F. (2018). Landscape ecological knowledge base for </w:t>
      </w:r>
      <w:proofErr w:type="spellStart"/>
      <w:r w:rsidRPr="005B0C1C">
        <w:rPr>
          <w:rFonts w:ascii="Arial" w:hAnsi="Arial" w:cs="Arial"/>
          <w:sz w:val="22"/>
          <w:szCs w:val="22"/>
        </w:rPr>
        <w:t>Barotse</w:t>
      </w:r>
      <w:proofErr w:type="spellEnd"/>
      <w:r w:rsidRPr="005B0C1C">
        <w:rPr>
          <w:rFonts w:ascii="Arial" w:hAnsi="Arial" w:cs="Arial"/>
          <w:sz w:val="22"/>
          <w:szCs w:val="22"/>
        </w:rPr>
        <w:t xml:space="preserve"> Floodplain, Zambia. </w:t>
      </w:r>
      <w:r w:rsidRPr="005B0C1C">
        <w:rPr>
          <w:rStyle w:val="Emphasis"/>
          <w:rFonts w:ascii="Arial" w:hAnsi="Arial" w:cs="Arial"/>
          <w:sz w:val="22"/>
          <w:szCs w:val="22"/>
        </w:rPr>
        <w:t>Data in Brief</w:t>
      </w:r>
      <w:r w:rsidRPr="005B0C1C">
        <w:rPr>
          <w:rFonts w:ascii="Arial" w:hAnsi="Arial" w:cs="Arial"/>
          <w:sz w:val="22"/>
          <w:szCs w:val="22"/>
        </w:rPr>
        <w:t xml:space="preserve">, </w:t>
      </w:r>
      <w:r w:rsidRPr="005B0C1C">
        <w:rPr>
          <w:rStyle w:val="Emphasis"/>
          <w:rFonts w:ascii="Arial" w:hAnsi="Arial" w:cs="Arial"/>
          <w:sz w:val="22"/>
          <w:szCs w:val="22"/>
        </w:rPr>
        <w:t>19</w:t>
      </w:r>
      <w:r w:rsidRPr="005B0C1C">
        <w:rPr>
          <w:rFonts w:ascii="Arial" w:hAnsi="Arial" w:cs="Arial"/>
          <w:sz w:val="22"/>
          <w:szCs w:val="22"/>
        </w:rPr>
        <w:t>, 2297-2304.</w:t>
      </w:r>
    </w:p>
    <w:p w14:paraId="3B4D097A"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lastRenderedPageBreak/>
        <w:t>Demelash</w:t>
      </w:r>
      <w:proofErr w:type="spellEnd"/>
      <w:r w:rsidRPr="005B0C1C">
        <w:rPr>
          <w:rFonts w:ascii="Arial" w:hAnsi="Arial" w:cs="Arial"/>
          <w:sz w:val="22"/>
          <w:szCs w:val="22"/>
        </w:rPr>
        <w:t xml:space="preserve">, T., Gessesse, G. D., Alemu, M. L., &amp; Tilahun, S. A. (2025). Performance evaluation of water indices for surface water extraction in a semiarid environment. </w:t>
      </w:r>
      <w:r w:rsidRPr="005B0C1C">
        <w:rPr>
          <w:rStyle w:val="Emphasis"/>
          <w:rFonts w:ascii="Arial" w:hAnsi="Arial" w:cs="Arial"/>
          <w:sz w:val="22"/>
          <w:szCs w:val="22"/>
        </w:rPr>
        <w:t>H2Open Journal</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(5), 402.</w:t>
      </w:r>
    </w:p>
    <w:p w14:paraId="1571691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Demichelis, C., Pottier, P., &amp; Thibault, M. (2023). Socio-ecological approach combining remote sensing and local knowledge at the Bas-</w:t>
      </w:r>
      <w:proofErr w:type="spellStart"/>
      <w:r w:rsidRPr="005B0C1C">
        <w:rPr>
          <w:rFonts w:ascii="Arial" w:hAnsi="Arial" w:cs="Arial"/>
          <w:sz w:val="22"/>
          <w:szCs w:val="22"/>
        </w:rPr>
        <w:t>Ogooue</w:t>
      </w:r>
      <w:proofErr w:type="spellEnd"/>
      <w:r w:rsidRPr="005B0C1C">
        <w:rPr>
          <w:rFonts w:ascii="Arial" w:hAnsi="Arial" w:cs="Arial"/>
          <w:sz w:val="22"/>
          <w:szCs w:val="22"/>
        </w:rPr>
        <w:t xml:space="preserve"> Ramsar site, Gabon. Unpublished manuscript.</w:t>
      </w:r>
    </w:p>
    <w:p w14:paraId="3ADA1E3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Deus, D., &amp; </w:t>
      </w:r>
      <w:proofErr w:type="spellStart"/>
      <w:r w:rsidRPr="005B0C1C">
        <w:rPr>
          <w:rFonts w:ascii="Arial" w:hAnsi="Arial" w:cs="Arial"/>
          <w:sz w:val="22"/>
          <w:szCs w:val="22"/>
        </w:rPr>
        <w:t>Gloaguen</w:t>
      </w:r>
      <w:proofErr w:type="spellEnd"/>
      <w:r w:rsidRPr="005B0C1C">
        <w:rPr>
          <w:rFonts w:ascii="Arial" w:hAnsi="Arial" w:cs="Arial"/>
          <w:sz w:val="22"/>
          <w:szCs w:val="22"/>
        </w:rPr>
        <w:t xml:space="preserve">, R. (2013). Remote sensing analysis of lake dynamics in semi-arid regions.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5</w:t>
      </w:r>
      <w:r w:rsidRPr="005B0C1C">
        <w:rPr>
          <w:rFonts w:ascii="Arial" w:hAnsi="Arial" w:cs="Arial"/>
          <w:sz w:val="22"/>
          <w:szCs w:val="22"/>
        </w:rPr>
        <w:t>(12), 5765-5781.</w:t>
      </w:r>
    </w:p>
    <w:p w14:paraId="5CC59239"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Environmental Affairs Department. (2000). </w:t>
      </w:r>
      <w:r w:rsidRPr="005B0C1C">
        <w:rPr>
          <w:rStyle w:val="Emphasis"/>
          <w:rFonts w:ascii="Arial" w:hAnsi="Arial" w:cs="Arial"/>
          <w:sz w:val="22"/>
          <w:szCs w:val="22"/>
        </w:rPr>
        <w:t>State of environment report for Malawi 2000</w:t>
      </w:r>
      <w:r w:rsidRPr="005B0C1C">
        <w:rPr>
          <w:rFonts w:ascii="Arial" w:hAnsi="Arial" w:cs="Arial"/>
          <w:sz w:val="22"/>
          <w:szCs w:val="22"/>
        </w:rPr>
        <w:t>. Ministry of Natural Resources and Environmental Affairs.</w:t>
      </w:r>
    </w:p>
    <w:p w14:paraId="22876CA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Feyisa, G. L., Meilby, H., Fensholt, R., &amp; Proud, S. R. (2014). Automated water extraction index: A new technique for surface water mapping using Landsat imagery.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140</w:t>
      </w:r>
      <w:r w:rsidRPr="005B0C1C">
        <w:rPr>
          <w:rFonts w:ascii="Arial" w:hAnsi="Arial" w:cs="Arial"/>
          <w:sz w:val="22"/>
          <w:szCs w:val="22"/>
        </w:rPr>
        <w:t>, 23-35.</w:t>
      </w:r>
    </w:p>
    <w:p w14:paraId="4060E5C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Finlayson, C. M., Davies, G. T., Moomaw, W. R., Chmura, G. L., Natali, S. M., Perry, J. E., </w:t>
      </w:r>
      <w:proofErr w:type="spellStart"/>
      <w:r w:rsidRPr="005B0C1C">
        <w:rPr>
          <w:rFonts w:ascii="Arial" w:hAnsi="Arial" w:cs="Arial"/>
          <w:sz w:val="22"/>
          <w:szCs w:val="22"/>
        </w:rPr>
        <w:t>Rber</w:t>
      </w:r>
      <w:proofErr w:type="spellEnd"/>
      <w:r w:rsidRPr="005B0C1C">
        <w:rPr>
          <w:rFonts w:ascii="Arial" w:hAnsi="Arial" w:cs="Arial"/>
          <w:sz w:val="22"/>
          <w:szCs w:val="22"/>
        </w:rPr>
        <w:t xml:space="preserve">, N., &amp; Sutton-Grier, A. E. (2018). The second state of the world's wetlands and their services to people: A 2020 update. </w:t>
      </w:r>
      <w:r w:rsidRPr="005B0C1C">
        <w:rPr>
          <w:rStyle w:val="Emphasis"/>
          <w:rFonts w:ascii="Arial" w:hAnsi="Arial" w:cs="Arial"/>
          <w:sz w:val="22"/>
          <w:szCs w:val="22"/>
        </w:rPr>
        <w:t>Wetland Science and Practice</w:t>
      </w:r>
      <w:r w:rsidRPr="005B0C1C">
        <w:rPr>
          <w:rFonts w:ascii="Arial" w:hAnsi="Arial" w:cs="Arial"/>
          <w:sz w:val="22"/>
          <w:szCs w:val="22"/>
        </w:rPr>
        <w:t xml:space="preserve">, </w:t>
      </w:r>
      <w:r w:rsidRPr="005B0C1C">
        <w:rPr>
          <w:rStyle w:val="Emphasis"/>
          <w:rFonts w:ascii="Arial" w:hAnsi="Arial" w:cs="Arial"/>
          <w:sz w:val="22"/>
          <w:szCs w:val="22"/>
        </w:rPr>
        <w:t>35</w:t>
      </w:r>
      <w:r w:rsidRPr="005B0C1C">
        <w:rPr>
          <w:rFonts w:ascii="Arial" w:hAnsi="Arial" w:cs="Arial"/>
          <w:sz w:val="22"/>
          <w:szCs w:val="22"/>
        </w:rPr>
        <w:t>(2), 1-18.</w:t>
      </w:r>
    </w:p>
    <w:p w14:paraId="605B5D8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Fisher, A., Flood, N., &amp; Danaher, T. (2016). Comparing Landsat water index methods for automated water classification in eastern Australia.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175</w:t>
      </w:r>
      <w:r w:rsidRPr="005B0C1C">
        <w:rPr>
          <w:rFonts w:ascii="Arial" w:hAnsi="Arial" w:cs="Arial"/>
          <w:sz w:val="22"/>
          <w:szCs w:val="22"/>
        </w:rPr>
        <w:t>, 167-177.</w:t>
      </w:r>
    </w:p>
    <w:p w14:paraId="2C1FEF4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Gorelick, N., Hancher, M., Dixon, M., Ilyushchenko, S., Thau, D., &amp; Moore, R. (2017). Google Earth Engine: Planetary-scale geospatial analysis for everyone.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202</w:t>
      </w:r>
      <w:r w:rsidRPr="005B0C1C">
        <w:rPr>
          <w:rFonts w:ascii="Arial" w:hAnsi="Arial" w:cs="Arial"/>
          <w:sz w:val="22"/>
          <w:szCs w:val="22"/>
        </w:rPr>
        <w:t>, 18-27.</w:t>
      </w:r>
    </w:p>
    <w:p w14:paraId="602ADAC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Halabisky, M., Moskal, L. M., Gillespie, A., &amp; Hannam, M. (2016). Reconstructing semi-arid wetland surface water dynamics through spectral mixture analysis of a time series of Landsat satellite images (1984-2011).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177</w:t>
      </w:r>
      <w:r w:rsidRPr="005B0C1C">
        <w:rPr>
          <w:rFonts w:ascii="Arial" w:hAnsi="Arial" w:cs="Arial"/>
          <w:sz w:val="22"/>
          <w:szCs w:val="22"/>
        </w:rPr>
        <w:t>, 171-183.</w:t>
      </w:r>
    </w:p>
    <w:p w14:paraId="671793F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Hara, M., &amp; Nielsen, J. (2003). Experiences with fisheries co-management in Africa. In D. Wilson, J. Nielsen, &amp; P. Degnbol (Eds.), </w:t>
      </w:r>
      <w:r w:rsidRPr="005B0C1C">
        <w:rPr>
          <w:rStyle w:val="Emphasis"/>
          <w:rFonts w:ascii="Arial" w:hAnsi="Arial" w:cs="Arial"/>
          <w:sz w:val="22"/>
          <w:szCs w:val="22"/>
        </w:rPr>
        <w:t>The fisheries co-management experience: Accomplishments, challenges and prospects</w:t>
      </w:r>
      <w:r w:rsidRPr="005B0C1C">
        <w:rPr>
          <w:rFonts w:ascii="Arial" w:hAnsi="Arial" w:cs="Arial"/>
          <w:sz w:val="22"/>
          <w:szCs w:val="22"/>
        </w:rPr>
        <w:t xml:space="preserve"> (pp. 82-95). Kluwer Academic Publishers.</w:t>
      </w:r>
    </w:p>
    <w:p w14:paraId="0E93D00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Hardy, A., </w:t>
      </w:r>
      <w:proofErr w:type="spellStart"/>
      <w:r w:rsidRPr="005B0C1C">
        <w:rPr>
          <w:rFonts w:ascii="Arial" w:hAnsi="Arial" w:cs="Arial"/>
          <w:sz w:val="22"/>
          <w:szCs w:val="22"/>
        </w:rPr>
        <w:t>Ettritch</w:t>
      </w:r>
      <w:proofErr w:type="spellEnd"/>
      <w:r w:rsidRPr="005B0C1C">
        <w:rPr>
          <w:rFonts w:ascii="Arial" w:hAnsi="Arial" w:cs="Arial"/>
          <w:sz w:val="22"/>
          <w:szCs w:val="22"/>
        </w:rPr>
        <w:t xml:space="preserve">, G., Cross, D. E., Sheridan, S., Mason, D., Sherlock, R., Sherlock, M., Lopez, J., &amp; Sherlock, N. (2019). Automatic detection of open and vegetated water bodies using Sentinel-1 to map African malaria vector mosquito breeding habitats.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(6), 720.</w:t>
      </w:r>
    </w:p>
    <w:p w14:paraId="57A18FD0"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Heimhuber</w:t>
      </w:r>
      <w:proofErr w:type="spellEnd"/>
      <w:r w:rsidRPr="005B0C1C">
        <w:rPr>
          <w:rFonts w:ascii="Arial" w:hAnsi="Arial" w:cs="Arial"/>
          <w:sz w:val="22"/>
          <w:szCs w:val="22"/>
        </w:rPr>
        <w:t xml:space="preserve">, V., </w:t>
      </w:r>
      <w:proofErr w:type="spellStart"/>
      <w:r w:rsidRPr="005B0C1C">
        <w:rPr>
          <w:rFonts w:ascii="Arial" w:hAnsi="Arial" w:cs="Arial"/>
          <w:sz w:val="22"/>
          <w:szCs w:val="22"/>
        </w:rPr>
        <w:t>Tulbure</w:t>
      </w:r>
      <w:proofErr w:type="spellEnd"/>
      <w:r w:rsidRPr="005B0C1C">
        <w:rPr>
          <w:rFonts w:ascii="Arial" w:hAnsi="Arial" w:cs="Arial"/>
          <w:sz w:val="22"/>
          <w:szCs w:val="22"/>
        </w:rPr>
        <w:t xml:space="preserve">, M. G., &amp; Broich, M. (2018). Modelling 25 years of </w:t>
      </w:r>
      <w:proofErr w:type="spellStart"/>
      <w:r w:rsidRPr="005B0C1C">
        <w:rPr>
          <w:rFonts w:ascii="Arial" w:hAnsi="Arial" w:cs="Arial"/>
          <w:sz w:val="22"/>
          <w:szCs w:val="22"/>
        </w:rPr>
        <w:t>spatio</w:t>
      </w:r>
      <w:proofErr w:type="spellEnd"/>
      <w:r w:rsidRPr="005B0C1C">
        <w:rPr>
          <w:rFonts w:ascii="Arial" w:hAnsi="Arial" w:cs="Arial"/>
          <w:sz w:val="22"/>
          <w:szCs w:val="22"/>
        </w:rPr>
        <w:t xml:space="preserve">-temporal surface water and inundation dynamics on large river basin scale using time series of Earth observation data.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209</w:t>
      </w:r>
      <w:r w:rsidRPr="005B0C1C">
        <w:rPr>
          <w:rFonts w:ascii="Arial" w:hAnsi="Arial" w:cs="Arial"/>
          <w:sz w:val="22"/>
          <w:szCs w:val="22"/>
        </w:rPr>
        <w:t>, 27-42.</w:t>
      </w:r>
    </w:p>
    <w:p w14:paraId="6C16F98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Hess, L. L., </w:t>
      </w:r>
      <w:proofErr w:type="spellStart"/>
      <w:r w:rsidRPr="005B0C1C">
        <w:rPr>
          <w:rFonts w:ascii="Arial" w:hAnsi="Arial" w:cs="Arial"/>
          <w:sz w:val="22"/>
          <w:szCs w:val="22"/>
        </w:rPr>
        <w:t>Melack</w:t>
      </w:r>
      <w:proofErr w:type="spellEnd"/>
      <w:r w:rsidRPr="005B0C1C">
        <w:rPr>
          <w:rFonts w:ascii="Arial" w:hAnsi="Arial" w:cs="Arial"/>
          <w:sz w:val="22"/>
          <w:szCs w:val="22"/>
        </w:rPr>
        <w:t xml:space="preserve">, J. M., &amp; Simonett, D. S. (1995). Radar detection of flooding beneath the forest canopy: A review. </w:t>
      </w:r>
      <w:r w:rsidRPr="005B0C1C">
        <w:rPr>
          <w:rStyle w:val="Emphasis"/>
          <w:rFonts w:ascii="Arial" w:hAnsi="Arial" w:cs="Arial"/>
          <w:sz w:val="22"/>
          <w:szCs w:val="22"/>
        </w:rPr>
        <w:t>IEEE Transactions on Geoscience and Remote Sensing</w:t>
      </w:r>
      <w:r w:rsidRPr="005B0C1C">
        <w:rPr>
          <w:rFonts w:ascii="Arial" w:hAnsi="Arial" w:cs="Arial"/>
          <w:sz w:val="22"/>
          <w:szCs w:val="22"/>
        </w:rPr>
        <w:t xml:space="preserve">, </w:t>
      </w:r>
      <w:r w:rsidRPr="005B0C1C">
        <w:rPr>
          <w:rStyle w:val="Emphasis"/>
          <w:rFonts w:ascii="Arial" w:hAnsi="Arial" w:cs="Arial"/>
          <w:sz w:val="22"/>
          <w:szCs w:val="22"/>
        </w:rPr>
        <w:t>33</w:t>
      </w:r>
      <w:r w:rsidRPr="005B0C1C">
        <w:rPr>
          <w:rFonts w:ascii="Arial" w:hAnsi="Arial" w:cs="Arial"/>
          <w:sz w:val="22"/>
          <w:szCs w:val="22"/>
        </w:rPr>
        <w:t>(4), 896-904.</w:t>
      </w:r>
    </w:p>
    <w:p w14:paraId="486F772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Hess, L. L., </w:t>
      </w:r>
      <w:proofErr w:type="spellStart"/>
      <w:r w:rsidRPr="005B0C1C">
        <w:rPr>
          <w:rFonts w:ascii="Arial" w:hAnsi="Arial" w:cs="Arial"/>
          <w:sz w:val="22"/>
          <w:szCs w:val="22"/>
        </w:rPr>
        <w:t>Melack</w:t>
      </w:r>
      <w:proofErr w:type="spellEnd"/>
      <w:r w:rsidRPr="005B0C1C">
        <w:rPr>
          <w:rFonts w:ascii="Arial" w:hAnsi="Arial" w:cs="Arial"/>
          <w:sz w:val="22"/>
          <w:szCs w:val="22"/>
        </w:rPr>
        <w:t xml:space="preserve">, J. M., Novo, E. M. L. M., Barbosa, C. C. F., &amp; </w:t>
      </w:r>
      <w:proofErr w:type="spellStart"/>
      <w:r w:rsidRPr="005B0C1C">
        <w:rPr>
          <w:rFonts w:ascii="Arial" w:hAnsi="Arial" w:cs="Arial"/>
          <w:sz w:val="22"/>
          <w:szCs w:val="22"/>
        </w:rPr>
        <w:t>Gastil</w:t>
      </w:r>
      <w:proofErr w:type="spellEnd"/>
      <w:r w:rsidRPr="005B0C1C">
        <w:rPr>
          <w:rFonts w:ascii="Arial" w:hAnsi="Arial" w:cs="Arial"/>
          <w:sz w:val="22"/>
          <w:szCs w:val="22"/>
        </w:rPr>
        <w:t xml:space="preserve">, M. (2003). Dual-season mapping of wetland inundation and vegetation for the central Amazon basin.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87</w:t>
      </w:r>
      <w:r w:rsidRPr="005B0C1C">
        <w:rPr>
          <w:rFonts w:ascii="Arial" w:hAnsi="Arial" w:cs="Arial"/>
          <w:sz w:val="22"/>
          <w:szCs w:val="22"/>
        </w:rPr>
        <w:t>(4), 404-428.</w:t>
      </w:r>
    </w:p>
    <w:p w14:paraId="773AD52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Hong, S.-H., &amp; </w:t>
      </w:r>
      <w:proofErr w:type="spellStart"/>
      <w:r w:rsidRPr="005B0C1C">
        <w:rPr>
          <w:rFonts w:ascii="Arial" w:hAnsi="Arial" w:cs="Arial"/>
          <w:sz w:val="22"/>
          <w:szCs w:val="22"/>
        </w:rPr>
        <w:t>Wdowinski</w:t>
      </w:r>
      <w:proofErr w:type="spellEnd"/>
      <w:r w:rsidRPr="005B0C1C">
        <w:rPr>
          <w:rFonts w:ascii="Arial" w:hAnsi="Arial" w:cs="Arial"/>
          <w:sz w:val="22"/>
          <w:szCs w:val="22"/>
        </w:rPr>
        <w:t xml:space="preserve">, S. (2017). Multitemporal multitrack monitoring of wetland water levels in the Florida Everglades using ALOS PALSAR data with interferometric processing. </w:t>
      </w:r>
      <w:r w:rsidRPr="005B0C1C">
        <w:rPr>
          <w:rStyle w:val="Emphasis"/>
          <w:rFonts w:ascii="Arial" w:hAnsi="Arial" w:cs="Arial"/>
          <w:sz w:val="22"/>
          <w:szCs w:val="22"/>
        </w:rPr>
        <w:t>IEEE Geoscience and Remote Sensing Letters</w:t>
      </w:r>
      <w:r w:rsidRPr="005B0C1C">
        <w:rPr>
          <w:rFonts w:ascii="Arial" w:hAnsi="Arial" w:cs="Arial"/>
          <w:sz w:val="22"/>
          <w:szCs w:val="22"/>
        </w:rPr>
        <w:t xml:space="preserve">, </w:t>
      </w:r>
      <w:r w:rsidRPr="005B0C1C">
        <w:rPr>
          <w:rStyle w:val="Emphasis"/>
          <w:rFonts w:ascii="Arial" w:hAnsi="Arial" w:cs="Arial"/>
          <w:sz w:val="22"/>
          <w:szCs w:val="22"/>
        </w:rPr>
        <w:t>14</w:t>
      </w:r>
      <w:r w:rsidRPr="005B0C1C">
        <w:rPr>
          <w:rFonts w:ascii="Arial" w:hAnsi="Arial" w:cs="Arial"/>
          <w:sz w:val="22"/>
          <w:szCs w:val="22"/>
        </w:rPr>
        <w:t>(8), 1370-1374.</w:t>
      </w:r>
    </w:p>
    <w:p w14:paraId="2711208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Huang, C., Peng, Y., Lang, M., Yeo, I.-Y., &amp; McCarty, G. (2014). Wetland inundation mapping and change monitoring using Landsat and airborne LiDAR data.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141</w:t>
      </w:r>
      <w:r w:rsidRPr="005B0C1C">
        <w:rPr>
          <w:rFonts w:ascii="Arial" w:hAnsi="Arial" w:cs="Arial"/>
          <w:sz w:val="22"/>
          <w:szCs w:val="22"/>
        </w:rPr>
        <w:t>, 231-242.</w:t>
      </w:r>
    </w:p>
    <w:p w14:paraId="5719943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Jamu, D., </w:t>
      </w:r>
      <w:proofErr w:type="spellStart"/>
      <w:r w:rsidRPr="005B0C1C">
        <w:rPr>
          <w:rFonts w:ascii="Arial" w:hAnsi="Arial" w:cs="Arial"/>
          <w:sz w:val="22"/>
          <w:szCs w:val="22"/>
        </w:rPr>
        <w:t>Chapotera</w:t>
      </w:r>
      <w:proofErr w:type="spellEnd"/>
      <w:r w:rsidRPr="005B0C1C">
        <w:rPr>
          <w:rFonts w:ascii="Arial" w:hAnsi="Arial" w:cs="Arial"/>
          <w:sz w:val="22"/>
          <w:szCs w:val="22"/>
        </w:rPr>
        <w:t xml:space="preserve">, M., &amp; </w:t>
      </w:r>
      <w:proofErr w:type="spellStart"/>
      <w:r w:rsidRPr="005B0C1C">
        <w:rPr>
          <w:rFonts w:ascii="Arial" w:hAnsi="Arial" w:cs="Arial"/>
          <w:sz w:val="22"/>
          <w:szCs w:val="22"/>
        </w:rPr>
        <w:t>Likongwe</w:t>
      </w:r>
      <w:proofErr w:type="spellEnd"/>
      <w:r w:rsidRPr="005B0C1C">
        <w:rPr>
          <w:rFonts w:ascii="Arial" w:hAnsi="Arial" w:cs="Arial"/>
          <w:sz w:val="22"/>
          <w:szCs w:val="22"/>
        </w:rPr>
        <w:t xml:space="preserve">, J. (2003). Uncovering human social networks in coping with Lake Chilwa recessions. </w:t>
      </w:r>
      <w:r w:rsidRPr="005B0C1C">
        <w:rPr>
          <w:rStyle w:val="Emphasis"/>
          <w:rFonts w:ascii="Arial" w:hAnsi="Arial" w:cs="Arial"/>
          <w:sz w:val="22"/>
          <w:szCs w:val="22"/>
        </w:rPr>
        <w:t>Journal of Environmental Management</w:t>
      </w:r>
      <w:r w:rsidRPr="005B0C1C">
        <w:rPr>
          <w:rFonts w:ascii="Arial" w:hAnsi="Arial" w:cs="Arial"/>
          <w:sz w:val="22"/>
          <w:szCs w:val="22"/>
        </w:rPr>
        <w:t xml:space="preserve">, </w:t>
      </w:r>
      <w:r w:rsidRPr="005B0C1C">
        <w:rPr>
          <w:rStyle w:val="Emphasis"/>
          <w:rFonts w:ascii="Arial" w:hAnsi="Arial" w:cs="Arial"/>
          <w:sz w:val="22"/>
          <w:szCs w:val="22"/>
        </w:rPr>
        <w:t>69</w:t>
      </w:r>
      <w:r w:rsidRPr="005B0C1C">
        <w:rPr>
          <w:rFonts w:ascii="Arial" w:hAnsi="Arial" w:cs="Arial"/>
          <w:sz w:val="22"/>
          <w:szCs w:val="22"/>
        </w:rPr>
        <w:t>, 1-8.</w:t>
      </w:r>
    </w:p>
    <w:p w14:paraId="0B57CC2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Ji, L., Zhang, L., &amp; Wylie, B. (2009). Analysis of dynamic thresholds for the normalized difference water index. </w:t>
      </w:r>
      <w:r w:rsidRPr="005B0C1C">
        <w:rPr>
          <w:rStyle w:val="Emphasis"/>
          <w:rFonts w:ascii="Arial" w:hAnsi="Arial" w:cs="Arial"/>
          <w:sz w:val="22"/>
          <w:szCs w:val="22"/>
        </w:rPr>
        <w:t>Photogrammetric Engineering and Remote Sensing</w:t>
      </w:r>
      <w:r w:rsidRPr="005B0C1C">
        <w:rPr>
          <w:rFonts w:ascii="Arial" w:hAnsi="Arial" w:cs="Arial"/>
          <w:sz w:val="22"/>
          <w:szCs w:val="22"/>
        </w:rPr>
        <w:t xml:space="preserve">, </w:t>
      </w:r>
      <w:r w:rsidRPr="005B0C1C">
        <w:rPr>
          <w:rStyle w:val="Emphasis"/>
          <w:rFonts w:ascii="Arial" w:hAnsi="Arial" w:cs="Arial"/>
          <w:sz w:val="22"/>
          <w:szCs w:val="22"/>
        </w:rPr>
        <w:t>75</w:t>
      </w:r>
      <w:r w:rsidRPr="005B0C1C">
        <w:rPr>
          <w:rFonts w:ascii="Arial" w:hAnsi="Arial" w:cs="Arial"/>
          <w:sz w:val="22"/>
          <w:szCs w:val="22"/>
        </w:rPr>
        <w:t>(11), 1307-1317.</w:t>
      </w:r>
    </w:p>
    <w:p w14:paraId="424013F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Ji, L., Gong, P., Wang, J., Shi, J., &amp; Zhu, Z. (2015). Construction of the 500-m resolution daily global surface water change database (2001-2015).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41</w:t>
      </w:r>
      <w:r w:rsidRPr="005B0C1C">
        <w:rPr>
          <w:rFonts w:ascii="Arial" w:hAnsi="Arial" w:cs="Arial"/>
          <w:sz w:val="22"/>
          <w:szCs w:val="22"/>
        </w:rPr>
        <w:t>, 109-117.</w:t>
      </w:r>
    </w:p>
    <w:p w14:paraId="2F4BBB9C"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Kalanda</w:t>
      </w:r>
      <w:proofErr w:type="spellEnd"/>
      <w:r w:rsidRPr="005B0C1C">
        <w:rPr>
          <w:rFonts w:ascii="Arial" w:hAnsi="Arial" w:cs="Arial"/>
          <w:sz w:val="22"/>
          <w:szCs w:val="22"/>
        </w:rPr>
        <w:t xml:space="preserve">-Sabola, M. D., Henry, E. M. T., </w:t>
      </w:r>
      <w:proofErr w:type="spellStart"/>
      <w:r w:rsidRPr="005B0C1C">
        <w:rPr>
          <w:rFonts w:ascii="Arial" w:hAnsi="Arial" w:cs="Arial"/>
          <w:sz w:val="22"/>
          <w:szCs w:val="22"/>
        </w:rPr>
        <w:t>Kambewa</w:t>
      </w:r>
      <w:proofErr w:type="spellEnd"/>
      <w:r w:rsidRPr="005B0C1C">
        <w:rPr>
          <w:rFonts w:ascii="Arial" w:hAnsi="Arial" w:cs="Arial"/>
          <w:sz w:val="22"/>
          <w:szCs w:val="22"/>
        </w:rPr>
        <w:t xml:space="preserve">, E., &amp; Saka, J. (2007). Use of indigenous knowledge and traditional practices in fisheries management: A case of Chisi Island, Lake Chilwa, Zomba. </w:t>
      </w:r>
      <w:r w:rsidRPr="005B0C1C">
        <w:rPr>
          <w:rStyle w:val="Emphasis"/>
          <w:rFonts w:ascii="Arial" w:hAnsi="Arial" w:cs="Arial"/>
          <w:sz w:val="22"/>
          <w:szCs w:val="22"/>
        </w:rPr>
        <w:t>Malawi Journal of Science and Technology</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 53-66.</w:t>
      </w:r>
    </w:p>
    <w:p w14:paraId="07691C5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Kalk, M. (Ed.). (1979). </w:t>
      </w:r>
      <w:r w:rsidRPr="005B0C1C">
        <w:rPr>
          <w:rStyle w:val="Emphasis"/>
          <w:rFonts w:ascii="Arial" w:hAnsi="Arial" w:cs="Arial"/>
          <w:sz w:val="22"/>
          <w:szCs w:val="22"/>
        </w:rPr>
        <w:t>Lake Chilwa: Studies of change in a tropical ecosystem</w:t>
      </w:r>
      <w:r w:rsidRPr="005B0C1C">
        <w:rPr>
          <w:rFonts w:ascii="Arial" w:hAnsi="Arial" w:cs="Arial"/>
          <w:sz w:val="22"/>
          <w:szCs w:val="22"/>
        </w:rPr>
        <w:t xml:space="preserve"> (</w:t>
      </w:r>
      <w:proofErr w:type="spellStart"/>
      <w:r w:rsidRPr="005B0C1C">
        <w:rPr>
          <w:rFonts w:ascii="Arial" w:hAnsi="Arial" w:cs="Arial"/>
          <w:sz w:val="22"/>
          <w:szCs w:val="22"/>
        </w:rPr>
        <w:t>Monographiae</w:t>
      </w:r>
      <w:proofErr w:type="spellEnd"/>
      <w:r w:rsidRPr="005B0C1C">
        <w:rPr>
          <w:rFonts w:ascii="Arial" w:hAnsi="Arial" w:cs="Arial"/>
          <w:sz w:val="22"/>
          <w:szCs w:val="22"/>
        </w:rPr>
        <w:t xml:space="preserve"> </w:t>
      </w:r>
      <w:proofErr w:type="spellStart"/>
      <w:r w:rsidRPr="005B0C1C">
        <w:rPr>
          <w:rFonts w:ascii="Arial" w:hAnsi="Arial" w:cs="Arial"/>
          <w:sz w:val="22"/>
          <w:szCs w:val="22"/>
        </w:rPr>
        <w:t>Biologicae</w:t>
      </w:r>
      <w:proofErr w:type="spellEnd"/>
      <w:r w:rsidRPr="005B0C1C">
        <w:rPr>
          <w:rFonts w:ascii="Arial" w:hAnsi="Arial" w:cs="Arial"/>
          <w:sz w:val="22"/>
          <w:szCs w:val="22"/>
        </w:rPr>
        <w:t xml:space="preserve"> 35). Junk.</w:t>
      </w:r>
    </w:p>
    <w:p w14:paraId="66706F0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Kim, S., Wdowinski, S., Amelung, F., Dixon, T. H., &amp; Won, J.-S. (2021). Interferometric coherence analysis of the Everglades wetlands, South Florida.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252</w:t>
      </w:r>
      <w:r w:rsidRPr="005B0C1C">
        <w:rPr>
          <w:rFonts w:ascii="Arial" w:hAnsi="Arial" w:cs="Arial"/>
          <w:sz w:val="22"/>
          <w:szCs w:val="22"/>
        </w:rPr>
        <w:t>, 112150.</w:t>
      </w:r>
    </w:p>
    <w:p w14:paraId="02600EF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Kolding, J., &amp; van </w:t>
      </w:r>
      <w:proofErr w:type="spellStart"/>
      <w:r w:rsidRPr="005B0C1C">
        <w:rPr>
          <w:rFonts w:ascii="Arial" w:hAnsi="Arial" w:cs="Arial"/>
          <w:sz w:val="22"/>
          <w:szCs w:val="22"/>
        </w:rPr>
        <w:t>Zwieten</w:t>
      </w:r>
      <w:proofErr w:type="spellEnd"/>
      <w:r w:rsidRPr="005B0C1C">
        <w:rPr>
          <w:rFonts w:ascii="Arial" w:hAnsi="Arial" w:cs="Arial"/>
          <w:sz w:val="22"/>
          <w:szCs w:val="22"/>
        </w:rPr>
        <w:t xml:space="preserve">, P. A. M. (2012). Relative lake level, water colour and fisheries productivity in fluctuating tropical lakes and reservoirs. </w:t>
      </w:r>
      <w:r w:rsidRPr="005B0C1C">
        <w:rPr>
          <w:rStyle w:val="Emphasis"/>
          <w:rFonts w:ascii="Arial" w:hAnsi="Arial" w:cs="Arial"/>
          <w:sz w:val="22"/>
          <w:szCs w:val="22"/>
        </w:rPr>
        <w:t>Fisheries Research</w:t>
      </w:r>
      <w:r w:rsidRPr="005B0C1C">
        <w:rPr>
          <w:rFonts w:ascii="Arial" w:hAnsi="Arial" w:cs="Arial"/>
          <w:sz w:val="22"/>
          <w:szCs w:val="22"/>
        </w:rPr>
        <w:t xml:space="preserve">, </w:t>
      </w:r>
      <w:r w:rsidRPr="005B0C1C">
        <w:rPr>
          <w:rStyle w:val="Emphasis"/>
          <w:rFonts w:ascii="Arial" w:hAnsi="Arial" w:cs="Arial"/>
          <w:sz w:val="22"/>
          <w:szCs w:val="22"/>
        </w:rPr>
        <w:t>115-116</w:t>
      </w:r>
      <w:r w:rsidRPr="005B0C1C">
        <w:rPr>
          <w:rFonts w:ascii="Arial" w:hAnsi="Arial" w:cs="Arial"/>
          <w:sz w:val="22"/>
          <w:szCs w:val="22"/>
        </w:rPr>
        <w:t>, 99-109.</w:t>
      </w:r>
    </w:p>
    <w:p w14:paraId="3A2B3F7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Lacaux</w:t>
      </w:r>
      <w:proofErr w:type="spellEnd"/>
      <w:r w:rsidRPr="005B0C1C">
        <w:rPr>
          <w:rFonts w:ascii="Arial" w:hAnsi="Arial" w:cs="Arial"/>
          <w:sz w:val="22"/>
          <w:szCs w:val="22"/>
        </w:rPr>
        <w:t xml:space="preserve">, J. P., </w:t>
      </w:r>
      <w:proofErr w:type="spellStart"/>
      <w:r w:rsidRPr="005B0C1C">
        <w:rPr>
          <w:rFonts w:ascii="Arial" w:hAnsi="Arial" w:cs="Arial"/>
          <w:sz w:val="22"/>
          <w:szCs w:val="22"/>
        </w:rPr>
        <w:t>Tourre</w:t>
      </w:r>
      <w:proofErr w:type="spellEnd"/>
      <w:r w:rsidRPr="005B0C1C">
        <w:rPr>
          <w:rFonts w:ascii="Arial" w:hAnsi="Arial" w:cs="Arial"/>
          <w:sz w:val="22"/>
          <w:szCs w:val="22"/>
        </w:rPr>
        <w:t xml:space="preserve">, Y. M., </w:t>
      </w:r>
      <w:proofErr w:type="spellStart"/>
      <w:r w:rsidRPr="005B0C1C">
        <w:rPr>
          <w:rFonts w:ascii="Arial" w:hAnsi="Arial" w:cs="Arial"/>
          <w:sz w:val="22"/>
          <w:szCs w:val="22"/>
        </w:rPr>
        <w:t>Vignolles</w:t>
      </w:r>
      <w:proofErr w:type="spellEnd"/>
      <w:r w:rsidRPr="005B0C1C">
        <w:rPr>
          <w:rFonts w:ascii="Arial" w:hAnsi="Arial" w:cs="Arial"/>
          <w:sz w:val="22"/>
          <w:szCs w:val="22"/>
        </w:rPr>
        <w:t xml:space="preserve">, C., Ndione, J. A., &amp; Lafaye, M. (2007). Classification of ponds from high-spatial resolution remote sensing: Application to Rift Valley Fever epidemics in Senegal.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106</w:t>
      </w:r>
      <w:r w:rsidRPr="005B0C1C">
        <w:rPr>
          <w:rFonts w:ascii="Arial" w:hAnsi="Arial" w:cs="Arial"/>
          <w:sz w:val="22"/>
          <w:szCs w:val="22"/>
        </w:rPr>
        <w:t>(1), 66-80.</w:t>
      </w:r>
    </w:p>
    <w:p w14:paraId="282ED6B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Li, J., Wang, L., Liu, S., Peng, B., &amp; Ye, H. (2023). An automated method for mapping surface water using Sentinel-2 imagery.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15</w:t>
      </w:r>
      <w:r w:rsidRPr="005B0C1C">
        <w:rPr>
          <w:rFonts w:ascii="Arial" w:hAnsi="Arial" w:cs="Arial"/>
          <w:sz w:val="22"/>
          <w:szCs w:val="22"/>
        </w:rPr>
        <w:t>(6), 1678.</w:t>
      </w:r>
    </w:p>
    <w:p w14:paraId="27EFAEC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Li, W., Du, Z., Ling, F., Zhou, D., Wang, H., Gui, Y., Sun, B., &amp; Zhang, X. (2013). A comparison of land surface water mapping using the normalized difference water index from TM, ETM+ and ALI.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5</w:t>
      </w:r>
      <w:r w:rsidRPr="005B0C1C">
        <w:rPr>
          <w:rFonts w:ascii="Arial" w:hAnsi="Arial" w:cs="Arial"/>
          <w:sz w:val="22"/>
          <w:szCs w:val="22"/>
        </w:rPr>
        <w:t>(11), 5530-5549.</w:t>
      </w:r>
    </w:p>
    <w:p w14:paraId="310FE32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Lopes, S., </w:t>
      </w:r>
      <w:proofErr w:type="spellStart"/>
      <w:r w:rsidRPr="005B0C1C">
        <w:rPr>
          <w:rFonts w:ascii="Arial" w:hAnsi="Arial" w:cs="Arial"/>
          <w:sz w:val="22"/>
          <w:szCs w:val="22"/>
        </w:rPr>
        <w:t>Poisse</w:t>
      </w:r>
      <w:proofErr w:type="spellEnd"/>
      <w:r w:rsidRPr="005B0C1C">
        <w:rPr>
          <w:rFonts w:ascii="Arial" w:hAnsi="Arial" w:cs="Arial"/>
          <w:sz w:val="22"/>
          <w:szCs w:val="22"/>
        </w:rPr>
        <w:t xml:space="preserve">, E., Wilson, J., Kromer, I., Manuel, C., </w:t>
      </w:r>
      <w:proofErr w:type="spellStart"/>
      <w:r w:rsidRPr="005B0C1C">
        <w:rPr>
          <w:rFonts w:ascii="Arial" w:hAnsi="Arial" w:cs="Arial"/>
          <w:sz w:val="22"/>
          <w:szCs w:val="22"/>
        </w:rPr>
        <w:t>Cululo</w:t>
      </w:r>
      <w:proofErr w:type="spellEnd"/>
      <w:r w:rsidRPr="005B0C1C">
        <w:rPr>
          <w:rFonts w:ascii="Arial" w:hAnsi="Arial" w:cs="Arial"/>
          <w:sz w:val="22"/>
          <w:szCs w:val="22"/>
        </w:rPr>
        <w:t xml:space="preserve">, C., &amp; Pinto, M. (1998). From no management towards co-management? A case study on artisanal fisheries in </w:t>
      </w:r>
      <w:proofErr w:type="spellStart"/>
      <w:r w:rsidRPr="005B0C1C">
        <w:rPr>
          <w:rFonts w:ascii="Arial" w:hAnsi="Arial" w:cs="Arial"/>
          <w:sz w:val="22"/>
          <w:szCs w:val="22"/>
        </w:rPr>
        <w:t>Angoche</w:t>
      </w:r>
      <w:proofErr w:type="spellEnd"/>
      <w:r w:rsidRPr="005B0C1C">
        <w:rPr>
          <w:rFonts w:ascii="Arial" w:hAnsi="Arial" w:cs="Arial"/>
          <w:sz w:val="22"/>
          <w:szCs w:val="22"/>
        </w:rPr>
        <w:t xml:space="preserve"> district, Nampula Province, Mozambique. In A. Normann, J. Nielsen, &amp; S. Sverdrup-Jensen (Eds.), </w:t>
      </w:r>
      <w:r w:rsidRPr="005B0C1C">
        <w:rPr>
          <w:rStyle w:val="Emphasis"/>
          <w:rFonts w:ascii="Arial" w:hAnsi="Arial" w:cs="Arial"/>
          <w:sz w:val="22"/>
          <w:szCs w:val="22"/>
        </w:rPr>
        <w:t>Proceedings of a regional workshop on fisheries co-management research</w:t>
      </w:r>
      <w:r w:rsidRPr="005B0C1C">
        <w:rPr>
          <w:rFonts w:ascii="Arial" w:hAnsi="Arial" w:cs="Arial"/>
          <w:sz w:val="22"/>
          <w:szCs w:val="22"/>
        </w:rPr>
        <w:t xml:space="preserve"> (pp. 125-150). Institute for Fisheries Management.</w:t>
      </w:r>
    </w:p>
    <w:p w14:paraId="498A1C1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Lubala</w:t>
      </w:r>
      <w:proofErr w:type="spellEnd"/>
      <w:r w:rsidRPr="005B0C1C">
        <w:rPr>
          <w:rFonts w:ascii="Arial" w:hAnsi="Arial" w:cs="Arial"/>
          <w:sz w:val="22"/>
          <w:szCs w:val="22"/>
        </w:rPr>
        <w:t xml:space="preserve">, N., </w:t>
      </w:r>
      <w:proofErr w:type="spellStart"/>
      <w:r w:rsidRPr="005B0C1C">
        <w:rPr>
          <w:rFonts w:ascii="Arial" w:hAnsi="Arial" w:cs="Arial"/>
          <w:sz w:val="22"/>
          <w:szCs w:val="22"/>
        </w:rPr>
        <w:t>Kavwaya</w:t>
      </w:r>
      <w:proofErr w:type="spellEnd"/>
      <w:r w:rsidRPr="005B0C1C">
        <w:rPr>
          <w:rFonts w:ascii="Arial" w:hAnsi="Arial" w:cs="Arial"/>
          <w:sz w:val="22"/>
          <w:szCs w:val="22"/>
        </w:rPr>
        <w:t xml:space="preserve">, Y., &amp; Kalonda, D. (2023). Combining Sentinel-1, Sentinel-2, and ALOS PALSAR for mapping small inland wetlands in the Democratic Republic of Congo. </w:t>
      </w:r>
      <w:r w:rsidRPr="005B0C1C">
        <w:rPr>
          <w:rStyle w:val="Emphasis"/>
          <w:rFonts w:ascii="Arial" w:hAnsi="Arial" w:cs="Arial"/>
          <w:sz w:val="22"/>
          <w:szCs w:val="22"/>
        </w:rPr>
        <w:t>Ecological Indicators</w:t>
      </w:r>
      <w:r w:rsidRPr="005B0C1C">
        <w:rPr>
          <w:rFonts w:ascii="Arial" w:hAnsi="Arial" w:cs="Arial"/>
          <w:sz w:val="22"/>
          <w:szCs w:val="22"/>
        </w:rPr>
        <w:t xml:space="preserve">, </w:t>
      </w:r>
      <w:r w:rsidRPr="005B0C1C">
        <w:rPr>
          <w:rStyle w:val="Emphasis"/>
          <w:rFonts w:ascii="Arial" w:hAnsi="Arial" w:cs="Arial"/>
          <w:sz w:val="22"/>
          <w:szCs w:val="22"/>
        </w:rPr>
        <w:t>155</w:t>
      </w:r>
      <w:r w:rsidRPr="005B0C1C">
        <w:rPr>
          <w:rFonts w:ascii="Arial" w:hAnsi="Arial" w:cs="Arial"/>
          <w:sz w:val="22"/>
          <w:szCs w:val="22"/>
        </w:rPr>
        <w:t>, 110962.</w:t>
      </w:r>
    </w:p>
    <w:p w14:paraId="526599A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Luca, G., Marasco, A., &amp; Balzano, L. (2025). Mapping seasonal inundation dynamics of the Okavango Delta using Sentinel-1 SAR time series.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310</w:t>
      </w:r>
      <w:r w:rsidRPr="005B0C1C">
        <w:rPr>
          <w:rFonts w:ascii="Arial" w:hAnsi="Arial" w:cs="Arial"/>
          <w:sz w:val="22"/>
          <w:szCs w:val="22"/>
        </w:rPr>
        <w:t>, 114474.</w:t>
      </w:r>
    </w:p>
    <w:p w14:paraId="1EC4144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Mahdavi, S., Salehi, B., Granger, J., Amani, M., Brisco, B., &amp; Huang, W. (2018). Remote sensing for wetland classification: A comprehensive review.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206</w:t>
      </w:r>
      <w:r w:rsidRPr="005B0C1C">
        <w:rPr>
          <w:rFonts w:ascii="Arial" w:hAnsi="Arial" w:cs="Arial"/>
          <w:sz w:val="22"/>
          <w:szCs w:val="22"/>
        </w:rPr>
        <w:t>, 1-21.</w:t>
      </w:r>
    </w:p>
    <w:p w14:paraId="6349B5C3"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Mahdianpari</w:t>
      </w:r>
      <w:proofErr w:type="spellEnd"/>
      <w:r w:rsidRPr="005B0C1C">
        <w:rPr>
          <w:rFonts w:ascii="Arial" w:hAnsi="Arial" w:cs="Arial"/>
          <w:sz w:val="22"/>
          <w:szCs w:val="22"/>
        </w:rPr>
        <w:t xml:space="preserve">, M., Salehi, B., </w:t>
      </w:r>
      <w:proofErr w:type="spellStart"/>
      <w:r w:rsidRPr="005B0C1C">
        <w:rPr>
          <w:rFonts w:ascii="Arial" w:hAnsi="Arial" w:cs="Arial"/>
          <w:sz w:val="22"/>
          <w:szCs w:val="22"/>
        </w:rPr>
        <w:t>Mohammadimanesh</w:t>
      </w:r>
      <w:proofErr w:type="spellEnd"/>
      <w:r w:rsidRPr="005B0C1C">
        <w:rPr>
          <w:rFonts w:ascii="Arial" w:hAnsi="Arial" w:cs="Arial"/>
          <w:sz w:val="22"/>
          <w:szCs w:val="22"/>
        </w:rPr>
        <w:t xml:space="preserve">, F., &amp; </w:t>
      </w:r>
      <w:proofErr w:type="spellStart"/>
      <w:r w:rsidRPr="005B0C1C">
        <w:rPr>
          <w:rFonts w:ascii="Arial" w:hAnsi="Arial" w:cs="Arial"/>
          <w:sz w:val="22"/>
          <w:szCs w:val="22"/>
        </w:rPr>
        <w:t>Motagh</w:t>
      </w:r>
      <w:proofErr w:type="spellEnd"/>
      <w:r w:rsidRPr="005B0C1C">
        <w:rPr>
          <w:rFonts w:ascii="Arial" w:hAnsi="Arial" w:cs="Arial"/>
          <w:sz w:val="22"/>
          <w:szCs w:val="22"/>
        </w:rPr>
        <w:t xml:space="preserve">, M. (2017). Random forest wetland classification using ALOS-2 L-band, RADARSAT-2 C-band, and </w:t>
      </w:r>
      <w:proofErr w:type="spellStart"/>
      <w:r w:rsidRPr="005B0C1C">
        <w:rPr>
          <w:rFonts w:ascii="Arial" w:hAnsi="Arial" w:cs="Arial"/>
          <w:sz w:val="22"/>
          <w:szCs w:val="22"/>
        </w:rPr>
        <w:t>TerraSAR</w:t>
      </w:r>
      <w:proofErr w:type="spellEnd"/>
      <w:r w:rsidRPr="005B0C1C">
        <w:rPr>
          <w:rFonts w:ascii="Arial" w:hAnsi="Arial" w:cs="Arial"/>
          <w:sz w:val="22"/>
          <w:szCs w:val="22"/>
        </w:rPr>
        <w:t xml:space="preserve">-X imagery. </w:t>
      </w:r>
      <w:r w:rsidRPr="005B0C1C">
        <w:rPr>
          <w:rStyle w:val="Emphasis"/>
          <w:rFonts w:ascii="Arial" w:hAnsi="Arial" w:cs="Arial"/>
          <w:sz w:val="22"/>
          <w:szCs w:val="22"/>
        </w:rPr>
        <w:t>ISPRS Journal of Photogrammetry and Remote Sensing</w:t>
      </w:r>
      <w:r w:rsidRPr="005B0C1C">
        <w:rPr>
          <w:rFonts w:ascii="Arial" w:hAnsi="Arial" w:cs="Arial"/>
          <w:sz w:val="22"/>
          <w:szCs w:val="22"/>
        </w:rPr>
        <w:t xml:space="preserve">, </w:t>
      </w:r>
      <w:r w:rsidRPr="005B0C1C">
        <w:rPr>
          <w:rStyle w:val="Emphasis"/>
          <w:rFonts w:ascii="Arial" w:hAnsi="Arial" w:cs="Arial"/>
          <w:sz w:val="22"/>
          <w:szCs w:val="22"/>
        </w:rPr>
        <w:t>130</w:t>
      </w:r>
      <w:r w:rsidRPr="005B0C1C">
        <w:rPr>
          <w:rFonts w:ascii="Arial" w:hAnsi="Arial" w:cs="Arial"/>
          <w:sz w:val="22"/>
          <w:szCs w:val="22"/>
        </w:rPr>
        <w:t>, 13-31.</w:t>
      </w:r>
    </w:p>
    <w:p w14:paraId="1DCEE3D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Mahdianpari</w:t>
      </w:r>
      <w:proofErr w:type="spellEnd"/>
      <w:r w:rsidRPr="005B0C1C">
        <w:rPr>
          <w:rFonts w:ascii="Arial" w:hAnsi="Arial" w:cs="Arial"/>
          <w:sz w:val="22"/>
          <w:szCs w:val="22"/>
        </w:rPr>
        <w:t xml:space="preserve">, M., Salehi, B., </w:t>
      </w:r>
      <w:proofErr w:type="spellStart"/>
      <w:r w:rsidRPr="005B0C1C">
        <w:rPr>
          <w:rFonts w:ascii="Arial" w:hAnsi="Arial" w:cs="Arial"/>
          <w:sz w:val="22"/>
          <w:szCs w:val="22"/>
        </w:rPr>
        <w:t>Mohammadimanesh</w:t>
      </w:r>
      <w:proofErr w:type="spellEnd"/>
      <w:r w:rsidRPr="005B0C1C">
        <w:rPr>
          <w:rFonts w:ascii="Arial" w:hAnsi="Arial" w:cs="Arial"/>
          <w:sz w:val="22"/>
          <w:szCs w:val="22"/>
        </w:rPr>
        <w:t xml:space="preserve">, F., </w:t>
      </w:r>
      <w:proofErr w:type="spellStart"/>
      <w:r w:rsidRPr="005B0C1C">
        <w:rPr>
          <w:rFonts w:ascii="Arial" w:hAnsi="Arial" w:cs="Arial"/>
          <w:sz w:val="22"/>
          <w:szCs w:val="22"/>
        </w:rPr>
        <w:t>Homayouni</w:t>
      </w:r>
      <w:proofErr w:type="spellEnd"/>
      <w:r w:rsidRPr="005B0C1C">
        <w:rPr>
          <w:rFonts w:ascii="Arial" w:hAnsi="Arial" w:cs="Arial"/>
          <w:sz w:val="22"/>
          <w:szCs w:val="22"/>
        </w:rPr>
        <w:t xml:space="preserve">, S., &amp; Gill, E. (2019). The first wetland inventory map of Newfoundland at a spatial resolution of 10 m using Sentinel-1 and Sentinel-2 data on the Google Earth Engine cloud computing platform.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(1), 43.</w:t>
      </w:r>
    </w:p>
    <w:p w14:paraId="25086FF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Martinis, S., Twele, A., &amp; Voigt, S. (2015). Towards operational near real-time flood detection using a split-based automatic thresholding procedure on high resolution </w:t>
      </w:r>
      <w:proofErr w:type="spellStart"/>
      <w:r w:rsidRPr="005B0C1C">
        <w:rPr>
          <w:rFonts w:ascii="Arial" w:hAnsi="Arial" w:cs="Arial"/>
          <w:sz w:val="22"/>
          <w:szCs w:val="22"/>
        </w:rPr>
        <w:t>TerraSAR</w:t>
      </w:r>
      <w:proofErr w:type="spellEnd"/>
      <w:r w:rsidRPr="005B0C1C">
        <w:rPr>
          <w:rFonts w:ascii="Arial" w:hAnsi="Arial" w:cs="Arial"/>
          <w:sz w:val="22"/>
          <w:szCs w:val="22"/>
        </w:rPr>
        <w:t xml:space="preserve">-X data. </w:t>
      </w:r>
      <w:r w:rsidRPr="005B0C1C">
        <w:rPr>
          <w:rStyle w:val="Emphasis"/>
          <w:rFonts w:ascii="Arial" w:hAnsi="Arial" w:cs="Arial"/>
          <w:sz w:val="22"/>
          <w:szCs w:val="22"/>
        </w:rPr>
        <w:t>Natural Hazards and Earth System Sciences</w:t>
      </w:r>
      <w:r w:rsidRPr="005B0C1C">
        <w:rPr>
          <w:rFonts w:ascii="Arial" w:hAnsi="Arial" w:cs="Arial"/>
          <w:sz w:val="22"/>
          <w:szCs w:val="22"/>
        </w:rPr>
        <w:t xml:space="preserve">, </w:t>
      </w:r>
      <w:r w:rsidRPr="005B0C1C">
        <w:rPr>
          <w:rStyle w:val="Emphasis"/>
          <w:rFonts w:ascii="Arial" w:hAnsi="Arial" w:cs="Arial"/>
          <w:sz w:val="22"/>
          <w:szCs w:val="22"/>
        </w:rPr>
        <w:t>15</w:t>
      </w:r>
      <w:r w:rsidRPr="005B0C1C">
        <w:rPr>
          <w:rFonts w:ascii="Arial" w:hAnsi="Arial" w:cs="Arial"/>
          <w:sz w:val="22"/>
          <w:szCs w:val="22"/>
        </w:rPr>
        <w:t>(5), 1069-1085.</w:t>
      </w:r>
    </w:p>
    <w:p w14:paraId="4FBB8EE0"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McFeeters, S. K. (1996). The use of the normalized difference water index (NDWI) in the delineation of open water features. </w:t>
      </w:r>
      <w:r w:rsidRPr="005B0C1C">
        <w:rPr>
          <w:rStyle w:val="Emphasis"/>
          <w:rFonts w:ascii="Arial" w:hAnsi="Arial" w:cs="Arial"/>
          <w:sz w:val="22"/>
          <w:szCs w:val="22"/>
        </w:rPr>
        <w:t>International Journal of Remote Sensing</w:t>
      </w:r>
      <w:r w:rsidRPr="005B0C1C">
        <w:rPr>
          <w:rFonts w:ascii="Arial" w:hAnsi="Arial" w:cs="Arial"/>
          <w:sz w:val="22"/>
          <w:szCs w:val="22"/>
        </w:rPr>
        <w:t xml:space="preserve">, </w:t>
      </w:r>
      <w:r w:rsidRPr="005B0C1C">
        <w:rPr>
          <w:rStyle w:val="Emphasis"/>
          <w:rFonts w:ascii="Arial" w:hAnsi="Arial" w:cs="Arial"/>
          <w:sz w:val="22"/>
          <w:szCs w:val="22"/>
        </w:rPr>
        <w:t>17</w:t>
      </w:r>
      <w:r w:rsidRPr="005B0C1C">
        <w:rPr>
          <w:rFonts w:ascii="Arial" w:hAnsi="Arial" w:cs="Arial"/>
          <w:sz w:val="22"/>
          <w:szCs w:val="22"/>
        </w:rPr>
        <w:t>(7), 1425-1432.</w:t>
      </w:r>
    </w:p>
    <w:p w14:paraId="6964F9CB"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Mitsch, W. J., &amp; Gosselink, J. G. (2015). </w:t>
      </w:r>
      <w:r w:rsidRPr="005B0C1C">
        <w:rPr>
          <w:rStyle w:val="Emphasis"/>
          <w:rFonts w:ascii="Arial" w:hAnsi="Arial" w:cs="Arial"/>
          <w:sz w:val="22"/>
          <w:szCs w:val="22"/>
        </w:rPr>
        <w:t>Wetlands</w:t>
      </w:r>
      <w:r w:rsidRPr="005B0C1C">
        <w:rPr>
          <w:rFonts w:ascii="Arial" w:hAnsi="Arial" w:cs="Arial"/>
          <w:sz w:val="22"/>
          <w:szCs w:val="22"/>
        </w:rPr>
        <w:t xml:space="preserve"> (5th ed.). Wiley.</w:t>
      </w:r>
    </w:p>
    <w:p w14:paraId="61CFD97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Muro, J., Canty, M., Conradsen, K., </w:t>
      </w:r>
      <w:proofErr w:type="spellStart"/>
      <w:r w:rsidRPr="005B0C1C">
        <w:rPr>
          <w:rFonts w:ascii="Arial" w:hAnsi="Arial" w:cs="Arial"/>
          <w:sz w:val="22"/>
          <w:szCs w:val="22"/>
        </w:rPr>
        <w:t>Huttich</w:t>
      </w:r>
      <w:proofErr w:type="spellEnd"/>
      <w:r w:rsidRPr="005B0C1C">
        <w:rPr>
          <w:rFonts w:ascii="Arial" w:hAnsi="Arial" w:cs="Arial"/>
          <w:sz w:val="22"/>
          <w:szCs w:val="22"/>
        </w:rPr>
        <w:t xml:space="preserve">, C., Nielsen, A. A., Skriver, H., Remy, F., Strauch, A., </w:t>
      </w:r>
      <w:proofErr w:type="spellStart"/>
      <w:r w:rsidRPr="005B0C1C">
        <w:rPr>
          <w:rFonts w:ascii="Arial" w:hAnsi="Arial" w:cs="Arial"/>
          <w:sz w:val="22"/>
          <w:szCs w:val="22"/>
        </w:rPr>
        <w:t>Thonfeld</w:t>
      </w:r>
      <w:proofErr w:type="spellEnd"/>
      <w:r w:rsidRPr="005B0C1C">
        <w:rPr>
          <w:rFonts w:ascii="Arial" w:hAnsi="Arial" w:cs="Arial"/>
          <w:sz w:val="22"/>
          <w:szCs w:val="22"/>
        </w:rPr>
        <w:t xml:space="preserve">, F., &amp; Menz, G. (2016). Short-term change detection in wetlands using Sentinel-1 time series.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(10), 795.</w:t>
      </w:r>
    </w:p>
    <w:p w14:paraId="7DD628E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Murphy, S. (2014). </w:t>
      </w:r>
      <w:r w:rsidRPr="005B0C1C">
        <w:rPr>
          <w:rStyle w:val="Emphasis"/>
          <w:rFonts w:ascii="Arial" w:hAnsi="Arial" w:cs="Arial"/>
          <w:sz w:val="22"/>
          <w:szCs w:val="22"/>
        </w:rPr>
        <w:t>Contested meanings through social change: An ethnography of institutions, organisations, ideologies and power in the market development of the Lake Chilwa commons, southern Malawi</w:t>
      </w:r>
      <w:r w:rsidRPr="005B0C1C">
        <w:rPr>
          <w:rFonts w:ascii="Arial" w:hAnsi="Arial" w:cs="Arial"/>
          <w:sz w:val="22"/>
          <w:szCs w:val="22"/>
        </w:rPr>
        <w:t xml:space="preserve"> [Doctoral dissertation, SOAS, University of London].</w:t>
      </w:r>
    </w:p>
    <w:p w14:paraId="1BEB359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National Statistical Office. (2008). </w:t>
      </w:r>
      <w:r w:rsidRPr="005B0C1C">
        <w:rPr>
          <w:rStyle w:val="Emphasis"/>
          <w:rFonts w:ascii="Arial" w:hAnsi="Arial" w:cs="Arial"/>
          <w:sz w:val="22"/>
          <w:szCs w:val="22"/>
        </w:rPr>
        <w:t>2008 population and housing census: Main report</w:t>
      </w:r>
      <w:r w:rsidRPr="005B0C1C">
        <w:rPr>
          <w:rFonts w:ascii="Arial" w:hAnsi="Arial" w:cs="Arial"/>
          <w:sz w:val="22"/>
          <w:szCs w:val="22"/>
        </w:rPr>
        <w:t>. National Statistical Office, Zomba, Malawi.</w:t>
      </w:r>
    </w:p>
    <w:p w14:paraId="29742425"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(2001). Review of fisheries and fish biology of Lake Chilwa. In D. Jamu, M. </w:t>
      </w:r>
      <w:proofErr w:type="spellStart"/>
      <w:r w:rsidRPr="005B0C1C">
        <w:rPr>
          <w:rFonts w:ascii="Arial" w:hAnsi="Arial" w:cs="Arial"/>
          <w:sz w:val="22"/>
          <w:szCs w:val="22"/>
        </w:rPr>
        <w:t>Chapotera</w:t>
      </w:r>
      <w:proofErr w:type="spellEnd"/>
      <w:r w:rsidRPr="005B0C1C">
        <w:rPr>
          <w:rFonts w:ascii="Arial" w:hAnsi="Arial" w:cs="Arial"/>
          <w:sz w:val="22"/>
          <w:szCs w:val="22"/>
        </w:rPr>
        <w:t xml:space="preserve">, &amp; J. </w:t>
      </w:r>
      <w:proofErr w:type="spellStart"/>
      <w:r w:rsidRPr="005B0C1C">
        <w:rPr>
          <w:rFonts w:ascii="Arial" w:hAnsi="Arial" w:cs="Arial"/>
          <w:sz w:val="22"/>
          <w:szCs w:val="22"/>
        </w:rPr>
        <w:t>Likongwe</w:t>
      </w:r>
      <w:proofErr w:type="spellEnd"/>
      <w:r w:rsidRPr="005B0C1C">
        <w:rPr>
          <w:rFonts w:ascii="Arial" w:hAnsi="Arial" w:cs="Arial"/>
          <w:sz w:val="22"/>
          <w:szCs w:val="22"/>
        </w:rPr>
        <w:t xml:space="preserve"> (Eds.), </w:t>
      </w:r>
      <w:r w:rsidRPr="005B0C1C">
        <w:rPr>
          <w:rStyle w:val="Emphasis"/>
          <w:rFonts w:ascii="Arial" w:hAnsi="Arial" w:cs="Arial"/>
          <w:sz w:val="22"/>
          <w:szCs w:val="22"/>
        </w:rPr>
        <w:t>Lake Chilwa state of the environment report</w:t>
      </w:r>
      <w:r w:rsidRPr="005B0C1C">
        <w:rPr>
          <w:rFonts w:ascii="Arial" w:hAnsi="Arial" w:cs="Arial"/>
          <w:sz w:val="22"/>
          <w:szCs w:val="22"/>
        </w:rPr>
        <w:t>. Chancellor College.</w:t>
      </w:r>
    </w:p>
    <w:p w14:paraId="679B790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(2007). Governance challenges of the implementation of fisheries co-management: Experiences from Malawi. </w:t>
      </w:r>
      <w:r w:rsidRPr="005B0C1C">
        <w:rPr>
          <w:rStyle w:val="Emphasis"/>
          <w:rFonts w:ascii="Arial" w:hAnsi="Arial" w:cs="Arial"/>
          <w:sz w:val="22"/>
          <w:szCs w:val="22"/>
        </w:rPr>
        <w:t>International Journal of the Commons</w:t>
      </w:r>
      <w:r w:rsidRPr="005B0C1C">
        <w:rPr>
          <w:rFonts w:ascii="Arial" w:hAnsi="Arial" w:cs="Arial"/>
          <w:sz w:val="22"/>
          <w:szCs w:val="22"/>
        </w:rPr>
        <w:t xml:space="preserve">, </w:t>
      </w:r>
      <w:r w:rsidRPr="005B0C1C">
        <w:rPr>
          <w:rStyle w:val="Emphasis"/>
          <w:rFonts w:ascii="Arial" w:hAnsi="Arial" w:cs="Arial"/>
          <w:sz w:val="22"/>
          <w:szCs w:val="22"/>
        </w:rPr>
        <w:t>1</w:t>
      </w:r>
      <w:r w:rsidRPr="005B0C1C">
        <w:rPr>
          <w:rFonts w:ascii="Arial" w:hAnsi="Arial" w:cs="Arial"/>
          <w:sz w:val="22"/>
          <w:szCs w:val="22"/>
        </w:rPr>
        <w:t>(1), 137-153.</w:t>
      </w:r>
    </w:p>
    <w:p w14:paraId="527FF137"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(2009). Governance of Lake Chilwa common pool resources: Evolution of institutions and user perceptions. </w:t>
      </w:r>
      <w:r w:rsidRPr="005B0C1C">
        <w:rPr>
          <w:rStyle w:val="Emphasis"/>
          <w:rFonts w:ascii="Arial" w:hAnsi="Arial" w:cs="Arial"/>
          <w:sz w:val="22"/>
          <w:szCs w:val="22"/>
        </w:rPr>
        <w:t>Development Southern Africa</w:t>
      </w:r>
      <w:r w:rsidRPr="005B0C1C">
        <w:rPr>
          <w:rFonts w:ascii="Arial" w:hAnsi="Arial" w:cs="Arial"/>
          <w:sz w:val="22"/>
          <w:szCs w:val="22"/>
        </w:rPr>
        <w:t xml:space="preserve">, </w:t>
      </w:r>
      <w:r w:rsidRPr="005B0C1C">
        <w:rPr>
          <w:rStyle w:val="Emphasis"/>
          <w:rFonts w:ascii="Arial" w:hAnsi="Arial" w:cs="Arial"/>
          <w:sz w:val="22"/>
          <w:szCs w:val="22"/>
        </w:rPr>
        <w:t>26</w:t>
      </w:r>
      <w:r w:rsidRPr="005B0C1C">
        <w:rPr>
          <w:rFonts w:ascii="Arial" w:hAnsi="Arial" w:cs="Arial"/>
          <w:sz w:val="22"/>
          <w:szCs w:val="22"/>
        </w:rPr>
        <w:t>(4), 663-676.</w:t>
      </w:r>
    </w:p>
    <w:p w14:paraId="1155B0BC"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Snyder, K. A., Jamu, D., Wilson, J., Howard-Williams, C., Allison, E. H., &amp; Andrew, N. L. (2011). The natural history and fisheries ecology of Lake Chilwa, southern Malawi. </w:t>
      </w:r>
      <w:r w:rsidRPr="005B0C1C">
        <w:rPr>
          <w:rStyle w:val="Emphasis"/>
          <w:rFonts w:ascii="Arial" w:hAnsi="Arial" w:cs="Arial"/>
          <w:sz w:val="22"/>
          <w:szCs w:val="22"/>
        </w:rPr>
        <w:t>Journal of Great Lakes Research</w:t>
      </w:r>
      <w:r w:rsidRPr="005B0C1C">
        <w:rPr>
          <w:rFonts w:ascii="Arial" w:hAnsi="Arial" w:cs="Arial"/>
          <w:sz w:val="22"/>
          <w:szCs w:val="22"/>
        </w:rPr>
        <w:t xml:space="preserve">, </w:t>
      </w:r>
      <w:r w:rsidRPr="005B0C1C">
        <w:rPr>
          <w:rStyle w:val="Emphasis"/>
          <w:rFonts w:ascii="Arial" w:hAnsi="Arial" w:cs="Arial"/>
          <w:sz w:val="22"/>
          <w:szCs w:val="22"/>
        </w:rPr>
        <w:t>37</w:t>
      </w:r>
      <w:r w:rsidRPr="005B0C1C">
        <w:rPr>
          <w:rFonts w:ascii="Arial" w:hAnsi="Arial" w:cs="Arial"/>
          <w:sz w:val="22"/>
          <w:szCs w:val="22"/>
        </w:rPr>
        <w:t>(Suppl. 1), 15-25.</w:t>
      </w:r>
    </w:p>
    <w:p w14:paraId="1F69E967"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Donda, S., &amp; Bene, C. (2012). Analysis of power in fisheries co-management: Experiences from Malawi. </w:t>
      </w:r>
      <w:r w:rsidRPr="005B0C1C">
        <w:rPr>
          <w:rStyle w:val="Emphasis"/>
          <w:rFonts w:ascii="Arial" w:hAnsi="Arial" w:cs="Arial"/>
          <w:sz w:val="22"/>
          <w:szCs w:val="22"/>
        </w:rPr>
        <w:t>Society and Natural Resources</w:t>
      </w:r>
      <w:r w:rsidRPr="005B0C1C">
        <w:rPr>
          <w:rFonts w:ascii="Arial" w:hAnsi="Arial" w:cs="Arial"/>
          <w:sz w:val="22"/>
          <w:szCs w:val="22"/>
        </w:rPr>
        <w:t xml:space="preserve">, </w:t>
      </w:r>
      <w:r w:rsidRPr="005B0C1C">
        <w:rPr>
          <w:rStyle w:val="Emphasis"/>
          <w:rFonts w:ascii="Arial" w:hAnsi="Arial" w:cs="Arial"/>
          <w:sz w:val="22"/>
          <w:szCs w:val="22"/>
        </w:rPr>
        <w:t>25</w:t>
      </w:r>
      <w:r w:rsidRPr="005B0C1C">
        <w:rPr>
          <w:rFonts w:ascii="Arial" w:hAnsi="Arial" w:cs="Arial"/>
          <w:sz w:val="22"/>
          <w:szCs w:val="22"/>
        </w:rPr>
        <w:t>(4), 332-346.</w:t>
      </w:r>
    </w:p>
    <w:p w14:paraId="3D2BC45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Nunan, F. (2015). Wealth and welfare? Can fisheries management succeed in achieving multiple objectives? A case study of Lake Victoria, East Africa. </w:t>
      </w:r>
      <w:r w:rsidRPr="005B0C1C">
        <w:rPr>
          <w:rStyle w:val="Emphasis"/>
          <w:rFonts w:ascii="Arial" w:hAnsi="Arial" w:cs="Arial"/>
          <w:sz w:val="22"/>
          <w:szCs w:val="22"/>
        </w:rPr>
        <w:t>World Development</w:t>
      </w:r>
      <w:r w:rsidRPr="005B0C1C">
        <w:rPr>
          <w:rFonts w:ascii="Arial" w:hAnsi="Arial" w:cs="Arial"/>
          <w:sz w:val="22"/>
          <w:szCs w:val="22"/>
        </w:rPr>
        <w:t xml:space="preserve">, </w:t>
      </w:r>
      <w:r w:rsidRPr="005B0C1C">
        <w:rPr>
          <w:rStyle w:val="Emphasis"/>
          <w:rFonts w:ascii="Arial" w:hAnsi="Arial" w:cs="Arial"/>
          <w:sz w:val="22"/>
          <w:szCs w:val="22"/>
        </w:rPr>
        <w:t>70</w:t>
      </w:r>
      <w:r w:rsidRPr="005B0C1C">
        <w:rPr>
          <w:rFonts w:ascii="Arial" w:hAnsi="Arial" w:cs="Arial"/>
          <w:sz w:val="22"/>
          <w:szCs w:val="22"/>
        </w:rPr>
        <w:t>, 203-214.</w:t>
      </w:r>
    </w:p>
    <w:p w14:paraId="531953F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Ostrom, E. (2009). A general framework for analyzing sustainability of social-ecological systems. </w:t>
      </w:r>
      <w:r w:rsidRPr="005B0C1C">
        <w:rPr>
          <w:rStyle w:val="Emphasis"/>
          <w:rFonts w:ascii="Arial" w:hAnsi="Arial" w:cs="Arial"/>
          <w:sz w:val="22"/>
          <w:szCs w:val="22"/>
        </w:rPr>
        <w:t>Science</w:t>
      </w:r>
      <w:r w:rsidRPr="005B0C1C">
        <w:rPr>
          <w:rFonts w:ascii="Arial" w:hAnsi="Arial" w:cs="Arial"/>
          <w:sz w:val="22"/>
          <w:szCs w:val="22"/>
        </w:rPr>
        <w:t xml:space="preserve">, </w:t>
      </w:r>
      <w:r w:rsidRPr="005B0C1C">
        <w:rPr>
          <w:rStyle w:val="Emphasis"/>
          <w:rFonts w:ascii="Arial" w:hAnsi="Arial" w:cs="Arial"/>
          <w:sz w:val="22"/>
          <w:szCs w:val="22"/>
        </w:rPr>
        <w:t>325</w:t>
      </w:r>
      <w:r w:rsidRPr="005B0C1C">
        <w:rPr>
          <w:rFonts w:ascii="Arial" w:hAnsi="Arial" w:cs="Arial"/>
          <w:sz w:val="22"/>
          <w:szCs w:val="22"/>
        </w:rPr>
        <w:t>(5939), 419-422.</w:t>
      </w:r>
    </w:p>
    <w:p w14:paraId="0DB61FD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Pekel, J.-F., Cottam, A., Gorelick, N., &amp; </w:t>
      </w:r>
      <w:proofErr w:type="spellStart"/>
      <w:r w:rsidRPr="005B0C1C">
        <w:rPr>
          <w:rFonts w:ascii="Arial" w:hAnsi="Arial" w:cs="Arial"/>
          <w:sz w:val="22"/>
          <w:szCs w:val="22"/>
        </w:rPr>
        <w:t>Belward</w:t>
      </w:r>
      <w:proofErr w:type="spellEnd"/>
      <w:r w:rsidRPr="005B0C1C">
        <w:rPr>
          <w:rFonts w:ascii="Arial" w:hAnsi="Arial" w:cs="Arial"/>
          <w:sz w:val="22"/>
          <w:szCs w:val="22"/>
        </w:rPr>
        <w:t xml:space="preserve">, A. S. (2016). High-resolution mapping of global surface water and its long-term changes. </w:t>
      </w:r>
      <w:r w:rsidRPr="005B0C1C">
        <w:rPr>
          <w:rStyle w:val="Emphasis"/>
          <w:rFonts w:ascii="Arial" w:hAnsi="Arial" w:cs="Arial"/>
          <w:sz w:val="22"/>
          <w:szCs w:val="22"/>
        </w:rPr>
        <w:t>Nature</w:t>
      </w:r>
      <w:r w:rsidRPr="005B0C1C">
        <w:rPr>
          <w:rFonts w:ascii="Arial" w:hAnsi="Arial" w:cs="Arial"/>
          <w:sz w:val="22"/>
          <w:szCs w:val="22"/>
        </w:rPr>
        <w:t xml:space="preserve">, </w:t>
      </w:r>
      <w:r w:rsidRPr="005B0C1C">
        <w:rPr>
          <w:rStyle w:val="Emphasis"/>
          <w:rFonts w:ascii="Arial" w:hAnsi="Arial" w:cs="Arial"/>
          <w:sz w:val="22"/>
          <w:szCs w:val="22"/>
        </w:rPr>
        <w:t>540</w:t>
      </w:r>
      <w:r w:rsidRPr="005B0C1C">
        <w:rPr>
          <w:rFonts w:ascii="Arial" w:hAnsi="Arial" w:cs="Arial"/>
          <w:sz w:val="22"/>
          <w:szCs w:val="22"/>
        </w:rPr>
        <w:t>(7633), 418-422.</w:t>
      </w:r>
    </w:p>
    <w:p w14:paraId="1EEF518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Peters, P. E. (2006). Rural income and poverty in a time of radical change in Malawi. </w:t>
      </w:r>
      <w:r w:rsidRPr="005B0C1C">
        <w:rPr>
          <w:rStyle w:val="Emphasis"/>
          <w:rFonts w:ascii="Arial" w:hAnsi="Arial" w:cs="Arial"/>
          <w:sz w:val="22"/>
          <w:szCs w:val="22"/>
        </w:rPr>
        <w:t>Journal of Development Studies</w:t>
      </w:r>
      <w:r w:rsidRPr="005B0C1C">
        <w:rPr>
          <w:rFonts w:ascii="Arial" w:hAnsi="Arial" w:cs="Arial"/>
          <w:sz w:val="22"/>
          <w:szCs w:val="22"/>
        </w:rPr>
        <w:t xml:space="preserve">, </w:t>
      </w:r>
      <w:r w:rsidRPr="005B0C1C">
        <w:rPr>
          <w:rStyle w:val="Emphasis"/>
          <w:rFonts w:ascii="Arial" w:hAnsi="Arial" w:cs="Arial"/>
          <w:sz w:val="22"/>
          <w:szCs w:val="22"/>
        </w:rPr>
        <w:t>42</w:t>
      </w:r>
      <w:r w:rsidRPr="005B0C1C">
        <w:rPr>
          <w:rFonts w:ascii="Arial" w:hAnsi="Arial" w:cs="Arial"/>
          <w:sz w:val="22"/>
          <w:szCs w:val="22"/>
        </w:rPr>
        <w:t>(2), 322-345.</w:t>
      </w:r>
    </w:p>
    <w:p w14:paraId="5E18194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Rebelo, L.-M., Finlayson, C. M., &amp; </w:t>
      </w:r>
      <w:proofErr w:type="spellStart"/>
      <w:r w:rsidRPr="005B0C1C">
        <w:rPr>
          <w:rFonts w:ascii="Arial" w:hAnsi="Arial" w:cs="Arial"/>
          <w:sz w:val="22"/>
          <w:szCs w:val="22"/>
        </w:rPr>
        <w:t>Nagabhatla</w:t>
      </w:r>
      <w:proofErr w:type="spellEnd"/>
      <w:r w:rsidRPr="005B0C1C">
        <w:rPr>
          <w:rFonts w:ascii="Arial" w:hAnsi="Arial" w:cs="Arial"/>
          <w:sz w:val="22"/>
          <w:szCs w:val="22"/>
        </w:rPr>
        <w:t xml:space="preserve">, N. (2009). Remote sensing and GIS for wetland inventory, mapping and change analysis. </w:t>
      </w:r>
      <w:r w:rsidRPr="005B0C1C">
        <w:rPr>
          <w:rStyle w:val="Emphasis"/>
          <w:rFonts w:ascii="Arial" w:hAnsi="Arial" w:cs="Arial"/>
          <w:sz w:val="22"/>
          <w:szCs w:val="22"/>
        </w:rPr>
        <w:t>Journal of Environmental Management</w:t>
      </w:r>
      <w:r w:rsidRPr="005B0C1C">
        <w:rPr>
          <w:rFonts w:ascii="Arial" w:hAnsi="Arial" w:cs="Arial"/>
          <w:sz w:val="22"/>
          <w:szCs w:val="22"/>
        </w:rPr>
        <w:t xml:space="preserve">, </w:t>
      </w:r>
      <w:r w:rsidRPr="005B0C1C">
        <w:rPr>
          <w:rStyle w:val="Emphasis"/>
          <w:rFonts w:ascii="Arial" w:hAnsi="Arial" w:cs="Arial"/>
          <w:sz w:val="22"/>
          <w:szCs w:val="22"/>
        </w:rPr>
        <w:t>90</w:t>
      </w:r>
      <w:r w:rsidRPr="005B0C1C">
        <w:rPr>
          <w:rFonts w:ascii="Arial" w:hAnsi="Arial" w:cs="Arial"/>
          <w:sz w:val="22"/>
          <w:szCs w:val="22"/>
        </w:rPr>
        <w:t>(7), 2144-2153.</w:t>
      </w:r>
    </w:p>
    <w:p w14:paraId="5D8FE768"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Roth, F., Bauer-</w:t>
      </w:r>
      <w:proofErr w:type="spellStart"/>
      <w:r w:rsidRPr="005B0C1C">
        <w:rPr>
          <w:rFonts w:ascii="Arial" w:hAnsi="Arial" w:cs="Arial"/>
          <w:sz w:val="22"/>
          <w:szCs w:val="22"/>
        </w:rPr>
        <w:t>Marschallinger</w:t>
      </w:r>
      <w:proofErr w:type="spellEnd"/>
      <w:r w:rsidRPr="005B0C1C">
        <w:rPr>
          <w:rFonts w:ascii="Arial" w:hAnsi="Arial" w:cs="Arial"/>
          <w:sz w:val="22"/>
          <w:szCs w:val="22"/>
        </w:rPr>
        <w:t xml:space="preserve">, B., Tupas, M. E., &amp; Wagner, W. (2025). The Sentinel-1 Global Flood Monitoring system.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310</w:t>
      </w:r>
      <w:r w:rsidRPr="005B0C1C">
        <w:rPr>
          <w:rFonts w:ascii="Arial" w:hAnsi="Arial" w:cs="Arial"/>
          <w:sz w:val="22"/>
          <w:szCs w:val="22"/>
        </w:rPr>
        <w:t>, 114493.</w:t>
      </w:r>
    </w:p>
    <w:p w14:paraId="74AD565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Sarch</w:t>
      </w:r>
      <w:proofErr w:type="spellEnd"/>
      <w:r w:rsidRPr="005B0C1C">
        <w:rPr>
          <w:rFonts w:ascii="Arial" w:hAnsi="Arial" w:cs="Arial"/>
          <w:sz w:val="22"/>
          <w:szCs w:val="22"/>
        </w:rPr>
        <w:t xml:space="preserve">, M. T., &amp; Allison, E. H. (2000). Fluctuating fisheries in Africa's inland waters: Well adapted livelihoods, maladapted management. In </w:t>
      </w:r>
      <w:r w:rsidRPr="005B0C1C">
        <w:rPr>
          <w:rStyle w:val="Emphasis"/>
          <w:rFonts w:ascii="Arial" w:hAnsi="Arial" w:cs="Arial"/>
          <w:sz w:val="22"/>
          <w:szCs w:val="22"/>
        </w:rPr>
        <w:t>Proceedings of the 10th Biennial Conference of the International Institute of Fisheries Economics and Trade</w:t>
      </w:r>
      <w:r w:rsidRPr="005B0C1C">
        <w:rPr>
          <w:rFonts w:ascii="Arial" w:hAnsi="Arial" w:cs="Arial"/>
          <w:sz w:val="22"/>
          <w:szCs w:val="22"/>
        </w:rPr>
        <w:t>. IIFET.</w:t>
      </w:r>
    </w:p>
    <w:p w14:paraId="38D67EC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Shanmugam, P., Ahn, Y.-H., &amp; Sanjeevi, S. (2006). A comparison of the classification of wetland characteristics by linear spectral mixture modelling and traditional hard classifiers on multispectral remotely sensed imagery in southern India. </w:t>
      </w:r>
      <w:r w:rsidRPr="005B0C1C">
        <w:rPr>
          <w:rStyle w:val="Emphasis"/>
          <w:rFonts w:ascii="Arial" w:hAnsi="Arial" w:cs="Arial"/>
          <w:sz w:val="22"/>
          <w:szCs w:val="22"/>
        </w:rPr>
        <w:t>Ecological Modelling</w:t>
      </w:r>
      <w:r w:rsidRPr="005B0C1C">
        <w:rPr>
          <w:rFonts w:ascii="Arial" w:hAnsi="Arial" w:cs="Arial"/>
          <w:sz w:val="22"/>
          <w:szCs w:val="22"/>
        </w:rPr>
        <w:t xml:space="preserve">, </w:t>
      </w:r>
      <w:r w:rsidRPr="005B0C1C">
        <w:rPr>
          <w:rStyle w:val="Emphasis"/>
          <w:rFonts w:ascii="Arial" w:hAnsi="Arial" w:cs="Arial"/>
          <w:sz w:val="22"/>
          <w:szCs w:val="22"/>
        </w:rPr>
        <w:t>194</w:t>
      </w:r>
      <w:r w:rsidRPr="005B0C1C">
        <w:rPr>
          <w:rFonts w:ascii="Arial" w:hAnsi="Arial" w:cs="Arial"/>
          <w:sz w:val="22"/>
          <w:szCs w:val="22"/>
        </w:rPr>
        <w:t>(4), 379-394.</w:t>
      </w:r>
    </w:p>
    <w:p w14:paraId="17CB830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Shen, L., &amp; Li, C. (2010). Water body extraction from Landsat ETM+ imagery using </w:t>
      </w:r>
      <w:proofErr w:type="spellStart"/>
      <w:r w:rsidRPr="005B0C1C">
        <w:rPr>
          <w:rFonts w:ascii="Arial" w:hAnsi="Arial" w:cs="Arial"/>
          <w:sz w:val="22"/>
          <w:szCs w:val="22"/>
        </w:rPr>
        <w:t>adaboost</w:t>
      </w:r>
      <w:proofErr w:type="spellEnd"/>
      <w:r w:rsidRPr="005B0C1C">
        <w:rPr>
          <w:rFonts w:ascii="Arial" w:hAnsi="Arial" w:cs="Arial"/>
          <w:sz w:val="22"/>
          <w:szCs w:val="22"/>
        </w:rPr>
        <w:t xml:space="preserve"> algorithm. In </w:t>
      </w:r>
      <w:r w:rsidRPr="005B0C1C">
        <w:rPr>
          <w:rStyle w:val="Emphasis"/>
          <w:rFonts w:ascii="Arial" w:hAnsi="Arial" w:cs="Arial"/>
          <w:sz w:val="22"/>
          <w:szCs w:val="22"/>
        </w:rPr>
        <w:t>Proceedings of the 18th International Conference on Geoinformatics</w:t>
      </w:r>
      <w:r w:rsidRPr="005B0C1C">
        <w:rPr>
          <w:rFonts w:ascii="Arial" w:hAnsi="Arial" w:cs="Arial"/>
          <w:sz w:val="22"/>
          <w:szCs w:val="22"/>
        </w:rPr>
        <w:t xml:space="preserve"> (pp. 1-4). IEEE.</w:t>
      </w:r>
    </w:p>
    <w:p w14:paraId="756E3D04"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Tsyganskaya</w:t>
      </w:r>
      <w:proofErr w:type="spellEnd"/>
      <w:r w:rsidRPr="005B0C1C">
        <w:rPr>
          <w:rFonts w:ascii="Arial" w:hAnsi="Arial" w:cs="Arial"/>
          <w:sz w:val="22"/>
          <w:szCs w:val="22"/>
        </w:rPr>
        <w:t xml:space="preserve">, V., Martinis, S., </w:t>
      </w:r>
      <w:proofErr w:type="spellStart"/>
      <w:r w:rsidRPr="005B0C1C">
        <w:rPr>
          <w:rFonts w:ascii="Arial" w:hAnsi="Arial" w:cs="Arial"/>
          <w:sz w:val="22"/>
          <w:szCs w:val="22"/>
        </w:rPr>
        <w:t>Marzahn</w:t>
      </w:r>
      <w:proofErr w:type="spellEnd"/>
      <w:r w:rsidRPr="005B0C1C">
        <w:rPr>
          <w:rFonts w:ascii="Arial" w:hAnsi="Arial" w:cs="Arial"/>
          <w:sz w:val="22"/>
          <w:szCs w:val="22"/>
        </w:rPr>
        <w:t xml:space="preserve">, P., &amp; Ludwig, R. (2018). SAR-based detection of flooded vegetation: A review of characteristics and approaches.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73</w:t>
      </w:r>
      <w:r w:rsidRPr="005B0C1C">
        <w:rPr>
          <w:rFonts w:ascii="Arial" w:hAnsi="Arial" w:cs="Arial"/>
          <w:sz w:val="22"/>
          <w:szCs w:val="22"/>
        </w:rPr>
        <w:t>, 205-218.</w:t>
      </w:r>
    </w:p>
    <w:p w14:paraId="2127B95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Wdowinski, S., Kim, S.-W., Amelung, F., Dixon, T. H., Miralles-Wilhelm, F., &amp; Sonenshein, R. (2008). Space-based detection of wetlands' surface water level changes from L-band SAR interferometry.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112</w:t>
      </w:r>
      <w:r w:rsidRPr="005B0C1C">
        <w:rPr>
          <w:rFonts w:ascii="Arial" w:hAnsi="Arial" w:cs="Arial"/>
          <w:sz w:val="22"/>
          <w:szCs w:val="22"/>
        </w:rPr>
        <w:t>(3), 681-696.</w:t>
      </w:r>
    </w:p>
    <w:p w14:paraId="0BFF08D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Whyte, A., Ferentinos, K. P., &amp; Petropoulos, G. P. (2018). A new synergistic approach for monitoring wetlands using Sentinels-1 and 2 data with object-based machine learning algorithms. </w:t>
      </w:r>
      <w:r w:rsidRPr="005B0C1C">
        <w:rPr>
          <w:rStyle w:val="Emphasis"/>
          <w:rFonts w:ascii="Arial" w:hAnsi="Arial" w:cs="Arial"/>
          <w:sz w:val="22"/>
          <w:szCs w:val="22"/>
        </w:rPr>
        <w:t>Environmental Modelling and Software</w:t>
      </w:r>
      <w:r w:rsidRPr="005B0C1C">
        <w:rPr>
          <w:rFonts w:ascii="Arial" w:hAnsi="Arial" w:cs="Arial"/>
          <w:sz w:val="22"/>
          <w:szCs w:val="22"/>
        </w:rPr>
        <w:t xml:space="preserve">, </w:t>
      </w:r>
      <w:r w:rsidRPr="005B0C1C">
        <w:rPr>
          <w:rStyle w:val="Emphasis"/>
          <w:rFonts w:ascii="Arial" w:hAnsi="Arial" w:cs="Arial"/>
          <w:sz w:val="22"/>
          <w:szCs w:val="22"/>
        </w:rPr>
        <w:t>104</w:t>
      </w:r>
      <w:r w:rsidRPr="005B0C1C">
        <w:rPr>
          <w:rFonts w:ascii="Arial" w:hAnsi="Arial" w:cs="Arial"/>
          <w:sz w:val="22"/>
          <w:szCs w:val="22"/>
        </w:rPr>
        <w:t>, 40-54.</w:t>
      </w:r>
    </w:p>
    <w:p w14:paraId="5202003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(2007). </w:t>
      </w:r>
      <w:r w:rsidRPr="005B0C1C">
        <w:rPr>
          <w:rStyle w:val="Emphasis"/>
          <w:rFonts w:ascii="Arial" w:hAnsi="Arial" w:cs="Arial"/>
          <w:sz w:val="22"/>
          <w:szCs w:val="22"/>
        </w:rPr>
        <w:t>The waterfowl of Lake Chilwa and their utilisation by local communities, and conservation measures as required by the Ramsar Convention</w:t>
      </w:r>
      <w:r w:rsidRPr="005B0C1C">
        <w:rPr>
          <w:rFonts w:ascii="Arial" w:hAnsi="Arial" w:cs="Arial"/>
          <w:sz w:val="22"/>
          <w:szCs w:val="22"/>
        </w:rPr>
        <w:t>. Lake Chilwa Wetland Project.</w:t>
      </w:r>
    </w:p>
    <w:p w14:paraId="31CED9A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(2008). Fisheries management in Malawi: A patchwork of traditional, modern, and post-modern regimes unfolds. In R. M. Hughes, L. Wang, &amp; P. W. Seelbach (Eds.), </w:t>
      </w:r>
      <w:r w:rsidRPr="005B0C1C">
        <w:rPr>
          <w:rStyle w:val="Emphasis"/>
          <w:rFonts w:ascii="Arial" w:hAnsi="Arial" w:cs="Arial"/>
          <w:sz w:val="22"/>
          <w:szCs w:val="22"/>
        </w:rPr>
        <w:t>Landscape influences on stream habitats and biological assemblages</w:t>
      </w:r>
      <w:r w:rsidRPr="005B0C1C">
        <w:rPr>
          <w:rFonts w:ascii="Arial" w:hAnsi="Arial" w:cs="Arial"/>
          <w:sz w:val="22"/>
          <w:szCs w:val="22"/>
        </w:rPr>
        <w:t xml:space="preserve"> (American Fisheries Society Symposium 62). American Fisheries Society. (With A. Russell &amp; T. Dobson)</w:t>
      </w:r>
    </w:p>
    <w:p w14:paraId="677FD04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(2009). </w:t>
      </w:r>
      <w:r w:rsidRPr="005B0C1C">
        <w:rPr>
          <w:rStyle w:val="Emphasis"/>
          <w:rFonts w:ascii="Arial" w:hAnsi="Arial" w:cs="Arial"/>
          <w:sz w:val="22"/>
          <w:szCs w:val="22"/>
        </w:rPr>
        <w:t xml:space="preserve">Lake Chilwa and </w:t>
      </w:r>
      <w:proofErr w:type="spellStart"/>
      <w:r w:rsidRPr="005B0C1C">
        <w:rPr>
          <w:rStyle w:val="Emphasis"/>
          <w:rFonts w:ascii="Arial" w:hAnsi="Arial" w:cs="Arial"/>
          <w:sz w:val="22"/>
          <w:szCs w:val="22"/>
        </w:rPr>
        <w:t>Mpoto</w:t>
      </w:r>
      <w:proofErr w:type="spellEnd"/>
      <w:r w:rsidRPr="005B0C1C">
        <w:rPr>
          <w:rStyle w:val="Emphasis"/>
          <w:rFonts w:ascii="Arial" w:hAnsi="Arial" w:cs="Arial"/>
          <w:sz w:val="22"/>
          <w:szCs w:val="22"/>
        </w:rPr>
        <w:t xml:space="preserve"> Lagoon fisheries management plan</w:t>
      </w:r>
      <w:r w:rsidRPr="005B0C1C">
        <w:rPr>
          <w:rFonts w:ascii="Arial" w:hAnsi="Arial" w:cs="Arial"/>
          <w:sz w:val="22"/>
          <w:szCs w:val="22"/>
        </w:rPr>
        <w:t>. Government of Malawi, Ministry of Agriculture. Unpublished.</w:t>
      </w:r>
    </w:p>
    <w:p w14:paraId="2D66F98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(2010). </w:t>
      </w:r>
      <w:r w:rsidRPr="005B0C1C">
        <w:rPr>
          <w:rStyle w:val="Emphasis"/>
          <w:rFonts w:ascii="Arial" w:hAnsi="Arial" w:cs="Arial"/>
          <w:sz w:val="22"/>
          <w:szCs w:val="22"/>
        </w:rPr>
        <w:t>The people of the lake and basin</w:t>
      </w:r>
      <w:r w:rsidRPr="005B0C1C">
        <w:rPr>
          <w:rFonts w:ascii="Arial" w:hAnsi="Arial" w:cs="Arial"/>
          <w:sz w:val="22"/>
          <w:szCs w:val="22"/>
        </w:rPr>
        <w:t>. Unpublished manuscript, Zomba.</w:t>
      </w:r>
    </w:p>
    <w:p w14:paraId="627EBA6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(2014). The history of the level of Lake Chilwa. </w:t>
      </w:r>
      <w:r w:rsidRPr="005B0C1C">
        <w:rPr>
          <w:rStyle w:val="Emphasis"/>
          <w:rFonts w:ascii="Arial" w:hAnsi="Arial" w:cs="Arial"/>
          <w:sz w:val="22"/>
          <w:szCs w:val="22"/>
        </w:rPr>
        <w:t>The Society of Malawi Journal</w:t>
      </w:r>
      <w:r w:rsidRPr="005B0C1C">
        <w:rPr>
          <w:rFonts w:ascii="Arial" w:hAnsi="Arial" w:cs="Arial"/>
          <w:sz w:val="22"/>
          <w:szCs w:val="22"/>
        </w:rPr>
        <w:t xml:space="preserve">, </w:t>
      </w:r>
      <w:r w:rsidRPr="005B0C1C">
        <w:rPr>
          <w:rStyle w:val="Emphasis"/>
          <w:rFonts w:ascii="Arial" w:hAnsi="Arial" w:cs="Arial"/>
          <w:sz w:val="22"/>
          <w:szCs w:val="22"/>
        </w:rPr>
        <w:t>67</w:t>
      </w:r>
      <w:r w:rsidRPr="005B0C1C">
        <w:rPr>
          <w:rFonts w:ascii="Arial" w:hAnsi="Arial" w:cs="Arial"/>
          <w:sz w:val="22"/>
          <w:szCs w:val="22"/>
        </w:rPr>
        <w:t>(2), 41-45.</w:t>
      </w:r>
    </w:p>
    <w:p w14:paraId="32C1FAE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Woodward, K., Marti-Cardona, B., &amp; Oberg, J. (2021). Integrating participatory mapping with remote sensing for wetland conservation.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13</w:t>
      </w:r>
      <w:r w:rsidRPr="005B0C1C">
        <w:rPr>
          <w:rFonts w:ascii="Arial" w:hAnsi="Arial" w:cs="Arial"/>
          <w:sz w:val="22"/>
          <w:szCs w:val="22"/>
        </w:rPr>
        <w:t>(5), 890.</w:t>
      </w:r>
    </w:p>
    <w:p w14:paraId="56C24E1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Xu, H. (2006). Modification of normalised difference water index (NDWI) to enhance open water features in remotely sensed imagery. </w:t>
      </w:r>
      <w:r w:rsidRPr="005B0C1C">
        <w:rPr>
          <w:rStyle w:val="Emphasis"/>
          <w:rFonts w:ascii="Arial" w:hAnsi="Arial" w:cs="Arial"/>
          <w:sz w:val="22"/>
          <w:szCs w:val="22"/>
        </w:rPr>
        <w:t>International Journal of Remote Sensing</w:t>
      </w:r>
      <w:r w:rsidRPr="005B0C1C">
        <w:rPr>
          <w:rFonts w:ascii="Arial" w:hAnsi="Arial" w:cs="Arial"/>
          <w:sz w:val="22"/>
          <w:szCs w:val="22"/>
        </w:rPr>
        <w:t xml:space="preserve">, </w:t>
      </w:r>
      <w:r w:rsidRPr="005B0C1C">
        <w:rPr>
          <w:rStyle w:val="Emphasis"/>
          <w:rFonts w:ascii="Arial" w:hAnsi="Arial" w:cs="Arial"/>
          <w:sz w:val="22"/>
          <w:szCs w:val="22"/>
        </w:rPr>
        <w:t>27</w:t>
      </w:r>
      <w:r w:rsidRPr="005B0C1C">
        <w:rPr>
          <w:rFonts w:ascii="Arial" w:hAnsi="Arial" w:cs="Arial"/>
          <w:sz w:val="22"/>
          <w:szCs w:val="22"/>
        </w:rPr>
        <w:t>(14), 3025-3033.</w:t>
      </w:r>
    </w:p>
    <w:p w14:paraId="7739FB8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Xu, Y., Liu, Y., &amp; Liu, S. (2025). Mapping surface water dynamics across East Africa at 10 m resolution by integrating Sentinel-1 and Sentinel-2 time series. </w:t>
      </w:r>
      <w:r w:rsidRPr="005B0C1C">
        <w:rPr>
          <w:rStyle w:val="Emphasis"/>
          <w:rFonts w:ascii="Arial" w:hAnsi="Arial" w:cs="Arial"/>
          <w:sz w:val="22"/>
          <w:szCs w:val="22"/>
        </w:rPr>
        <w:t>ISPRS Journal of Photogrammetry and Remote Sensing</w:t>
      </w:r>
      <w:r w:rsidRPr="005B0C1C">
        <w:rPr>
          <w:rFonts w:ascii="Arial" w:hAnsi="Arial" w:cs="Arial"/>
          <w:sz w:val="22"/>
          <w:szCs w:val="22"/>
        </w:rPr>
        <w:t xml:space="preserve">, </w:t>
      </w:r>
      <w:r w:rsidRPr="005B0C1C">
        <w:rPr>
          <w:rStyle w:val="Emphasis"/>
          <w:rFonts w:ascii="Arial" w:hAnsi="Arial" w:cs="Arial"/>
          <w:sz w:val="22"/>
          <w:szCs w:val="22"/>
        </w:rPr>
        <w:t>215</w:t>
      </w:r>
      <w:r w:rsidRPr="005B0C1C">
        <w:rPr>
          <w:rFonts w:ascii="Arial" w:hAnsi="Arial" w:cs="Arial"/>
          <w:sz w:val="22"/>
          <w:szCs w:val="22"/>
        </w:rPr>
        <w:t>, 101-118.</w:t>
      </w:r>
    </w:p>
    <w:p w14:paraId="0674497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Yiran, G. A. B., Kusimi, J. M., &amp; </w:t>
      </w:r>
      <w:proofErr w:type="spellStart"/>
      <w:r w:rsidRPr="005B0C1C">
        <w:rPr>
          <w:rFonts w:ascii="Arial" w:hAnsi="Arial" w:cs="Arial"/>
          <w:sz w:val="22"/>
          <w:szCs w:val="22"/>
        </w:rPr>
        <w:t>Kufogbe</w:t>
      </w:r>
      <w:proofErr w:type="spellEnd"/>
      <w:r w:rsidRPr="005B0C1C">
        <w:rPr>
          <w:rFonts w:ascii="Arial" w:hAnsi="Arial" w:cs="Arial"/>
          <w:sz w:val="22"/>
          <w:szCs w:val="22"/>
        </w:rPr>
        <w:t xml:space="preserve">, S. K. (2012). A synthesis of remote sensing and local knowledge approaches in land degradation assessment in the Bawku East District, Ghana.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14</w:t>
      </w:r>
      <w:r w:rsidRPr="005B0C1C">
        <w:rPr>
          <w:rFonts w:ascii="Arial" w:hAnsi="Arial" w:cs="Arial"/>
          <w:sz w:val="22"/>
          <w:szCs w:val="22"/>
        </w:rPr>
        <w:t>(1), 204-213.</w:t>
      </w:r>
    </w:p>
    <w:p w14:paraId="3632E34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Zebker, H. A., &amp; Villasenor, J. (1992). Decorrelation in interferometric radar echoes. </w:t>
      </w:r>
      <w:r w:rsidRPr="005B0C1C">
        <w:rPr>
          <w:rStyle w:val="Emphasis"/>
          <w:rFonts w:ascii="Arial" w:hAnsi="Arial" w:cs="Arial"/>
          <w:sz w:val="22"/>
          <w:szCs w:val="22"/>
        </w:rPr>
        <w:t>IEEE Transactions on Geoscience and Remote Sensing</w:t>
      </w:r>
      <w:r w:rsidRPr="005B0C1C">
        <w:rPr>
          <w:rFonts w:ascii="Arial" w:hAnsi="Arial" w:cs="Arial"/>
          <w:sz w:val="22"/>
          <w:szCs w:val="22"/>
        </w:rPr>
        <w:t xml:space="preserve">, </w:t>
      </w:r>
      <w:r w:rsidRPr="005B0C1C">
        <w:rPr>
          <w:rStyle w:val="Emphasis"/>
          <w:rFonts w:ascii="Arial" w:hAnsi="Arial" w:cs="Arial"/>
          <w:sz w:val="22"/>
          <w:szCs w:val="22"/>
        </w:rPr>
        <w:t>30</w:t>
      </w:r>
      <w:r w:rsidRPr="005B0C1C">
        <w:rPr>
          <w:rFonts w:ascii="Arial" w:hAnsi="Arial" w:cs="Arial"/>
          <w:sz w:val="22"/>
          <w:szCs w:val="22"/>
        </w:rPr>
        <w:t>(5), 950-959.</w:t>
      </w:r>
    </w:p>
    <w:p w14:paraId="5946B39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Zhang, G., Yao, T., Chen, W., Zheng, G., Shum, C. K., Yang, K., Peng, S., Tian, Y., Shang, Y., &amp; Zhang, S. (2019). Regional differences of lake evolution across China during 1960s-2015 and its natural and anthropogenic causes. </w:t>
      </w:r>
      <w:r w:rsidRPr="005B0C1C">
        <w:rPr>
          <w:rStyle w:val="Emphasis"/>
          <w:rFonts w:ascii="Arial" w:hAnsi="Arial" w:cs="Arial"/>
          <w:sz w:val="22"/>
          <w:szCs w:val="22"/>
        </w:rPr>
        <w:t>Science of the Total Environment</w:t>
      </w:r>
      <w:r w:rsidRPr="005B0C1C">
        <w:rPr>
          <w:rFonts w:ascii="Arial" w:hAnsi="Arial" w:cs="Arial"/>
          <w:sz w:val="22"/>
          <w:szCs w:val="22"/>
        </w:rPr>
        <w:t xml:space="preserve">, </w:t>
      </w:r>
      <w:r w:rsidRPr="005B0C1C">
        <w:rPr>
          <w:rStyle w:val="Emphasis"/>
          <w:rFonts w:ascii="Arial" w:hAnsi="Arial" w:cs="Arial"/>
          <w:sz w:val="22"/>
          <w:szCs w:val="22"/>
        </w:rPr>
        <w:t>655</w:t>
      </w:r>
      <w:r w:rsidRPr="005B0C1C">
        <w:rPr>
          <w:rFonts w:ascii="Arial" w:hAnsi="Arial" w:cs="Arial"/>
          <w:sz w:val="22"/>
          <w:szCs w:val="22"/>
        </w:rPr>
        <w:t>, 1390-1401.</w:t>
      </w:r>
    </w:p>
    <w:p w14:paraId="16179B3A" w14:textId="77777777" w:rsidR="000B55EB" w:rsidRDefault="000B55EB">
      <w:pPr>
        <w:pBdr>
          <w:top w:val="nil"/>
          <w:left w:val="nil"/>
          <w:bottom w:val="nil"/>
          <w:right w:val="nil"/>
          <w:between w:val="nil"/>
        </w:pBdr>
        <w:spacing w:before="0" w:after="200"/>
        <w:ind w:left="431" w:hanging="431"/>
        <w:jc w:val="left"/>
        <w:rPr>
          <w:color w:val="000000"/>
          <w:sz w:val="24"/>
          <w:szCs w:val="24"/>
        </w:rPr>
      </w:pPr>
    </w:p>
    <w:sectPr w:rsidR="000B55EB">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D2FDA3" w14:textId="77777777" w:rsidR="009B3B20" w:rsidRDefault="009B3B20">
      <w:pPr>
        <w:spacing w:before="0" w:after="0"/>
      </w:pPr>
      <w:r>
        <w:separator/>
      </w:r>
    </w:p>
  </w:endnote>
  <w:endnote w:type="continuationSeparator" w:id="0">
    <w:p w14:paraId="6EEB3FDB" w14:textId="77777777" w:rsidR="009B3B20" w:rsidRDefault="009B3B2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4BF62A6-A3B5-724F-95D3-11DF662229AE}"/>
    <w:embedBold r:id="rId2" w:fontKey="{9AFE6768-1ADC-6D4B-8104-A6A581A94E8B}"/>
    <w:embedItalic r:id="rId3" w:fontKey="{D4C64BC1-AA90-7247-9DEF-6A71A8EA2FE6}"/>
    <w:embedBoldItalic r:id="rId4" w:fontKey="{7D561B6E-5AF8-7A4D-B046-89BB219ABD12}"/>
  </w:font>
  <w:font w:name="Courier New">
    <w:panose1 w:val="02070309020205020404"/>
    <w:charset w:val="00"/>
    <w:family w:val="modern"/>
    <w:pitch w:val="fixed"/>
    <w:sig w:usb0="E0002AFF" w:usb1="C0007843" w:usb2="00000009" w:usb3="00000000" w:csb0="000001FF" w:csb1="00000000"/>
    <w:embedRegular r:id="rId5" w:fontKey="{47E0A5EE-AEA9-8041-9FE9-E22EE86C5CB2}"/>
  </w:font>
  <w:font w:name="Wingdings">
    <w:panose1 w:val="05000000000000000000"/>
    <w:charset w:val="4D"/>
    <w:family w:val="decorative"/>
    <w:pitch w:val="variable"/>
    <w:sig w:usb0="00000003" w:usb1="00000000" w:usb2="00000000" w:usb3="00000000" w:csb0="80000001" w:csb1="00000000"/>
    <w:embedRegular r:id="rId6" w:fontKey="{228A730B-441E-524B-AF5A-E444D9AD9077}"/>
  </w:font>
  <w:font w:name="Symbol">
    <w:panose1 w:val="05050102010706020507"/>
    <w:charset w:val="02"/>
    <w:family w:val="decorative"/>
    <w:pitch w:val="variable"/>
    <w:sig w:usb0="00000000" w:usb1="10000000" w:usb2="00000000" w:usb3="00000000" w:csb0="80000000" w:csb1="00000000"/>
    <w:embedRegular r:id="rId7" w:fontKey="{46C1E148-394A-284E-B05E-6F1AE2B3CD03}"/>
  </w:font>
  <w:font w:name="Ubuntu">
    <w:panose1 w:val="020B0504030602030204"/>
    <w:charset w:val="00"/>
    <w:family w:val="swiss"/>
    <w:pitch w:val="variable"/>
    <w:sig w:usb0="E00002FF" w:usb1="5000205B" w:usb2="00000000" w:usb3="00000000" w:csb0="0000009F" w:csb1="00000000"/>
    <w:embedRegular r:id="rId8" w:fontKey="{BB07D99D-273F-D447-B142-DB7FB9C396A4}"/>
  </w:font>
  <w:font w:name="Arial">
    <w:panose1 w:val="020B0604020202020204"/>
    <w:charset w:val="00"/>
    <w:family w:val="swiss"/>
    <w:pitch w:val="variable"/>
    <w:sig w:usb0="E0002EFF" w:usb1="C000785B" w:usb2="00000009" w:usb3="00000000" w:csb0="000001FF" w:csb1="00000000"/>
    <w:embedRegular r:id="rId9" w:fontKey="{36D4659D-0329-444F-B0A3-8DB2D46E2183}"/>
    <w:embedBold r:id="rId10" w:fontKey="{E3D483B2-20FD-D84B-93D7-23B1BADCCAB7}"/>
    <w:embedItalic r:id="rId11" w:fontKey="{FFE98A6E-BDB0-6148-A600-F61053A4913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EA475A9D-12C7-CA44-91D0-A9D66CECEB21}"/>
    <w:embedBold r:id="rId15" w:fontKey="{90FFA55C-6E3D-F242-A1D3-95486A254046}"/>
    <w:embedItalic r:id="rId16" w:fontKey="{53558A05-4483-454C-BFB3-F5AC59713144}"/>
    <w:embedBoldItalic r:id="rId17" w:fontKey="{406514F8-657F-7743-A47D-DDE09C37C2BA}"/>
  </w:font>
  <w:font w:name="Aptos Display">
    <w:panose1 w:val="020B0004020202020204"/>
    <w:charset w:val="00"/>
    <w:family w:val="swiss"/>
    <w:pitch w:val="variable"/>
    <w:sig w:usb0="20000287" w:usb1="00000003" w:usb2="00000000" w:usb3="00000000" w:csb0="0000019F" w:csb1="00000000"/>
    <w:embedRegular r:id="rId18" w:fontKey="{4B5DDF31-B0BD-7240-9E86-9530E0F2108D}"/>
    <w:embedBold r:id="rId19" w:fontKey="{DF9B4E20-557D-EB49-BDFF-C586DB59B78F}"/>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0" w:fontKey="{F1DF3068-0F28-2F43-B95E-58BA06102E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69EC8C" w14:textId="77777777" w:rsidR="009B3B20" w:rsidRDefault="009B3B20">
      <w:pPr>
        <w:spacing w:before="0" w:after="0"/>
      </w:pPr>
      <w:r>
        <w:separator/>
      </w:r>
    </w:p>
  </w:footnote>
  <w:footnote w:type="continuationSeparator" w:id="0">
    <w:p w14:paraId="0F2EA6D3" w14:textId="77777777" w:rsidR="009B3B20" w:rsidRDefault="009B3B2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2"/>
  </w:num>
  <w:num w:numId="2" w16cid:durableId="1229654886">
    <w:abstractNumId w:val="4"/>
  </w:num>
  <w:num w:numId="3" w16cid:durableId="1780876995">
    <w:abstractNumId w:val="14"/>
  </w:num>
  <w:num w:numId="4" w16cid:durableId="974025194">
    <w:abstractNumId w:val="20"/>
  </w:num>
  <w:num w:numId="5" w16cid:durableId="559169265">
    <w:abstractNumId w:val="3"/>
  </w:num>
  <w:num w:numId="6" w16cid:durableId="749277374">
    <w:abstractNumId w:val="6"/>
  </w:num>
  <w:num w:numId="7" w16cid:durableId="1982688459">
    <w:abstractNumId w:val="17"/>
  </w:num>
  <w:num w:numId="8" w16cid:durableId="777025906">
    <w:abstractNumId w:val="7"/>
  </w:num>
  <w:num w:numId="9" w16cid:durableId="1683047266">
    <w:abstractNumId w:val="24"/>
  </w:num>
  <w:num w:numId="10" w16cid:durableId="1989626730">
    <w:abstractNumId w:val="0"/>
  </w:num>
  <w:num w:numId="11" w16cid:durableId="1157310178">
    <w:abstractNumId w:val="13"/>
  </w:num>
  <w:num w:numId="12" w16cid:durableId="2135756243">
    <w:abstractNumId w:val="11"/>
  </w:num>
  <w:num w:numId="13" w16cid:durableId="1483307824">
    <w:abstractNumId w:val="22"/>
  </w:num>
  <w:num w:numId="14" w16cid:durableId="666329526">
    <w:abstractNumId w:val="1"/>
  </w:num>
  <w:num w:numId="15" w16cid:durableId="361440534">
    <w:abstractNumId w:val="16"/>
  </w:num>
  <w:num w:numId="16" w16cid:durableId="760414313">
    <w:abstractNumId w:val="19"/>
  </w:num>
  <w:num w:numId="17" w16cid:durableId="2113938833">
    <w:abstractNumId w:val="15"/>
  </w:num>
  <w:num w:numId="18" w16cid:durableId="196820457">
    <w:abstractNumId w:val="9"/>
  </w:num>
  <w:num w:numId="19" w16cid:durableId="1028726134">
    <w:abstractNumId w:val="18"/>
  </w:num>
  <w:num w:numId="20" w16cid:durableId="192043067">
    <w:abstractNumId w:val="5"/>
  </w:num>
  <w:num w:numId="21" w16cid:durableId="910313393">
    <w:abstractNumId w:val="2"/>
  </w:num>
  <w:num w:numId="22" w16cid:durableId="329673323">
    <w:abstractNumId w:val="10"/>
  </w:num>
  <w:num w:numId="23" w16cid:durableId="569272857">
    <w:abstractNumId w:val="8"/>
  </w:num>
  <w:num w:numId="24" w16cid:durableId="1467820160">
    <w:abstractNumId w:val="23"/>
  </w:num>
  <w:num w:numId="25" w16cid:durableId="1134904917">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STIX Two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E652"/>
  <w15:docId w15:val="{FC8C7DE4-3CB6-6D4B-9FAF-01313988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0" w:after="18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rFonts w:ascii="Arial" w:hAnsi="Arial"/>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rFonts w:ascii="Arial" w:hAnsi="Arial"/>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ascii="Arial" w:eastAsia="Play" w:hAnsi="Arial" w:cs="Play"/>
      <w:b/>
      <w:sz w:val="28"/>
      <w:szCs w:val="56"/>
    </w:rPr>
  </w:style>
  <w:style w:type="paragraph" w:styleId="BodyText">
    <w:name w:val="Body Text"/>
    <w:basedOn w:val="Normal"/>
    <w:qFormat/>
    <w:rsid w:val="00242606"/>
    <w:pPr>
      <w:spacing w:line="360" w:lineRule="auto"/>
    </w:pPr>
    <w:rPr>
      <w:rFonts w:ascii="Arial" w:hAnsi="Arial"/>
    </w:rPr>
  </w:style>
  <w:style w:type="paragraph" w:customStyle="1" w:styleId="FirstParagraph">
    <w:name w:val="First Paragraph"/>
    <w:basedOn w:val="BodyText"/>
    <w:next w:val="BodyText"/>
    <w:qFormat/>
  </w:style>
  <w:style w:type="paragraph" w:customStyle="1" w:styleId="Compact">
    <w:name w:val="Compact"/>
    <w:basedOn w:val="BodyText"/>
    <w:qFormat/>
    <w:rsid w:val="00DE287C"/>
    <w:pPr>
      <w:spacing w:before="36" w:after="36"/>
    </w:pPr>
    <w:rPr>
      <w:sz w:val="18"/>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rsid w:val="005D7AAD"/>
    <w:pPr>
      <w:keepNext/>
      <w:keepLines/>
      <w:spacing w:before="0" w:after="0" w:line="360" w:lineRule="auto"/>
      <w:jc w:val="left"/>
    </w:pPr>
    <w:rPr>
      <w:rFonts w:ascii="Arial" w:hAnsi="Arial"/>
      <w:i/>
      <w:sz w:val="21"/>
      <w:szCs w:val="20"/>
    </w:rPr>
  </w:style>
  <w:style w:type="paragraph" w:customStyle="1" w:styleId="Abstract">
    <w:name w:val="Abstract"/>
    <w:basedOn w:val="Normal"/>
    <w:next w:val="BodyText"/>
    <w:qFormat/>
    <w:rsid w:val="00701179"/>
    <w:pPr>
      <w:keepNext/>
      <w:keepLines/>
      <w:spacing w:before="100" w:after="300" w:line="360" w:lineRule="auto"/>
    </w:pPr>
    <w:rPr>
      <w:rFonts w:ascii="Arial" w:hAnsi="Arial"/>
      <w:sz w:val="20"/>
      <w:szCs w:val="20"/>
    </w:rPr>
  </w:style>
  <w:style w:type="paragraph" w:styleId="Bibliography">
    <w:name w:val="Bibliography"/>
    <w:basedOn w:val="Normal"/>
    <w:qFormat/>
    <w:rsid w:val="00242606"/>
    <w:rPr>
      <w:rFonts w:ascii="Arial" w:hAnsi="Arial"/>
    </w:r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rsid w:val="00242606"/>
    <w:rPr>
      <w:rFonts w:ascii="Arial" w:hAnsi="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sid w:val="00242606"/>
    <w:rPr>
      <w:rFonts w:ascii="Arial" w:hAnsi="Arial"/>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amusrobertmurphy@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RjJqHM+j/V2HPf9oNtL51nmZg==">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37</Pages>
  <Words>13129</Words>
  <Characters>74840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Murphy, S.</dc:creator>
  <cp:lastModifiedBy>Murphy, Seamus</cp:lastModifiedBy>
  <cp:revision>2</cp:revision>
  <dcterms:created xsi:type="dcterms:W3CDTF">2026-07-08T06:14:00Z</dcterms:created>
  <dcterms:modified xsi:type="dcterms:W3CDTF">2026-07-08T06:14:00Z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2024-08-24</vt:lpwstr>
  </property>
  <property fmtid="{D5CDD505-2E9C-101B-9397-08002B2CF9AE}" pid="4" name="link-cites">
    <vt:lpwstr>True</vt:lpwstr>
  </property>
  <property fmtid="{D5CDD505-2E9C-101B-9397-08002B2CF9AE}" pid="5" name="nocite">
    <vt:lpwstr>@*</vt:lpwstr>
  </property>
  <property fmtid="{D5CDD505-2E9C-101B-9397-08002B2CF9AE}" pid="6" name="output">
    <vt:lpwstr/>
  </property>
  <property fmtid="{D5CDD505-2E9C-101B-9397-08002B2CF9AE}" pid="7" name="subtitle">
    <vt:lpwstr>Lake Chilwa Basin Analysis</vt:lpwstr>
  </property>
</Properties>
</file>