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 TREES Emissions Reversal Report</w:t>
      </w:r>
    </w:p>
    <w:p>
      <w:pPr>
        <w:pStyle w:val="Subtitle"/>
      </w:pPr>
      <w:r>
        <w:t xml:space="preserve">Credit period review, buffer pool adjustments &amp; management atrategies following reversal event in Ecuador’s ART TREES Program</w:t>
      </w:r>
    </w:p>
    <w:p>
      <w:pPr>
        <w:pStyle w:val="Date"/>
      </w:pPr>
      <w:r>
        <w:t xml:space="preserve">2024-12-17</w:t>
      </w:r>
    </w:p>
    <w:bookmarkStart w:id="20" w:name="introduction"/>
    <w:p>
      <w:pPr>
        <w:pStyle w:val="Heading2"/>
      </w:pPr>
      <w:r>
        <w:t xml:space="preserve">1 Introduction</w:t>
      </w:r>
    </w:p>
    <w:p>
      <w:pPr>
        <w:pStyle w:val="FirstParagraph"/>
      </w:pPr>
      <w:r>
        <w:t xml:space="preserve">This report addresses the 2020 emissions reversal within Ecuador’s REDD+ program under the Architecture for REDD+ Transactions (ART) TREES Standard Version 2.0</w:t>
      </w:r>
      <w:r>
        <w:t xml:space="preserve"> </w:t>
      </w:r>
      <w:r>
        <w:t xml:space="preserve">(ART 2021)</w:t>
      </w:r>
      <w:r>
        <w:t xml:space="preserve">. It outlines the required compensatory actions, the documented 2020 reversal event, strategies for credit management, and recommendations for upcoming validation audits</w:t>
      </w:r>
      <w:r>
        <w:t xml:space="preserve"> </w:t>
      </w:r>
      <w:r>
        <w:t xml:space="preserve">(ART 2024)</w:t>
      </w:r>
      <w:r>
        <w:t xml:space="preserve">.</w:t>
      </w:r>
    </w:p>
    <w:p>
      <w:pPr>
        <w:pStyle w:val="BodyText"/>
      </w:pPr>
      <w:r>
        <w:t xml:space="preserve">Under Section 7.1 of the TREES Standard V2.0, reversals are defined as emissions exceeding the established baseline during the crediting period, which must be compensated by the deduction of credits verified from other years within the same crediting period (Section 7.1.3). In addition, a reassessment of non-permanence risks may result in an increase in the buffer pool contribution rate for future crediting periods​ (Section 7.1.2).</w:t>
      </w:r>
    </w:p>
    <w:p>
      <w:pPr>
        <w:pStyle w:val="BodyText"/>
      </w:pPr>
      <w:r>
        <w:t xml:space="preserve">Given the material impact of the 2020 reversal, verifiers are expected to apply heightened scrutiny during the upcoming validation and verification processes, particularly focusing on the monitoring plan, accuracy of carbon estimates and methodology used, and deforestation mitigation measures. To ensure that Ecuador’s TMR and TRD submissions align with ART requirements, secure validation, and minimize the financial implications of reversal compensation, this report offers targeted recommendations and to strengthen compliance and program resilience.</w:t>
      </w:r>
    </w:p>
    <w:bookmarkEnd w:id="20"/>
    <w:bookmarkStart w:id="21" w:name="scope-of-report"/>
    <w:p>
      <w:pPr>
        <w:pStyle w:val="Heading2"/>
      </w:pPr>
      <w:r>
        <w:t xml:space="preserve">2 Scope of Report</w:t>
      </w:r>
    </w:p>
    <w:p>
      <w:pPr>
        <w:pStyle w:val="FirstParagraph"/>
      </w:pPr>
      <w:r>
        <w:t xml:space="preserve">This report reviews the TREES Monitoring Report and TREES Registry Document (Table 1) submitted by the Ecuador REDD+ Program under the Architecture for REDD+ Transactions (ART) TREES Standard V2.0. This project is led by the National Government of Ecuador, represented by the Ministry of Environment, Water, and Ecological Transition (MAATE). The program’s first crediting period spanned from January 1, 2017, to December 31, 2021, with a historical reference period from January 1, 2012, to December 31, 2016. Key partners include the Ministry of Agriculture and Livestock, EUROCLIMA+, and the Environmental Defense Fund (EDF).</w:t>
      </w:r>
    </w:p>
    <w:p>
      <w:pPr>
        <w:pStyle w:val="BodyText"/>
      </w:pPr>
      <w:r>
        <w:rPr>
          <w:b/>
          <w:bCs/>
        </w:rPr>
        <w:t xml:space="preserve">Analysis of the 2020 Emissions Reversal</w:t>
      </w:r>
    </w:p>
    <w:p>
      <w:pPr>
        <w:pStyle w:val="Compact"/>
        <w:numPr>
          <w:ilvl w:val="0"/>
          <w:numId w:val="1001"/>
        </w:numPr>
      </w:pPr>
      <w:r>
        <w:t xml:space="preserve">Review reversal loss calculations to confirm compliance regarding crediting levels and emissions reductions.</w:t>
      </w:r>
    </w:p>
    <w:p>
      <w:pPr>
        <w:pStyle w:val="Compact"/>
        <w:numPr>
          <w:ilvl w:val="0"/>
          <w:numId w:val="1001"/>
        </w:numPr>
      </w:pPr>
      <w:r>
        <w:t xml:space="preserve">Assess the impact of the reversal on future crediting periods, including its effect on credit availability and buffer pool contributions.</w:t>
      </w:r>
      <w:r>
        <w:t xml:space="preserve"> </w:t>
      </w:r>
      <w:r>
        <w:rPr>
          <w:b/>
          <w:bCs/>
          <w:strike/>
        </w:rPr>
        <w:t xml:space="preserve">(XXX)</w:t>
      </w:r>
    </w:p>
    <w:p>
      <w:pPr>
        <w:pStyle w:val="Compact"/>
        <w:numPr>
          <w:ilvl w:val="0"/>
          <w:numId w:val="1001"/>
        </w:numPr>
      </w:pPr>
      <w:r>
        <w:t xml:space="preserve">Provide recommendations for managing the reversal, including appropriate credit deductions and mitigation strategies to prevent similar events in future periods.</w:t>
      </w:r>
    </w:p>
    <w:p>
      <w:pPr>
        <w:pStyle w:val="FirstParagraph"/>
      </w:pPr>
      <w:r>
        <w:rPr>
          <w:b/>
          <w:bCs/>
        </w:rPr>
        <w:t xml:space="preserve">Guidance on Buffer Pool Adjustments &amp; Credit Allocations</w:t>
      </w:r>
    </w:p>
    <w:p>
      <w:pPr>
        <w:pStyle w:val="Compact"/>
        <w:numPr>
          <w:ilvl w:val="0"/>
          <w:numId w:val="1002"/>
        </w:numPr>
      </w:pPr>
      <w:r>
        <w:t xml:space="preserve">Develop strategies to address buffer pool contributions post-reversal, including reassessment of non-permanence risks in alignment with TREES Section 7.1.3.</w:t>
      </w:r>
    </w:p>
    <w:p>
      <w:pPr>
        <w:pStyle w:val="Compact"/>
        <w:numPr>
          <w:ilvl w:val="0"/>
          <w:numId w:val="1002"/>
        </w:numPr>
      </w:pPr>
      <w:r>
        <w:t xml:space="preserve">Provide technical advice on credit allocation strategies.</w:t>
      </w:r>
    </w:p>
    <w:p>
      <w:pPr>
        <w:pStyle w:val="Compact"/>
        <w:numPr>
          <w:ilvl w:val="0"/>
          <w:numId w:val="1002"/>
        </w:numPr>
      </w:pPr>
      <w:r>
        <w:t xml:space="preserve">Ensure transparent documentation of credit adjustments, with robust justifications, for inclusion in the next TREES Monitoring Report (TMR).</w:t>
      </w:r>
      <w:r>
        <w:t xml:space="preserve"> </w:t>
      </w:r>
      <w:r>
        <w:rPr>
          <w:b/>
          <w:bCs/>
          <w:strike/>
        </w:rPr>
        <w:t xml:space="preserve">(XXX)</w:t>
      </w:r>
    </w:p>
    <w:p>
      <w:pPr>
        <w:pStyle w:val="FirstParagraph"/>
      </w:pPr>
      <w:r>
        <w:rPr>
          <w:b/>
          <w:bCs/>
        </w:rPr>
        <w:t xml:space="preserve">Designs for Mitigating Risks of Future Reversals</w:t>
      </w:r>
    </w:p>
    <w:p>
      <w:pPr>
        <w:pStyle w:val="Compact"/>
        <w:numPr>
          <w:ilvl w:val="0"/>
          <w:numId w:val="1003"/>
        </w:numPr>
      </w:pPr>
      <w:r>
        <w:t xml:space="preserve">Conduct review of Ecuador’s National Forest Monitoring System (NFMS) and MRV processes to confirm alignment with TREES requirements, including components of:</w:t>
      </w:r>
    </w:p>
    <w:p>
      <w:pPr>
        <w:pStyle w:val="Compact"/>
        <w:numPr>
          <w:ilvl w:val="1"/>
          <w:numId w:val="1004"/>
        </w:numPr>
      </w:pPr>
      <w:r>
        <w:t xml:space="preserve">QA/QC protocols for Activity Data (AD) and Emission Factors (EF).</w:t>
      </w:r>
    </w:p>
    <w:p>
      <w:pPr>
        <w:pStyle w:val="Compact"/>
        <w:numPr>
          <w:ilvl w:val="1"/>
          <w:numId w:val="1004"/>
        </w:numPr>
      </w:pPr>
      <w:r>
        <w:t xml:space="preserve">Ensuring EF confidence intervals meet TREES standards.</w:t>
      </w:r>
      <w:r>
        <w:t xml:space="preserve"> </w:t>
      </w:r>
      <w:r>
        <w:rPr>
          <w:b/>
          <w:bCs/>
          <w:strike/>
        </w:rPr>
        <w:t xml:space="preserve">(XXX)</w:t>
      </w:r>
    </w:p>
    <w:p>
      <w:pPr>
        <w:pStyle w:val="Compact"/>
        <w:numPr>
          <w:ilvl w:val="0"/>
          <w:numId w:val="1003"/>
        </w:numPr>
      </w:pPr>
      <w:r>
        <w:t xml:space="preserve">Recommend remote sensing technologies and early-warning systems to detect deforestation.</w:t>
      </w:r>
    </w:p>
    <w:p>
      <w:pPr>
        <w:pStyle w:val="FirstParagraph"/>
      </w:pPr>
      <w:r>
        <w:rPr>
          <w:b/>
          <w:bCs/>
        </w:rPr>
        <w:t xml:space="preserve">Preparation for Upcoming Validation Audit</w:t>
      </w:r>
    </w:p>
    <w:p>
      <w:pPr>
        <w:pStyle w:val="Compact"/>
        <w:numPr>
          <w:ilvl w:val="0"/>
          <w:numId w:val="1005"/>
        </w:numPr>
      </w:pPr>
      <w:r>
        <w:t xml:space="preserve">Provide technical support to prepare for heightened scrutiny during future validation and verification audits, including recommendations for:</w:t>
      </w:r>
    </w:p>
    <w:p>
      <w:pPr>
        <w:pStyle w:val="Compact"/>
        <w:numPr>
          <w:ilvl w:val="1"/>
          <w:numId w:val="1006"/>
        </w:numPr>
      </w:pPr>
      <w:r>
        <w:t xml:space="preserve">Responding effectively to Validation and Verification Body (VVB) findings.</w:t>
      </w:r>
    </w:p>
    <w:p>
      <w:pPr>
        <w:pStyle w:val="Compact"/>
        <w:numPr>
          <w:ilvl w:val="1"/>
          <w:numId w:val="1006"/>
        </w:numPr>
      </w:pPr>
      <w:r>
        <w:t xml:space="preserve">Ensuring consistency and compliance across reporting periods and submissions.</w:t>
      </w:r>
    </w:p>
    <w:p>
      <w:pPr>
        <w:pStyle w:val="TableCaption"/>
      </w:pPr>
      <w:r>
        <w:t xml:space="preserve">Table 1: Project documents reviewed in the scope of this report.</w:t>
      </w:r>
    </w:p>
    <w:tbl>
      <w:tblPr>
        <w:tblStyle w:val="Table"/>
        <w:tblW w:type="pct" w:w="5000"/>
        <w:tblLayout w:type="fixed"/>
        <w:tblLook w:firstRow="1" w:lastRow="0" w:firstColumn="0" w:lastColumn="0" w:noHBand="0" w:noVBand="0" w:val="0020"/>
        <w:tblCaption w:val="Table 1: Project documents reviewed in the scope of this report."/>
      </w:tblPr>
      <w:tblGrid>
        <w:gridCol w:w="3300"/>
        <w:gridCol w:w="4620"/>
      </w:tblGrid>
      <w:tr>
        <w:trPr>
          <w:tblHeader w:val="on"/>
        </w:trPr>
        <w:tc>
          <w:tcPr/>
          <w:p>
            <w:pPr>
              <w:pStyle w:val="Compact"/>
            </w:pPr>
            <w:r>
              <w:rPr>
                <w:b/>
                <w:bCs/>
              </w:rPr>
              <w:t xml:space="preserve">Key Information</w:t>
            </w:r>
          </w:p>
        </w:tc>
        <w:tc>
          <w:tcPr/>
          <w:p>
            <w:pPr>
              <w:pStyle w:val="Compact"/>
            </w:pPr>
            <w:r>
              <w:rPr>
                <w:b/>
                <w:bCs/>
              </w:rPr>
              <w:t xml:space="preserve">Details</w:t>
            </w:r>
          </w:p>
        </w:tc>
      </w:tr>
      <w:tr>
        <w:tc>
          <w:tcPr/>
          <w:p>
            <w:pPr>
              <w:pStyle w:val="Compact"/>
            </w:pPr>
            <w:r>
              <w:t xml:space="preserve">Program Name</w:t>
            </w:r>
          </w:p>
        </w:tc>
        <w:tc>
          <w:tcPr/>
          <w:p>
            <w:pPr>
              <w:pStyle w:val="Compact"/>
            </w:pPr>
            <w:r>
              <w:t xml:space="preserve">Ecuador’s REDD+ Program under the Architecture for REDD+ Transactions (ART) TREES Standard</w:t>
            </w:r>
          </w:p>
        </w:tc>
      </w:tr>
      <w:tr>
        <w:tc>
          <w:tcPr/>
          <w:p>
            <w:pPr>
              <w:pStyle w:val="Compact"/>
            </w:pPr>
            <w:r>
              <w:t xml:space="preserve">Crediting Period</w:t>
            </w:r>
          </w:p>
        </w:tc>
        <w:tc>
          <w:tcPr/>
          <w:p>
            <w:pPr>
              <w:pStyle w:val="Compact"/>
            </w:pPr>
            <w:r>
              <w:t xml:space="preserve">January 1, 2017 to December 31, 2021</w:t>
            </w:r>
          </w:p>
        </w:tc>
      </w:tr>
      <w:tr>
        <w:tc>
          <w:tcPr/>
          <w:p>
            <w:pPr>
              <w:pStyle w:val="Compact"/>
            </w:pPr>
            <w:r>
              <w:t xml:space="preserve">Reference Period</w:t>
            </w:r>
          </w:p>
        </w:tc>
        <w:tc>
          <w:tcPr/>
          <w:p>
            <w:pPr>
              <w:pStyle w:val="Compact"/>
            </w:pPr>
            <w:r>
              <w:t xml:space="preserve">January 1, 2012 to December 31, 2016</w:t>
            </w:r>
          </w:p>
        </w:tc>
      </w:tr>
      <w:tr>
        <w:tc>
          <w:tcPr/>
          <w:p>
            <w:pPr>
              <w:pStyle w:val="Compact"/>
            </w:pPr>
            <w:r>
              <w:t xml:space="preserve">Lead Participant</w:t>
            </w:r>
          </w:p>
        </w:tc>
        <w:tc>
          <w:tcPr/>
          <w:p>
            <w:pPr>
              <w:pStyle w:val="Compact"/>
            </w:pPr>
            <w:r>
              <w:t xml:space="preserve">National Government of Ecuador; Ministry of Environment, Water, and Ecological Transition (MAATE)</w:t>
            </w:r>
          </w:p>
        </w:tc>
      </w:tr>
      <w:tr>
        <w:tc>
          <w:tcPr/>
          <w:p>
            <w:pPr>
              <w:pStyle w:val="Compact"/>
            </w:pPr>
            <w:r>
              <w:t xml:space="preserve">Project Partners</w:t>
            </w:r>
          </w:p>
        </w:tc>
        <w:tc>
          <w:tcPr/>
          <w:p>
            <w:pPr>
              <w:pStyle w:val="Compact"/>
            </w:pPr>
            <w:r>
              <w:t xml:space="preserve">Ministry of Agriculture and Livestock, EUROCLIMA+, Environmental Defense Fund (EDF)</w:t>
            </w:r>
          </w:p>
        </w:tc>
      </w:tr>
      <w:tr>
        <w:tc>
          <w:tcPr/>
          <w:p>
            <w:pPr>
              <w:pStyle w:val="Compact"/>
            </w:pPr>
            <w:r>
              <w:t xml:space="preserve">Key References</w:t>
            </w:r>
          </w:p>
        </w:tc>
        <w:tc>
          <w:tcPr/>
          <w:p>
            <w:pPr>
              <w:pStyle w:val="Compact"/>
            </w:pPr>
          </w:p>
        </w:tc>
      </w:tr>
      <w:tr>
        <w:tc>
          <w:tcPr/>
          <w:p>
            <w:pPr>
              <w:pStyle w:val="Compact"/>
            </w:pPr>
            <w:r>
              <w:rPr>
                <w:b/>
                <w:bCs/>
              </w:rPr>
              <w:t xml:space="preserve">Title</w:t>
            </w:r>
          </w:p>
        </w:tc>
        <w:tc>
          <w:tcPr/>
          <w:p>
            <w:pPr>
              <w:pStyle w:val="Compact"/>
            </w:pPr>
            <w:r>
              <w:rPr>
                <w:b/>
                <w:bCs/>
              </w:rPr>
              <w:t xml:space="preserve">Filename</w:t>
            </w:r>
          </w:p>
        </w:tc>
      </w:tr>
      <w:tr>
        <w:tc>
          <w:tcPr/>
          <w:p>
            <w:pPr>
              <w:pStyle w:val="Compact"/>
            </w:pPr>
            <w:r>
              <w:t xml:space="preserve">TREES Standard, V2.0</w:t>
            </w:r>
          </w:p>
        </w:tc>
        <w:tc>
          <w:tcPr/>
          <w:p>
            <w:pPr>
              <w:pStyle w:val="Compact"/>
            </w:pPr>
            <w:r>
              <w:t xml:space="preserve">TREES-2.0-August-2021-Clean.pdf</w:t>
            </w:r>
          </w:p>
        </w:tc>
      </w:tr>
      <w:tr>
        <w:tc>
          <w:tcPr/>
          <w:p>
            <w:pPr>
              <w:pStyle w:val="Compact"/>
            </w:pPr>
            <w:r>
              <w:t xml:space="preserve">(TMR) Ecuador TREES Monitoring Report, July 2024</w:t>
            </w:r>
          </w:p>
        </w:tc>
        <w:tc>
          <w:tcPr/>
          <w:p>
            <w:pPr>
              <w:pStyle w:val="Compact"/>
            </w:pPr>
            <w:r>
              <w:t xml:space="preserve">Ecuador_TREES-Monitoring-Report-FINAL-Julio 2024_english.pdf</w:t>
            </w:r>
          </w:p>
        </w:tc>
      </w:tr>
      <w:tr>
        <w:tc>
          <w:tcPr/>
          <w:p>
            <w:pPr>
              <w:pStyle w:val="Compact"/>
            </w:pPr>
            <w:r>
              <w:t xml:space="preserve">(TRD) Ecuador TREES Registration Document, July 2024</w:t>
            </w:r>
          </w:p>
        </w:tc>
        <w:tc>
          <w:tcPr/>
          <w:p>
            <w:pPr>
              <w:pStyle w:val="Compact"/>
            </w:pPr>
            <w:r>
              <w:t xml:space="preserve">Ecuador_TREES-Registration-Document-FINAL-Julio 2024_english.pdf</w:t>
            </w:r>
          </w:p>
        </w:tc>
      </w:tr>
      <w:tr>
        <w:tc>
          <w:tcPr/>
          <w:p>
            <w:pPr>
              <w:pStyle w:val="Compact"/>
            </w:pPr>
            <w:r>
              <w:t xml:space="preserve">UK Technical Assistance Program for LEAF: TA Programme for Ecuador</w:t>
            </w:r>
          </w:p>
        </w:tc>
        <w:tc>
          <w:tcPr/>
          <w:p>
            <w:pPr>
              <w:pStyle w:val="Compact"/>
            </w:pPr>
            <w:r>
              <w:t xml:space="preserve">6.Ecuador_MRV_ToR.docx</w:t>
            </w:r>
          </w:p>
        </w:tc>
      </w:tr>
    </w:tbl>
    <w:bookmarkEnd w:id="21"/>
    <w:bookmarkStart w:id="37" w:name="findings"/>
    <w:p>
      <w:pPr>
        <w:pStyle w:val="Heading2"/>
      </w:pPr>
      <w:r>
        <w:t xml:space="preserve">3</w:t>
      </w:r>
      <w:r>
        <w:t xml:space="preserve"> </w:t>
      </w:r>
      <w:r>
        <w:rPr>
          <w:b/>
          <w:bCs/>
        </w:rPr>
        <w:t xml:space="preserve">Findings</w:t>
      </w:r>
    </w:p>
    <w:bookmarkStart w:id="22" w:name="analysis-of-the-2020-reversal"/>
    <w:p>
      <w:pPr>
        <w:pStyle w:val="Heading3"/>
      </w:pPr>
      <w:r>
        <w:t xml:space="preserve">3.1 Analysis of the 2020 Reversal</w:t>
      </w:r>
    </w:p>
    <w:p>
      <w:pPr>
        <w:pStyle w:val="FirstParagraph"/>
      </w:pPr>
      <w:r>
        <w:t xml:space="preserve">Under TREES Section 7.1, reversals occur when annual emissions exceed the established baseline average during the crediting period, requiring compensation through credit deductions from the same period. In addition, as per ART guidance, quantification of emission reversals must be calulcated annually and cannot be aggreated across years</w:t>
      </w:r>
      <w:r>
        <w:t xml:space="preserve"> </w:t>
      </w:r>
      <w:r>
        <w:t xml:space="preserve">(ART 2024)</w:t>
      </w:r>
      <w:r>
        <w:t xml:space="preserve">.</w:t>
      </w:r>
    </w:p>
    <w:p>
      <w:pPr>
        <w:pStyle w:val="BodyText"/>
      </w:pPr>
      <w:r>
        <w:t xml:space="preserve">In 2020, Ecuador’s reported emissions (81,756,832.52 tCO₂-e) exceeded the baseline emissions (69,394,984.52 tCO₂-e) by 12,361,848 tCO₂-e, constituting a significant reversal​​.</w:t>
      </w:r>
    </w:p>
    <w:p>
      <w:pPr>
        <w:pStyle w:val="BodyText"/>
      </w:pPr>
      <m:oMathPara>
        <m:oMathParaPr>
          <m:jc m:val="center"/>
        </m:oMathParaPr>
        <m:oMath>
          <m:m>
            <m:mPr>
              <m:baseJc m:val="center"/>
              <m:plcHide m:val="on"/>
              <m:mcs>
                <m:mc>
                  <m:mcPr>
                    <m:mcJc m:val="center"/>
                    <m:count m:val="1"/>
                  </m:mcPr>
                </m:mc>
              </m:mcs>
            </m:mPr>
            <m:mr>
              <m:e>
                <m:r>
                  <m:rPr>
                    <m:nor/>
                    <m:sty m:val="p"/>
                  </m:rPr>
                  <m:t>Reversal Loss</m:t>
                </m:r>
                <m:r>
                  <m:rPr>
                    <m:sty m:val="p"/>
                  </m:rPr>
                  <m:t>=</m:t>
                </m:r>
                <m:r>
                  <m:rPr>
                    <m:nor/>
                    <m:sty m:val="p"/>
                  </m:rPr>
                  <m:t>2020 Emissions</m:t>
                </m:r>
                <m:r>
                  <m:rPr>
                    <m:sty m:val="p"/>
                  </m:rPr>
                  <m:t>−</m:t>
                </m:r>
                <m:r>
                  <m:rPr>
                    <m:nor/>
                    <m:sty m:val="p"/>
                  </m:rPr>
                  <m:t>Baseline Annual Emissions</m:t>
                </m:r>
              </m:e>
            </m:mr>
            <m:mr>
              <m:e>
                <m:r>
                  <m:rPr>
                    <m:nor/>
                    <m:sty m:val="p"/>
                  </m:rPr>
                  <m:t>Reversal Loss</m:t>
                </m:r>
                <m:r>
                  <m:rPr>
                    <m:sty m:val="p"/>
                  </m:rPr>
                  <m:t>=</m:t>
                </m:r>
                <m:r>
                  <m:t>81</m:t>
                </m:r>
                <m:r>
                  <m:rPr>
                    <m:sty m:val="p"/>
                  </m:rPr>
                  <m:t>,</m:t>
                </m:r>
                <m:r>
                  <m:t>756</m:t>
                </m:r>
                <m:r>
                  <m:rPr>
                    <m:sty m:val="p"/>
                  </m:rPr>
                  <m:t>,</m:t>
                </m:r>
                <m:r>
                  <m:t>832.52</m:t>
                </m:r>
                <m:r>
                  <m:rPr>
                    <m:sty m:val="p"/>
                  </m:rPr>
                  <m:t>−</m:t>
                </m:r>
                <m:r>
                  <m:t>69</m:t>
                </m:r>
                <m:r>
                  <m:rPr>
                    <m:sty m:val="p"/>
                  </m:rPr>
                  <m:t>,</m:t>
                </m:r>
                <m:r>
                  <m:t>394</m:t>
                </m:r>
                <m:r>
                  <m:rPr>
                    <m:sty m:val="p"/>
                  </m:rPr>
                  <m:t>,</m:t>
                </m:r>
                <m:r>
                  <m:t>984.52</m:t>
                </m:r>
                <m:r>
                  <m:rPr>
                    <m:sty m:val="p"/>
                  </m:rPr>
                  <m:t>=</m:t>
                </m:r>
                <m:r>
                  <m:t>12</m:t>
                </m:r>
                <m:r>
                  <m:rPr>
                    <m:sty m:val="p"/>
                  </m:rPr>
                  <m:t>,</m:t>
                </m:r>
                <m:r>
                  <m:t>361</m:t>
                </m:r>
                <m:r>
                  <m:rPr>
                    <m:sty m:val="p"/>
                  </m:rPr>
                  <m:t>,</m:t>
                </m:r>
                <m:r>
                  <m:t>848</m:t>
                </m:r>
                <m:r>
                  <m:rPr>
                    <m:nor/>
                    <m:sty m:val="p"/>
                  </m:rPr>
                  <m:t> </m:t>
                </m:r>
                <m:r>
                  <m:t>t</m:t>
                </m:r>
                <m:sSubSup>
                  <m:e>
                    <m:r>
                      <m:rPr>
                        <m:sty m:val="p"/>
                      </m:rPr>
                      <m:t>C</m:t>
                    </m:r>
                    <m:r>
                      <m:rPr>
                        <m:sty m:val="p"/>
                      </m:rPr>
                      <m:t>O</m:t>
                    </m:r>
                  </m:e>
                  <m:sub>
                    <m:r>
                      <m:t>2</m:t>
                    </m:r>
                  </m:sub>
                  <m:sup>
                    <m:r>
                      <m:t>e</m:t>
                    </m:r>
                  </m:sup>
                </m:sSubSup>
              </m:e>
            </m:mr>
          </m:m>
        </m:oMath>
      </m:oMathPara>
    </w:p>
    <w:p>
      <w:pPr>
        <w:pStyle w:val="FirstParagraph"/>
      </w:pPr>
      <w:r>
        <w:t xml:space="preserve">This reversal necessitates compensatory and monitoring actions to ensure compliance with TREES requirements in upcoming validation audits. This includes mandatory credit deductions and adjustments to buffer pool contributions discussed below.</w:t>
      </w:r>
    </w:p>
    <w:bookmarkEnd w:id="22"/>
    <w:bookmarkStart w:id="23" w:name="guidance-on-buffer-pool-adjustments"/>
    <w:p>
      <w:pPr>
        <w:pStyle w:val="Heading3"/>
      </w:pPr>
      <w:r>
        <w:t xml:space="preserve">3.2 Guidance on Buffer Pool Adjustments</w:t>
      </w:r>
    </w:p>
    <w:p>
      <w:pPr>
        <w:pStyle w:val="FirstParagraph"/>
      </w:pPr>
      <w:r>
        <w:t xml:space="preserve">Under Sections 3.3 and 3.11 of the Validation and Verification Standard</w:t>
      </w:r>
      <w:r>
        <w:t xml:space="preserve"> </w:t>
      </w:r>
      <w:r>
        <w:t xml:space="preserve">(ART 2020)</w:t>
      </w:r>
      <w:r>
        <w:t xml:space="preserve">, auditors are required to evaluate calculations related to buffer pool contribution adjustments in response to a reversal. Any identified reversals must also be accurately reflected in emissions reduction calculations, with appropriate adjustments carried over to subsequent reporting periods until all issues are fully resolved.</w:t>
      </w:r>
    </w:p>
    <w:p>
      <w:pPr>
        <w:pStyle w:val="BodyText"/>
      </w:pPr>
      <w:r>
        <w:t xml:space="preserve">The TREES Standards V2.0 establish a baseline buffer pool contribution rate of 25% for credits issued in jurisdictional projects. This fixed rate serves as a safeguard against non-permanence risks, ensuring the durability of emission reductions. However, this rate can be adjusted to account for specific circumstances, such as mandatory increases following reversals or reductions based on demonstrated mitigating factors. These adjustments must align with the jurisdiction’s risk profile and adhere to the requirements outlined in the TREES Standards.</w:t>
      </w:r>
    </w:p>
    <w:p>
      <w:pPr>
        <w:pStyle w:val="BodyText"/>
      </w:pPr>
      <w:r>
        <w:rPr>
          <w:b/>
          <w:bCs/>
        </w:rPr>
        <w:t xml:space="preserve">Mandatory Increase in Buffer Pool Contribution:</w:t>
      </w:r>
      <w:r>
        <w:br/>
      </w:r>
      <w:r>
        <w:t xml:space="preserve">To address the 2020 reversal in Ecuador, the following actions are necessary:</w:t>
      </w:r>
    </w:p>
    <w:p>
      <w:pPr>
        <w:pStyle w:val="Compact"/>
        <w:numPr>
          <w:ilvl w:val="0"/>
          <w:numId w:val="1007"/>
        </w:numPr>
      </w:pPr>
      <w:r>
        <w:rPr>
          <w:b/>
          <w:bCs/>
        </w:rPr>
        <w:t xml:space="preserve">Baseline Contributions Pre-Reversal (2017–2019):</w:t>
      </w:r>
      <w:r>
        <w:t xml:space="preserve"> </w:t>
      </w:r>
      <w:r>
        <w:t xml:space="preserve">Contributions must be maintained at the 25% baseline, as mitigating factors cannot be applied retroactively when a known reversal has occurred.</w:t>
      </w:r>
    </w:p>
    <w:p>
      <w:pPr>
        <w:pStyle w:val="Compact"/>
        <w:numPr>
          <w:ilvl w:val="0"/>
          <w:numId w:val="1007"/>
        </w:numPr>
      </w:pPr>
      <w:r>
        <w:rPr>
          <w:b/>
          <w:bCs/>
        </w:rPr>
        <w:t xml:space="preserve">Post-Reversal Contributions (2021–2025):</w:t>
      </w:r>
      <w:r>
        <w:t xml:space="preserve"> </w:t>
      </w:r>
      <w:r>
        <w:t xml:space="preserve">Following the 2020 reversal, a mandatory 5% increase applies for five years, resulting in a total buffer pool contribution rate of 30% during this period. Mitigating factors cannot be applied in the five years post-reversal, allowing time for substantive changes to be documented and verified as successful.</w:t>
      </w:r>
    </w:p>
    <w:p>
      <w:pPr>
        <w:pStyle w:val="Compact"/>
        <w:numPr>
          <w:ilvl w:val="0"/>
          <w:numId w:val="1007"/>
        </w:numPr>
      </w:pPr>
      <w:r>
        <w:rPr>
          <w:b/>
          <w:bCs/>
        </w:rPr>
        <w:t xml:space="preserve">Deficit Management:</w:t>
      </w:r>
      <w:r>
        <w:t xml:space="preserve"> </w:t>
      </w:r>
      <w:r>
        <w:t xml:space="preserve">If credits retired to compensate for the 2020 reversal exceed cumulative buffer contributions, the shortfall must be resolved by:</w:t>
      </w:r>
    </w:p>
    <w:p>
      <w:pPr>
        <w:pStyle w:val="Compact"/>
        <w:numPr>
          <w:ilvl w:val="1"/>
          <w:numId w:val="1008"/>
        </w:numPr>
      </w:pPr>
      <w:r>
        <w:t xml:space="preserve">Allocating future credits to the buffer pool until the deficit is replenished.</w:t>
      </w:r>
    </w:p>
    <w:p>
      <w:pPr>
        <w:pStyle w:val="Compact"/>
        <w:numPr>
          <w:ilvl w:val="1"/>
          <w:numId w:val="1008"/>
        </w:numPr>
      </w:pPr>
      <w:r>
        <w:t xml:space="preserve">Ensuring transparent documentation in subsequent TREES Monitoring Reports to demonstrate compliance with Section 7.1.3.</w:t>
      </w:r>
    </w:p>
    <w:p>
      <w:pPr>
        <w:pStyle w:val="Compact"/>
        <w:numPr>
          <w:ilvl w:val="0"/>
          <w:numId w:val="1007"/>
        </w:numPr>
      </w:pPr>
      <w:r>
        <w:rPr>
          <w:b/>
          <w:bCs/>
        </w:rPr>
        <w:t xml:space="preserve">Addressing Deficits in Buffer Contributions:</w:t>
      </w:r>
      <w:r>
        <w:t xml:space="preserve"> </w:t>
      </w:r>
      <w:r>
        <w:t xml:space="preserve">If the credits retired to compensate for the 2020 reversal exceed Ecuador’s cumulative buffer contributions, this deficit must be replenished. This can be achieved by:</w:t>
      </w:r>
    </w:p>
    <w:p>
      <w:pPr>
        <w:numPr>
          <w:ilvl w:val="1"/>
          <w:numId w:val="1009"/>
        </w:numPr>
      </w:pPr>
      <w:r>
        <w:t xml:space="preserve">Allocating future credits to the buffer pool until the deficit is resolved.</w:t>
      </w:r>
    </w:p>
    <w:p>
      <w:pPr>
        <w:numPr>
          <w:ilvl w:val="1"/>
          <w:numId w:val="1009"/>
        </w:numPr>
      </w:pPr>
      <w:r>
        <w:t xml:space="preserve">Ensuring transparent documentation in the next TREES Monitoring Report to demonstrate compliance with Section 7.1.3.</w:t>
      </w:r>
    </w:p>
    <w:p>
      <w:pPr>
        <w:pStyle w:val="FirstParagraph"/>
      </w:pPr>
      <w:r>
        <w:rPr>
          <w:b/>
          <w:bCs/>
        </w:rPr>
        <w:t xml:space="preserve">Mitigating Factors for Buffer Rate Adjustment</w:t>
      </w:r>
      <w:r>
        <w:br/>
      </w:r>
      <w:r>
        <w:t xml:space="preserve">While mitigating factors cannot be applied for periods pre-2020 or post-reversal (2021–2025), they remain relevant for future periods when sufficient time has elapsed, and changes are verified. Mitigating actions that could qualify include:</w:t>
      </w:r>
    </w:p>
    <w:p>
      <w:pPr>
        <w:pStyle w:val="Compact"/>
        <w:numPr>
          <w:ilvl w:val="0"/>
          <w:numId w:val="1010"/>
        </w:numPr>
      </w:pPr>
      <w:r>
        <w:t xml:space="preserve">National Forest Monitoring System (NFMS): Tracks emissions, monitors leakage, and supports data-driven mitigation strategies.</w:t>
      </w:r>
    </w:p>
    <w:p>
      <w:pPr>
        <w:pStyle w:val="Compact"/>
        <w:numPr>
          <w:ilvl w:val="0"/>
          <w:numId w:val="1010"/>
        </w:numPr>
      </w:pPr>
      <w:r>
        <w:t xml:space="preserve">Criminal Code Enforcement: Provisions to address environmental crimes such as land invasion and illegal logging.</w:t>
      </w:r>
    </w:p>
    <w:p>
      <w:pPr>
        <w:pStyle w:val="Compact"/>
        <w:numPr>
          <w:ilvl w:val="0"/>
          <w:numId w:val="1010"/>
        </w:numPr>
      </w:pPr>
      <w:r>
        <w:t xml:space="preserve">Results-Based Payment Initiatives: Programs like the REM Ecuador initiative and GCF-supported activities promote sustainable land use and reversal risk mitigation.</w:t>
      </w:r>
    </w:p>
    <w:p>
      <w:pPr>
        <w:pStyle w:val="Compact"/>
        <w:numPr>
          <w:ilvl w:val="0"/>
          <w:numId w:val="1010"/>
        </w:numPr>
      </w:pPr>
      <w:r>
        <w:t xml:space="preserve">Financial and Institutional Capacity Building: Measures like the Environmental and Social Risk Analysis System (SARAS) integrate reversal mitigation into financial strategies and support sustainable land use practices.</w:t>
      </w:r>
    </w:p>
    <w:p>
      <w:pPr>
        <w:pStyle w:val="FirstParagraph"/>
      </w:pPr>
      <w:r>
        <w:t xml:space="preserve">Additionally, Ecuador’s climate and forest policies, including the First Nationally Determined Contribution (2020–2025), National Climate Change Strategy (2012–2025), and REDD+ Action Plan (2016–2025), further support mitigation efforts. These may qualify Ecuador for a buffer contribution reduction from 25% to 20% in future periods if documented and verified under TREES Section 7.1.1.</w:t>
      </w:r>
    </w:p>
    <w:bookmarkEnd w:id="23"/>
    <w:bookmarkStart w:id="24" w:name="guidance-on-credit-allocation"/>
    <w:p>
      <w:pPr>
        <w:pStyle w:val="Heading3"/>
      </w:pPr>
      <w:r>
        <w:t xml:space="preserve">3.3 Guidance on Credit Allocation</w:t>
      </w:r>
    </w:p>
    <w:p>
      <w:pPr>
        <w:pStyle w:val="FirstParagraph"/>
      </w:pPr>
      <w:r>
        <w:t xml:space="preserve">To minimize the financial impact of the 2020 reversal and maximize the value of Ecuador’s remaining credits, the following strategies are recommended:</w:t>
      </w:r>
    </w:p>
    <w:p>
      <w:pPr>
        <w:pStyle w:val="BodyText"/>
      </w:pPr>
      <w:r>
        <w:rPr>
          <w:b/>
          <w:bCs/>
        </w:rPr>
        <w:t xml:space="preserve">Prioritize Older, Lower-Value Vintages for Reversal Compensation:</w:t>
      </w:r>
      <w:r>
        <w:br/>
      </w:r>
      <w:r>
        <w:t xml:space="preserve">Use credits issued in 2017 and 2018 to offset the reversal. These older vintages typically hold lower market value due to depreciation over time and are ideal for compliance purposes.</w:t>
      </w:r>
    </w:p>
    <w:p>
      <w:pPr>
        <w:pStyle w:val="BodyText"/>
      </w:pPr>
      <w:r>
        <w:rPr>
          <w:b/>
          <w:bCs/>
        </w:rPr>
        <w:t xml:space="preserve">Preserve Recent, Higher-Value Credits for Future Transactions:</w:t>
      </w:r>
      <w:r>
        <w:br/>
      </w:r>
      <w:r>
        <w:t xml:space="preserve">Retain credits from 2019 and 2021, which are likely to command higher prices in voluntary and compliance carbon markets. This approach maximizes revenue potential and ensures flexibility in managing carbon assets.</w:t>
      </w:r>
    </w:p>
    <w:p>
      <w:pPr>
        <w:pStyle w:val="BodyText"/>
      </w:pPr>
      <w:r>
        <w:rPr>
          <w:b/>
          <w:bCs/>
        </w:rPr>
        <w:t xml:space="preserve">Ensure Transparent Documentation:</w:t>
      </w:r>
      <w:r>
        <w:br/>
      </w:r>
      <w:r>
        <w:t xml:space="preserve">Provide clear and detailed records of all credit adjustments in the next TREES Monitoring Report, including:</w:t>
      </w:r>
    </w:p>
    <w:p>
      <w:pPr>
        <w:pStyle w:val="Compact"/>
        <w:numPr>
          <w:ilvl w:val="0"/>
          <w:numId w:val="1011"/>
        </w:numPr>
      </w:pPr>
      <w:r>
        <w:t xml:space="preserve">The volume of credits retired and the vintages used.</w:t>
      </w:r>
    </w:p>
    <w:p>
      <w:pPr>
        <w:pStyle w:val="Compact"/>
        <w:numPr>
          <w:ilvl w:val="0"/>
          <w:numId w:val="1011"/>
        </w:numPr>
      </w:pPr>
      <w:r>
        <w:t xml:space="preserve">Justifications for the prioritization of certain vintages.</w:t>
      </w:r>
    </w:p>
    <w:p>
      <w:pPr>
        <w:pStyle w:val="Compact"/>
        <w:numPr>
          <w:ilvl w:val="0"/>
          <w:numId w:val="1011"/>
        </w:numPr>
      </w:pPr>
      <w:r>
        <w:t xml:space="preserve">Evidence of buffer pool replenishment, if applicable.</w:t>
      </w:r>
    </w:p>
    <w:p>
      <w:pPr>
        <w:pStyle w:val="FirstParagraph"/>
      </w:pPr>
      <w:r>
        <w:t xml:space="preserve">The SIGMA platform should be leveraged to provide transparent documentation of credit adjustments, including prioritization of vintages and buffer replenishment. Future TREES Monitoring Reports must include detailed records from SIGMA to ensure compliance with Section 7.1.3 and demonstrate traceable credit allocation strategies.</w:t>
      </w:r>
    </w:p>
    <w:bookmarkEnd w:id="24"/>
    <w:bookmarkStart w:id="25" w:name="Xc783b6233faf06c3b7db0fc54d40bd1b3c42915"/>
    <w:p>
      <w:pPr>
        <w:pStyle w:val="Heading3"/>
      </w:pPr>
      <w:r>
        <w:t xml:space="preserve">3.4 Designs for Mitigating Risk of Future Reversals</w:t>
      </w:r>
    </w:p>
    <w:p>
      <w:pPr>
        <w:pStyle w:val="FirstParagraph"/>
      </w:pPr>
      <w:r>
        <w:t xml:space="preserve">As referenced in the TMR and TRD, key drivers of deforestation in the country include the following:</w:t>
      </w:r>
    </w:p>
    <w:p>
      <w:pPr>
        <w:numPr>
          <w:ilvl w:val="0"/>
          <w:numId w:val="1012"/>
        </w:numPr>
      </w:pPr>
      <w:r>
        <w:t xml:space="preserve">Agricultural expansion: Expansion of agricultural land in small-scale properties (10 - 100ha, ) occuring from increased slash-and-burn practices and conversion to pasture, banana and African palm production. This is particularly noted in the Coastal Region where tradition of similar land-use decisions have contributed to deforestation, and increasingly in Amazonian Region (TMR, p.14; TRD p.17, p.76; Sierra et al 2021: 11)</w:t>
      </w:r>
    </w:p>
    <w:p>
      <w:pPr>
        <w:numPr>
          <w:ilvl w:val="0"/>
          <w:numId w:val="1012"/>
        </w:numPr>
      </w:pPr>
      <w:r>
        <w:t xml:space="preserve">Forest management: Selective logging and resource extraction for fuelwood and timber contributing to deforestation in the Andean region</w:t>
      </w:r>
      <w:r>
        <w:t xml:space="preserve"> </w:t>
      </w:r>
      <w:r>
        <w:t xml:space="preserve">(Sierra, Calva, and Guevara 2021)</w:t>
      </w:r>
      <w:r>
        <w:t xml:space="preserve">.</w:t>
      </w:r>
    </w:p>
    <w:p>
      <w:pPr>
        <w:numPr>
          <w:ilvl w:val="0"/>
          <w:numId w:val="1012"/>
        </w:numPr>
      </w:pPr>
      <w:r>
        <w:t xml:space="preserve">Population pressures: Urban to rural migration has exacerbated land-use change in Andean forests.</w:t>
      </w:r>
    </w:p>
    <w:p>
      <w:pPr>
        <w:numPr>
          <w:ilvl w:val="0"/>
          <w:numId w:val="1012"/>
        </w:numPr>
      </w:pPr>
      <w:r>
        <w:t xml:space="preserve">Limited Enforcement: Conservation and forest management policies were less enforceable during external shocks, particularly due to the COVID-19 pandemic.</w:t>
      </w:r>
    </w:p>
    <w:p>
      <w:pPr>
        <w:pStyle w:val="FirstParagraph"/>
      </w:pPr>
      <w:r>
        <w:t xml:space="preserve">Future auditors will likely assess the effectiveness of the project’s monitoring plan to detect deforestation caused by these specific activities and to inform more targeted enforcement activities. This will include review of the National Forest Monitoring System (NFMS), which is reportedly instrumental in tracking reversal risks. As per requirements in Section 4.1 of the TREES Standards V2.0, auditors may request confirmation of accuracy estimates and sample distribution in each land cover class. Reccomendations are proposed in the following section to augment current methodological reporting (</w:t>
      </w:r>
      <w:hyperlink w:anchor="sec-3_5">
        <w:r>
          <w:rPr>
            <w:rStyle w:val="Hyperlink"/>
          </w:rPr>
          <w:t xml:space="preserve">Section 3.5</w:t>
        </w:r>
      </w:hyperlink>
      <w:r>
        <w:t xml:space="preserve">).</w:t>
      </w:r>
    </w:p>
    <w:p>
      <w:pPr>
        <w:pStyle w:val="BodyText"/>
      </w:pPr>
      <w:r>
        <w:t xml:space="preserve">During subsequent validation, verifiers will likely examine the project’s proposed interventions to address land tenure and territorial pressures, as reported in the TRD regarding Cancun Safeguard B (p.38), and Cancun Safdeguard D (p.61). It may be necessary to verify that reported measures, such as SIGTIERRAS, effectively support the permanence of emission reductions by mitigating and recording tenure-related conflicts.</w:t>
      </w:r>
    </w:p>
    <w:bookmarkEnd w:id="25"/>
    <w:bookmarkStart w:id="36" w:name="sec-3_5"/>
    <w:p>
      <w:pPr>
        <w:pStyle w:val="Heading3"/>
      </w:pPr>
      <w:r>
        <w:t xml:space="preserve">3.5 Preparation for Validation Audit</w:t>
      </w:r>
    </w:p>
    <w:p>
      <w:pPr>
        <w:pStyle w:val="FirstParagraph"/>
      </w:pPr>
      <w:r>
        <w:t xml:space="preserve">Monitoring Plan:</w:t>
      </w:r>
      <w:r>
        <w:br/>
      </w:r>
      <w:r>
        <w:t xml:space="preserve">According to Section 6.1 of the TREES Standards V2.0, participants must deliver a monitoring plan that documents the parameters monitored, the frequency and methods of data collection and quality control checks implemented, and the responsible parties maintaining these systems. On page 68 of the TMR, a link is provided to the project’s EarthEngine runtime.</w:t>
      </w:r>
      <w:r>
        <w:rPr>
          <w:rStyle w:val="FootnoteReference"/>
        </w:rPr>
        <w:footnoteReference w:id="26"/>
      </w:r>
      <w:r>
        <w:t xml:space="preserve"> </w:t>
      </w:r>
      <w:r>
        <w:t xml:space="preserve">However, the repository shows to be currently empty or access has been restricted. This will likely trigger auditor findings of major non-conformance.</w:t>
      </w:r>
    </w:p>
    <w:p>
      <w:pPr>
        <w:pStyle w:val="BodyText"/>
      </w:pPr>
      <w:r>
        <w:t xml:space="preserve">As per Section 4.1.1 of the TREES Standards, further information may be requested regarding accuracy estimates and distribution of training samples used in land cover classifications. Adding to current section on land cover classification methods in the TMR (p.68), it is recommended to include confusion matrix results for the</w:t>
      </w:r>
      <w:r>
        <w:t xml:space="preserve"> </w:t>
      </w:r>
      <w:r>
        <w:t xml:space="preserve">“natural forest”</w:t>
      </w:r>
      <w:r>
        <w:t xml:space="preserve"> </w:t>
      </w:r>
      <w:r>
        <w:t xml:space="preserve">classification along with aerial imagery of transitional zones between areas of forest and expanding cropland and selective logging. In addition, verifiers may examine where sample distribution is disproportional to strata areas (TMR Table 20 &amp; 22, p.113).</w:t>
      </w:r>
    </w:p>
    <w:p>
      <w:pPr>
        <w:pStyle w:val="BodyText"/>
      </w:pPr>
      <w:r>
        <w:t xml:space="preserve">QA/QC Protocols:</w:t>
      </w:r>
      <w:r>
        <w:br/>
      </w:r>
      <w:r>
        <w:t xml:space="preserve">Section 4.1 requires jurisdictions to apply IPCC Tier 2 or Tier 3 approaches for AD and EF, ensuring accurate and transparent emissions reporting.</w:t>
      </w:r>
    </w:p>
    <w:p>
      <w:pPr>
        <w:pStyle w:val="BodyText"/>
      </w:pPr>
      <w:r>
        <w:t xml:space="preserve">Secion 4.1.1 of the TREES Standards V2.0 also mandates the reporting of field sampling protocols, standard operating procedures (SOPs), and quality assurance/quality control procedures​​ used. Therefore, validation auditors may review any SOP documents on mensuration techniques used to train or guide enumerators in the field. It is recommended to add further information or links to these materials on page 136 of the TMR.</w:t>
      </w:r>
    </w:p>
    <w:p>
      <w:pPr>
        <w:pStyle w:val="BodyText"/>
      </w:pPr>
      <w:r>
        <w:t xml:space="preserve">Grievance &amp; Redress Mechanisms:</w:t>
      </w:r>
      <w:r>
        <w:br/>
      </w:r>
      <w:r>
        <w:t xml:space="preserve">Ecuador’s existing grievance mechanisms, such as the MAATE Grievance Mechanism under the Socio Bosque Program (PSB), have recorded and resolved approximately 1,800 cases, addressing issues such as land registration, prohibited activities, and partner withdrawals. This demonstrates a robust foundation for conflict resolution. Incorporating these mechanisms into the audit framework will provide evidence of proactive measures to mitigate risks associated with deforestation and land-use conflicts. Additionally, the pilot REDD+ Grievance and Redress mechanism, launched in 2022, should be evaluated for its ability to address emerging challenges and align with Cancun Safeguard C.</w:t>
      </w:r>
    </w:p>
    <w:p>
      <w:pPr>
        <w:pStyle w:val="BodyText"/>
      </w:pPr>
      <w:r>
        <w:t xml:space="preserve">Stakeholder Engagement:</w:t>
      </w:r>
      <w:r>
        <w:br/>
      </w:r>
      <w:r>
        <w:t xml:space="preserve">To strengthen compliance with Cancun Safeguard D, TMR and TRD submissions must prioritize transparent and inclusive stakeholder participation in designing and implementing reversal mitigation strategies. The REDD+ Roundtable’s working groups, established through Ministerial Resolution No. 49 of MAATE, provide vital platforms for multi-stakeholder dialogue (TRD, p.40). Future audits may evaluate whether these participatory platforms align with the National Consultation Guide for REDD+ and adequately record, incorporate and address concerns from local stakeholders.</w:t>
      </w:r>
    </w:p>
    <w:p>
      <w:pPr>
        <w:pStyle w:val="BodyText"/>
      </w:pPr>
      <w:r>
        <w:t xml:space="preserve">In addition, the integration of ancestral knowledge into Ecuador’s NFMS, such as the use of traditional practices documented in community monitoring guides, should be reviewed for its contribution to enhancing detection and mitigation of deforestation risks. Ensuring that these contributions are documented and monitored will align Ecuador’s efforts with the requirements of the Cancun Safeguard C (TRD, p.41)</w:t>
      </w:r>
    </w:p>
    <w:p>
      <w:pPr>
        <w:pStyle w:val="BodyText"/>
      </w:pPr>
      <w:r>
        <w:t xml:space="preserve">Capacity Developement:</w:t>
      </w:r>
      <w:r>
        <w:br/>
      </w:r>
      <w:r>
        <w:t xml:space="preserve">Future audits may evaluate how capacity-building initiatives, such as the REDD+ Roundtable’s training programs and PROAmazonía’s capacity-strengthening events (TRD, p.44), contribute to improving monitoring and verification systems. These efforts should be institutionalized to address gaps in technical preparedness.</w:t>
      </w:r>
    </w:p>
    <w:p>
      <w:pPr>
        <w:pStyle w:val="BodyText"/>
      </w:pPr>
      <w:r>
        <w:t xml:space="preserve">Enforcement:</w:t>
      </w:r>
      <w:r>
        <w:br/>
      </w:r>
      <w:r>
        <w:t xml:space="preserve">Ecuador’s System of National Protected Areas (SNAP) and the Regulation of the COA (TMR, p. 65) are recognized as foundational frameworks for promoting sustainable forest management and biodiversity conservation. Future audits are expected to evaluate how REDD+ initiatives have integrated these frameworks into their mitigation strategies, focusing on the implementation and effectiveness of SNAP’s conservation strategies, the application of RCOA’s management principles, and the enforcement of Article 247 of the Comprehensive Criminal Organic Code. This article establishes mechanisms to address illegal activities such as deforestation and wildlife trafficking. These evaluations will assess the alignment and effectiveness of enforcement measures within the broader context of Ecuador’s commitment to sustainable environmental practices.</w:t>
      </w:r>
    </w:p>
    <w:bookmarkStart w:id="35" w:name="refs"/>
    <w:bookmarkStart w:id="29" w:name="ref-artTREESValidationVerification2020"/>
    <w:p>
      <w:pPr>
        <w:pStyle w:val="Bibliography"/>
      </w:pPr>
      <w:r>
        <w:t xml:space="preserve">ART, Secretariat. 2020.</w:t>
      </w:r>
      <w:r>
        <w:t xml:space="preserve"> </w:t>
      </w:r>
      <w:r>
        <w:rPr>
          <w:i/>
          <w:iCs/>
        </w:rPr>
        <w:t xml:space="preserve">TREES Validation</w:t>
      </w:r>
      <w:r>
        <w:rPr>
          <w:i/>
          <w:iCs/>
        </w:rPr>
        <w:t xml:space="preserve"> </w:t>
      </w:r>
      <w:r>
        <w:rPr>
          <w:i/>
          <w:iCs/>
        </w:rPr>
        <w:t xml:space="preserve">and</w:t>
      </w:r>
      <w:r>
        <w:rPr>
          <w:i/>
          <w:iCs/>
        </w:rPr>
        <w:t xml:space="preserve"> </w:t>
      </w:r>
      <w:r>
        <w:rPr>
          <w:i/>
          <w:iCs/>
        </w:rPr>
        <w:t xml:space="preserve">Verification Standard</w:t>
      </w:r>
      <w:r>
        <w:t xml:space="preserve"> </w:t>
      </w:r>
      <w:r>
        <w:t xml:space="preserve">(version 1.0).</w:t>
      </w:r>
      <w:r>
        <w:t xml:space="preserve"> </w:t>
      </w:r>
      <w:hyperlink r:id="rId28">
        <w:r>
          <w:rPr>
            <w:rStyle w:val="Hyperlink"/>
          </w:rPr>
          <w:t xml:space="preserve">https://www.artredd.org/wp-content/uploads/2020/04/TREES-Val-and-Ver-Standard-v1-April-2020.pdf?utm_source</w:t>
        </w:r>
      </w:hyperlink>
      <w:r>
        <w:t xml:space="preserve">.</w:t>
      </w:r>
    </w:p>
    <w:bookmarkEnd w:id="29"/>
    <w:bookmarkStart w:id="31" w:name="ref-artREDDEnvironmentalExcellence2021"/>
    <w:p>
      <w:pPr>
        <w:pStyle w:val="Bibliography"/>
      </w:pPr>
      <w:r>
        <w:t xml:space="preserve">———. 2021.</w:t>
      </w:r>
      <w:r>
        <w:t xml:space="preserve"> </w:t>
      </w:r>
      <w:r>
        <w:rPr>
          <w:i/>
          <w:iCs/>
        </w:rPr>
        <w:t xml:space="preserve">The</w:t>
      </w:r>
      <w:r>
        <w:rPr>
          <w:i/>
          <w:iCs/>
        </w:rPr>
        <w:t xml:space="preserve"> </w:t>
      </w:r>
      <w:r>
        <w:rPr>
          <w:i/>
          <w:iCs/>
        </w:rPr>
        <w:t xml:space="preserve">REDD</w:t>
      </w:r>
      <w:r>
        <w:rPr>
          <w:i/>
          <w:iCs/>
        </w:rPr>
        <w:t xml:space="preserve">+</w:t>
      </w:r>
      <w:r>
        <w:rPr>
          <w:i/>
          <w:iCs/>
        </w:rPr>
        <w:t xml:space="preserve"> </w:t>
      </w:r>
      <w:r>
        <w:rPr>
          <w:i/>
          <w:iCs/>
        </w:rPr>
        <w:t xml:space="preserve">Environmental Excellence Standard</w:t>
      </w:r>
      <w:r>
        <w:t xml:space="preserve"> </w:t>
      </w:r>
      <w:r>
        <w:t xml:space="preserve">(version 2.0).</w:t>
      </w:r>
      <w:r>
        <w:t xml:space="preserve"> </w:t>
      </w:r>
      <w:hyperlink r:id="rId30">
        <w:r>
          <w:rPr>
            <w:rStyle w:val="Hyperlink"/>
          </w:rPr>
          <w:t xml:space="preserve">https://www.artredd.org/wp-content/uploads/2021/12/TREES-2.0-August-2021-Clean.pdf</w:t>
        </w:r>
      </w:hyperlink>
      <w:r>
        <w:t xml:space="preserve">.</w:t>
      </w:r>
    </w:p>
    <w:bookmarkEnd w:id="31"/>
    <w:bookmarkStart w:id="33" w:name="X739a6fae323860748a5a56b6dca3aaf7191e4e7"/>
    <w:p>
      <w:pPr>
        <w:pStyle w:val="Bibliography"/>
      </w:pPr>
      <w:r>
        <w:t xml:space="preserve">———. 2024.</w:t>
      </w:r>
      <w:r>
        <w:t xml:space="preserve"> </w:t>
      </w:r>
      <w:r>
        <w:rPr>
          <w:i/>
          <w:iCs/>
        </w:rPr>
        <w:t xml:space="preserve">Clarification</w:t>
      </w:r>
      <w:r>
        <w:rPr>
          <w:i/>
          <w:iCs/>
        </w:rPr>
        <w:t xml:space="preserve"> </w:t>
      </w:r>
      <w:r>
        <w:rPr>
          <w:i/>
          <w:iCs/>
        </w:rPr>
        <w:t xml:space="preserve">Regarding Reversal Accounting</w:t>
      </w:r>
      <w:r>
        <w:rPr>
          <w:i/>
          <w:iCs/>
        </w:rPr>
        <w:t xml:space="preserve"> </w:t>
      </w:r>
      <w:r>
        <w:rPr>
          <w:i/>
          <w:iCs/>
        </w:rPr>
        <w:t xml:space="preserve">in</w:t>
      </w:r>
      <w:r>
        <w:rPr>
          <w:i/>
          <w:iCs/>
        </w:rPr>
        <w:t xml:space="preserve"> </w:t>
      </w:r>
      <w:r>
        <w:rPr>
          <w:i/>
          <w:iCs/>
        </w:rPr>
        <w:t xml:space="preserve">TREES Monitoring Report Submission</w:t>
      </w:r>
      <w:r>
        <w:t xml:space="preserve"> </w:t>
      </w:r>
      <w:r>
        <w:t xml:space="preserve">(version 1.0).</w:t>
      </w:r>
      <w:r>
        <w:t xml:space="preserve"> </w:t>
      </w:r>
      <w:hyperlink r:id="rId32">
        <w:r>
          <w:rPr>
            <w:rStyle w:val="Hyperlink"/>
          </w:rPr>
          <w:t xml:space="preserve">https://www.artredd.org/wp-content/uploads/2024/06/Clarification-Regarding-Reversal-Accounting.pdf</w:t>
        </w:r>
      </w:hyperlink>
      <w:r>
        <w:t xml:space="preserve">.</w:t>
      </w:r>
    </w:p>
    <w:bookmarkEnd w:id="33"/>
    <w:bookmarkStart w:id="34" w:name="ref-book"/>
    <w:p>
      <w:pPr>
        <w:pStyle w:val="Bibliography"/>
      </w:pPr>
      <w:r>
        <w:t xml:space="preserve">Sierra, Rodrigo, Oscar Calva, and A. Guevara. 2021.</w:t>
      </w:r>
      <w:r>
        <w:t xml:space="preserve"> </w:t>
      </w:r>
      <w:r>
        <w:rPr>
          <w:i/>
          <w:iCs/>
        </w:rPr>
        <w:t xml:space="preserve">La</w:t>
      </w:r>
      <w:r>
        <w:rPr>
          <w:i/>
          <w:iCs/>
        </w:rPr>
        <w:t xml:space="preserve"> </w:t>
      </w:r>
      <w:r>
        <w:rPr>
          <w:i/>
          <w:iCs/>
        </w:rPr>
        <w:t xml:space="preserve">Deforestación</w:t>
      </w:r>
      <w:r>
        <w:rPr>
          <w:i/>
          <w:iCs/>
        </w:rPr>
        <w:t xml:space="preserve"> </w:t>
      </w:r>
      <w:r>
        <w:rPr>
          <w:i/>
          <w:iCs/>
        </w:rPr>
        <w:t xml:space="preserve">En El</w:t>
      </w:r>
      <w:r>
        <w:rPr>
          <w:i/>
          <w:iCs/>
        </w:rPr>
        <w:t xml:space="preserve"> </w:t>
      </w:r>
      <w:r>
        <w:rPr>
          <w:i/>
          <w:iCs/>
        </w:rPr>
        <w:t xml:space="preserve">Ecuador</w:t>
      </w:r>
      <w:r>
        <w:rPr>
          <w:i/>
          <w:iCs/>
        </w:rPr>
        <w:t xml:space="preserve">, 1990-2018.</w:t>
      </w:r>
      <w:r>
        <w:rPr>
          <w:i/>
          <w:iCs/>
        </w:rPr>
        <w:t xml:space="preserve"> </w:t>
      </w:r>
      <w:r>
        <w:rPr>
          <w:i/>
          <w:iCs/>
        </w:rPr>
        <w:t xml:space="preserve">Factores</w:t>
      </w:r>
      <w:r>
        <w:rPr>
          <w:i/>
          <w:iCs/>
        </w:rPr>
        <w:t xml:space="preserve"> </w:t>
      </w:r>
      <w:r>
        <w:rPr>
          <w:i/>
          <w:iCs/>
        </w:rPr>
        <w:t xml:space="preserve">Promotores y Tendencias Recientes.</w:t>
      </w:r>
    </w:p>
    <w:bookmarkEnd w:id="34"/>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https://code.earthengine.google.com/?accept_repo=users/snmb_ecuador/mosaicos_ASTER_ec</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ode.earthengine.google.com/?accept_repo=users/snmb_ecuador/mosaicos_ASTER_ec" TargetMode="External" /><Relationship Type="http://schemas.openxmlformats.org/officeDocument/2006/relationships/hyperlink" Id="rId28" Target="https://www.artredd.org/wp-content/uploads/2020/04/TREES-Val-and-Ver-Standard-v1-April-2020.pdf?utm_source" TargetMode="External" /><Relationship Type="http://schemas.openxmlformats.org/officeDocument/2006/relationships/hyperlink" Id="rId30" Target="https://www.artredd.org/wp-content/uploads/2021/12/TREES-2.0-August-2021-Clean.pdf" TargetMode="External" /><Relationship Type="http://schemas.openxmlformats.org/officeDocument/2006/relationships/hyperlink" Id="rId32" Target="https://www.artredd.org/wp-content/uploads/2024/06/Clarification-Regarding-Reversal-Accounting.pdf" TargetMode="External" /></Relationships>
</file>

<file path=word/_rels/footnotes.xml.rels><?xml version="1.0" encoding="UTF-8"?><Relationships xmlns="http://schemas.openxmlformats.org/package/2006/relationships"><Relationship Type="http://schemas.openxmlformats.org/officeDocument/2006/relationships/hyperlink" Id="rId27" Target="https://code.earthengine.google.com/?accept_repo=users/snmb_ecuador/mosaicos_ASTER_ec" TargetMode="External" /><Relationship Type="http://schemas.openxmlformats.org/officeDocument/2006/relationships/hyperlink" Id="rId28" Target="https://www.artredd.org/wp-content/uploads/2020/04/TREES-Val-and-Ver-Standard-v1-April-2020.pdf?utm_source" TargetMode="External" /><Relationship Type="http://schemas.openxmlformats.org/officeDocument/2006/relationships/hyperlink" Id="rId30" Target="https://www.artredd.org/wp-content/uploads/2021/12/TREES-2.0-August-2021-Clean.pdf" TargetMode="External" /><Relationship Type="http://schemas.openxmlformats.org/officeDocument/2006/relationships/hyperlink" Id="rId32" Target="https://www.artredd.org/wp-content/uploads/2024/06/Clarification-Regarding-Reversal-Account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 TREES Emissions Reversal Report</dc:title>
  <dc:creator/>
  <cp:keywords/>
  <dcterms:created xsi:type="dcterms:W3CDTF">2024-12-20T07:52:22Z</dcterms:created>
  <dcterms:modified xsi:type="dcterms:W3CDTF">2024-12-20T07:52:22Z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2024-12-17</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Credit period review, buffer pool adjustments &amp; management atrategies following reversal event in Ecuador’s ART TREES Program</vt:lpwstr>
  </property>
  <property fmtid="{D5CDD505-2E9C-101B-9397-08002B2CF9AE}" pid="10" name="theme">
    <vt:lpwstr/>
  </property>
  <property fmtid="{D5CDD505-2E9C-101B-9397-08002B2CF9AE}" pid="11" name="toc-title">
    <vt:lpwstr>Table of contents</vt:lpwstr>
  </property>
</Properties>
</file>