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29.png" ContentType="image/png"/>
  <Override PartName="/word/media/rId52.png" ContentType="image/png"/>
  <Override PartName="/word/media/rId78.png" ContentType="image/png"/>
  <Override PartName="/word/media/rId37.png" ContentType="image/png"/>
  <Override PartName="/word/media/rId57.png" ContentType="image/png"/>
  <Override PartName="/word/media/rId70.png" ContentType="image/png"/>
  <Override PartName="/word/media/rId22.png" ContentType="image/png"/>
  <Override PartName="/word/media/rId64.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Version-contingent fire danger trends in the Okanagan basin</w:t>
      </w:r>
    </w:p>
    <w:p>
      <w:pPr>
        <w:pStyle w:val="Subtitle"/>
      </w:pPr>
      <w:r>
        <w:t xml:space="preserve">What the 2025 update to the Canadian Forest Fire Weather Index System does to a trend estimate</w:t>
      </w:r>
    </w:p>
    <w:p>
      <w:pPr>
        <w:pStyle w:val="Author"/>
      </w:pPr>
      <w:r>
        <w:t xml:space="preserve">Seamus Murphy</w:t>
      </w:r>
    </w:p>
    <w:p>
      <w:pPr>
        <w:pStyle w:val="Date"/>
      </w:pPr>
      <w:r>
        <w:t xml:space="preserve">2026-09-12</w:t>
      </w:r>
    </w:p>
    <w:bookmarkStart w:id="21" w:name="sec-intro"/>
    <w:p>
      <w:pPr>
        <w:pStyle w:val="Heading1"/>
      </w:pPr>
      <w:r>
        <w:t xml:space="preserve">1. Introduction</w:t>
      </w:r>
    </w:p>
    <w:p>
      <w:pPr>
        <w:pStyle w:val="FirstParagraph"/>
      </w:pPr>
      <w:r>
        <w:t xml:space="preserve">British Columbia recorded the most severe wildfire seasons of its last century within the past two decades. In 2003 lightning and human causes produced more than 2,500 wildfire starts in the Interior, 334 homes were destroyed and more than 45,000 people were evacuated</w:t>
      </w:r>
      <w:r>
        <w:t xml:space="preserve"> </w:t>
      </w:r>
      <w:r>
        <w:t xml:space="preserve">(Filmon, 2004, p. 10)</w:t>
      </w:r>
      <w:r>
        <w:t xml:space="preserve">, after southern British Columbia had gone through</w:t>
      </w:r>
      <w:r>
        <w:t xml:space="preserve"> </w:t>
      </w:r>
      <w:r>
        <w:t xml:space="preserve">“its driest three-year period on record”</w:t>
      </w:r>
      <w:r>
        <w:t xml:space="preserve"> </w:t>
      </w:r>
      <w:r>
        <w:t xml:space="preserve">(Filmon, 2004, p. 17)</w:t>
      </w:r>
      <w:r>
        <w:t xml:space="preserve">. In 2017 more than 1.2 million hectares burned, about 65,000 people were displaced, suppression cost more than 568 million dollars and the provincial state of emergency lasted 70 days, the first declared since 2003</w:t>
      </w:r>
      <w:r>
        <w:t xml:space="preserve"> </w:t>
      </w:r>
      <w:r>
        <w:t xml:space="preserve">(Abbott &amp; Chapman, 2018, p. 25)</w:t>
      </w:r>
      <w:r>
        <w:t xml:space="preserve">, and</w:t>
      </w:r>
      <w:r>
        <w:t xml:space="preserve"> </w:t>
      </w:r>
      <w:r>
        <w:t xml:space="preserve">Kirchmeier-Young, Gillett, Zwiers, Cannon, &amp; Anslow (2019)</w:t>
      </w:r>
      <w:r>
        <w:t xml:space="preserve"> </w:t>
      </w:r>
      <w:r>
        <w:t xml:space="preserve">found that human-induced climate change had made the fire weather and fire behaviour metrics of that season 2 to 4 times more likely and had increased the area burned by a factor of 7 to 11. More than 1.2 million hectares burned again in 2018</w:t>
      </w:r>
      <w:r>
        <w:t xml:space="preserve"> </w:t>
      </w:r>
      <w:r>
        <w:t xml:space="preserve">(Hessburg et al., 2019, p. 7)</w:t>
      </w:r>
      <w:r>
        <w:t xml:space="preserve">, the heat dome of late June 2021 accounted for 21 to 34 per cent of the area burned in North America that year, including 0.7 million hectares in British Columbia</w:t>
      </w:r>
      <w:r>
        <w:t xml:space="preserve"> </w:t>
      </w:r>
      <w:r>
        <w:t xml:space="preserve">(Jain, Sharma, Acuna, Abatzoglou, &amp; Flannigan, 2024)</w:t>
      </w:r>
      <w:r>
        <w:t xml:space="preserve">, and the 2023 Canadian season burned about 15 million hectares under May to October temperatures 2.2 °C above the 1991 to 2020 average</w:t>
      </w:r>
      <w:r>
        <w:t xml:space="preserve"> </w:t>
      </w:r>
      <w:r>
        <w:t xml:space="preserve">(Jain, Barber, et al., 2024)</w:t>
      </w:r>
      <w:r>
        <w:t xml:space="preserve">.</w:t>
      </w:r>
      <w:r>
        <w:t xml:space="preserve"> </w:t>
      </w:r>
      <w:r>
        <w:t xml:space="preserve">Parisien et al. (2023)</w:t>
      </w:r>
      <w:r>
        <w:t xml:space="preserve"> </w:t>
      </w:r>
      <w:r>
        <w:t xml:space="preserve">placed four of the most severe British Columbia seasons of the last century in 2017, 2018, 2021 and 2023.</w:t>
      </w:r>
    </w:p>
    <w:p>
      <w:pPr>
        <w:pStyle w:val="BodyText"/>
      </w:pPr>
      <w:r>
        <w:t xml:space="preserve">Those seasons followed a century in which burning had declined, and the historical record names several triggers for both the decline and the reversal. Tree-ring studies of the province’s dry forests reconstructed the regime before suppression. In Douglas-fir and ponderosa pine forests of the southern interior,</w:t>
      </w:r>
      <w:r>
        <w:t xml:space="preserve"> </w:t>
      </w:r>
      <w:r>
        <w:t xml:space="preserve">Heyerdahl, Lertzman, &amp; Wong (2012)</w:t>
      </w:r>
      <w:r>
        <w:t xml:space="preserve"> </w:t>
      </w:r>
      <w:r>
        <w:t xml:space="preserve">found a mean plot-composite fire scar interval of 21 years from 1700 to 1900 and a mixed-severity regime at 66 per cent of plots, and in central British Columbia</w:t>
      </w:r>
      <w:r>
        <w:t xml:space="preserve"> </w:t>
      </w:r>
      <w:r>
        <w:t xml:space="preserve">Brookes, Daniels, Copes-Gerbitz, Baron, &amp; Carroll (2021)</w:t>
      </w:r>
      <w:r>
        <w:t xml:space="preserve"> </w:t>
      </w:r>
      <w:r>
        <w:t xml:space="preserve">found that 23 fires between 1619 and 1943 burned at intervals of 10 to 30 years, whereas current fire-free intervals of 70 to 180 years exceed the historical maximum. Drought was the trigger those records share.</w:t>
      </w:r>
      <w:r>
        <w:t xml:space="preserve"> </w:t>
      </w:r>
      <w:r>
        <w:t xml:space="preserve">Chavardès et al. (2021)</w:t>
      </w:r>
      <w:r>
        <w:t xml:space="preserve"> </w:t>
      </w:r>
      <w:r>
        <w:t xml:space="preserve">found that below-average precipitation and summer drought synchronised fires across 14 dry-forest study areas of the Montane Cordillera from 1746 to 1945, and</w:t>
      </w:r>
      <w:r>
        <w:t xml:space="preserve"> </w:t>
      </w:r>
      <w:r>
        <w:t xml:space="preserve">Harvey &amp; Smith (2017)</w:t>
      </w:r>
      <w:r>
        <w:t xml:space="preserve"> </w:t>
      </w:r>
      <w:r>
        <w:t xml:space="preserve">found in west central British Columbia from 1600 to 1900 that drought increasingly synchronised fire from local to regional scales while the El Niño Southern Oscillation, the Pacific Decadal Oscillation and the Pacific North American pattern had a weak or inconsistent influence, except in years when the first two were both positive. People were a second trigger, acting in both directions. At Ne Sextsine in T’exelc territory,</w:t>
      </w:r>
      <w:r>
        <w:t xml:space="preserve"> </w:t>
      </w:r>
      <w:r>
        <w:t xml:space="preserve">Copes‐Gerbitz, Daniels, &amp; Hagerman (2022)</w:t>
      </w:r>
      <w:r>
        <w:t xml:space="preserve"> </w:t>
      </w:r>
      <w:r>
        <w:t xml:space="preserve">found that high fire frequency in low-severity plots ceased in the 1870s, following the smallpox epidemic, forced relocation to reserves and the prohibition of Indigenous burning, and</w:t>
      </w:r>
      <w:r>
        <w:t xml:space="preserve"> </w:t>
      </w:r>
      <w:r>
        <w:t xml:space="preserve">Copes-Gerbitz, Hagerman, &amp; Daniels (2022)</w:t>
      </w:r>
      <w:r>
        <w:t xml:space="preserve"> </w:t>
      </w:r>
      <w:r>
        <w:t xml:space="preserve">traced five eras of provincial fire governance in which government decision-making superseded First Nations fire governance from the 1870s onward.</w:t>
      </w:r>
      <w:r>
        <w:t xml:space="preserve"> </w:t>
      </w:r>
      <w:r>
        <w:t xml:space="preserve">Chavardès et al. (2021)</w:t>
      </w:r>
      <w:r>
        <w:t xml:space="preserve"> </w:t>
      </w:r>
      <w:r>
        <w:t xml:space="preserve">attributed the fall in fire occurrence and synchrony after 1945 to fire exclusion, suppression and climatic variation.</w:t>
      </w:r>
    </w:p>
    <w:p>
      <w:pPr>
        <w:pStyle w:val="BodyText"/>
      </w:pPr>
      <w:r>
        <w:t xml:space="preserve">The instrumental record showed the same decline and then its end.</w:t>
      </w:r>
      <w:r>
        <w:t xml:space="preserve"> </w:t>
      </w:r>
      <w:r>
        <w:t xml:space="preserve">Meyn, Schmidtlein, et al. (2010)</w:t>
      </w:r>
      <w:r>
        <w:t xml:space="preserve"> </w:t>
      </w:r>
      <w:r>
        <w:t xml:space="preserve">found that annual wildfire extent and occurrence across 16 landscape regions of British Columbia fell from 1920 to 2000 and that the fall was significantly related to wetter summers, and</w:t>
      </w:r>
      <w:r>
        <w:t xml:space="preserve"> </w:t>
      </w:r>
      <w:r>
        <w:t xml:space="preserve">Meyn, Taylor, Flannigan, Thonicke, &amp; Cramer (2010)</w:t>
      </w:r>
      <w:r>
        <w:t xml:space="preserve"> </w:t>
      </w:r>
      <w:r>
        <w:t xml:space="preserve">found that year-to-year fire variability in the province’s biogeoclimatic zones over the same period was better related to summer drought than to climate oscillations.</w:t>
      </w:r>
      <w:r>
        <w:t xml:space="preserve"> </w:t>
      </w:r>
      <w:r>
        <w:t xml:space="preserve">Parisien et al. (2023)</w:t>
      </w:r>
      <w:r>
        <w:t xml:space="preserve">, analysing mapped fire perimeters and annual climate from 1919 to 2021, found that fire activity increased from 2005 onward after a century-long decline, as rapid warming raised moisture deficits even where precipitation remained high. Remote sensing and national fire records agree on the direction.</w:t>
      </w:r>
      <w:r>
        <w:t xml:space="preserve"> </w:t>
      </w:r>
      <w:r>
        <w:t xml:space="preserve">Coops, Hermosilla, Wulder, White, &amp; Bolton (2018)</w:t>
      </w:r>
      <w:r>
        <w:t xml:space="preserve"> </w:t>
      </w:r>
      <w:r>
        <w:t xml:space="preserve">mapped burned area from Landsat for 1985 to 2015 and found a significant increase of 2.4 per cent per year, 709.3 hectares per year, in the Montane Cordillera ecozone, and</w:t>
      </w:r>
      <w:r>
        <w:t xml:space="preserve"> </w:t>
      </w:r>
      <w:r>
        <w:t xml:space="preserve">C. C. Hanes et al. (2019)</w:t>
      </w:r>
      <w:r>
        <w:t xml:space="preserve"> </w:t>
      </w:r>
      <w:r>
        <w:t xml:space="preserve">found across Canada from 1959 to 2015 that area burned and the number of large fires had increased, that lightning-caused fires were increasing in most of western Canada while human-caused fires were stable or declining, and that the fire season had begun about one week earlier and ended about one week later. Across boreal forests,</w:t>
      </w:r>
      <w:r>
        <w:t xml:space="preserve"> </w:t>
      </w:r>
      <w:r>
        <w:t xml:space="preserve">Gao et al. (2026)</w:t>
      </w:r>
      <w:r>
        <w:t xml:space="preserve"> </w:t>
      </w:r>
      <w:r>
        <w:t xml:space="preserve">separated satellite-detected fires from 2002 to 2022 into natural and human causes and found that human-caused fires declined significantly over that period while natural fires were relatively stable. Lightning itself showed no clear trend.</w:t>
      </w:r>
      <w:r>
        <w:t xml:space="preserve"> </w:t>
      </w:r>
      <w:r>
        <w:t xml:space="preserve">Aftergood &amp; Flannigan (2022)</w:t>
      </w:r>
      <w:r>
        <w:t xml:space="preserve"> </w:t>
      </w:r>
      <w:r>
        <w:t xml:space="preserve">found a non-significant overall decrease in lightning-caused fires across western Canada from 1981 to 2018 and no trend in their clustering in British Columbia, although</w:t>
      </w:r>
      <w:r>
        <w:t xml:space="preserve"> </w:t>
      </w:r>
      <w:r>
        <w:t xml:space="preserve">Wierzchowski, Heathcott, &amp; Flannigan (2002)</w:t>
      </w:r>
      <w:r>
        <w:t xml:space="preserve"> </w:t>
      </w:r>
      <w:r>
        <w:t xml:space="preserve">had shown that lightning is far more effective at igniting fire in British Columbia, with one fire for every 50 discharges against one for every 1,400 in Alberta. The provincial reviews and syntheses gave more weight to fuel and insects than the statistical studies could test. The review of the 2003 season held that</w:t>
      </w:r>
      <w:r>
        <w:t xml:space="preserve"> </w:t>
      </w:r>
      <w:r>
        <w:t xml:space="preserve">“a successful record of fire suppression has led to a fuel buildup in the forests of British Columbia”</w:t>
      </w:r>
      <w:r>
        <w:t xml:space="preserve"> </w:t>
      </w:r>
      <w:r>
        <w:t xml:space="preserve">(Filmon, 2004, p. 6)</w:t>
      </w:r>
      <w:r>
        <w:t xml:space="preserve">, the review of 2017 found that the mountain pine beetle</w:t>
      </w:r>
      <w:r>
        <w:t xml:space="preserve"> </w:t>
      </w:r>
      <w:r>
        <w:t xml:space="preserve">“was in many ways at the heart of 2017 wildfires”</w:t>
      </w:r>
      <w:r>
        <w:t xml:space="preserve"> </w:t>
      </w:r>
      <w:r>
        <w:t xml:space="preserve">(Abbott &amp; Chapman, 2018, p. 11)</w:t>
      </w:r>
      <w:r>
        <w:t xml:space="preserve">, and</w:t>
      </w:r>
      <w:r>
        <w:t xml:space="preserve"> </w:t>
      </w:r>
      <w:r>
        <w:t xml:space="preserve">Daniels et al. (2011)</w:t>
      </w:r>
      <w:r>
        <w:t xml:space="preserve"> </w:t>
      </w:r>
      <w:r>
        <w:t xml:space="preserve">argued from the East Kootenay that the effects of climate change on fire may be exacerbated by land use, fire exclusion and beetle outbreaks. Against those views,</w:t>
      </w:r>
      <w:r>
        <w:t xml:space="preserve"> </w:t>
      </w:r>
      <w:r>
        <w:t xml:space="preserve">Hessburg et al. (2019)</w:t>
      </w:r>
      <w:r>
        <w:t xml:space="preserve"> </w:t>
      </w:r>
      <w:r>
        <w:t xml:space="preserve">concluded that in British Columbia</w:t>
      </w:r>
      <w:r>
        <w:t xml:space="preserve"> </w:t>
      </w:r>
      <w:r>
        <w:t xml:space="preserve">“burned area is primarily controlled by annual to decadal climate and fire weather; fuels are typically not limiting”</w:t>
      </w:r>
      <w:r>
        <w:t xml:space="preserve"> </w:t>
      </w:r>
      <w:r>
        <w:t xml:space="preserve">(Hessburg et al., 2019, p. 7)</w:t>
      </w:r>
      <w:r>
        <w:t xml:space="preserve">, and</w:t>
      </w:r>
      <w:r>
        <w:t xml:space="preserve"> </w:t>
      </w:r>
      <w:r>
        <w:t xml:space="preserve">Romualdi, Wilkinson, &amp; James (2023)</w:t>
      </w:r>
      <w:r>
        <w:t xml:space="preserve">, in a meta-analysis of studies published from 2000 to 2021, found limited consensus on whether beetle outbreaks amplified or dampened later fire, with the answer depending on spatial scale, fuels and weather.</w:t>
      </w:r>
    </w:p>
    <w:p>
      <w:pPr>
        <w:pStyle w:val="BodyText"/>
      </w:pPr>
      <w:r>
        <w:t xml:space="preserve">Where those studies rated fire danger rather than fire, they rated it with the Canadian Forest Fire Weather Index System, specified by</w:t>
      </w:r>
      <w:r>
        <w:t xml:space="preserve"> </w:t>
      </w:r>
      <w:r>
        <w:t xml:space="preserve">Van Wagner (1987)</w:t>
      </w:r>
      <w:r>
        <w:t xml:space="preserve">, implemented from the FORTRAN listing of</w:t>
      </w:r>
      <w:r>
        <w:t xml:space="preserve"> </w:t>
      </w:r>
      <w:r>
        <w:t xml:space="preserve">Van Wagner &amp; Pickett (1985)</w:t>
      </w:r>
      <w:r>
        <w:t xml:space="preserve">, and used operationally throughout Canada since 1970</w:t>
      </w:r>
      <w:r>
        <w:t xml:space="preserve"> </w:t>
      </w:r>
      <w:r>
        <w:t xml:space="preserve">(Canadian Forest Service Fire Danger Group, 2025, p. 3)</w:t>
      </w:r>
      <w:r>
        <w:t xml:space="preserve">.</w:t>
      </w:r>
      <w:r>
        <w:t xml:space="preserve"> </w:t>
      </w:r>
      <w:r>
        <w:t xml:space="preserve">Girardin &amp; Wotton (2009)</w:t>
      </w:r>
      <w:r>
        <w:t xml:space="preserve"> </w:t>
      </w:r>
      <w:r>
        <w:t xml:space="preserve">approximated its Drought Code from monthly data for 1901 to 2002 and found that summer moisture explained 63 per cent of the variance in Canada-wide annual area burned from 1959 to 1999.</w:t>
      </w:r>
      <w:r>
        <w:t xml:space="preserve"> </w:t>
      </w:r>
      <w:r>
        <w:t xml:space="preserve">Woolford, Dean, Martell, Cao, &amp; Wotton (2014)</w:t>
      </w:r>
      <w:r>
        <w:t xml:space="preserve"> </w:t>
      </w:r>
      <w:r>
        <w:t xml:space="preserve">found significant increases in lightning-caused fire risk from 1963 to 2009 in two ecoregions of northwestern Ontario, associated with temperature and fire danger rating index anomalies.</w:t>
      </w:r>
      <w:r>
        <w:t xml:space="preserve"> </w:t>
      </w:r>
      <w:r>
        <w:t xml:space="preserve">Jain, Wang, &amp; Flannigan (2017)</w:t>
      </w:r>
      <w:r>
        <w:t xml:space="preserve"> </w:t>
      </w:r>
      <w:r>
        <w:t xml:space="preserve">computed the System from the North American Regional Reanalysis for 1979 to 2015 and found that potential fire season length increased over large areas of North America and that trends in spread days and in the 99th percentile of the Fire Weather Index were mostly positive where significant.</w:t>
      </w:r>
      <w:r>
        <w:t xml:space="preserve"> </w:t>
      </w:r>
      <w:r>
        <w:t xml:space="preserve">Jolly et al. (2015)</w:t>
      </w:r>
      <w:r>
        <w:t xml:space="preserve">, using three reanalyses and three danger indices, found that fire weather seasons lengthened across 25.3 per cent of the Earth’s vegetated surface from 1979 to 2013. Station records in Europe and California, computed with the Fire Weather Index or with other danger indices, showed the same direction.</w:t>
      </w:r>
      <w:r>
        <w:t xml:space="preserve"> </w:t>
      </w:r>
      <w:r>
        <w:t xml:space="preserve">Wastl, Schunk, Leuchner, Pezzatti, &amp; Menzel (2012)</w:t>
      </w:r>
      <w:r>
        <w:t xml:space="preserve"> </w:t>
      </w:r>
      <w:r>
        <w:t xml:space="preserve">computed the Fire Weather Index and other danger indices from daily observations at 25 stations in six Alpine countries from 1951 to 2010 and found significant increases in the Western and Southern Alps, together with more days above a predefined threshold, but only a weak increase in the Northern Alps and no clear signal in the inner Alpine valleys.</w:t>
      </w:r>
      <w:r>
        <w:t xml:space="preserve"> </w:t>
      </w:r>
      <w:r>
        <w:t xml:space="preserve">Collins (2014)</w:t>
      </w:r>
      <w:r>
        <w:t xml:space="preserve"> </w:t>
      </w:r>
      <w:r>
        <w:t xml:space="preserve">found fairly strong upward trends in high to extreme fire weather over 40 years at five stations in the northern Sierra Nevada, particularly after the mid-1990s, and</w:t>
      </w:r>
      <w:r>
        <w:t xml:space="preserve"> </w:t>
      </w:r>
      <w:r>
        <w:t xml:space="preserve">Collins (2025)</w:t>
      </w:r>
      <w:r>
        <w:t xml:space="preserve">, returning to that region, found that fire season days below the 80th and 50th percentiles of the Energy Release Component had declined from the late 1990s and early 2000s.</w:t>
      </w:r>
      <w:r>
        <w:t xml:space="preserve"> </w:t>
      </w:r>
      <w:r>
        <w:t xml:space="preserve">Trnka et al. (2021)</w:t>
      </w:r>
      <w:r>
        <w:t xml:space="preserve"> </w:t>
      </w:r>
      <w:r>
        <w:t xml:space="preserve">found an increasing frequency of fire weather days over most of the Czech Republic from 1956 to 2015, with the trends accelerating after 2000,</w:t>
      </w:r>
      <w:r>
        <w:t xml:space="preserve"> </w:t>
      </w:r>
      <w:r>
        <w:t xml:space="preserve">Giannaros &amp; Papavasileiou (2023)</w:t>
      </w:r>
      <w:r>
        <w:t xml:space="preserve"> </w:t>
      </w:r>
      <w:r>
        <w:t xml:space="preserve">found that extreme fire weather days in Europe had become more frequent, with change-points in the Mediterranean around the late 1990s and the mid-2000s, and</w:t>
      </w:r>
      <w:r>
        <w:t xml:space="preserve"> </w:t>
      </w:r>
      <w:r>
        <w:t xml:space="preserve">Drobyshev et al. (2021)</w:t>
      </w:r>
      <w:r>
        <w:t xml:space="preserve"> </w:t>
      </w:r>
      <w:r>
        <w:t xml:space="preserve">found a trend towards higher Monthly Drought Code values in April and May in the western and northern European boreal zone over 1901 to 2017. Most of those trends were counts of days beyond a threshold, whether a fixed index value, as in</w:t>
      </w:r>
      <w:r>
        <w:t xml:space="preserve"> </w:t>
      </w:r>
      <w:r>
        <w:t xml:space="preserve">Wastl et al. (2012)</w:t>
      </w:r>
      <w:r>
        <w:t xml:space="preserve">, or a percentile, as in</w:t>
      </w:r>
      <w:r>
        <w:t xml:space="preserve"> </w:t>
      </w:r>
      <w:r>
        <w:t xml:space="preserve">Collins (2025)</w:t>
      </w:r>
      <w:r>
        <w:t xml:space="preserve"> </w:t>
      </w:r>
      <w:r>
        <w:t xml:space="preserve">and in the 95th percentile of the Daily Severity Rating that</w:t>
      </w:r>
      <w:r>
        <w:t xml:space="preserve"> </w:t>
      </w:r>
      <w:r>
        <w:t xml:space="preserve">Calheiros, Nunes, &amp; Pereira (2020)</w:t>
      </w:r>
      <w:r>
        <w:t xml:space="preserve"> </w:t>
      </w:r>
      <w:r>
        <w:t xml:space="preserve">used to define extreme fire weather days on the Iberian Peninsula. For the Okanagan itself,</w:t>
      </w:r>
      <w:r>
        <w:t xml:space="preserve"> </w:t>
      </w:r>
      <w:r>
        <w:t xml:space="preserve">NITSCHKE &amp; INNES (2007)</w:t>
      </w:r>
      <w:r>
        <w:t xml:space="preserve"> </w:t>
      </w:r>
      <w:r>
        <w:t xml:space="preserve">used the Canadian Forest Fire Danger Rating System under several climate scenarios to project a 30 per cent longer fire season and a 95 per cent increase in summer fire weather severity in the North Okanagan by 2070, and</w:t>
      </w:r>
      <w:r>
        <w:t xml:space="preserve"> </w:t>
      </w:r>
      <w:r>
        <w:t xml:space="preserve">Haughian, Burton, Taylor, &amp; Curry (2012)</w:t>
      </w:r>
      <w:r>
        <w:t xml:space="preserve"> </w:t>
      </w:r>
      <w:r>
        <w:t xml:space="preserve">expected the southern interior to</w:t>
      </w:r>
      <w:r>
        <w:t xml:space="preserve"> </w:t>
      </w:r>
      <w:r>
        <w:t xml:space="preserve">“experience the most significant increases in fire indices”</w:t>
      </w:r>
      <w:r>
        <w:t xml:space="preserve"> </w:t>
      </w:r>
      <w:r>
        <w:t xml:space="preserve">(Haughian et al., 2012, p. 6)</w:t>
      </w:r>
      <w:r>
        <w:t xml:space="preserve"> </w:t>
      </w:r>
      <w:r>
        <w:t xml:space="preserve">of any part of the province. Every one of those studies predates the 2025 update, so the Canadian fire danger trends they report, observed or projected, are statements about the 1987 System.</w:t>
      </w:r>
    </w:p>
    <w:p>
      <w:pPr>
        <w:pStyle w:val="BodyText"/>
      </w:pPr>
      <w:r>
        <w:t xml:space="preserve">The same studies show that how the System is computed changes what it reports.</w:t>
      </w:r>
      <w:r>
        <w:t xml:space="preserve"> </w:t>
      </w:r>
      <w:r>
        <w:t xml:space="preserve">Jain et al. (2017)</w:t>
      </w:r>
      <w:r>
        <w:t xml:space="preserve"> </w:t>
      </w:r>
      <w:r>
        <w:t xml:space="preserve">truncated their Canadian series because the reanalysis ceased to assimilate Canadian precipitation observations after 2002, and</w:t>
      </w:r>
      <w:r>
        <w:t xml:space="preserve"> </w:t>
      </w:r>
      <w:r>
        <w:t xml:space="preserve">Venäläinen et al. (2014)</w:t>
      </w:r>
      <w:r>
        <w:t xml:space="preserve"> </w:t>
      </w:r>
      <w:r>
        <w:t xml:space="preserve">computed European Fire Weather Index trends separately for the ERA-40 and ERA-Interim reanalyses, finding no obvious trend for 1960 to 1999 and a significant increase in southern and eastern Europe for 1980 to 2012. The input approximation matters as much as the input source. On the Iberian Peninsula,</w:t>
      </w:r>
      <w:r>
        <w:t xml:space="preserve"> </w:t>
      </w:r>
      <w:r>
        <w:t xml:space="preserve">Herrera, Bedia, Gutiérrez, Fernández, &amp; Moreno (2013)</w:t>
      </w:r>
      <w:r>
        <w:t xml:space="preserve"> </w:t>
      </w:r>
      <w:r>
        <w:t xml:space="preserve">found that computing the Fire Weather Index from daily mean rather than 12 UTC instantaneous weather gave an Initial Spread Index about half as large and missed 45 per cent of the extreme days in the instantaneous series, and</w:t>
      </w:r>
      <w:r>
        <w:t xml:space="preserve"> </w:t>
      </w:r>
      <w:r>
        <w:t xml:space="preserve">J. Bedia et al. (2012)</w:t>
      </w:r>
      <w:r>
        <w:t xml:space="preserve"> </w:t>
      </w:r>
      <w:r>
        <w:t xml:space="preserve">found that three reanalyses all tended to underestimate the index computed at seven Spanish weather stations. At global scale,</w:t>
      </w:r>
      <w:r>
        <w:t xml:space="preserve"> </w:t>
      </w:r>
      <w:r>
        <w:t xml:space="preserve">Robert D. Field (2020)</w:t>
      </w:r>
      <w:r>
        <w:t xml:space="preserve"> </w:t>
      </w:r>
      <w:r>
        <w:t xml:space="preserve">found that components computed from the MERRA-2 reanalysis were in general biased low against station data, and</w:t>
      </w:r>
      <w:r>
        <w:t xml:space="preserve"> </w:t>
      </w:r>
      <w:r>
        <w:t xml:space="preserve">Vitolo et al. (2020)</w:t>
      </w:r>
      <w:r>
        <w:t xml:space="preserve"> </w:t>
      </w:r>
      <w:r>
        <w:t xml:space="preserve">found that the ERA5 fire danger reanalysis showed higher biases</w:t>
      </w:r>
      <w:r>
        <w:t xml:space="preserve"> </w:t>
      </w:r>
      <w:r>
        <w:t xml:space="preserve">“in mountainous areas”</w:t>
      </w:r>
      <w:r>
        <w:t xml:space="preserve"> </w:t>
      </w:r>
      <w:r>
        <w:t xml:space="preserve">(Vitolo et al., 2020, p. 6)</w:t>
      </w:r>
      <w:r>
        <w:t xml:space="preserve">. In the mountains of Colorado,</w:t>
      </w:r>
      <w:r>
        <w:t xml:space="preserve"> </w:t>
      </w:r>
      <w:r>
        <w:t xml:space="preserve">Silver &amp; Lundquist (2025)</w:t>
      </w:r>
      <w:r>
        <w:t xml:space="preserve"> </w:t>
      </w:r>
      <w:r>
        <w:t xml:space="preserve">found no significant trend in the Hot-Dry-Windy Index in 22 years of tower observations, whereas the ERA5 reanalysis showed strong increasing trends across the state. The start of the calculation matters as well, since</w:t>
      </w:r>
      <w:r>
        <w:t xml:space="preserve"> </w:t>
      </w:r>
      <w:r>
        <w:t xml:space="preserve">McElhinny, Beckers, Hanes, Flannigan, &amp; Jain (2020)</w:t>
      </w:r>
      <w:r>
        <w:t xml:space="preserve"> </w:t>
      </w:r>
      <w:r>
        <w:t xml:space="preserve">showed that overwintering the Drought Code rather than restarting it at 15 changed the number and distribution of fire spread days. The nearest designs to a version comparison compared different indices or different hours on one record.</w:t>
      </w:r>
      <w:r>
        <w:t xml:space="preserve"> </w:t>
      </w:r>
      <w:r>
        <w:t xml:space="preserve">Matthews (2009)</w:t>
      </w:r>
      <w:r>
        <w:t xml:space="preserve"> </w:t>
      </w:r>
      <w:r>
        <w:t xml:space="preserve">found that three fire danger systems with similar structures gave</w:t>
      </w:r>
      <w:r>
        <w:t xml:space="preserve"> </w:t>
      </w:r>
      <w:r>
        <w:t xml:space="preserve">“widely varying assessments of fire danger for a given set of inputs”</w:t>
      </w:r>
      <w:r>
        <w:t xml:space="preserve"> </w:t>
      </w:r>
      <w:r>
        <w:t xml:space="preserve">(Matthews, 2009, p. 41)</w:t>
      </w:r>
      <w:r>
        <w:t xml:space="preserve">, and that on thirteen years of station data from Camden, New South Wales, the differences partly cancelled when each system used its own observation time and moisture sub-models,</w:t>
      </w:r>
      <w:r>
        <w:t xml:space="preserve"> </w:t>
      </w:r>
      <w:r>
        <w:t xml:space="preserve">Dowdy, Mills, Finkele, &amp; Groot (2009)</w:t>
      </w:r>
      <w:r>
        <w:t xml:space="preserve"> </w:t>
      </w:r>
      <w:r>
        <w:t xml:space="preserve">found on eight years of gridded Australian data that the McArthur Forest Fire Danger Index was less sensitive to wind and rain and more sensitive to temperature and humidity than the Fire Weather Index, and</w:t>
      </w:r>
      <w:r>
        <w:t xml:space="preserve"> </w:t>
      </w:r>
      <w:r>
        <w:t xml:space="preserve">Rodell et al. (2024)</w:t>
      </w:r>
      <w:r>
        <w:t xml:space="preserve"> </w:t>
      </w:r>
      <w:r>
        <w:t xml:space="preserve">compared an hourly Fire Weather Index with the standard daily index on the same numerical weather forecast for western North America and found that hourly values at noon were biased low because</w:t>
      </w:r>
      <w:r>
        <w:t xml:space="preserve"> </w:t>
      </w:r>
      <w:r>
        <w:t xml:space="preserve">“standard noon local time usually does not coincide with the timing of peak fire behavior”</w:t>
      </w:r>
      <w:r>
        <w:t xml:space="preserve"> </w:t>
      </w:r>
      <w:r>
        <w:t xml:space="preserve">(Rodell et al., 2024, p. 931)</w:t>
      </w:r>
      <w:r>
        <w:t xml:space="preserve">. None of those studies compared the trend of one index under two versions of its own calculation.</w:t>
      </w:r>
    </w:p>
    <w:p>
      <w:pPr>
        <w:pStyle w:val="BodyText"/>
      </w:pPr>
      <w:r>
        <w:t xml:space="preserve">Climate science has faced the same problem in other records and treats it as a question of homogeneity.</w:t>
      </w:r>
      <w:r>
        <w:t xml:space="preserve"> </w:t>
      </w:r>
      <w:r>
        <w:t xml:space="preserve">Vose, Applequist, Menne, Williams, &amp; Thorne (2012)</w:t>
      </w:r>
      <w:r>
        <w:t xml:space="preserve"> </w:t>
      </w:r>
      <w:r>
        <w:t xml:space="preserve">found that a change from afternoon to morning observation at about 20 per cent of the United States Historical Climatology Network stations imposed an artificial decrease of 0.20 °C on the national temperature trend, and</w:t>
      </w:r>
      <w:r>
        <w:t xml:space="preserve"> </w:t>
      </w:r>
      <w:r>
        <w:t xml:space="preserve">Bengtsson, Hagemann, &amp; Hodges (2004)</w:t>
      </w:r>
      <w:r>
        <w:t xml:space="preserve"> </w:t>
      </w:r>
      <w:r>
        <w:t xml:space="preserve">found that the ERA-40 warming trend of 0.14 K per decade for 1958 to 2001 fell to 0.10 K per decade once changes in the observing system were accounted for.</w:t>
      </w:r>
      <w:r>
        <w:t xml:space="preserve"> </w:t>
      </w:r>
      <w:r>
        <w:t xml:space="preserve">Thorne &amp; Vose (2010)</w:t>
      </w:r>
      <w:r>
        <w:t xml:space="preserve"> </w:t>
      </w:r>
      <w:r>
        <w:t xml:space="preserve">argued that reanalyses carried time-varying biases that at best reduce their utility for long-term trend monitoring,</w:t>
      </w:r>
      <w:r>
        <w:t xml:space="preserve"> </w:t>
      </w:r>
      <w:r>
        <w:t xml:space="preserve">Venema et al. (2012)</w:t>
      </w:r>
      <w:r>
        <w:t xml:space="preserve"> </w:t>
      </w:r>
      <w:r>
        <w:t xml:space="preserve">benchmarked the algorithms used to remove such breaks from station networks, and</w:t>
      </w:r>
      <w:r>
        <w:t xml:space="preserve"> </w:t>
      </w:r>
      <w:r>
        <w:t xml:space="preserve">Santer et al. (2000)</w:t>
      </w:r>
      <w:r>
        <w:t xml:space="preserve"> </w:t>
      </w:r>
      <w:r>
        <w:t xml:space="preserve">showed that testing the trend in the difference between two temperature data sets found significant trend differences in about 30 per cent of pairs, mainly from differences in measurement system.</w:t>
      </w:r>
      <w:r>
        <w:t xml:space="preserve"> </w:t>
      </w:r>
      <w:r>
        <w:t xml:space="preserve">Tsinko, Bakhshaii, Johnson, &amp; Martin (2018)</w:t>
      </w:r>
      <w:r>
        <w:t xml:space="preserve"> </w:t>
      </w:r>
      <w:r>
        <w:t xml:space="preserve">found the same problem in the Fire Weather Index itself, in that computing the System from raw and homogenised weather at 16 Canadian stations showed that homogenising the 66-year records lowered index values by about 0.7 to 8.4 per cent and reversed the long-term trend at some stations, among them Kapuskasing. The formulation of an index moves its trend in the same way.</w:t>
      </w:r>
      <w:r>
        <w:t xml:space="preserve"> </w:t>
      </w:r>
      <w:r>
        <w:t xml:space="preserve">Vicente-Serrano, Beguería, &amp; López-Moreno (2010)</w:t>
      </w:r>
      <w:r>
        <w:t xml:space="preserve"> </w:t>
      </w:r>
      <w:r>
        <w:t xml:space="preserve">found that under imposed warming only the drought indices that included evapotranspiration showed an increase in drought severity,</w:t>
      </w:r>
      <w:r>
        <w:t xml:space="preserve"> </w:t>
      </w:r>
      <w:r>
        <w:t xml:space="preserve">Tory, Cruz, Matthews, Kilinc, &amp; McCaw (2024)</w:t>
      </w:r>
      <w:r>
        <w:t xml:space="preserve"> </w:t>
      </w:r>
      <w:r>
        <w:t xml:space="preserve">found that the temperature and humidity functions inside 16 fire danger and fire spread models turned three hypothetical climate change scenarios into projections ranging from minimal change to an increase of more than 50 per cent, with non-trivial differences even between models designed for similar fuels, and</w:t>
      </w:r>
      <w:r>
        <w:t xml:space="preserve"> </w:t>
      </w:r>
      <w:r>
        <w:t xml:space="preserve">Dunn &amp; Morice (2022)</w:t>
      </w:r>
      <w:r>
        <w:t xml:space="preserve"> </w:t>
      </w:r>
      <w:r>
        <w:t xml:space="preserve">found that changing the reference period of a percentile index changed trends computed from the same data over the same years by 25 to 50 per cent. Percentile indices carry a further inhomogeneity of their own, since</w:t>
      </w:r>
      <w:r>
        <w:t xml:space="preserve"> </w:t>
      </w:r>
      <w:r>
        <w:t xml:space="preserve">X. Zhang, Hegerl, Zwiers, &amp; Kenyon (2005)</w:t>
      </w:r>
      <w:r>
        <w:t xml:space="preserve"> </w:t>
      </w:r>
      <w:r>
        <w:t xml:space="preserve">showed that counts above a threshold set from a base period are biased at its boundaries and can show a trend in data that have none.</w:t>
      </w:r>
    </w:p>
    <w:p>
      <w:pPr>
        <w:pStyle w:val="BodyText"/>
      </w:pPr>
      <w:r>
        <w:t xml:space="preserve">In 2025 the Canadian Forest Service Fire Danger Group replaced the 1987 System. The successor, which that report labelled FWI2025 to keep it distinct from FWI1987</w:t>
      </w:r>
      <w:r>
        <w:t xml:space="preserve"> </w:t>
      </w:r>
      <w:r>
        <w:t xml:space="preserve">(Canadian Forest Service Fire Danger Group, 2025)</w:t>
      </w:r>
      <w:r>
        <w:t xml:space="preserve">, was not a recalibration. The first of the key updates its executive summary listed was</w:t>
      </w:r>
      <w:r>
        <w:t xml:space="preserve"> </w:t>
      </w:r>
      <w:r>
        <w:t xml:space="preserve">“Using hourly weather to better reflect maximum burning conditions”</w:t>
      </w:r>
      <w:r>
        <w:t xml:space="preserve"> </w:t>
      </w:r>
      <w:r>
        <w:t xml:space="preserve">(Canadian Forest Service Fire Danger Group, 2025, p. 2)</w:t>
      </w:r>
      <w:r>
        <w:t xml:space="preserve">, and section 4.1.1 stated that</w:t>
      </w:r>
      <w:r>
        <w:t xml:space="preserve"> </w:t>
      </w:r>
      <w:r>
        <w:t xml:space="preserve">“the time lag function used in the FWI2025 for the FFMC has been cut in half”</w:t>
      </w:r>
      <w:r>
        <w:t xml:space="preserve"> </w:t>
      </w:r>
      <w:r>
        <w:t xml:space="preserve">(Canadian Forest Service Fire Danger Group, 2025, p. 19)</w:t>
      </w:r>
      <w:r>
        <w:t xml:space="preserve">. The System now runs on an hourly stream, takes latitude, longitude and date so that daylight length enters the moisture calculation, and adopted the Initial Spread Index of the Fire Behaviour Prediction System</w:t>
      </w:r>
      <w:r>
        <w:t xml:space="preserve"> </w:t>
      </w:r>
      <w:r>
        <w:t xml:space="preserve">(Forestry Canada Fire Danger Group, 1992)</w:t>
      </w:r>
      <w:r>
        <w:t xml:space="preserve"> </w:t>
      </w:r>
      <w:r>
        <w:t xml:space="preserve">in place of the original.</w:t>
      </w:r>
    </w:p>
    <w:p>
      <w:pPr>
        <w:pStyle w:val="BodyText"/>
      </w:pPr>
      <w:r>
        <w:t xml:space="preserve">Alongside those changes the report made a claim of continuity. Section 4.1 said that</w:t>
      </w:r>
      <w:r>
        <w:t xml:space="preserve"> </w:t>
      </w:r>
      <w:r>
        <w:t xml:space="preserve">“an FFMC of 91 in FWI1987 should correspond to an FFMC of approximately 91 in FWI2025”</w:t>
      </w:r>
      <w:r>
        <w:t xml:space="preserve">, and that deviations</w:t>
      </w:r>
      <w:r>
        <w:t xml:space="preserve"> </w:t>
      </w:r>
      <w:r>
        <w:t xml:space="preserve">“should reflect meaningful differences in fuel moisture content”</w:t>
      </w:r>
      <w:r>
        <w:t xml:space="preserve"> </w:t>
      </w:r>
      <w:r>
        <w:t xml:space="preserve">(Canadian Forest Service Fire Danger Group, 2025, p. 18)</w:t>
      </w:r>
      <w:r>
        <w:t xml:space="preserve">. Read as written the claim was about levels, and it was plausible, because the update was designed so that a number on the old scale means roughly what it used to mean.</w:t>
      </w:r>
    </w:p>
    <w:p>
      <w:pPr>
        <w:pStyle w:val="BodyText"/>
      </w:pPr>
      <w:r>
        <w:t xml:space="preserve">The difficulty is that fire danger trends are almost never reported as levels but as counts of days above a threshold, as seasonal severity accumulated over a season, or as the frequency of an extreme, as the studies above show. Those are properties of the upper tail, and a change that leaves a distribution’s centre alone can still move its tail. Halving a drying time lag does exactly that, because it lets the litter layer respond further within a day, which widens the diurnal swing without necessarily shifting the daily mean.</w:t>
      </w:r>
      <w:r>
        <w:t xml:space="preserve"> </w:t>
      </w:r>
      <w:r>
        <w:t xml:space="preserve">Herrera et al. (2013)</w:t>
      </w:r>
      <w:r>
        <w:t xml:space="preserve"> </w:t>
      </w:r>
      <w:r>
        <w:t xml:space="preserve">found that summarising the input weather as daily means missed 45 per cent of the extreme days, and if the version change widens the tail in a comparable way, an extreme-day count computed under FWI2025 will trend at a different rate from the same count computed under FWI1987, and every published Canadian fire danger trend becomes version-contingent in a way that had not been quantified.</w:t>
      </w:r>
    </w:p>
    <w:p>
      <w:pPr>
        <w:pStyle w:val="BodyText"/>
      </w:pPr>
      <w:r>
        <w:t xml:space="preserve">Testing that is not straightforward, because FWI1987 and FWI2025 differ in two respects at once. FWI1987 takes a single daily observation at 13:00 local daylight time. FWI2025</w:t>
      </w:r>
      <w:r>
        <w:t xml:space="preserve"> </w:t>
      </w:r>
      <w:r>
        <w:t xml:space="preserve">“calculations always use hourly weather”</w:t>
      </w:r>
      <w:r>
        <w:t xml:space="preserve"> </w:t>
      </w:r>
      <w:r>
        <w:t xml:space="preserve">(Canadian Forest Service Fire Danger Group, 2025, pg. 8)</w:t>
      </w:r>
      <w:r>
        <w:t xml:space="preserve"> </w:t>
      </w:r>
      <w:r>
        <w:t xml:space="preserve">and offered three input pathways, ranked in that report as best, good and usable</w:t>
      </w:r>
      <w:r>
        <w:t xml:space="preserve"> </w:t>
      </w:r>
      <w:r>
        <w:t xml:space="preserve">(Canadian Forest Service Fire Danger Group, 2025, p. 7)</w:t>
      </w:r>
      <w:r>
        <w:t xml:space="preserve">, namely direct hourly observations, daily maxima and minima, and the legacy 13:00 observation. Running the old system on noon data against the new system on hourly data therefore confounds the version change with the input change, and a difference found that way could not be attributed to either, which is the situation</w:t>
      </w:r>
      <w:r>
        <w:t xml:space="preserve"> </w:t>
      </w:r>
      <w:r>
        <w:t xml:space="preserve">Matthews (2009)</w:t>
      </w:r>
      <w:r>
        <w:t xml:space="preserve"> </w:t>
      </w:r>
      <w:r>
        <w:t xml:space="preserve">met when differences between systems cancelled once each used its own observation time.</w:t>
      </w:r>
    </w:p>
    <w:p>
      <w:pPr>
        <w:pStyle w:val="BodyText"/>
      </w:pPr>
      <w:r>
        <w:t xml:space="preserve">This study separated them. Three danger series were computed from one hourly weather record for one basin, FWI1987 driven by the 13:00 observation, FWI2025 driven by the same 13:00 observation through the report’s pathway C, and FWI2025 driven by the observed hourly weather through pathway A. The first contrast moved the version and held the input fixed, the second moved the input and held the version fixed, and the third was the contrast an agency actually faces when it migrates, which is the sum of the other two.</w:t>
      </w:r>
      <w:r>
        <w:t xml:space="preserve"> </w:t>
      </w:r>
      <w:hyperlink w:anchor="tbl-expectations">
        <w:r>
          <w:rPr>
            <w:rStyle w:val="Hyperlink"/>
          </w:rPr>
          <w:t xml:space="preserve">Table 1</w:t>
        </w:r>
      </w:hyperlink>
      <w:r>
        <w:t xml:space="preserve"> </w:t>
      </w:r>
      <w:r>
        <w:t xml:space="preserve">sets out what the literature above led the study to expect for each metric family.</w:t>
      </w:r>
    </w:p>
    <w:tbl>
      <w:tblPr>
        <w:tblStyle w:val="Table"/>
        <w:tblW w:type="pct" w:w="5000"/>
        <w:tblLayout w:type="fixed"/>
        <w:tblLook w:firstRow="0" w:lastRow="0" w:firstColumn="0" w:lastColumn="0" w:noHBand="0" w:noVBand="0" w:val="0000"/>
      </w:tblPr>
      <w:tblGrid>
        <w:gridCol w:w="7920"/>
      </w:tblGrid>
      <w:tr>
        <w:tc>
          <w:tcPr/>
          <w:bookmarkStart w:id="20" w:name="tbl-expectations"/>
          <w:p>
            <w:pPr>
              <w:jc w:val="center"/>
            </w:pPr>
            <w:pPr>
              <w:jc w:val="start"/>
              <w:spacing w:before="200"/>
              <w:pStyle w:val="ImageCaption"/>
            </w:pPr>
            <w:r>
              <w:t xml:space="preserve">Table 1: Expected direction of each metric family and the literature it rests 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Metric family</w:t>
                  </w:r>
                </w:p>
              </w:tc>
              <w:tc>
                <w:tcPr/>
                <w:p>
                  <w:pPr>
                    <w:pStyle w:val="Compact"/>
                    <w:jc w:val="center"/>
                  </w:pPr>
                  <w:r>
                    <w:t xml:space="preserve">Expected direction</w:t>
                  </w:r>
                </w:p>
              </w:tc>
              <w:tc>
                <w:tcPr/>
                <w:p>
                  <w:pPr>
                    <w:pStyle w:val="Compact"/>
                    <w:jc w:val="center"/>
                  </w:pPr>
                  <w:r>
                    <w:t xml:space="preserve">Basis</w:t>
                  </w:r>
                </w:p>
              </w:tc>
            </w:tr>
            <w:tr>
              <w:tc>
                <w:tcPr/>
                <w:p>
                  <w:pPr>
                    <w:pStyle w:val="Compact"/>
                    <w:jc w:val="center"/>
                  </w:pPr>
                  <w:r>
                    <w:t xml:space="preserve">Mean Fire Weather Index and seasonal severity rating</w:t>
                  </w:r>
                </w:p>
              </w:tc>
              <w:tc>
                <w:tcPr/>
                <w:p>
                  <w:pPr>
                    <w:pStyle w:val="Compact"/>
                    <w:jc w:val="center"/>
                  </w:pPr>
                  <w:r>
                    <w:t xml:space="preserve">Positive trend in all three series; small difference in level between versions</w:t>
                  </w:r>
                </w:p>
              </w:tc>
              <w:tc>
                <w:tcPr/>
                <w:p>
                  <w:pPr>
                    <w:pStyle w:val="Compact"/>
                    <w:jc w:val="center"/>
                  </w:pPr>
                  <w:r>
                    <w:t xml:space="preserve">Rising moisture deficits after 2005</w:t>
                  </w:r>
                  <w:r>
                    <w:t xml:space="preserve"> </w:t>
                  </w:r>
                  <w:r>
                    <w:t xml:space="preserve">(Parisien et al., 2023)</w:t>
                  </w:r>
                  <w:r>
                    <w:t xml:space="preserve">; comparability of levels claimed in section 4.1 of</w:t>
                  </w:r>
                  <w:r>
                    <w:t xml:space="preserve"> </w:t>
                  </w:r>
                  <w:r>
                    <w:t xml:space="preserve">Canadian Forest Service Fire Danger Group (2025)</w:t>
                  </w:r>
                </w:p>
              </w:tc>
            </w:tr>
            <w:tr>
              <w:tc>
                <w:tcPr/>
                <w:p>
                  <w:pPr>
                    <w:pStyle w:val="Compact"/>
                    <w:jc w:val="center"/>
                  </w:pPr>
                  <w:r>
                    <w:t xml:space="preserve">Days above absolute thresholds, FFMC 91, FWI 19 and FWI 30</w:t>
                  </w:r>
                </w:p>
              </w:tc>
              <w:tc>
                <w:tcPr/>
                <w:p>
                  <w:pPr>
                    <w:pStyle w:val="Compact"/>
                    <w:jc w:val="center"/>
                  </w:pPr>
                  <w:r>
                    <w:t xml:space="preserve">Positive trend; steeper under FWI2025 than FWI1987; input resolution also moves the count</w:t>
                  </w:r>
                </w:p>
              </w:tc>
              <w:tc>
                <w:tcPr/>
                <w:p>
                  <w:pPr>
                    <w:pStyle w:val="Compact"/>
                    <w:jc w:val="center"/>
                  </w:pPr>
                  <w:r>
                    <w:t xml:space="preserve">Halved Fine Fuel Moisture Code time lag</w:t>
                  </w:r>
                  <w:r>
                    <w:t xml:space="preserve"> </w:t>
                  </w:r>
                  <w:r>
                    <w:t xml:space="preserve">(Canadian Forest Service Fire Danger Group, 2025)</w:t>
                  </w:r>
                  <w:r>
                    <w:t xml:space="preserve">; extreme days sensitive to how the input weather is summarised</w:t>
                  </w:r>
                  <w:r>
                    <w:t xml:space="preserve"> </w:t>
                  </w:r>
                  <w:r>
                    <w:t xml:space="preserve">(Herrera et al., 2013; Rodell et al., 2024)</w:t>
                  </w:r>
                </w:p>
              </w:tc>
            </w:tr>
            <w:tr>
              <w:tc>
                <w:tcPr/>
                <w:p>
                  <w:pPr>
                    <w:pStyle w:val="Compact"/>
                    <w:jc w:val="center"/>
                  </w:pPr>
                  <w:r>
                    <w:t xml:space="preserve">Days above each series’ own 90th and 95th percentiles</w:t>
                  </w:r>
                </w:p>
              </w:tc>
              <w:tc>
                <w:tcPr/>
                <w:p>
                  <w:pPr>
                    <w:pStyle w:val="Compact"/>
                    <w:jc w:val="center"/>
                  </w:pPr>
                  <w:r>
                    <w:t xml:space="preserve">Positive trend; little difference between series; bias outside the base period</w:t>
                  </w:r>
                </w:p>
              </w:tc>
              <w:tc>
                <w:tcPr/>
                <w:p>
                  <w:pPr>
                    <w:pStyle w:val="Compact"/>
                    <w:jc w:val="center"/>
                  </w:pPr>
                  <w:r>
                    <w:t xml:space="preserve">Percentile thresholds move with the series</w:t>
                  </w:r>
                  <w:r>
                    <w:t xml:space="preserve"> </w:t>
                  </w:r>
                  <w:r>
                    <w:t xml:space="preserve">(X. Zhang et al., 2011)</w:t>
                  </w:r>
                  <w:r>
                    <w:t xml:space="preserve">; base-period inhomogeneity</w:t>
                  </w:r>
                  <w:r>
                    <w:t xml:space="preserve"> </w:t>
                  </w:r>
                  <w:r>
                    <w:t xml:space="preserve">(Dunn &amp; Morice, 2022; X. Zhang et al., 2005)</w:t>
                  </w:r>
                </w:p>
              </w:tc>
            </w:tr>
            <w:tr>
              <w:tc>
                <w:tcPr/>
                <w:p>
                  <w:pPr>
                    <w:pStyle w:val="Compact"/>
                    <w:jc w:val="center"/>
                  </w:pPr>
                  <w:r>
                    <w:t xml:space="preserve">Daily lightning, person-caused and all-cause ignitions</w:t>
                  </w:r>
                </w:p>
              </w:tc>
              <w:tc>
                <w:tcPr/>
                <w:p>
                  <w:pPr>
                    <w:pStyle w:val="Compact"/>
                    <w:jc w:val="center"/>
                  </w:pPr>
                  <w:r>
                    <w:t xml:space="preserve">Positive association with daily danger; weaker for lightning without strike data</w:t>
                  </w:r>
                </w:p>
              </w:tc>
              <w:tc>
                <w:tcPr/>
                <w:p>
                  <w:pPr>
                    <w:pStyle w:val="Compact"/>
                    <w:jc w:val="center"/>
                  </w:pPr>
                  <w:r>
                    <w:t xml:space="preserve">Daily fire occurrence in British Columbia</w:t>
                  </w:r>
                  <w:r>
                    <w:t xml:space="preserve"> </w:t>
                  </w:r>
                  <w:r>
                    <w:t xml:space="preserve">(Magnussen &amp; Taylor, 2012)</w:t>
                  </w:r>
                  <w:r>
                    <w:t xml:space="preserve">; strike data in lightning occurrence models</w:t>
                  </w:r>
                  <w:r>
                    <w:t xml:space="preserve"> </w:t>
                  </w:r>
                  <w:r>
                    <w:t xml:space="preserve">(B. M. Wotton &amp; Martell, 2005)</w:t>
                  </w:r>
                </w:p>
              </w:tc>
            </w:tr>
          </w:tbl>
          <w:bookmarkEnd w:id="20"/>
          <w:p/>
        </w:tc>
      </w:tr>
    </w:tbl>
    <w:p>
      <w:pPr>
        <w:pStyle w:val="BodyText"/>
      </w:pPr>
      <w:r>
        <w:t xml:space="preserve">Three questions were asked. The first asked what the 1991 to 2025 trend in seasonal fire danger in the Okanagan basin was under each series, estimated identically. The second asked whether the three series gave different trends, and if so whether the difference lay in the version or in the input resolution. The prediction under test was specific and had two ways to fail. Under thresholds fixed in absolute index units, the faster-drying FWI2025 should widen the upper tail and produce a steeper positive slope in extreme-day counts than FWI1987, whereas under thresholds set as percentiles internal to each series over a common reference period that difference should largely vanish, because a percentile threshold moves with the series it is computed from. Divergence under both schemes, or under neither, would refute the mechanism rather than support it. The third asked whether any of the three predicted daily ignition counts better than the others, and whether the relationship between danger and ignition was stationary across the record.</w:t>
      </w:r>
    </w:p>
    <w:p>
      <w:pPr>
        <w:pStyle w:val="BodyText"/>
      </w:pPr>
      <w:r>
        <w:t xml:space="preserve">The Okanagan basin was a suitable place to ask. It is a populated, fire-prone valley in the southern interior of British Columbia, the part of the province</w:t>
      </w:r>
      <w:r>
        <w:t xml:space="preserve"> </w:t>
      </w:r>
      <w:r>
        <w:t xml:space="preserve">Haughian et al. (2012)</w:t>
      </w:r>
      <w:r>
        <w:t xml:space="preserve"> </w:t>
      </w:r>
      <w:r>
        <w:t xml:space="preserve">expected to see the largest increases in fire indices, with a long instrumented fire weather record, and its terrain is steep enough that a station record is preferable to a reanalysis whose fire danger biases are largest in mountainous areas</w:t>
      </w:r>
      <w:r>
        <w:t xml:space="preserve"> </w:t>
      </w:r>
      <w:r>
        <w:t xml:space="preserve">(Vitolo et al., 2020)</w:t>
      </w:r>
      <w:r>
        <w:t xml:space="preserve">. The study detected change and did not attribute it, in that nothing here separated a change in fire danger from its causes, and no claim about anthropogenic forcing was made or implied.</w:t>
      </w:r>
    </w:p>
    <w:p>
      <w:pPr>
        <w:pStyle w:val="BodyText"/>
      </w:pPr>
      <w:r>
        <w:t xml:space="preserve">The paper is organised as follows.</w:t>
      </w:r>
      <w:r>
        <w:t xml:space="preserve"> </w:t>
      </w:r>
      <w:hyperlink w:anchor="sec-data">
        <w:r>
          <w:rPr>
            <w:rStyle w:val="Hyperlink"/>
          </w:rPr>
          <w:t xml:space="preserve">Section 2</w:t>
        </w:r>
      </w:hyperlink>
      <w:r>
        <w:t xml:space="preserve"> </w:t>
      </w:r>
      <w:r>
        <w:t xml:space="preserve">describes the basin, the two versions of the System, the hourly weather record and the ignition record.</w:t>
      </w:r>
      <w:r>
        <w:t xml:space="preserve"> </w:t>
      </w:r>
      <w:hyperlink w:anchor="sec-methods">
        <w:r>
          <w:rPr>
            <w:rStyle w:val="Hyperlink"/>
          </w:rPr>
          <w:t xml:space="preserve">Section 3</w:t>
        </w:r>
      </w:hyperlink>
      <w:r>
        <w:t xml:space="preserve"> </w:t>
      </w:r>
      <w:r>
        <w:t xml:space="preserve">sets out the three-series design, the index computation and its checks, the seasonal metrics and thresholds, and the trend, slope-difference and ignition models.</w:t>
      </w:r>
      <w:r>
        <w:t xml:space="preserve"> </w:t>
      </w:r>
      <w:hyperlink w:anchor="sec-results">
        <w:r>
          <w:rPr>
            <w:rStyle w:val="Hyperlink"/>
          </w:rPr>
          <w:t xml:space="preserve">Section 4</w:t>
        </w:r>
      </w:hyperlink>
      <w:r>
        <w:t xml:space="preserve"> </w:t>
      </w:r>
      <w:r>
        <w:t xml:space="preserve">reports the implementation checks, the position of each threshold in each series, the mechanism, the trends, the slope differences and the ignition skill.</w:t>
      </w:r>
      <w:r>
        <w:t xml:space="preserve"> </w:t>
      </w:r>
      <w:hyperlink w:anchor="sec-discussion">
        <w:r>
          <w:rPr>
            <w:rStyle w:val="Hyperlink"/>
          </w:rPr>
          <w:t xml:space="preserve">Section 5</w:t>
        </w:r>
      </w:hyperlink>
      <w:r>
        <w:t xml:space="preserve"> </w:t>
      </w:r>
      <w:r>
        <w:t xml:space="preserve">interprets the opposing directions of the two changes and states what the record can and cannot resolve, and</w:t>
      </w:r>
      <w:r>
        <w:t xml:space="preserve"> </w:t>
      </w:r>
      <w:hyperlink w:anchor="sec-conclusions">
        <w:r>
          <w:rPr>
            <w:rStyle w:val="Hyperlink"/>
          </w:rPr>
          <w:t xml:space="preserve">Section 6</w:t>
        </w:r>
      </w:hyperlink>
      <w:r>
        <w:t xml:space="preserve"> </w:t>
      </w:r>
      <w:r>
        <w:t xml:space="preserve">closes.</w:t>
      </w:r>
    </w:p>
    <w:bookmarkEnd w:id="21"/>
    <w:bookmarkStart w:id="42" w:name="sec-data"/>
    <w:p>
      <w:pPr>
        <w:pStyle w:val="Heading1"/>
      </w:pPr>
      <w:r>
        <w:t xml:space="preserve">2. Data</w:t>
      </w:r>
    </w:p>
    <w:bookmarkStart w:id="26" w:name="study-area"/>
    <w:p>
      <w:pPr>
        <w:pStyle w:val="Heading2"/>
      </w:pPr>
      <w:r>
        <w:t xml:space="preserve">2.1 Study Area</w:t>
      </w:r>
    </w:p>
    <w:p>
      <w:pPr>
        <w:pStyle w:val="FirstParagraph"/>
      </w:pPr>
      <w:r>
        <w:t xml:space="preserve">The study area was the Okanagan River watershed group of the British Columbia Freshwater Atlas, 795,417 ha in the southern interior of British Columbia, shown in</w:t>
      </w:r>
      <w:r>
        <w:t xml:space="preserve"> </w:t>
      </w:r>
      <w:hyperlink w:anchor="fig-study-area">
        <w:r>
          <w:rPr>
            <w:rStyle w:val="Hyperlink"/>
          </w:rPr>
          <w:t xml:space="preserve">Figure 1</w:t>
        </w:r>
      </w:hyperlink>
      <w:r>
        <w:t xml:space="preserve">, with relief from 273 m at the valley floor to 2,604 m on the flanking uplands.</w:t>
      </w:r>
    </w:p>
    <w:p>
      <w:pPr>
        <w:pStyle w:val="BodyText"/>
      </w:pPr>
      <w:r>
        <w:t xml:space="preserve">Three official boundaries carry the name Okanagan and they disagree by a factor of two, so the choice is stated. The provincial major watershed WA2</w:t>
      </w:r>
      <w:r>
        <w:t xml:space="preserve"> </w:t>
      </w:r>
      <w:r>
        <w:t xml:space="preserve">“Okanagan River”</w:t>
      </w:r>
      <w:r>
        <w:t xml:space="preserve"> </w:t>
      </w:r>
      <w:r>
        <w:t xml:space="preserve">(GeoBC Branch, 2026a)</w:t>
      </w:r>
      <w:r>
        <w:t xml:space="preserve"> </w:t>
      </w:r>
      <w:r>
        <w:t xml:space="preserve">measured 1,554,467 ha only because it annexes the Similkameen, a separate valley joined to it in that layer because the Similkameen reaches the Okanogan River in Washington State rather than because it drains to Okanagan Lake. The federal Water Survey of Canada sub-sub-drainage 08NM</w:t>
      </w:r>
      <w:r>
        <w:t xml:space="preserve"> </w:t>
      </w:r>
      <w:r>
        <w:t xml:space="preserve">(Environmental Monitoring and Analysis Branch, 2026)</w:t>
      </w:r>
      <w:r>
        <w:t xml:space="preserve"> </w:t>
      </w:r>
      <w:r>
        <w:t xml:space="preserve">measured 1,203,045 ha because 402,172 ha of it lies south of the international boundary. Within Canada the federal and provincial frameworks described the same basin to within 1.3 per cent. The study area was therefore the Freshwater Atlas group</w:t>
      </w:r>
      <w:r>
        <w:t xml:space="preserve"> </w:t>
      </w:r>
      <w:r>
        <w:t xml:space="preserve">(GeoBC Branch, 2026b)</w:t>
      </w:r>
      <w:r>
        <w:t xml:space="preserve">, the Canadian portion of the Okanagan watershed, entire.</w:t>
      </w:r>
    </w:p>
    <w:p>
      <w:pPr>
        <w:pStyle w:val="BodyText"/>
      </w:pPr>
      <w:r>
        <w:t xml:space="preserve">The United States portion of the basin was out of scope by design and not by oversight, because the ignition record is the BC Wildfire Service incident set, the weather record is the BC Wildfire Service station network, and neither crosses the border, so a binational basin could not be measured with one consistent record. Every result below is for the Canadian basin and no inference is offered about the basin as a whole.</w:t>
      </w:r>
    </w:p>
    <w:tbl>
      <w:tblPr>
        <w:tblStyle w:val="Table"/>
        <w:tblW w:type="pct" w:w="5000"/>
        <w:tblLayout w:type="fixed"/>
        <w:tblLook w:firstRow="0" w:lastRow="0" w:firstColumn="0" w:lastColumn="0" w:noHBand="0" w:noVBand="0" w:val="0000"/>
      </w:tblPr>
      <w:tblGrid>
        <w:gridCol w:w="7920"/>
      </w:tblGrid>
      <w:tr>
        <w:tc>
          <w:tcPr/>
          <w:bookmarkStart w:id="25" w:name="fig-study-area"/>
          <w:p>
            <w:pPr>
              <w:pStyle w:val="Compact"/>
              <w:jc w:val="center"/>
            </w:pPr>
            <w:r>
              <w:drawing>
                <wp:inline>
                  <wp:extent cx="5943600" cy="7132320"/>
                  <wp:effectExtent b="0" l="0" r="0" t="0"/>
                  <wp:docPr descr="" title="" id="23" name="Picture"/>
                  <a:graphic>
                    <a:graphicData uri="http://schemas.openxmlformats.org/drawingml/2006/picture">
                      <pic:pic>
                        <pic:nvPicPr>
                          <pic:cNvPr descr="../03.outputs/figures/mfig-fig-study-area-1.png" id="24" name="Picture"/>
                          <pic:cNvPicPr>
                            <a:picLocks noChangeArrowheads="1" noChangeAspect="1"/>
                          </pic:cNvPicPr>
                        </pic:nvPicPr>
                        <pic:blipFill>
                          <a:blip r:embed="rId22"/>
                          <a:stretch>
                            <a:fillRect/>
                          </a:stretch>
                        </pic:blipFill>
                        <pic:spPr bwMode="auto">
                          <a:xfrm>
                            <a:off x="0" y="0"/>
                            <a:ext cx="5943600" cy="713232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Study area, ignition record and weather record. Okanagan River watershed group, British Columbia Freshwater Atlas</w:t>
            </w:r>
            <w:r>
              <w:t xml:space="preserve"> </w:t>
            </w:r>
            <w:r>
              <w:t xml:space="preserve">(GeoBC Branch, 2026b)</w:t>
            </w:r>
            <w:r>
              <w:t xml:space="preserve">, 795,417 ha. Points are the 8,176 wildfire incidents recorded inside the basin between 1980 and 2025 in the BC Wildfire Service historical incident record</w:t>
            </w:r>
            <w:r>
              <w:t xml:space="preserve"> </w:t>
            </w:r>
            <w:r>
              <w:t xml:space="preserve">(BC Wildfire Service, 2026a)</w:t>
            </w:r>
            <w:r>
              <w:t xml:space="preserve">, coloured by reported cause; 3,633 carry no recorded cause and are drawn as unknown. Triangles are the 5 BC Wildfire Service fire weather stations inside the basin</w:t>
            </w:r>
            <w:r>
              <w:t xml:space="preserve"> </w:t>
            </w:r>
            <w:r>
              <w:t xml:space="preserve">(BC Wildfire Service, 2026b)</w:t>
            </w:r>
            <w:r>
              <w:t xml:space="preserve">, which are the entire weather record used here. Lakes, streams and municipalities are from the Freshwater Atlas and the provincial administrative boundaries</w:t>
            </w:r>
            <w:r>
              <w:t xml:space="preserve"> </w:t>
            </w:r>
            <w:r>
              <w:t xml:space="preserve">(GeoBC Branch, 2026c, 2026d; Governance and Structure Branch, 2026)</w:t>
            </w:r>
            <w:r>
              <w:t xml:space="preserve">. Relief is a hillshade of a 99 m digital elevation model</w:t>
            </w:r>
            <w:r>
              <w:t xml:space="preserve"> </w:t>
            </w:r>
            <w:r>
              <w:t xml:space="preserve">(Amazon Web Services, 2026)</w:t>
            </w:r>
            <w:r>
              <w:t xml:space="preserve">. Coordinate reference system NAD83 / BC Albers, EPSG:3005; graticule labelled in WGS84 degrees. Representative fraction approximately 1:861,000 at a 5.2 inch panel width.</w:t>
            </w:r>
          </w:p>
          <w:bookmarkEnd w:id="25"/>
        </w:tc>
      </w:tr>
    </w:tbl>
    <w:bookmarkEnd w:id="26"/>
    <w:bookmarkStart w:id="27" w:name="fire-danger-systems"/>
    <w:p>
      <w:pPr>
        <w:pStyle w:val="Heading2"/>
      </w:pPr>
      <w:r>
        <w:t xml:space="preserve">2.2 Fire Danger Systems</w:t>
      </w:r>
    </w:p>
    <w:p>
      <w:pPr>
        <w:pStyle w:val="FirstParagraph"/>
      </w:pPr>
      <w:r>
        <w:t xml:space="preserve">Since 1970 fire danger in Canada has been rated with the Canadian Forest Fire Weather Index System</w:t>
      </w:r>
      <w:r>
        <w:t xml:space="preserve"> </w:t>
      </w:r>
      <w:r>
        <w:t xml:space="preserve">(Canadian Forest Service Fire Danger Group, 2025)</w:t>
      </w:r>
      <w:r>
        <w:t xml:space="preserve">, one part of the Canadian Forest Fire Danger Rating System.</w:t>
      </w:r>
      <w:r>
        <w:t xml:space="preserve"> </w:t>
      </w:r>
      <w:r>
        <w:t xml:space="preserve">Stocks et al. (1989)</w:t>
      </w:r>
      <w:r>
        <w:t xml:space="preserve"> </w:t>
      </w:r>
      <w:r>
        <w:t xml:space="preserve">described that rating system as four modules,</w:t>
      </w:r>
      <w:r>
        <w:t xml:space="preserve"> </w:t>
      </w:r>
      <w:r>
        <w:t xml:space="preserve">“the now familiar Canadian Forest Fire Weather Index (FWI) System, the recently introduced Canadian Forest Fire Behavior Prediction (FBP) System, a proposed Canadian Forest Fire Occurrence Prediction (FOP) System, and the incomplete Accessory Fuel Moisture System”</w:t>
      </w:r>
      <w:r>
        <w:t xml:space="preserve"> </w:t>
      </w:r>
      <w:r>
        <w:t xml:space="preserve">(Stocks et al., 1989, p. 451)</w:t>
      </w:r>
      <w:r>
        <w:t xml:space="preserve">, the last intended to carry fuel-specific moisture codes for fuels such as cured grass and deciduous leaf litter.</w:t>
      </w:r>
      <w:r>
        <w:t xml:space="preserve"> </w:t>
      </w:r>
      <w:r>
        <w:t xml:space="preserve">Stephen W. Taylor &amp; Alexander (2006)</w:t>
      </w:r>
      <w:r>
        <w:t xml:space="preserve"> </w:t>
      </w:r>
      <w:r>
        <w:t xml:space="preserve">later described two primary subsystems, the Fire Weather Index System and the Fire Behaviour Prediction System</w:t>
      </w:r>
      <w:r>
        <w:t xml:space="preserve"> </w:t>
      </w:r>
      <w:r>
        <w:t xml:space="preserve">(Forestry Canada Fire Danger Group, 1992)</w:t>
      </w:r>
      <w:r>
        <w:t xml:space="preserve">. The two divide the problem in a way that matters for this study. The Fire Weather Index System rates the weather against one standard fuel, since</w:t>
      </w:r>
      <w:r>
        <w:t xml:space="preserve"> </w:t>
      </w:r>
      <w:r>
        <w:t xml:space="preserve">“FWI1987 was designed to track conditions in a generalized pine forest (similar to C-3)”</w:t>
      </w:r>
      <w:r>
        <w:t xml:space="preserve"> </w:t>
      </w:r>
      <w:r>
        <w:t xml:space="preserve">(Canadian Forest Service Fire Danger Group, 2025, p. 3)</w:t>
      </w:r>
      <w:r>
        <w:t xml:space="preserve">, whereas the Fire Behaviour Prediction System turns those ratings into spread rate and intensity for a mapped fuel type. Fire danger was measured here with the first of the two, in both of the versions now in circulation, and because the two versions are not interchangeable every value below carries its version.</w:t>
      </w:r>
    </w:p>
    <w:p>
      <w:pPr>
        <w:pStyle w:val="BodyText"/>
      </w:pPr>
      <w:r>
        <w:t xml:space="preserve">FWI1987 is the System specified by</w:t>
      </w:r>
      <w:r>
        <w:t xml:space="preserve"> </w:t>
      </w:r>
      <w:r>
        <w:t xml:space="preserve">Van Wagner (1987)</w:t>
      </w:r>
      <w:r>
        <w:t xml:space="preserve">. Its six components are three fuel moisture codes, the Fine Fuel Moisture Code, the Duff Moisture Code and the Drought Code, and three fire behaviour indices built from them, the Initial Spread Index, the Buildup Index and the Fire Weather Index. A seventh quantity, the Daily Severity Rating, is a power transform of the Fire Weather Index and accumulates over a season into the seasonal severity rating. Its weather inputs are air temperature, relative humidity, ten-metre open wind speed and 24 hour rainfall</w:t>
      </w:r>
      <w:r>
        <w:t xml:space="preserve"> </w:t>
      </w:r>
      <w:r>
        <w:t xml:space="preserve">(Lawson &amp; Armitage, 2008)</w:t>
      </w:r>
      <w:r>
        <w:t xml:space="preserve">, taken from one observation per day at 13:00 local daylight time. No reference period normalises it, because the codes are a bookkeeping system carried from day to day, so a value depends on the whole preceding sequence and not only on the day it describes.</w:t>
      </w:r>
    </w:p>
    <w:p>
      <w:pPr>
        <w:pStyle w:val="BodyText"/>
      </w:pPr>
      <w:r>
        <w:t xml:space="preserve">FWI2025</w:t>
      </w:r>
      <w:r>
        <w:t xml:space="preserve"> </w:t>
      </w:r>
      <w:r>
        <w:t xml:space="preserve">(Canadian Forest Service Fire Danger Group, 2025)</w:t>
      </w:r>
      <w:r>
        <w:t xml:space="preserve"> </w:t>
      </w:r>
      <w:r>
        <w:t xml:space="preserve">kept those components and changed how they were computed. The Fine Fuel Moisture Code was calculated hourly, on a modification of the diurnal method of</w:t>
      </w:r>
      <w:r>
        <w:t xml:space="preserve"> </w:t>
      </w:r>
      <w:r>
        <w:t xml:space="preserve">Van Wagner (1977)</w:t>
      </w:r>
      <w:r>
        <w:t xml:space="preserve">, with the drying time lag halved, and under the right conditions it continued to dry overnight. The report grounded that change in field moisture data, stating that</w:t>
      </w:r>
      <w:r>
        <w:t xml:space="preserve"> </w:t>
      </w:r>
      <w:r>
        <w:t xml:space="preserve">“Observations of litter moisture from the field have suggested that the drying rate in the FFMC model itself is too slow”</w:t>
      </w:r>
      <w:r>
        <w:t xml:space="preserve"> </w:t>
      </w:r>
      <w:r>
        <w:t xml:space="preserve">(Canadian Forest Service Fire Danger Group, 2025, p. 19)</w:t>
      </w:r>
      <w:r>
        <w:t xml:space="preserve"> </w:t>
      </w:r>
      <w:r>
        <w:t xml:space="preserve">and citing the diffusivity experiments of</w:t>
      </w:r>
      <w:r>
        <w:t xml:space="preserve"> </w:t>
      </w:r>
      <w:r>
        <w:t xml:space="preserve">Anderson (1990)</w:t>
      </w:r>
      <w:r>
        <w:t xml:space="preserve">, which found response times of 0.2 to 37 hours in recently dead fine fuels and 0.5 to 10 hours in weathered ones. The field evidence that litter moisture departs from the standard code is older than the update.</w:t>
      </w:r>
      <w:r>
        <w:t xml:space="preserve"> </w:t>
      </w:r>
      <w:r>
        <w:t xml:space="preserve">B. Mike Wotton &amp; Beverly (2007)</w:t>
      </w:r>
      <w:r>
        <w:t xml:space="preserve"> </w:t>
      </w:r>
      <w:r>
        <w:t xml:space="preserve">analysed litter moisture sampled at sites across Canada from 1939 to 1961 and found that forest type, stand density, season and duff moisture each changed the relation between the Fine Fuel Moisture Code and surface litter moisture, and fitted a model adjusting the standard code for them. Outside Canada,</w:t>
      </w:r>
      <w:r>
        <w:t xml:space="preserve"> </w:t>
      </w:r>
      <w:r>
        <w:t xml:space="preserve">J. Zhang, Cui, Wei, Huang, &amp; Di (2017)</w:t>
      </w:r>
      <w:r>
        <w:t xml:space="preserve"> </w:t>
      </w:r>
      <w:r>
        <w:t xml:space="preserve">found that the standard hourly code underestimated dead fine fuel moisture in larch, Scots pine and oak stands of the Great Xing’an Mountains of China, while a locally calibrated version fitted with R</w:t>
      </w:r>
      <w:r>
        <w:rPr>
          <w:vertAlign w:val="superscript"/>
        </w:rPr>
        <w:t xml:space="preserve">2</w:t>
      </w:r>
      <w:r>
        <w:t xml:space="preserve"> </w:t>
      </w:r>
      <w:r>
        <w:t xml:space="preserve">from 0.920 to 0.969, and</w:t>
      </w:r>
      <w:r>
        <w:t xml:space="preserve"> </w:t>
      </w:r>
      <w:r>
        <w:t xml:space="preserve">Alves, Almeida, Reis, Raposo, &amp; Viegas (2024)</w:t>
      </w:r>
      <w:r>
        <w:t xml:space="preserve"> </w:t>
      </w:r>
      <w:r>
        <w:t xml:space="preserve">found from field measurements of maritime pine litter in central Portugal from 2014 to 2023 that correcting the code to field moisture raised the indices under dry conditions but did not improve the prediction of fire numbers or burned area. Canopy interception of the first 0.5 mm of rain became cumulative within a rain event and reset after six rain-free hours rather than at the end of each day, and the same six hour constant governed the 1.5 mm and 2.8 mm effective rainfall thresholds of the Duff Moisture Code and the Drought Code. Those two codes were also computed hourly, drying only between sunrise and sunset, with sunrise and sunset derived from latitude, longitude and date. The Initial Spread Index took the Fire Behaviour Prediction System wind function</w:t>
      </w:r>
      <w:r>
        <w:t xml:space="preserve"> </w:t>
      </w:r>
      <w:r>
        <w:t xml:space="preserve">(Forestry Canada Fire Danger Group, 1992)</w:t>
      </w:r>
      <w:r>
        <w:t xml:space="preserve">, which limits the effect of winds above 40 km h</w:t>
      </w:r>
      <w:r>
        <w:rPr>
          <w:vertAlign w:val="superscript"/>
        </w:rPr>
        <w:t xml:space="preserve">-1</w:t>
      </w:r>
      <w:r>
        <w:t xml:space="preserve">. The Buildup Index, the Fire Weather Index and the Daily Severity Rating were unchanged in form.</w:t>
      </w:r>
    </w:p>
    <w:p>
      <w:pPr>
        <w:pStyle w:val="BodyText"/>
      </w:pPr>
      <w:r>
        <w:t xml:space="preserve">Three further components bear on how either version is run, and this study used or set aside each of them. The first is the overwintered Drought Code.</w:t>
      </w:r>
      <w:r>
        <w:t xml:space="preserve"> </w:t>
      </w:r>
      <w:r>
        <w:t xml:space="preserve">C. C. Hanes et al. (2023)</w:t>
      </w:r>
      <w:r>
        <w:t xml:space="preserve"> </w:t>
      </w:r>
      <w:r>
        <w:t xml:space="preserve">found in instrumented plots in Alberta and Ontario that the Drought Code</w:t>
      </w:r>
      <w:r>
        <w:t xml:space="preserve"> </w:t>
      </w:r>
      <w:r>
        <w:t xml:space="preserve">“predicted the moisture content of the deeper organic layers (10–18 cm depths) well”</w:t>
      </w:r>
      <w:r>
        <w:t xml:space="preserve"> </w:t>
      </w:r>
      <w:r>
        <w:t xml:space="preserve">(C. C. Hanes et al., 2023, p. 836)</w:t>
      </w:r>
      <w:r>
        <w:t xml:space="preserve">, and described the overwintering procedure that adjusts its spring starting value from the previous fall value and the overwinter precipitation. The 2025 report recommended that calculations continue until three consecutive days with a maximum temperature below 5 °C, which removes the need to estimate the carry-over fraction, and that where</w:t>
      </w:r>
      <w:r>
        <w:t xml:space="preserve"> </w:t>
      </w:r>
      <w:r>
        <w:t xml:space="preserve">“the agency weather station network does not calculate the FWI System up to this date”</w:t>
      </w:r>
      <w:r>
        <w:t xml:space="preserve"> </w:t>
      </w:r>
      <w:r>
        <w:t xml:space="preserve">an alternate weather stream such as</w:t>
      </w:r>
      <w:r>
        <w:t xml:space="preserve"> </w:t>
      </w:r>
      <w:r>
        <w:t xml:space="preserve">“a nearby Environment and Climate Change Canada (ECCC) station”</w:t>
      </w:r>
      <w:r>
        <w:t xml:space="preserve"> </w:t>
      </w:r>
      <w:r>
        <w:t xml:space="preserve">be used</w:t>
      </w:r>
      <w:r>
        <w:t xml:space="preserve"> </w:t>
      </w:r>
      <w:r>
        <w:t xml:space="preserve">(Canadian Forest Service Fire Danger Group, 2025, pp. 50–51)</w:t>
      </w:r>
      <w:r>
        <w:t xml:space="preserve">. This study restarted the code each spring, for the reason given under the startup rules below. The second is the fire season start rule, taken up under the season window below. The third is the grassland components. FWI2025 added optional grassland codes built on grass moisture models for standing and matted cured grass, together with two new optional inputs, solar radiation and curing</w:t>
      </w:r>
      <w:r>
        <w:t xml:space="preserve"> </w:t>
      </w:r>
      <w:r>
        <w:t xml:space="preserve">(Canadian Forest Service Fire Danger Group, 2025, pp. 13, 23)</w:t>
      </w:r>
      <w:r>
        <w:t xml:space="preserve">, extending a line of work that includes the matted cured grass moisture model that</w:t>
      </w:r>
      <w:r>
        <w:t xml:space="preserve"> </w:t>
      </w:r>
      <w:r>
        <w:t xml:space="preserve">Kidnie &amp; Wotton (2015)</w:t>
      </w:r>
      <w:r>
        <w:t xml:space="preserve"> </w:t>
      </w:r>
      <w:r>
        <w:t xml:space="preserve">developed and tested in southern Ontario tallgrass prairie. The grassland and peatland components were excluded here, because this is a forest baseline and the two versions were compared only where they overlap.</w:t>
      </w:r>
    </w:p>
    <w:p>
      <w:pPr>
        <w:pStyle w:val="BodyText"/>
      </w:pPr>
      <w:r>
        <w:t xml:space="preserve">Fuel type enters the Fire Behaviour Prediction System and not the Fire Weather Index System. In British Columbia the provincial fuel type layer described by</w:t>
      </w:r>
      <w:r>
        <w:t xml:space="preserve"> </w:t>
      </w:r>
      <w:r>
        <w:t xml:space="preserve">Perrakis, Eade, &amp; Hicks (2018)</w:t>
      </w:r>
      <w:r>
        <w:t xml:space="preserve"> </w:t>
      </w:r>
      <w:r>
        <w:t xml:space="preserve">was assembled from the Vegetation Resource Inventory into a dataset of</w:t>
      </w:r>
      <w:r>
        <w:t xml:space="preserve"> </w:t>
      </w:r>
      <w:r>
        <w:t xml:space="preserve">“over 4.7 million VRI polygons”</w:t>
      </w:r>
      <w:r>
        <w:t xml:space="preserve"> </w:t>
      </w:r>
      <w:r>
        <w:t xml:space="preserve">covering more than 94 million hectares</w:t>
      </w:r>
      <w:r>
        <w:t xml:space="preserve"> </w:t>
      </w:r>
      <w:r>
        <w:t xml:space="preserve">(Perrakis et al., 2018, p. 3)</w:t>
      </w:r>
      <w:r>
        <w:t xml:space="preserve">, each assigned to a fuel type by rule, and its authors cautioned that</w:t>
      </w:r>
      <w:r>
        <w:t xml:space="preserve"> </w:t>
      </w:r>
      <w:r>
        <w:t xml:space="preserve">“the FBP fuel typing process is inherently subjective, and the vegetation communities of BC frequently fall through the cracks between the FBP fuel types”</w:t>
      </w:r>
      <w:r>
        <w:t xml:space="preserve"> </w:t>
      </w:r>
      <w:r>
        <w:t xml:space="preserve">(Perrakis et al., 2018, p. 2)</w:t>
      </w:r>
      <w:r>
        <w:t xml:space="preserve">. For this basin the author built a fuel type map from the 2020 Vegetation Resource Inventory with that rule set, together with the stand-adjusted fine fuel moisture model of</w:t>
      </w:r>
      <w:r>
        <w:t xml:space="preserve"> </w:t>
      </w:r>
      <w:r>
        <w:t xml:space="preserve">B. Mike Wotton &amp; Beverly (2007)</w:t>
      </w:r>
      <w:r>
        <w:t xml:space="preserve"> </w:t>
      </w:r>
      <w:r>
        <w:t xml:space="preserve">and a Fire Behaviour Prediction System run for single days in the summer of 2021 on gridded daily weather, in unpublished prototype work</w:t>
      </w:r>
      <w:r>
        <w:t xml:space="preserve"> </w:t>
      </w:r>
      <w:r>
        <w:t xml:space="preserve">(Murphy, 2022)</w:t>
      </w:r>
      <w:r>
        <w:t xml:space="preserve">, and that work is the reason the present study held fuel fixed. A trend in the Fire Weather Index System is a trend in the weather rated against one standard fuel, and a trend in fire behaviour across the basin’s fuel types would need a fuel map for every season of the record, which this study did not build.</w:t>
      </w:r>
    </w:p>
    <w:bookmarkEnd w:id="27"/>
    <w:bookmarkStart w:id="35" w:name="weather-record"/>
    <w:p>
      <w:pPr>
        <w:pStyle w:val="Heading2"/>
      </w:pPr>
      <w:r>
        <w:t xml:space="preserve">2.3 Weather Record</w:t>
      </w:r>
    </w:p>
    <w:p>
      <w:pPr>
        <w:pStyle w:val="FirstParagraph"/>
      </w:pPr>
      <w:r>
        <w:t xml:space="preserve">The weather record was the BC Wildfire Service weather data mart</w:t>
      </w:r>
      <w:r>
        <w:t xml:space="preserve"> </w:t>
      </w:r>
      <w:r>
        <w:t xml:space="preserve">(BC Wildfire Service, 2026c)</w:t>
      </w:r>
      <w:r>
        <w:t xml:space="preserve">, a public directory of hourly observations from the provincial fire weather station network. It was used in preference to a gridded reanalysis for two reasons. It carries genuinely hourly precipitation, without which pathway A cannot be run as specified rather than approximated, and</w:t>
      </w:r>
      <w:r>
        <w:t xml:space="preserve"> </w:t>
      </w:r>
      <w:r>
        <w:t xml:space="preserve">Canadian Forest Service Fire Danger Group (2025)</w:t>
      </w:r>
      <w:r>
        <w:t xml:space="preserve"> </w:t>
      </w:r>
      <w:r>
        <w:t xml:space="preserve">states the caveat that a reanalysis would have imposed on this basin directly, that</w:t>
      </w:r>
      <w:r>
        <w:t xml:space="preserve"> </w:t>
      </w:r>
      <w:r>
        <w:t xml:space="preserve">“numerical weather model outputs are not strictly the same as point observations of weather from a weather station. At the grid cell scale, outputs from numerical models typically represent what can be thought of as average conditions across that cell.”</w:t>
      </w:r>
      <w:r>
        <w:t xml:space="preserve"> </w:t>
      </w:r>
      <w:r>
        <w:t xml:space="preserve">A cell of roughly nine kilometres across terrain running from 273 m to 2,604 m is a coarse instrument.</w:t>
      </w:r>
    </w:p>
    <w:p>
      <w:pPr>
        <w:pStyle w:val="BodyText"/>
      </w:pPr>
      <w:r>
        <w:t xml:space="preserve">The stations belong to the BC Wildfire Service weather station network. Its catalogue record states that</w:t>
      </w:r>
      <w:r>
        <w:t xml:space="preserve"> </w:t>
      </w:r>
      <w:r>
        <w:t xml:space="preserve">“BCWS operates a network of automated hourly reporting weather stations to support all aspects of fire management”</w:t>
      </w:r>
      <w:r>
        <w:t xml:space="preserve">, that</w:t>
      </w:r>
      <w:r>
        <w:t xml:space="preserve"> </w:t>
      </w:r>
      <w:r>
        <w:t xml:space="preserve">“The data are used as input to the Canadian Forest Fire Danger Rating System, as a basis for weather forecasting and for climate monitoring”</w:t>
      </w:r>
      <w:r>
        <w:t xml:space="preserve">, and that</w:t>
      </w:r>
      <w:r>
        <w:t xml:space="preserve"> </w:t>
      </w:r>
      <w:r>
        <w:t xml:space="preserve">“Sensors at the weather stations monitor temperature, relative humidity, wind speed and direction and rainfall”</w:t>
      </w:r>
      <w:r>
        <w:t xml:space="preserve"> </w:t>
      </w:r>
      <w:r>
        <w:t xml:space="preserve">(BC Wildfire Service, 2026b)</w:t>
      </w:r>
      <w:r>
        <w:t xml:space="preserve">. The catalogue layer holds one point per actively reporting station, with a numeric station code, a name, a three-letter acronym, latitude, longitude, elevation and installation date. The 5 stations inside the basin were Penticton RS (station 328, 492 m, installed 1988), Brenda Mines (station 283, 1,463 m, installed 1989), McCuddy (station 334, 1,023 m, installed 1989), Fintry (station 298, 526 m, installed 1990), and West Kelowna (station 1277, 650 m, installed 2016), and each first appeared in the archive in the season it was installed. The hourly archive for those stations is the BC Wildfire Service weather data mart</w:t>
      </w:r>
      <w:r>
        <w:t xml:space="preserve"> </w:t>
      </w:r>
      <w:r>
        <w:t xml:space="preserve">(BC Wildfire Service, 2026c)</w:t>
      </w:r>
      <w:r>
        <w:t xml:space="preserve">, which carries for every station and hour the observed precipitation, temperature, relative humidity, wind speed and wind direction, the hourly Fine Fuel Moisture Code, Initial Spread Index and Fire Weather Index, and once a day the daily precipitation and the six FWI1987 codes that the service computed operationally.</w:t>
      </w:r>
    </w:p>
    <w:p>
      <w:pPr>
        <w:pStyle w:val="BodyText"/>
      </w:pPr>
      <w:r>
        <w:t xml:space="preserve">The record retrieved was every hourly observation from the 5 stations the BC Data Catalogue places inside the basin polygon</w:t>
      </w:r>
      <w:r>
        <w:t xml:space="preserve"> </w:t>
      </w:r>
      <w:r>
        <w:t xml:space="preserve">(BC Wildfire Service, 2026b)</w:t>
      </w:r>
      <w:r>
        <w:t xml:space="preserve">, for every season the data mart holds</w:t>
      </w:r>
      <w:r>
        <w:t xml:space="preserve"> </w:t>
      </w:r>
      <w:r>
        <w:t xml:space="preserve">(BC Wildfire Service, 2026c)</w:t>
      </w:r>
      <w:r>
        <w:t xml:space="preserve">. Seasons 1987 to 2023 are published as one province-wide file per year and seasons 2024 onward as one file per day, and both layouts were read in full and filtered to the basin stations, which kept 1,199,767 hourly observations out of 55,437,531 province-wide rows for the 1987 to 2025 seasons.</w:t>
      </w:r>
    </w:p>
    <w:p>
      <w:pPr>
        <w:pStyle w:val="BodyText"/>
      </w:pPr>
      <w:r>
        <w:t xml:space="preserve">Timestamps in that archive are Local Standard Time, which was verified rather than assumed. The FWI1987 codes that BC Wildfire Service computed operationally appeared in the record at hour 12 and at no other hour, and because the standard fire weather observation is 13:00 local daylight time, hour 12 is 13:00 LDT and the stamp is Pacific Standard Time, UTC-8, year round. The modal hour of daily maximum temperature in summer fell where that reading implies.</w:t>
      </w:r>
    </w:p>
    <w:tbl>
      <w:tblPr>
        <w:tblStyle w:val="Table"/>
        <w:tblW w:type="pct" w:w="5000"/>
        <w:tblLayout w:type="fixed"/>
        <w:tblLook w:firstRow="0" w:lastRow="0" w:firstColumn="0" w:lastColumn="0" w:noHBand="0" w:noVBand="0" w:val="0000"/>
      </w:tblPr>
      <w:tblGrid>
        <w:gridCol w:w="7920"/>
      </w:tblGrid>
      <w:tr>
        <w:tc>
          <w:tcPr/>
          <w:bookmarkStart w:id="28" w:name="tbl-stations"/>
          <w:p>
            <w:pPr>
              <w:jc w:val="center"/>
            </w:pPr>
            <w:pPr>
              <w:jc w:val="start"/>
              <w:spacing w:before="200"/>
              <w:pStyle w:val="ImageCaption"/>
            </w:pPr>
            <w:r>
              <w:t xml:space="preserve">Table 2: The weather record. Coverage is the share of the 1 April to 30 September hours in which temperature, humidity and wind were all observed, before any gap filling. A season is kept when coverage reaches 95 per cent and no single gap exceeds 24 hours.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Station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Elevation (m)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Installed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First season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Last season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Seasons kept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Seasons dropped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Not reporting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Median coverage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PENTICTON RS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492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1,988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1,991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2,025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MCCUDDY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FINTRY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BRENDA MINES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1,463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0.999</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WEST KELOWNA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2,016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0.998</w:t>
                  </w:r>
                </w:p>
              </w:tc>
            </w:tr>
          </w:tbl>
          <w:bookmarkEnd w:id="28"/>
        </w:tc>
      </w:tr>
    </w:tbl>
    <w:p>
      <w:pPr>
        <w:pStyle w:val="BodyText"/>
      </w:pPr>
      <w:hyperlink w:anchor="tbl-stations">
        <w:r>
          <w:rPr>
            <w:rStyle w:val="Hyperlink"/>
          </w:rPr>
          <w:t xml:space="preserve">Table 2</w:t>
        </w:r>
      </w:hyperlink>
      <w:r>
        <w:t xml:space="preserve"> </w:t>
      </w:r>
      <w:r>
        <w:t xml:space="preserve">gives the result. 104 station-seasons across 5 stations survived, spanning 1991 to 2025, 31 distinct seasons. The daily codes appeared at hour 12 in 39,095 records and at other hours in 0, which is what fixed the convention. The modal hour of daily maximum temperature in summer was 15:00 Local Standard Time, three hours after solar noon at this longitude, which is consistent with it.</w:t>
      </w:r>
    </w:p>
    <w:p>
      <w:pPr>
        <w:pStyle w:val="SourceCode"/>
      </w:pPr>
      <w:r>
        <w:rPr>
          <w:rStyle w:val="CommentTok"/>
        </w:rPr>
        <w:t xml:space="preserve"># The caption's counts are the same objects the station table reports.</w:t>
      </w:r>
      <w:r>
        <w:br/>
      </w:r>
      <w:r>
        <w:rPr>
          <w:rStyle w:val="NormalTok"/>
        </w:rPr>
        <w:t xml:space="preserve">n_dropped </w:t>
      </w:r>
      <w:r>
        <w:rPr>
          <w:rStyle w:val="OtherTok"/>
        </w:rPr>
        <w:t xml:space="preserve">&lt;-</w:t>
      </w:r>
      <w:r>
        <w:rPr>
          <w:rStyle w:val="NormalTok"/>
        </w:rPr>
        <w:t xml:space="preserve"> </w:t>
      </w:r>
      <w:r>
        <w:rPr>
          <w:rStyle w:val="FunctionTok"/>
        </w:rPr>
        <w:t xml:space="preserve">sum</w:t>
      </w:r>
      <w:r>
        <w:rPr>
          <w:rStyle w:val="NormalTok"/>
        </w:rPr>
        <w:t xml:space="preserve">(cover</w:t>
      </w:r>
      <w:r>
        <w:rPr>
          <w:rStyle w:val="SpecialCharTok"/>
        </w:rPr>
        <w:t xml:space="preserve">$</w:t>
      </w:r>
      <w:r>
        <w:rPr>
          <w:rStyle w:val="NormalTok"/>
        </w:rPr>
        <w:t xml:space="preserve">status </w:t>
      </w:r>
      <w:r>
        <w:rPr>
          <w:rStyle w:val="SpecialCharTok"/>
        </w:rPr>
        <w:t xml:space="preserve">==</w:t>
      </w:r>
      <w:r>
        <w:rPr>
          <w:rStyle w:val="NormalTok"/>
        </w:rPr>
        <w:t xml:space="preserve"> </w:t>
      </w:r>
      <w:r>
        <w:rPr>
          <w:rStyle w:val="StringTok"/>
        </w:rPr>
        <w:t xml:space="preserve">"dropped, coverage"</w:t>
      </w:r>
      <w:r>
        <w:rPr>
          <w:rStyle w:val="NormalTok"/>
        </w:rPr>
        <w:t xml:space="preserve">)</w:t>
      </w:r>
      <w:r>
        <w:br/>
      </w:r>
      <w:r>
        <w:rPr>
          <w:rStyle w:val="NormalTok"/>
        </w:rPr>
        <w:t xml:space="preserve">cov_cap </w:t>
      </w:r>
      <w:r>
        <w:rPr>
          <w:rStyle w:val="OtherTok"/>
        </w:rPr>
        <w:t xml:space="preserve">&lt;-</w:t>
      </w:r>
      <w:r>
        <w:rPr>
          <w:rStyle w:val="NormalTok"/>
        </w:rPr>
        <w:t xml:space="preserve"> </w:t>
      </w:r>
      <w:r>
        <w:rPr>
          <w:rStyle w:val="FunctionTok"/>
        </w:rPr>
        <w:t xml:space="preserve">sprintf</w:t>
      </w:r>
      <w:r>
        <w:rPr>
          <w:rStyle w:val="NormalTok"/>
        </w:rPr>
        <w:t xml:space="preserve">(</w:t>
      </w:r>
      <w:r>
        <w:rPr>
          <w:rStyle w:val="FunctionTok"/>
        </w:rPr>
        <w:t xml:space="preserve">paste</w:t>
      </w:r>
      <w:r>
        <w:rPr>
          <w:rStyle w:val="NormalTok"/>
        </w:rPr>
        <w:t xml:space="preserve">(</w:t>
      </w:r>
      <w:r>
        <w:br/>
      </w:r>
      <w:r>
        <w:rPr>
          <w:rStyle w:val="NormalTok"/>
        </w:rPr>
        <w:t xml:space="preserve">  </w:t>
      </w:r>
      <w:r>
        <w:rPr>
          <w:rStyle w:val="StringTok"/>
        </w:rPr>
        <w:t xml:space="preserve">"Station reporting by season. Each cell is one station-season, shaded by the"</w:t>
      </w:r>
      <w:r>
        <w:rPr>
          <w:rStyle w:val="NormalTok"/>
        </w:rPr>
        <w:t xml:space="preserve">,</w:t>
      </w:r>
      <w:r>
        <w:br/>
      </w:r>
      <w:r>
        <w:rPr>
          <w:rStyle w:val="NormalTok"/>
        </w:rPr>
        <w:t xml:space="preserve">  </w:t>
      </w:r>
      <w:r>
        <w:rPr>
          <w:rStyle w:val="StringTok"/>
        </w:rPr>
        <w:t xml:space="preserve">"share of the 1 April to 30 September hours in which temperature, humidity"</w:t>
      </w:r>
      <w:r>
        <w:rPr>
          <w:rStyle w:val="NormalTok"/>
        </w:rPr>
        <w:t xml:space="preserve">,</w:t>
      </w:r>
      <w:r>
        <w:br/>
      </w:r>
      <w:r>
        <w:rPr>
          <w:rStyle w:val="NormalTok"/>
        </w:rPr>
        <w:t xml:space="preserve">  </w:t>
      </w:r>
      <w:r>
        <w:rPr>
          <w:rStyle w:val="StringTok"/>
        </w:rPr>
        <w:t xml:space="preserve">"and wind were all observed; an outlined cell met the 95 per cent rule and"</w:t>
      </w:r>
      <w:r>
        <w:rPr>
          <w:rStyle w:val="NormalTok"/>
        </w:rPr>
        <w:t xml:space="preserve">,</w:t>
      </w:r>
      <w:r>
        <w:br/>
      </w:r>
      <w:r>
        <w:rPr>
          <w:rStyle w:val="NormalTok"/>
        </w:rPr>
        <w:t xml:space="preserve">  </w:t>
      </w:r>
      <w:r>
        <w:rPr>
          <w:rStyle w:val="StringTok"/>
        </w:rPr>
        <w:t xml:space="preserve">"was kept, a crossed cell was dropped for coverage, and a blank cell is a"</w:t>
      </w:r>
      <w:r>
        <w:rPr>
          <w:rStyle w:val="NormalTok"/>
        </w:rPr>
        <w:t xml:space="preserve">,</w:t>
      </w:r>
      <w:r>
        <w:br/>
      </w:r>
      <w:r>
        <w:rPr>
          <w:rStyle w:val="NormalTok"/>
        </w:rPr>
        <w:t xml:space="preserve">  </w:t>
      </w:r>
      <w:r>
        <w:rPr>
          <w:rStyle w:val="StringTok"/>
        </w:rPr>
        <w:t xml:space="preserve">"season in which the station did not report. %d station-seasons at %d"</w:t>
      </w:r>
      <w:r>
        <w:rPr>
          <w:rStyle w:val="NormalTok"/>
        </w:rPr>
        <w:t xml:space="preserve">,</w:t>
      </w:r>
      <w:r>
        <w:br/>
      </w:r>
      <w:r>
        <w:rPr>
          <w:rStyle w:val="NormalTok"/>
        </w:rPr>
        <w:t xml:space="preserve">  </w:t>
      </w:r>
      <w:r>
        <w:rPr>
          <w:rStyle w:val="StringTok"/>
        </w:rPr>
        <w:t xml:space="preserve">"stations were kept and %d dropped, over %d to %d."</w:t>
      </w:r>
      <w:r>
        <w:rPr>
          <w:rStyle w:val="NormalTok"/>
        </w:rPr>
        <w:t xml:space="preserve">),</w:t>
      </w:r>
      <w:r>
        <w:br/>
      </w:r>
      <w:r>
        <w:rPr>
          <w:rStyle w:val="NormalTok"/>
        </w:rPr>
        <w:t xml:space="preserve">  n_kept, n_stations_kept, n_dropped, yr_first, yr_last)</w:t>
      </w:r>
      <w:r>
        <w:br/>
      </w:r>
      <w:r>
        <w:rPr>
          <w:rStyle w:val="CommentTok"/>
        </w:rPr>
        <w:t xml:space="preserve"># The two facts the sentence under the figure states, computed from the same</w:t>
      </w:r>
      <w:r>
        <w:br/>
      </w:r>
      <w:r>
        <w:rPr>
          <w:rStyle w:val="CommentTok"/>
        </w:rPr>
        <w:t xml:space="preserve"># table: the share of dropped seasons before 2000, and the first season each</w:t>
      </w:r>
      <w:r>
        <w:br/>
      </w:r>
      <w:r>
        <w:rPr>
          <w:rStyle w:val="CommentTok"/>
        </w:rPr>
        <w:t xml:space="preserve"># station reported at all.</w:t>
      </w:r>
      <w:r>
        <w:br/>
      </w:r>
      <w:r>
        <w:rPr>
          <w:rStyle w:val="NormalTok"/>
        </w:rPr>
        <w:t xml:space="preserve">n_dropped_pre2000 </w:t>
      </w:r>
      <w:r>
        <w:rPr>
          <w:rStyle w:val="OtherTok"/>
        </w:rPr>
        <w:t xml:space="preserve">&lt;-</w:t>
      </w:r>
      <w:r>
        <w:rPr>
          <w:rStyle w:val="NormalTok"/>
        </w:rPr>
        <w:t xml:space="preserve"> </w:t>
      </w:r>
      <w:r>
        <w:rPr>
          <w:rStyle w:val="FunctionTok"/>
        </w:rPr>
        <w:t xml:space="preserve">sum</w:t>
      </w:r>
      <w:r>
        <w:rPr>
          <w:rStyle w:val="NormalTok"/>
        </w:rPr>
        <w:t xml:space="preserve">(cover</w:t>
      </w:r>
      <w:r>
        <w:rPr>
          <w:rStyle w:val="SpecialCharTok"/>
        </w:rPr>
        <w:t xml:space="preserve">$</w:t>
      </w:r>
      <w:r>
        <w:rPr>
          <w:rStyle w:val="NormalTok"/>
        </w:rPr>
        <w:t xml:space="preserve">status </w:t>
      </w:r>
      <w:r>
        <w:rPr>
          <w:rStyle w:val="SpecialCharTok"/>
        </w:rPr>
        <w:t xml:space="preserve">==</w:t>
      </w:r>
      <w:r>
        <w:rPr>
          <w:rStyle w:val="NormalTok"/>
        </w:rPr>
        <w:t xml:space="preserve"> </w:t>
      </w:r>
      <w:r>
        <w:rPr>
          <w:rStyle w:val="StringTok"/>
        </w:rPr>
        <w:t xml:space="preserve">"dropped, coverage"</w:t>
      </w:r>
      <w:r>
        <w:rPr>
          <w:rStyle w:val="NormalTok"/>
        </w:rPr>
        <w:t xml:space="preserve"> </w:t>
      </w:r>
      <w:r>
        <w:rPr>
          <w:rStyle w:val="SpecialCharTok"/>
        </w:rPr>
        <w:t xml:space="preserve">&amp;</w:t>
      </w:r>
      <w:r>
        <w:rPr>
          <w:rStyle w:val="NormalTok"/>
        </w:rPr>
        <w:t xml:space="preserve"> cover</w:t>
      </w:r>
      <w:r>
        <w:rPr>
          <w:rStyle w:val="SpecialCharTok"/>
        </w:rPr>
        <w:t xml:space="preserve">$</w:t>
      </w:r>
      <w:r>
        <w:rPr>
          <w:rStyle w:val="NormalTok"/>
        </w:rPr>
        <w:t xml:space="preserve">year </w:t>
      </w:r>
      <w:r>
        <w:rPr>
          <w:rStyle w:val="SpecialCharTok"/>
        </w:rPr>
        <w:t xml:space="preserve">&lt;</w:t>
      </w:r>
      <w:r>
        <w:rPr>
          <w:rStyle w:val="NormalTok"/>
        </w:rPr>
        <w:t xml:space="preserve"> </w:t>
      </w:r>
      <w:r>
        <w:rPr>
          <w:rStyle w:val="DecValTok"/>
        </w:rPr>
        <w:t xml:space="preserve">2000</w:t>
      </w:r>
      <w:r>
        <w:rPr>
          <w:rStyle w:val="NormalTok"/>
        </w:rPr>
        <w:t xml:space="preserve">)</w:t>
      </w:r>
      <w:r>
        <w:br/>
      </w:r>
      <w:r>
        <w:rPr>
          <w:rStyle w:val="NormalTok"/>
        </w:rPr>
        <w:t xml:space="preserve">first_report </w:t>
      </w:r>
      <w:r>
        <w:rPr>
          <w:rStyle w:val="OtherTok"/>
        </w:rPr>
        <w:t xml:space="preserve">&lt;-</w:t>
      </w:r>
      <w:r>
        <w:rPr>
          <w:rStyle w:val="NormalTok"/>
        </w:rPr>
        <w:t xml:space="preserve"> </w:t>
      </w:r>
      <w:r>
        <w:rPr>
          <w:rStyle w:val="FunctionTok"/>
        </w:rPr>
        <w:t xml:space="preserve">tapply</w:t>
      </w:r>
      <w:r>
        <w:rPr>
          <w:rStyle w:val="NormalTok"/>
        </w:rPr>
        <w:t xml:space="preserve">(cover</w:t>
      </w:r>
      <w:r>
        <w:rPr>
          <w:rStyle w:val="SpecialCharTok"/>
        </w:rPr>
        <w:t xml:space="preserve">$</w:t>
      </w:r>
      <w:r>
        <w:rPr>
          <w:rStyle w:val="NormalTok"/>
        </w:rPr>
        <w:t xml:space="preserve">year[cover</w:t>
      </w:r>
      <w:r>
        <w:rPr>
          <w:rStyle w:val="SpecialCharTok"/>
        </w:rPr>
        <w:t xml:space="preserve">$</w:t>
      </w:r>
      <w:r>
        <w:rPr>
          <w:rStyle w:val="NormalTok"/>
        </w:rPr>
        <w:t xml:space="preserve">status </w:t>
      </w:r>
      <w:r>
        <w:rPr>
          <w:rStyle w:val="SpecialCharTok"/>
        </w:rPr>
        <w:t xml:space="preserve">!=</w:t>
      </w:r>
      <w:r>
        <w:rPr>
          <w:rStyle w:val="NormalTok"/>
        </w:rPr>
        <w:t xml:space="preserve"> </w:t>
      </w:r>
      <w:r>
        <w:rPr>
          <w:rStyle w:val="StringTok"/>
        </w:rPr>
        <w:t xml:space="preserve">"station not reporting"</w:t>
      </w:r>
      <w:r>
        <w:rPr>
          <w:rStyle w:val="NormalTok"/>
        </w:rPr>
        <w:t xml:space="preserve">],</w:t>
      </w:r>
      <w:r>
        <w:br/>
      </w:r>
      <w:r>
        <w:rPr>
          <w:rStyle w:val="NormalTok"/>
        </w:rPr>
        <w:t xml:space="preserve">                       cover</w:t>
      </w:r>
      <w:r>
        <w:rPr>
          <w:rStyle w:val="SpecialCharTok"/>
        </w:rPr>
        <w:t xml:space="preserve">$</w:t>
      </w:r>
      <w:r>
        <w:rPr>
          <w:rStyle w:val="NormalTok"/>
        </w:rPr>
        <w:t xml:space="preserve">station_name[cover</w:t>
      </w:r>
      <w:r>
        <w:rPr>
          <w:rStyle w:val="SpecialCharTok"/>
        </w:rPr>
        <w:t xml:space="preserve">$</w:t>
      </w:r>
      <w:r>
        <w:rPr>
          <w:rStyle w:val="NormalTok"/>
        </w:rPr>
        <w:t xml:space="preserve">status </w:t>
      </w:r>
      <w:r>
        <w:rPr>
          <w:rStyle w:val="SpecialCharTok"/>
        </w:rPr>
        <w:t xml:space="preserve">!=</w:t>
      </w:r>
      <w:r>
        <w:rPr>
          <w:rStyle w:val="NormalTok"/>
        </w:rPr>
        <w:t xml:space="preserve"> </w:t>
      </w:r>
      <w:r>
        <w:rPr>
          <w:rStyle w:val="StringTok"/>
        </w:rPr>
        <w:t xml:space="preserve">"station not reporting"</w:t>
      </w:r>
      <w:r>
        <w:rPr>
          <w:rStyle w:val="NormalTok"/>
        </w:rPr>
        <w:t xml:space="preserve">], min)</w:t>
      </w:r>
      <w:r>
        <w:br/>
      </w:r>
      <w:r>
        <w:rPr>
          <w:rStyle w:val="NormalTok"/>
        </w:rPr>
        <w:t xml:space="preserve">late_station </w:t>
      </w:r>
      <w:r>
        <w:rPr>
          <w:rStyle w:val="OtherTok"/>
        </w:rPr>
        <w:t xml:space="preserve">&lt;-</w:t>
      </w:r>
      <w:r>
        <w:rPr>
          <w:rStyle w:val="NormalTok"/>
        </w:rPr>
        <w:t xml:space="preserve"> </w:t>
      </w:r>
      <w:r>
        <w:rPr>
          <w:rStyle w:val="FunctionTok"/>
        </w:rPr>
        <w:t xml:space="preserve">names</w:t>
      </w:r>
      <w:r>
        <w:rPr>
          <w:rStyle w:val="NormalTok"/>
        </w:rPr>
        <w:t xml:space="preserve">(first_report)[</w:t>
      </w:r>
      <w:r>
        <w:rPr>
          <w:rStyle w:val="FunctionTok"/>
        </w:rPr>
        <w:t xml:space="preserve">which.max</w:t>
      </w:r>
      <w:r>
        <w:rPr>
          <w:rStyle w:val="NormalTok"/>
        </w:rPr>
        <w:t xml:space="preserve">(first_report)]</w:t>
      </w:r>
    </w:p>
    <w:p>
      <w:pPr>
        <w:pStyle w:val="SourceCode"/>
      </w:pPr>
      <w:r>
        <w:rPr>
          <w:rStyle w:val="CommentTok"/>
        </w:rPr>
        <w:t xml:space="preserve"># One row per station in elevation order, one cell per season, shaded by the</w:t>
      </w:r>
      <w:r>
        <w:br/>
      </w:r>
      <w:r>
        <w:rPr>
          <w:rStyle w:val="CommentTok"/>
        </w:rPr>
        <w:t xml:space="preserve"># share of the 1 April to 30 September hours observed. A kept season is outlined,</w:t>
      </w:r>
      <w:r>
        <w:br/>
      </w:r>
      <w:r>
        <w:rPr>
          <w:rStyle w:val="CommentTok"/>
        </w:rPr>
        <w:t xml:space="preserve"># a season dropped for coverage is crossed, and a season in which the station did</w:t>
      </w:r>
      <w:r>
        <w:br/>
      </w:r>
      <w:r>
        <w:rPr>
          <w:rStyle w:val="CommentTok"/>
        </w:rPr>
        <w:t xml:space="preserve"># not report is left blank, so the switch-on and switch-off pattern of the</w:t>
      </w:r>
      <w:r>
        <w:br/>
      </w:r>
      <w:r>
        <w:rPr>
          <w:rStyle w:val="CommentTok"/>
        </w:rPr>
        <w:t xml:space="preserve"># network is visible in a way the station table cannot show.</w:t>
      </w:r>
      <w:r>
        <w:br/>
      </w:r>
      <w:r>
        <w:rPr>
          <w:rStyle w:val="NormalTok"/>
        </w:rPr>
        <w:t xml:space="preserve">cv </w:t>
      </w:r>
      <w:r>
        <w:rPr>
          <w:rStyle w:val="OtherTok"/>
        </w:rPr>
        <w:t xml:space="preserve">&lt;-</w:t>
      </w:r>
      <w:r>
        <w:rPr>
          <w:rStyle w:val="NormalTok"/>
        </w:rPr>
        <w:t xml:space="preserve"> cover</w:t>
      </w:r>
      <w:r>
        <w:br/>
      </w:r>
      <w:r>
        <w:rPr>
          <w:rStyle w:val="NormalTok"/>
        </w:rPr>
        <w:t xml:space="preserve">cv</w:t>
      </w:r>
      <w:r>
        <w:rPr>
          <w:rStyle w:val="SpecialCharTok"/>
        </w:rPr>
        <w:t xml:space="preserve">$</w:t>
      </w:r>
      <w:r>
        <w:rPr>
          <w:rStyle w:val="NormalTok"/>
        </w:rPr>
        <w:t xml:space="preserve">station </w:t>
      </w:r>
      <w:r>
        <w:rPr>
          <w:rStyle w:val="OtherTok"/>
        </w:rPr>
        <w:t xml:space="preserve">&lt;-</w:t>
      </w:r>
      <w:r>
        <w:rPr>
          <w:rStyle w:val="NormalTok"/>
        </w:rPr>
        <w:t xml:space="preserve"> </w:t>
      </w:r>
      <w:r>
        <w:rPr>
          <w:rStyle w:val="FunctionTok"/>
        </w:rPr>
        <w:t xml:space="preserve">station_prose</w:t>
      </w:r>
      <w:r>
        <w:rPr>
          <w:rStyle w:val="NormalTok"/>
        </w:rPr>
        <w:t xml:space="preserve">(cv</w:t>
      </w:r>
      <w:r>
        <w:rPr>
          <w:rStyle w:val="SpecialCharTok"/>
        </w:rPr>
        <w:t xml:space="preserve">$</w:t>
      </w:r>
      <w:r>
        <w:rPr>
          <w:rStyle w:val="NormalTok"/>
        </w:rPr>
        <w:t xml:space="preserve">station_name)</w:t>
      </w:r>
      <w:r>
        <w:br/>
      </w:r>
      <w:r>
        <w:rPr>
          <w:rStyle w:val="NormalTok"/>
        </w:rPr>
        <w:t xml:space="preserve">st </w:t>
      </w:r>
      <w:r>
        <w:rPr>
          <w:rStyle w:val="OtherTok"/>
        </w:rPr>
        <w:t xml:space="preserve">&lt;-</w:t>
      </w:r>
      <w:r>
        <w:rPr>
          <w:rStyle w:val="NormalTok"/>
        </w:rPr>
        <w:t xml:space="preserve"> </w:t>
      </w:r>
      <w:r>
        <w:rPr>
          <w:rStyle w:val="FunctionTok"/>
        </w:rPr>
        <w:t xml:space="preserve">unique</w:t>
      </w:r>
      <w:r>
        <w:rPr>
          <w:rStyle w:val="NormalTok"/>
        </w:rPr>
        <w:t xml:space="preserve">(cv[, </w:t>
      </w:r>
      <w:r>
        <w:rPr>
          <w:rStyle w:val="FunctionTok"/>
        </w:rPr>
        <w:t xml:space="preserve">c</w:t>
      </w:r>
      <w:r>
        <w:rPr>
          <w:rStyle w:val="NormalTok"/>
        </w:rPr>
        <w:t xml:space="preserve">(</w:t>
      </w:r>
      <w:r>
        <w:rPr>
          <w:rStyle w:val="StringTok"/>
        </w:rPr>
        <w:t xml:space="preserve">"station"</w:t>
      </w:r>
      <w:r>
        <w:rPr>
          <w:rStyle w:val="NormalTok"/>
        </w:rPr>
        <w:t xml:space="preserve">, </w:t>
      </w:r>
      <w:r>
        <w:rPr>
          <w:rStyle w:val="StringTok"/>
        </w:rPr>
        <w:t xml:space="preserve">"elevation_m"</w:t>
      </w:r>
      <w:r>
        <w:rPr>
          <w:rStyle w:val="NormalTok"/>
        </w:rPr>
        <w:t xml:space="preserve">)]); st </w:t>
      </w:r>
      <w:r>
        <w:rPr>
          <w:rStyle w:val="OtherTok"/>
        </w:rPr>
        <w:t xml:space="preserve">&lt;-</w:t>
      </w:r>
      <w:r>
        <w:rPr>
          <w:rStyle w:val="NormalTok"/>
        </w:rPr>
        <w:t xml:space="preserve"> st[</w:t>
      </w:r>
      <w:r>
        <w:rPr>
          <w:rStyle w:val="FunctionTok"/>
        </w:rPr>
        <w:t xml:space="preserve">order</w:t>
      </w:r>
      <w:r>
        <w:rPr>
          <w:rStyle w:val="NormalTok"/>
        </w:rPr>
        <w:t xml:space="preserve">(st</w:t>
      </w:r>
      <w:r>
        <w:rPr>
          <w:rStyle w:val="SpecialCharTok"/>
        </w:rPr>
        <w:t xml:space="preserve">$</w:t>
      </w:r>
      <w:r>
        <w:rPr>
          <w:rStyle w:val="NormalTok"/>
        </w:rPr>
        <w:t xml:space="preserve">elevation_m), ]</w:t>
      </w:r>
      <w:r>
        <w:br/>
      </w:r>
      <w:r>
        <w:rPr>
          <w:rStyle w:val="NormalTok"/>
        </w:rPr>
        <w:t xml:space="preserve">yrs </w:t>
      </w:r>
      <w:r>
        <w:rPr>
          <w:rStyle w:val="OtherTok"/>
        </w:rPr>
        <w:t xml:space="preserve">&lt;-</w:t>
      </w:r>
      <w:r>
        <w:rPr>
          <w:rStyle w:val="NormalTok"/>
        </w:rPr>
        <w:t xml:space="preserve"> </w:t>
      </w:r>
      <w:r>
        <w:rPr>
          <w:rStyle w:val="FunctionTok"/>
        </w:rPr>
        <w:t xml:space="preserve">sort</w:t>
      </w:r>
      <w:r>
        <w:rPr>
          <w:rStyle w:val="NormalTok"/>
        </w:rPr>
        <w:t xml:space="preserve">(</w:t>
      </w:r>
      <w:r>
        <w:rPr>
          <w:rStyle w:val="FunctionTok"/>
        </w:rPr>
        <w:t xml:space="preserve">unique</w:t>
      </w:r>
      <w:r>
        <w:rPr>
          <w:rStyle w:val="NormalTok"/>
        </w:rPr>
        <w:t xml:space="preserve">(cv</w:t>
      </w:r>
      <w:r>
        <w:rPr>
          <w:rStyle w:val="SpecialCharTok"/>
        </w:rPr>
        <w:t xml:space="preserve">$</w:t>
      </w:r>
      <w:r>
        <w:rPr>
          <w:rStyle w:val="NormalTok"/>
        </w:rPr>
        <w:t xml:space="preserve">year))</w:t>
      </w:r>
      <w:r>
        <w:br/>
      </w:r>
      <w:r>
        <w:rPr>
          <w:rStyle w:val="NormalTok"/>
        </w:rPr>
        <w:t xml:space="preserve">ramp </w:t>
      </w:r>
      <w:r>
        <w:rPr>
          <w:rStyle w:val="OtherTok"/>
        </w:rPr>
        <w:t xml:space="preserve">&lt;-</w:t>
      </w:r>
      <w:r>
        <w:rPr>
          <w:rStyle w:val="NormalTok"/>
        </w:rPr>
        <w:t xml:space="preserve"> </w:t>
      </w:r>
      <w:r>
        <w:rPr>
          <w:rStyle w:val="FunctionTok"/>
        </w:rPr>
        <w:t xml:space="preserve">colorRampPalette</w:t>
      </w:r>
      <w:r>
        <w:rPr>
          <w:rStyle w:val="NormalTok"/>
        </w:rPr>
        <w:t xml:space="preserve">(</w:t>
      </w:r>
      <w:r>
        <w:rPr>
          <w:rStyle w:val="FunctionTok"/>
        </w:rPr>
        <w:t xml:space="preserve">c</w:t>
      </w:r>
      <w:r>
        <w:rPr>
          <w:rStyle w:val="NormalTok"/>
        </w:rPr>
        <w:t xml:space="preserve">(</w:t>
      </w:r>
      <w:r>
        <w:rPr>
          <w:rStyle w:val="StringTok"/>
        </w:rPr>
        <w:t xml:space="preserve">"#F7EFE6"</w:t>
      </w:r>
      <w:r>
        <w:rPr>
          <w:rStyle w:val="NormalTok"/>
        </w:rPr>
        <w:t xml:space="preserve">, </w:t>
      </w:r>
      <w:r>
        <w:rPr>
          <w:rStyle w:val="StringTok"/>
        </w:rPr>
        <w:t xml:space="preserve">"#1B4F72"</w:t>
      </w:r>
      <w:r>
        <w:rPr>
          <w:rStyle w:val="NormalTok"/>
        </w:rPr>
        <w:t xml:space="preserve">))(</w:t>
      </w:r>
      <w:r>
        <w:rPr>
          <w:rStyle w:val="DecValTok"/>
        </w:rPr>
        <w:t xml:space="preserve">101</w:t>
      </w:r>
      <w:r>
        <w:rPr>
          <w:rStyle w:val="NormalTok"/>
        </w:rPr>
        <w:t xml:space="preserve">)</w:t>
      </w:r>
      <w:r>
        <w:br/>
      </w:r>
      <w:r>
        <w:rPr>
          <w:rStyle w:val="NormalTok"/>
        </w:rPr>
        <w:t xml:space="preserve">op </w:t>
      </w:r>
      <w:r>
        <w:rPr>
          <w:rStyle w:val="OtherTok"/>
        </w:rPr>
        <w:t xml:space="preserve">&lt;-</w:t>
      </w:r>
      <w:r>
        <w:rPr>
          <w:rStyle w:val="NormalTok"/>
        </w:rPr>
        <w:t xml:space="preserve"> </w:t>
      </w:r>
      <w:r>
        <w:rPr>
          <w:rStyle w:val="FunctionTok"/>
        </w:rPr>
        <w:t xml:space="preserve">par</w:t>
      </w:r>
      <w:r>
        <w:rPr>
          <w:rStyle w:val="NormalTok"/>
        </w:rPr>
        <w:t xml:space="preserve">(</w:t>
      </w:r>
      <w:r>
        <w:rPr>
          <w:rStyle w:val="AttributeTok"/>
        </w:rPr>
        <w:t xml:space="preserve">mar =</w:t>
      </w:r>
      <w:r>
        <w:rPr>
          <w:rStyle w:val="NormalTok"/>
        </w:rPr>
        <w:t xml:space="preserve"> </w:t>
      </w:r>
      <w:r>
        <w:rPr>
          <w:rStyle w:val="FunctionTok"/>
        </w:rPr>
        <w:t xml:space="preserve">c</w:t>
      </w:r>
      <w:r>
        <w:rPr>
          <w:rStyle w:val="NormalTok"/>
        </w:rPr>
        <w:t xml:space="preserve">(</w:t>
      </w:r>
      <w:r>
        <w:rPr>
          <w:rStyle w:val="FloatTok"/>
        </w:rPr>
        <w:t xml:space="preserve">3.2</w:t>
      </w:r>
      <w:r>
        <w:rPr>
          <w:rStyle w:val="NormalTok"/>
        </w:rPr>
        <w:t xml:space="preserve">, </w:t>
      </w:r>
      <w:r>
        <w:rPr>
          <w:rStyle w:val="FloatTok"/>
        </w:rPr>
        <w:t xml:space="preserve">8.4</w:t>
      </w:r>
      <w:r>
        <w:rPr>
          <w:rStyle w:val="NormalTok"/>
        </w:rPr>
        <w:t xml:space="preserve">, </w:t>
      </w:r>
      <w:r>
        <w:rPr>
          <w:rStyle w:val="FloatTok"/>
        </w:rPr>
        <w:t xml:space="preserve">0.6</w:t>
      </w:r>
      <w:r>
        <w:rPr>
          <w:rStyle w:val="NormalTok"/>
        </w:rPr>
        <w:t xml:space="preserve">, </w:t>
      </w:r>
      <w:r>
        <w:rPr>
          <w:rStyle w:val="FloatTok"/>
        </w:rPr>
        <w:t xml:space="preserve">0.8</w:t>
      </w:r>
      <w:r>
        <w:rPr>
          <w:rStyle w:val="NormalTok"/>
        </w:rPr>
        <w:t xml:space="preserve">), </w:t>
      </w:r>
      <w:r>
        <w:rPr>
          <w:rStyle w:val="AttributeTok"/>
        </w:rPr>
        <w:t xml:space="preserve">oma =</w:t>
      </w:r>
      <w:r>
        <w:rPr>
          <w:rStyle w:val="NormalTok"/>
        </w:rPr>
        <w:t xml:space="preserve"> </w:t>
      </w:r>
      <w:r>
        <w:rPr>
          <w:rStyle w:val="FunctionTok"/>
        </w:rPr>
        <w:t xml:space="preserve">c</w:t>
      </w:r>
      <w:r>
        <w:rPr>
          <w:rStyle w:val="NormalTok"/>
        </w:rPr>
        <w:t xml:space="preserve">(</w:t>
      </w:r>
      <w:r>
        <w:rPr>
          <w:rStyle w:val="FloatTok"/>
        </w:rPr>
        <w:t xml:space="preserve">2.2</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AttributeTok"/>
        </w:rPr>
        <w:t xml:space="preserve">mgp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FloatTok"/>
        </w:rPr>
        <w:t xml:space="preserve">0.6</w:t>
      </w:r>
      <w:r>
        <w:rPr>
          <w:rStyle w:val="NormalTok"/>
        </w:rPr>
        <w:t xml:space="preserve">, </w:t>
      </w:r>
      <w:r>
        <w:rPr>
          <w:rStyle w:val="DecValTok"/>
        </w:rPr>
        <w:t xml:space="preserve">0</w:t>
      </w:r>
      <w:r>
        <w:rPr>
          <w:rStyle w:val="NormalTok"/>
        </w:rPr>
        <w:t xml:space="preserve">), </w:t>
      </w:r>
      <w:r>
        <w:rPr>
          <w:rStyle w:val="AttributeTok"/>
        </w:rPr>
        <w:t xml:space="preserve">cex =</w:t>
      </w:r>
      <w:r>
        <w:rPr>
          <w:rStyle w:val="NormalTok"/>
        </w:rPr>
        <w:t xml:space="preserve"> </w:t>
      </w:r>
      <w:r>
        <w:rPr>
          <w:rStyle w:val="FloatTok"/>
        </w:rPr>
        <w:t xml:space="preserve">0.75</w:t>
      </w:r>
      <w:r>
        <w:rPr>
          <w:rStyle w:val="NormalTok"/>
        </w:rPr>
        <w:t xml:space="preserve">)</w:t>
      </w:r>
      <w:r>
        <w:br/>
      </w:r>
      <w:r>
        <w:rPr>
          <w:rStyle w:val="FunctionTok"/>
        </w:rPr>
        <w:t xml:space="preserve">plot</w:t>
      </w:r>
      <w:r>
        <w:rPr>
          <w:rStyle w:val="NormalTok"/>
        </w:rPr>
        <w:t xml:space="preserve">(</w:t>
      </w:r>
      <w:r>
        <w:rPr>
          <w:rStyle w:val="ConstantTok"/>
        </w:rPr>
        <w:t xml:space="preserve">NA</w:t>
      </w:r>
      <w:r>
        <w:rPr>
          <w:rStyle w:val="NormalTok"/>
        </w:rPr>
        <w:t xml:space="preserve">, </w:t>
      </w:r>
      <w:r>
        <w:rPr>
          <w:rStyle w:val="AttributeTok"/>
        </w:rPr>
        <w:t xml:space="preserve">xlim =</w:t>
      </w:r>
      <w:r>
        <w:rPr>
          <w:rStyle w:val="NormalTok"/>
        </w:rPr>
        <w:t xml:space="preserve"> </w:t>
      </w:r>
      <w:r>
        <w:rPr>
          <w:rStyle w:val="FunctionTok"/>
        </w:rPr>
        <w:t xml:space="preserve">range</w:t>
      </w:r>
      <w:r>
        <w:rPr>
          <w:rStyle w:val="NormalTok"/>
        </w:rPr>
        <w:t xml:space="preserve">(yrs) </w:t>
      </w:r>
      <w:r>
        <w:rPr>
          <w:rStyle w:val="SpecialCharTok"/>
        </w:rPr>
        <w:t xml:space="preserve">+</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0.5</w:t>
      </w:r>
      <w:r>
        <w:rPr>
          <w:rStyle w:val="NormalTok"/>
        </w:rPr>
        <w:t xml:space="preserve">, </w:t>
      </w:r>
      <w:r>
        <w:rPr>
          <w:rStyle w:val="FloatTok"/>
        </w:rPr>
        <w:t xml:space="preserve">0.5</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FloatTok"/>
        </w:rPr>
        <w:t xml:space="preserve">0.5</w:t>
      </w:r>
      <w:r>
        <w:rPr>
          <w:rStyle w:val="NormalTok"/>
        </w:rPr>
        <w:t xml:space="preserve">, </w:t>
      </w:r>
      <w:r>
        <w:rPr>
          <w:rStyle w:val="FunctionTok"/>
        </w:rPr>
        <w:t xml:space="preserve">nrow</w:t>
      </w:r>
      <w:r>
        <w:rPr>
          <w:rStyle w:val="NormalTok"/>
        </w:rPr>
        <w:t xml:space="preserve">(st) </w:t>
      </w:r>
      <w:r>
        <w:rPr>
          <w:rStyle w:val="SpecialCha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"Season"</w:t>
      </w:r>
      <w:r>
        <w:rPr>
          <w:rStyle w:val="NormalTok"/>
        </w:rPr>
        <w:t xml:space="preserve">, </w:t>
      </w:r>
      <w:r>
        <w:rPr>
          <w:rStyle w:val="AttributeTok"/>
        </w:rPr>
        <w:t xml:space="preserve">ylab =</w:t>
      </w:r>
      <w:r>
        <w:rPr>
          <w:rStyle w:val="NormalTok"/>
        </w:rPr>
        <w:t xml:space="preserve"> </w:t>
      </w:r>
      <w:r>
        <w:rPr>
          <w:rStyle w:val="StringTok"/>
        </w:rPr>
        <w:t xml:space="preserve">""</w:t>
      </w:r>
      <w:r>
        <w:rPr>
          <w:rStyle w:val="NormalTok"/>
        </w:rPr>
        <w:t xml:space="preserve">, </w:t>
      </w:r>
      <w:r>
        <w:rPr>
          <w:rStyle w:val="AttributeTok"/>
        </w:rPr>
        <w:t xml:space="preserve">yaxt =</w:t>
      </w:r>
      <w:r>
        <w:rPr>
          <w:rStyle w:val="NormalTok"/>
        </w:rPr>
        <w:t xml:space="preserve"> </w:t>
      </w:r>
      <w:r>
        <w:rPr>
          <w:rStyle w:val="StringTok"/>
        </w:rPr>
        <w:t xml:space="preserve">"n"</w:t>
      </w:r>
      <w:r>
        <w:rPr>
          <w:rStyle w:val="NormalTok"/>
        </w:rPr>
        <w:t xml:space="preserve">, </w:t>
      </w:r>
      <w:r>
        <w:rPr>
          <w:rStyle w:val="AttributeTok"/>
        </w:rPr>
        <w:t xml:space="preserve">xaxs =</w:t>
      </w:r>
      <w:r>
        <w:rPr>
          <w:rStyle w:val="NormalTok"/>
        </w:rPr>
        <w:t xml:space="preserve"> </w:t>
      </w:r>
      <w:r>
        <w:rPr>
          <w:rStyle w:val="StringTok"/>
        </w:rPr>
        <w:t xml:space="preserve">"i"</w:t>
      </w:r>
      <w:r>
        <w:rPr>
          <w:rStyle w:val="NormalTok"/>
        </w:rPr>
        <w:t xml:space="preserve">, </w:t>
      </w:r>
      <w:r>
        <w:rPr>
          <w:rStyle w:val="AttributeTok"/>
        </w:rPr>
        <w:t xml:space="preserve">yaxs =</w:t>
      </w:r>
      <w:r>
        <w:rPr>
          <w:rStyle w:val="NormalTok"/>
        </w:rPr>
        <w:t xml:space="preserve"> </w:t>
      </w:r>
      <w:r>
        <w:rPr>
          <w:rStyle w:val="StringTok"/>
        </w:rPr>
        <w:t xml:space="preserve">"i"</w:t>
      </w:r>
      <w:r>
        <w:rPr>
          <w:rStyle w:val="NormalTok"/>
        </w:rPr>
        <w:t xml:space="preserve">)</w:t>
      </w:r>
      <w:r>
        <w:br/>
      </w:r>
      <w:r>
        <w:rPr>
          <w:rStyle w:val="FunctionTok"/>
        </w:rPr>
        <w:t xml:space="preserve">axis</w:t>
      </w:r>
      <w:r>
        <w:rPr>
          <w:rStyle w:val="NormalTok"/>
        </w:rPr>
        <w:t xml:space="preserve">(</w:t>
      </w:r>
      <w:r>
        <w:rPr>
          <w:rStyle w:val="DecValTok"/>
        </w:rPr>
        <w:t xml:space="preserve">2</w:t>
      </w:r>
      <w:r>
        <w:rPr>
          <w:rStyle w:val="NormalTok"/>
        </w:rPr>
        <w:t xml:space="preserve">, </w:t>
      </w:r>
      <w:r>
        <w:rPr>
          <w:rStyle w:val="AttributeTok"/>
        </w:rPr>
        <w:t xml:space="preserve">at =</w:t>
      </w:r>
      <w:r>
        <w:rPr>
          <w:rStyle w:val="NormalTok"/>
        </w:rPr>
        <w:t xml:space="preserve"> </w:t>
      </w:r>
      <w:r>
        <w:rPr>
          <w:rStyle w:val="FunctionTok"/>
        </w:rPr>
        <w:t xml:space="preserve">seq_len</w:t>
      </w:r>
      <w:r>
        <w:rPr>
          <w:rStyle w:val="NormalTok"/>
        </w:rPr>
        <w:t xml:space="preserve">(</w:t>
      </w:r>
      <w:r>
        <w:rPr>
          <w:rStyle w:val="FunctionTok"/>
        </w:rPr>
        <w:t xml:space="preserve">nrow</w:t>
      </w:r>
      <w:r>
        <w:rPr>
          <w:rStyle w:val="NormalTok"/>
        </w:rPr>
        <w:t xml:space="preserve">(st)),</w:t>
      </w:r>
      <w:r>
        <w:br/>
      </w:r>
      <w:r>
        <w:rPr>
          <w:rStyle w:val="NormalTok"/>
        </w:rPr>
        <w:t xml:space="preserve">     </w:t>
      </w:r>
      <w:r>
        <w:rPr>
          <w:rStyle w:val="AttributeTok"/>
        </w:rPr>
        <w:t xml:space="preserve">labels =</w:t>
      </w:r>
      <w:r>
        <w:rPr>
          <w:rStyle w:val="NormalTok"/>
        </w:rPr>
        <w:t xml:space="preserve"> </w:t>
      </w:r>
      <w:r>
        <w:rPr>
          <w:rStyle w:val="FunctionTok"/>
        </w:rPr>
        <w:t xml:space="preserve">sprintf</w:t>
      </w:r>
      <w:r>
        <w:rPr>
          <w:rStyle w:val="NormalTok"/>
        </w:rPr>
        <w:t xml:space="preserve">(</w:t>
      </w:r>
      <w:r>
        <w:rPr>
          <w:rStyle w:val="StringTok"/>
        </w:rPr>
        <w:t xml:space="preserve">"%s, %d m"</w:t>
      </w:r>
      <w:r>
        <w:rPr>
          <w:rStyle w:val="NormalTok"/>
        </w:rPr>
        <w:t xml:space="preserve">, st</w:t>
      </w:r>
      <w:r>
        <w:rPr>
          <w:rStyle w:val="SpecialCharTok"/>
        </w:rPr>
        <w:t xml:space="preserve">$</w:t>
      </w:r>
      <w:r>
        <w:rPr>
          <w:rStyle w:val="NormalTok"/>
        </w:rPr>
        <w:t xml:space="preserve">station, </w:t>
      </w:r>
      <w:r>
        <w:rPr>
          <w:rStyle w:val="FunctionTok"/>
        </w:rPr>
        <w:t xml:space="preserve">round</w:t>
      </w:r>
      <w:r>
        <w:rPr>
          <w:rStyle w:val="NormalTok"/>
        </w:rPr>
        <w:t xml:space="preserve">(st</w:t>
      </w:r>
      <w:r>
        <w:rPr>
          <w:rStyle w:val="SpecialCharTok"/>
        </w:rPr>
        <w:t xml:space="preserve">$</w:t>
      </w:r>
      <w:r>
        <w:rPr>
          <w:rStyle w:val="NormalTok"/>
        </w:rPr>
        <w:t xml:space="preserve">elevation_m)),</w:t>
      </w:r>
      <w:r>
        <w:br/>
      </w:r>
      <w:r>
        <w:rPr>
          <w:rStyle w:val="NormalTok"/>
        </w:rPr>
        <w:t xml:space="preserve">     </w:t>
      </w:r>
      <w:r>
        <w:rPr>
          <w:rStyle w:val="AttributeTok"/>
        </w:rPr>
        <w:t xml:space="preserve">las =</w:t>
      </w:r>
      <w:r>
        <w:rPr>
          <w:rStyle w:val="NormalTok"/>
        </w:rPr>
        <w:t xml:space="preserve"> </w:t>
      </w:r>
      <w:r>
        <w:rPr>
          <w:rStyle w:val="DecValTok"/>
        </w:rPr>
        <w:t xml:space="preserve">1</w:t>
      </w:r>
      <w:r>
        <w:rPr>
          <w:rStyle w:val="NormalTok"/>
        </w:rPr>
        <w:t xml:space="preserve">, </w:t>
      </w:r>
      <w:r>
        <w:rPr>
          <w:rStyle w:val="AttributeTok"/>
        </w:rPr>
        <w:t xml:space="preserve">tick =</w:t>
      </w:r>
      <w:r>
        <w:rPr>
          <w:rStyle w:val="NormalTok"/>
        </w:rPr>
        <w:t xml:space="preserve"> </w:t>
      </w:r>
      <w:r>
        <w:rPr>
          <w:rStyle w:val="ConstantTok"/>
        </w:rPr>
        <w:t xml:space="preserve">FALSE</w:t>
      </w:r>
      <w:r>
        <w:rPr>
          <w:rStyle w:val="NormalTok"/>
        </w:rPr>
        <w:t xml:space="preserve">)</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seq_len</w:t>
      </w:r>
      <w:r>
        <w:rPr>
          <w:rStyle w:val="NormalTok"/>
        </w:rPr>
        <w:t xml:space="preserve">(</w:t>
      </w:r>
      <w:r>
        <w:rPr>
          <w:rStyle w:val="FunctionTok"/>
        </w:rPr>
        <w:t xml:space="preserve">nrow</w:t>
      </w:r>
      <w:r>
        <w:rPr>
          <w:rStyle w:val="NormalTok"/>
        </w:rPr>
        <w:t xml:space="preserve">(st))) </w:t>
      </w:r>
      <w:r>
        <w:rPr>
          <w:rStyle w:val="ControlFlowTok"/>
        </w:rPr>
        <w:t xml:space="preserve">for</w:t>
      </w:r>
      <w:r>
        <w:rPr>
          <w:rStyle w:val="NormalTok"/>
        </w:rPr>
        <w:t xml:space="preserve"> (y </w:t>
      </w:r>
      <w:r>
        <w:rPr>
          <w:rStyle w:val="ControlFlowTok"/>
        </w:rPr>
        <w:t xml:space="preserve">in</w:t>
      </w:r>
      <w:r>
        <w:rPr>
          <w:rStyle w:val="NormalTok"/>
        </w:rPr>
        <w:t xml:space="preserve"> yrs) {</w:t>
      </w:r>
      <w:r>
        <w:br/>
      </w:r>
      <w:r>
        <w:rPr>
          <w:rStyle w:val="NormalTok"/>
        </w:rPr>
        <w:t xml:space="preserve">  r </w:t>
      </w:r>
      <w:r>
        <w:rPr>
          <w:rStyle w:val="OtherTok"/>
        </w:rPr>
        <w:t xml:space="preserve">&lt;-</w:t>
      </w:r>
      <w:r>
        <w:rPr>
          <w:rStyle w:val="NormalTok"/>
        </w:rPr>
        <w:t xml:space="preserve"> cv[cv</w:t>
      </w:r>
      <w:r>
        <w:rPr>
          <w:rStyle w:val="SpecialCharTok"/>
        </w:rPr>
        <w:t xml:space="preserve">$</w:t>
      </w:r>
      <w:r>
        <w:rPr>
          <w:rStyle w:val="NormalTok"/>
        </w:rPr>
        <w:t xml:space="preserve">station </w:t>
      </w:r>
      <w:r>
        <w:rPr>
          <w:rStyle w:val="SpecialCharTok"/>
        </w:rPr>
        <w:t xml:space="preserve">==</w:t>
      </w:r>
      <w:r>
        <w:rPr>
          <w:rStyle w:val="NormalTok"/>
        </w:rPr>
        <w:t xml:space="preserve"> st</w:t>
      </w:r>
      <w:r>
        <w:rPr>
          <w:rStyle w:val="SpecialCharTok"/>
        </w:rPr>
        <w:t xml:space="preserve">$</w:t>
      </w:r>
      <w:r>
        <w:rPr>
          <w:rStyle w:val="NormalTok"/>
        </w:rPr>
        <w:t xml:space="preserve">station[i] </w:t>
      </w:r>
      <w:r>
        <w:rPr>
          <w:rStyle w:val="SpecialCharTok"/>
        </w:rPr>
        <w:t xml:space="preserve">&amp;</w:t>
      </w:r>
      <w:r>
        <w:rPr>
          <w:rStyle w:val="NormalTok"/>
        </w:rPr>
        <w:t xml:space="preserve"> cv</w:t>
      </w:r>
      <w:r>
        <w:rPr>
          <w:rStyle w:val="SpecialCharTok"/>
        </w:rPr>
        <w:t xml:space="preserve">$</w:t>
      </w:r>
      <w:r>
        <w:rPr>
          <w:rStyle w:val="NormalTok"/>
        </w:rPr>
        <w:t xml:space="preserve">year </w:t>
      </w:r>
      <w:r>
        <w:rPr>
          <w:rStyle w:val="SpecialCharTok"/>
        </w:rPr>
        <w:t xml:space="preserve">==</w:t>
      </w:r>
      <w:r>
        <w:rPr>
          <w:rStyle w:val="NormalTok"/>
        </w:rPr>
        <w:t xml:space="preserve"> y,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nrow</w:t>
      </w:r>
      <w:r>
        <w:rPr>
          <w:rStyle w:val="NormalTok"/>
        </w:rPr>
        <w:t xml:space="preserve">(r) </w:t>
      </w:r>
      <w:r>
        <w:rPr>
          <w:rStyle w:val="SpecialCharTok"/>
        </w:rPr>
        <w:t xml:space="preserve">||</w:t>
      </w:r>
      <w:r>
        <w:rPr>
          <w:rStyle w:val="NormalTok"/>
        </w:rPr>
        <w:t xml:space="preserve"> r</w:t>
      </w:r>
      <w:r>
        <w:rPr>
          <w:rStyle w:val="SpecialCharTok"/>
        </w:rPr>
        <w:t xml:space="preserve">$</w:t>
      </w:r>
      <w:r>
        <w:rPr>
          <w:rStyle w:val="NormalTok"/>
        </w:rPr>
        <w:t xml:space="preserve">status </w:t>
      </w:r>
      <w:r>
        <w:rPr>
          <w:rStyle w:val="SpecialCharTok"/>
        </w:rPr>
        <w:t xml:space="preserve">==</w:t>
      </w:r>
      <w:r>
        <w:rPr>
          <w:rStyle w:val="NormalTok"/>
        </w:rPr>
        <w:t xml:space="preserve"> </w:t>
      </w:r>
      <w:r>
        <w:rPr>
          <w:rStyle w:val="StringTok"/>
        </w:rPr>
        <w:t xml:space="preserve">"station not reporting"</w:t>
      </w:r>
      <w:r>
        <w:rPr>
          <w:rStyle w:val="NormalTok"/>
        </w:rPr>
        <w:t xml:space="preserve">) </w:t>
      </w:r>
      <w:r>
        <w:rPr>
          <w:rStyle w:val="ControlFlowTok"/>
        </w:rPr>
        <w:t xml:space="preserve">next</w:t>
      </w:r>
      <w:r>
        <w:br/>
      </w:r>
      <w:r>
        <w:rPr>
          <w:rStyle w:val="NormalTok"/>
        </w:rPr>
        <w:t xml:space="preserve">  </w:t>
      </w:r>
      <w:r>
        <w:rPr>
          <w:rStyle w:val="FunctionTok"/>
        </w:rPr>
        <w:t xml:space="preserve">rect</w:t>
      </w:r>
      <w:r>
        <w:rPr>
          <w:rStyle w:val="NormalTok"/>
        </w:rPr>
        <w:t xml:space="preserve">(y </w:t>
      </w:r>
      <w:r>
        <w:rPr>
          <w:rStyle w:val="SpecialCharTok"/>
        </w:rPr>
        <w:t xml:space="preserve">-</w:t>
      </w:r>
      <w:r>
        <w:rPr>
          <w:rStyle w:val="NormalTok"/>
        </w:rPr>
        <w:t xml:space="preserve"> </w:t>
      </w:r>
      <w:r>
        <w:rPr>
          <w:rStyle w:val="FloatTok"/>
        </w:rPr>
        <w:t xml:space="preserve">0.5</w:t>
      </w:r>
      <w:r>
        <w:rPr>
          <w:rStyle w:val="NormalTok"/>
        </w:rPr>
        <w:t xml:space="preserve">, i </w:t>
      </w:r>
      <w:r>
        <w:rPr>
          <w:rStyle w:val="SpecialCharTok"/>
        </w:rPr>
        <w:t xml:space="preserve">-</w:t>
      </w:r>
      <w:r>
        <w:rPr>
          <w:rStyle w:val="NormalTok"/>
        </w:rPr>
        <w:t xml:space="preserve"> </w:t>
      </w:r>
      <w:r>
        <w:rPr>
          <w:rStyle w:val="FloatTok"/>
        </w:rPr>
        <w:t xml:space="preserve">0.5</w:t>
      </w:r>
      <w:r>
        <w:rPr>
          <w:rStyle w:val="NormalTok"/>
        </w:rPr>
        <w:t xml:space="preserve">, y </w:t>
      </w:r>
      <w:r>
        <w:rPr>
          <w:rStyle w:val="SpecialCharTok"/>
        </w:rPr>
        <w:t xml:space="preserve">+</w:t>
      </w:r>
      <w:r>
        <w:rPr>
          <w:rStyle w:val="NormalTok"/>
        </w:rPr>
        <w:t xml:space="preserve"> </w:t>
      </w:r>
      <w:r>
        <w:rPr>
          <w:rStyle w:val="FloatTok"/>
        </w:rPr>
        <w:t xml:space="preserve">0.5</w:t>
      </w:r>
      <w:r>
        <w:rPr>
          <w:rStyle w:val="NormalTok"/>
        </w:rPr>
        <w:t xml:space="preserve">, i </w:t>
      </w:r>
      <w:r>
        <w:rPr>
          <w:rStyle w:val="SpecialCha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col =</w:t>
      </w:r>
      <w:r>
        <w:rPr>
          <w:rStyle w:val="NormalTok"/>
        </w:rPr>
        <w:t xml:space="preserve"> ramp[</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r</w:t>
      </w:r>
      <w:r>
        <w:rPr>
          <w:rStyle w:val="SpecialCharTok"/>
        </w:rPr>
        <w:t xml:space="preserve">$</w:t>
      </w:r>
      <w:r>
        <w:rPr>
          <w:rStyle w:val="NormalTok"/>
        </w:rPr>
        <w:t xml:space="preserve">observed_fraction)], </w:t>
      </w:r>
      <w:r>
        <w:rPr>
          <w:rStyle w:val="AttributeTok"/>
        </w:rPr>
        <w:t xml:space="preserve">border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ControlFlowTok"/>
        </w:rPr>
        <w:t xml:space="preserve">if</w:t>
      </w:r>
      <w:r>
        <w:rPr>
          <w:rStyle w:val="NormalTok"/>
        </w:rPr>
        <w:t xml:space="preserve"> (r</w:t>
      </w:r>
      <w:r>
        <w:rPr>
          <w:rStyle w:val="SpecialCharTok"/>
        </w:rPr>
        <w:t xml:space="preserve">$</w:t>
      </w:r>
      <w:r>
        <w:rPr>
          <w:rStyle w:val="NormalTok"/>
        </w:rPr>
        <w:t xml:space="preserve">status </w:t>
      </w:r>
      <w:r>
        <w:rPr>
          <w:rStyle w:val="SpecialCharTok"/>
        </w:rPr>
        <w:t xml:space="preserve">==</w:t>
      </w:r>
      <w:r>
        <w:rPr>
          <w:rStyle w:val="NormalTok"/>
        </w:rPr>
        <w:t xml:space="preserve"> </w:t>
      </w:r>
      <w:r>
        <w:rPr>
          <w:rStyle w:val="StringTok"/>
        </w:rPr>
        <w:t xml:space="preserve">"kept"</w:t>
      </w:r>
      <w:r>
        <w:rPr>
          <w:rStyle w:val="NormalTok"/>
        </w:rPr>
        <w:t xml:space="preserve">)</w:t>
      </w:r>
      <w:r>
        <w:br/>
      </w:r>
      <w:r>
        <w:rPr>
          <w:rStyle w:val="NormalTok"/>
        </w:rPr>
        <w:t xml:space="preserve">    </w:t>
      </w:r>
      <w:r>
        <w:rPr>
          <w:rStyle w:val="FunctionTok"/>
        </w:rPr>
        <w:t xml:space="preserve">rect</w:t>
      </w:r>
      <w:r>
        <w:rPr>
          <w:rStyle w:val="NormalTok"/>
        </w:rPr>
        <w:t xml:space="preserve">(y </w:t>
      </w:r>
      <w:r>
        <w:rPr>
          <w:rStyle w:val="SpecialCharTok"/>
        </w:rPr>
        <w:t xml:space="preserve">-</w:t>
      </w:r>
      <w:r>
        <w:rPr>
          <w:rStyle w:val="NormalTok"/>
        </w:rPr>
        <w:t xml:space="preserve"> </w:t>
      </w:r>
      <w:r>
        <w:rPr>
          <w:rStyle w:val="FloatTok"/>
        </w:rPr>
        <w:t xml:space="preserve">0.5</w:t>
      </w:r>
      <w:r>
        <w:rPr>
          <w:rStyle w:val="NormalTok"/>
        </w:rPr>
        <w:t xml:space="preserve">, i </w:t>
      </w:r>
      <w:r>
        <w:rPr>
          <w:rStyle w:val="SpecialCharTok"/>
        </w:rPr>
        <w:t xml:space="preserve">-</w:t>
      </w:r>
      <w:r>
        <w:rPr>
          <w:rStyle w:val="NormalTok"/>
        </w:rPr>
        <w:t xml:space="preserve"> </w:t>
      </w:r>
      <w:r>
        <w:rPr>
          <w:rStyle w:val="FloatTok"/>
        </w:rPr>
        <w:t xml:space="preserve">0.5</w:t>
      </w:r>
      <w:r>
        <w:rPr>
          <w:rStyle w:val="NormalTok"/>
        </w:rPr>
        <w:t xml:space="preserve">, y </w:t>
      </w:r>
      <w:r>
        <w:rPr>
          <w:rStyle w:val="SpecialCharTok"/>
        </w:rPr>
        <w:t xml:space="preserve">+</w:t>
      </w:r>
      <w:r>
        <w:rPr>
          <w:rStyle w:val="NormalTok"/>
        </w:rPr>
        <w:t xml:space="preserve"> </w:t>
      </w:r>
      <w:r>
        <w:rPr>
          <w:rStyle w:val="FloatTok"/>
        </w:rPr>
        <w:t xml:space="preserve">0.5</w:t>
      </w:r>
      <w:r>
        <w:rPr>
          <w:rStyle w:val="NormalTok"/>
        </w:rPr>
        <w:t xml:space="preserve">, i </w:t>
      </w:r>
      <w:r>
        <w:rPr>
          <w:rStyle w:val="SpecialCharTok"/>
        </w:rPr>
        <w:t xml:space="preserve">+</w:t>
      </w:r>
      <w:r>
        <w:rPr>
          <w:rStyle w:val="NormalTok"/>
        </w:rPr>
        <w:t xml:space="preserve"> </w:t>
      </w:r>
      <w:r>
        <w:rPr>
          <w:rStyle w:val="FloatTok"/>
        </w:rPr>
        <w:t xml:space="preserve">0.5</w:t>
      </w:r>
      <w:r>
        <w:rPr>
          <w:rStyle w:val="NormalTok"/>
        </w:rPr>
        <w:t xml:space="preserve">, </w:t>
      </w:r>
      <w:r>
        <w:rPr>
          <w:rStyle w:val="AttributeTok"/>
        </w:rPr>
        <w:t xml:space="preserve">border =</w:t>
      </w:r>
      <w:r>
        <w:rPr>
          <w:rStyle w:val="NormalTok"/>
        </w:rPr>
        <w:t xml:space="preserve"> </w:t>
      </w:r>
      <w:r>
        <w:rPr>
          <w:rStyle w:val="StringTok"/>
        </w:rPr>
        <w:t xml:space="preserve">"grey20"</w:t>
      </w:r>
      <w:r>
        <w:rPr>
          <w:rStyle w:val="NormalTok"/>
        </w:rPr>
        <w:t xml:space="preserve">, </w:t>
      </w:r>
      <w:r>
        <w:rPr>
          <w:rStyle w:val="AttributeTok"/>
        </w:rPr>
        <w:t xml:space="preserve">lwd =</w:t>
      </w:r>
      <w:r>
        <w:rPr>
          <w:rStyle w:val="NormalTok"/>
        </w:rPr>
        <w:t xml:space="preserve"> </w:t>
      </w:r>
      <w:r>
        <w:rPr>
          <w:rStyle w:val="FloatTok"/>
        </w:rPr>
        <w:t xml:space="preserve">0.7</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FunctionTok"/>
        </w:rPr>
        <w:t xml:space="preserve">points</w:t>
      </w:r>
      <w:r>
        <w:rPr>
          <w:rStyle w:val="NormalTok"/>
        </w:rPr>
        <w:t xml:space="preserve">(y, i, </w:t>
      </w:r>
      <w:r>
        <w:rPr>
          <w:rStyle w:val="AttributeTok"/>
        </w:rPr>
        <w:t xml:space="preserve">pch =</w:t>
      </w:r>
      <w:r>
        <w:rPr>
          <w:rStyle w:val="NormalTok"/>
        </w:rPr>
        <w:t xml:space="preserve"> </w:t>
      </w:r>
      <w:r>
        <w:rPr>
          <w:rStyle w:val="DecValTok"/>
        </w:rPr>
        <w:t xml:space="preserve">4</w:t>
      </w:r>
      <w:r>
        <w:rPr>
          <w:rStyle w:val="NormalTok"/>
        </w:rPr>
        <w:t xml:space="preserve">, </w:t>
      </w:r>
      <w:r>
        <w:rPr>
          <w:rStyle w:val="AttributeTok"/>
        </w:rPr>
        <w:t xml:space="preserve">cex =</w:t>
      </w:r>
      <w:r>
        <w:rPr>
          <w:rStyle w:val="NormalTok"/>
        </w:rPr>
        <w:t xml:space="preserve"> </w:t>
      </w:r>
      <w:r>
        <w:rPr>
          <w:rStyle w:val="FloatTok"/>
        </w:rPr>
        <w:t xml:space="preserve">0.55</w:t>
      </w:r>
      <w:r>
        <w:rPr>
          <w:rStyle w:val="NormalTok"/>
        </w:rPr>
        <w:t xml:space="preserve">, </w:t>
      </w:r>
      <w:r>
        <w:rPr>
          <w:rStyle w:val="AttributeTok"/>
        </w:rPr>
        <w:t xml:space="preserve">col =</w:t>
      </w:r>
      <w:r>
        <w:rPr>
          <w:rStyle w:val="NormalTok"/>
        </w:rPr>
        <w:t xml:space="preserve"> </w:t>
      </w:r>
      <w:r>
        <w:rPr>
          <w:rStyle w:val="StringTok"/>
        </w:rPr>
        <w:t xml:space="preserve">"#943126"</w:t>
      </w:r>
      <w:r>
        <w:rPr>
          <w:rStyle w:val="NormalTok"/>
        </w:rPr>
        <w:t xml:space="preserve">)</w:t>
      </w:r>
      <w:r>
        <w:br/>
      </w:r>
      <w:r>
        <w:rPr>
          <w:rStyle w:val="NormalTok"/>
        </w:rPr>
        <w:t xml:space="preserve">}</w:t>
      </w:r>
      <w:r>
        <w:br/>
      </w:r>
      <w:r>
        <w:rPr>
          <w:rStyle w:val="FunctionTok"/>
        </w:rPr>
        <w:t xml:space="preserve">par</w:t>
      </w:r>
      <w:r>
        <w:rPr>
          <w:rStyle w:val="NormalTok"/>
        </w:rPr>
        <w:t xml:space="preserve">(</w:t>
      </w:r>
      <w:r>
        <w:rPr>
          <w:rStyle w:val="AttributeTok"/>
        </w:rPr>
        <w:t xml:space="preserve">xpd =</w:t>
      </w:r>
      <w:r>
        <w:rPr>
          <w:rStyle w:val="NormalTok"/>
        </w:rPr>
        <w:t xml:space="preserve"> </w:t>
      </w:r>
      <w:r>
        <w:rPr>
          <w:rStyle w:val="ConstantTok"/>
        </w:rPr>
        <w:t xml:space="preserve">NA</w:t>
      </w:r>
      <w:r>
        <w:rPr>
          <w:rStyle w:val="NormalTok"/>
        </w:rPr>
        <w:t xml:space="preserve">)</w:t>
      </w:r>
      <w:r>
        <w:br/>
      </w:r>
      <w:r>
        <w:rPr>
          <w:rStyle w:val="FunctionTok"/>
        </w:rPr>
        <w:t xml:space="preserve">legend</w:t>
      </w:r>
      <w:r>
        <w:rPr>
          <w:rStyle w:val="NormalTok"/>
        </w:rPr>
        <w:t xml:space="preserve">(</w:t>
      </w:r>
      <w:r>
        <w:rPr>
          <w:rStyle w:val="FunctionTok"/>
        </w:rPr>
        <w:t xml:space="preserve">min</w:t>
      </w:r>
      <w:r>
        <w:rPr>
          <w:rStyle w:val="NormalTok"/>
        </w:rPr>
        <w:t xml:space="preserve">(yrs)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FloatTok"/>
        </w:rPr>
        <w:t xml:space="preserve">0.35</w:t>
      </w:r>
      <w:r>
        <w:rPr>
          <w:rStyle w:val="NormalTok"/>
        </w:rPr>
        <w:t xml:space="preserve">, </w:t>
      </w:r>
      <w:r>
        <w:rPr>
          <w:rStyle w:val="AttributeTok"/>
        </w:rPr>
        <w:t xml:space="preserve">horiz =</w:t>
      </w:r>
      <w:r>
        <w:rPr>
          <w:rStyle w:val="NormalTok"/>
        </w:rPr>
        <w:t xml:space="preserve"> </w:t>
      </w:r>
      <w:r>
        <w:rPr>
          <w:rStyle w:val="ConstantTok"/>
        </w:rPr>
        <w:t xml:space="preserve">TRUE</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 </w:t>
      </w:r>
      <w:r>
        <w:rPr>
          <w:rStyle w:val="AttributeTok"/>
        </w:rPr>
        <w:t xml:space="preserve">cex =</w:t>
      </w:r>
      <w:r>
        <w:rPr>
          <w:rStyle w:val="NormalTok"/>
        </w:rPr>
        <w:t xml:space="preserve"> </w:t>
      </w:r>
      <w:r>
        <w:rPr>
          <w:rStyle w:val="FloatTok"/>
        </w:rPr>
        <w:t xml:space="preserve">0.75</w:t>
      </w:r>
      <w:r>
        <w:rPr>
          <w:rStyle w:val="NormalTok"/>
        </w:rPr>
        <w:t xml:space="preserve">,</w:t>
      </w:r>
      <w:r>
        <w:br/>
      </w:r>
      <w:r>
        <w:rPr>
          <w:rStyle w:val="NormalTok"/>
        </w:rPr>
        <w:t xml:space="preserve">       </w:t>
      </w:r>
      <w:r>
        <w:rPr>
          <w:rStyle w:val="AttributeTok"/>
        </w:rPr>
        <w:t xml:space="preserve">legend =</w:t>
      </w:r>
      <w:r>
        <w:rPr>
          <w:rStyle w:val="NormalTok"/>
        </w:rPr>
        <w:t xml:space="preserve"> </w:t>
      </w:r>
      <w:r>
        <w:rPr>
          <w:rStyle w:val="FunctionTok"/>
        </w:rPr>
        <w:t xml:space="preserve">c</w:t>
      </w:r>
      <w:r>
        <w:rPr>
          <w:rStyle w:val="NormalTok"/>
        </w:rPr>
        <w:t xml:space="preserve">(</w:t>
      </w:r>
      <w:r>
        <w:rPr>
          <w:rStyle w:val="StringTok"/>
        </w:rPr>
        <w:t xml:space="preserve">"kept, 95 per cent or more observed"</w:t>
      </w:r>
      <w:r>
        <w:rPr>
          <w:rStyle w:val="NormalTok"/>
        </w:rPr>
        <w:t xml:space="preserve">, </w:t>
      </w:r>
      <w:r>
        <w:rPr>
          <w:rStyle w:val="StringTok"/>
        </w:rPr>
        <w:t xml:space="preserve">"dropped for coverage"</w:t>
      </w:r>
      <w:r>
        <w:rPr>
          <w:rStyle w:val="NormalTok"/>
        </w:rPr>
        <w:t xml:space="preserve">,</w:t>
      </w:r>
      <w:r>
        <w:br/>
      </w:r>
      <w:r>
        <w:rPr>
          <w:rStyle w:val="NormalTok"/>
        </w:rPr>
        <w:t xml:space="preserve">                  </w:t>
      </w:r>
      <w:r>
        <w:rPr>
          <w:rStyle w:val="StringTok"/>
        </w:rPr>
        <w:t xml:space="preserve">"shading, share of hours observed, 0 (pale) to 1 (dark)"</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DecValTok"/>
        </w:rPr>
        <w:t xml:space="preserve">15</w:t>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"grey20"</w:t>
      </w:r>
      <w:r>
        <w:rPr>
          <w:rStyle w:val="NormalTok"/>
        </w:rPr>
        <w:t xml:space="preserve">, </w:t>
      </w:r>
      <w:r>
        <w:rPr>
          <w:rStyle w:val="StringTok"/>
        </w:rPr>
        <w:t xml:space="preserve">"#943126"</w:t>
      </w:r>
      <w:r>
        <w:rPr>
          <w:rStyle w:val="NormalTok"/>
        </w:rPr>
        <w:t xml:space="preserve">, </w:t>
      </w:r>
      <w:r>
        <w:rPr>
          <w:rStyle w:val="StringTok"/>
        </w:rPr>
        <w:t xml:space="preserve">"#1B4F72"</w:t>
      </w:r>
      <w:r>
        <w:rPr>
          <w:rStyle w:val="NormalTok"/>
        </w:rPr>
        <w:t xml:space="preserve">),</w:t>
      </w:r>
      <w:r>
        <w:br/>
      </w:r>
      <w:r>
        <w:rPr>
          <w:rStyle w:val="NormalTok"/>
        </w:rPr>
        <w:t xml:space="preserve">       </w:t>
      </w:r>
      <w:r>
        <w:rPr>
          <w:rStyle w:val="AttributeTok"/>
        </w:rPr>
        <w:t xml:space="preserve">pt.cex =</w:t>
      </w:r>
      <w:r>
        <w:rPr>
          <w:rStyle w:val="NormalTok"/>
        </w:rPr>
        <w:t xml:space="preserve"> </w:t>
      </w:r>
      <w:r>
        <w:rPr>
          <w:rStyle w:val="FunctionTok"/>
        </w:rPr>
        <w:t xml:space="preserve">c</w:t>
      </w:r>
      <w:r>
        <w:rPr>
          <w:rStyle w:val="NormalTok"/>
        </w:rPr>
        <w:t xml:space="preserve">(</w:t>
      </w:r>
      <w:r>
        <w:rPr>
          <w:rStyle w:val="FloatTok"/>
        </w:rPr>
        <w:t xml:space="preserve">1.2</w:t>
      </w:r>
      <w:r>
        <w:rPr>
          <w:rStyle w:val="NormalTok"/>
        </w:rPr>
        <w:t xml:space="preserve">, </w:t>
      </w:r>
      <w:r>
        <w:rPr>
          <w:rStyle w:val="FloatTok"/>
        </w:rPr>
        <w:t xml:space="preserve">0.7</w:t>
      </w:r>
      <w:r>
        <w:rPr>
          <w:rStyle w:val="NormalTok"/>
        </w:rPr>
        <w:t xml:space="preserve">, </w:t>
      </w:r>
      <w:r>
        <w:rPr>
          <w:rStyle w:val="FloatTok"/>
        </w:rPr>
        <w:t xml:space="preserve">1.2</w:t>
      </w:r>
      <w:r>
        <w:rPr>
          <w:rStyle w:val="NormalTok"/>
        </w:rPr>
        <w:t xml:space="preserve">))</w:t>
      </w:r>
      <w:r>
        <w:br/>
      </w:r>
      <w:r>
        <w:rPr>
          <w:rStyle w:val="FunctionTok"/>
        </w:rPr>
        <w:t xml:space="preserve">par</w:t>
      </w:r>
      <w:r>
        <w:rPr>
          <w:rStyle w:val="NormalTok"/>
        </w:rPr>
        <w:t xml:space="preserve">(op)</w:t>
      </w:r>
    </w:p>
    <w:tbl>
      <w:tblPr>
        <w:tblStyle w:val="Table"/>
        <w:tblW w:type="pct" w:w="5000"/>
        <w:tblLayout w:type="fixed"/>
        <w:tblLook w:firstRow="0" w:lastRow="0" w:firstColumn="0" w:lastColumn="0" w:noHBand="0" w:noVBand="0" w:val="0000"/>
      </w:tblPr>
      <w:tblGrid>
        <w:gridCol w:w="7920"/>
      </w:tblGrid>
      <w:tr>
        <w:tc>
          <w:tcPr/>
          <w:bookmarkStart w:id="32" w:name="fig-coverage"/>
          <w:p>
            <w:pPr>
              <w:pStyle w:val="Compact"/>
              <w:jc w:val="center"/>
            </w:pPr>
            <w:r>
              <w:drawing>
                <wp:inline>
                  <wp:extent cx="5943600" cy="2743200"/>
                  <wp:effectExtent b="0" l="0" r="0" t="0"/>
                  <wp:docPr descr="" title="" id="30" name="Picture"/>
                  <a:graphic>
                    <a:graphicData uri="http://schemas.openxmlformats.org/drawingml/2006/picture">
                      <pic:pic>
                        <pic:nvPicPr>
                          <pic:cNvPr descr="../03.outputs/figures/mfig-fig-coverage-1.png" id="31" name="Picture"/>
                          <pic:cNvPicPr>
                            <a:picLocks noChangeArrowheads="1" noChangeAspect="1"/>
                          </pic:cNvPicPr>
                        </pic:nvPicPr>
                        <pic:blipFill>
                          <a:blip r:embed="rId29"/>
                          <a:stretch>
                            <a:fillRect/>
                          </a:stretch>
                        </pic:blipFill>
                        <pic:spPr bwMode="auto">
                          <a:xfrm>
                            <a:off x="0" y="0"/>
                            <a:ext cx="5943600" cy="2743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Station reporting by season. Each cell is one station-season, shaded by the share of the 1 April to 30 September hours in which temperature, humidity and wind were all observed; an outlined cell met the 95 per cent rule and was kept, a crossed cell was dropped for coverage, and a blank cell is a season in which the station did not report. 104 station-seasons at 5 stations were kept and 49 dropped, over 1991 to 2025.</w:t>
            </w:r>
          </w:p>
          <w:bookmarkEnd w:id="32"/>
        </w:tc>
      </w:tr>
    </w:tbl>
    <w:p>
      <w:pPr>
        <w:pStyle w:val="BodyText"/>
      </w:pPr>
      <w:hyperlink w:anchor="fig-coverage">
        <w:r>
          <w:rPr>
            <w:rStyle w:val="Hyperlink"/>
          </w:rPr>
          <w:t xml:space="preserve">Figure 2</w:t>
        </w:r>
      </w:hyperlink>
      <w:r>
        <w:t xml:space="preserve"> </w:t>
      </w:r>
      <w:r>
        <w:t xml:space="preserve">shows what the table cannot, which is when each station reported. The network was switched on and off for operational reasons, so 33 of the 49 dropped seasons fell before 2000, and the West Kelowna station reported only from 2016.</w:t>
      </w:r>
    </w:p>
    <w:bookmarkStart w:id="33" w:name="season-window"/>
    <w:p>
      <w:pPr>
        <w:pStyle w:val="Heading3"/>
      </w:pPr>
      <w:r>
        <w:t xml:space="preserve">2.3.1 Season Window</w:t>
      </w:r>
    </w:p>
    <w:p>
      <w:pPr>
        <w:pStyle w:val="FirstParagraph"/>
      </w:pPr>
      <w:r>
        <w:t xml:space="preserve">The window was a fixed calendar one, 1 May to 30 September, 153 days, with the calculation spun up from 1 April so that thirty days of weather preceded the first reported day.</w:t>
      </w:r>
    </w:p>
    <w:p>
      <w:pPr>
        <w:pStyle w:val="BodyText"/>
      </w:pPr>
      <w:r>
        <w:t xml:space="preserve">That was a departure from the original design, which proposed the Canadian rule that section C-2.3 of</w:t>
      </w:r>
      <w:r>
        <w:t xml:space="preserve"> </w:t>
      </w:r>
      <w:r>
        <w:t xml:space="preserve">Canadian Forest Service Fire Danger Group (2025)</w:t>
      </w:r>
      <w:r>
        <w:t xml:space="preserve"> </w:t>
      </w:r>
      <w:r>
        <w:t xml:space="preserve">describes as the criterion most often used across Canada, to</w:t>
      </w:r>
      <w:r>
        <w:t xml:space="preserve"> </w:t>
      </w:r>
      <w:r>
        <w:t xml:space="preserve">“start calculation three days after the disappearance of snow cover”</w:t>
      </w:r>
      <w:r>
        <w:t xml:space="preserve">, or, where snow cover cannot be observed, after three days above 12 degrees Celsius</w:t>
      </w:r>
      <w:r>
        <w:t xml:space="preserve"> </w:t>
      </w:r>
      <w:r>
        <w:t xml:space="preserve">(Lawson &amp; Armitage, 2008)</w:t>
      </w:r>
      <w:r>
        <w:t xml:space="preserve">. The rule was implemented, run, and abandoned, because these stations do not report through the winter, so the rule fired on whatever day a station was switched on, and the station reporting record above shows that the switch-on date varied by station and season for operational reasons. The same constraint has been met before.</w:t>
      </w:r>
      <w:r>
        <w:t xml:space="preserve"> </w:t>
      </w:r>
      <w:r>
        <w:t xml:space="preserve">R. D. Field et al. (2015)</w:t>
      </w:r>
      <w:r>
        <w:t xml:space="preserve">, building the Global Fire Weather Database, noted that data for their Canadian comparison stations</w:t>
      </w:r>
      <w:r>
        <w:t xml:space="preserve"> </w:t>
      </w:r>
      <w:r>
        <w:t xml:space="preserve">“were available only for the fire season, which was determined using a temperature threshold”</w:t>
      </w:r>
      <w:r>
        <w:t xml:space="preserve"> </w:t>
      </w:r>
      <w:r>
        <w:t xml:space="preserve">(R. D. Field et al., 2015, p. 1411)</w:t>
      </w:r>
      <w:r>
        <w:t xml:space="preserve">, and</w:t>
      </w:r>
      <w:r>
        <w:t xml:space="preserve"> </w:t>
      </w:r>
      <w:r>
        <w:t xml:space="preserve">C. Hanes, Wotton, Woolford, Martell, &amp; Flannigan (2020)</w:t>
      </w:r>
      <w:r>
        <w:t xml:space="preserve">, working with fire weather stations in Alberta and Ontario, took winter precipitation from nearby Environment and Climate Change Canada stations because</w:t>
      </w:r>
      <w:r>
        <w:t xml:space="preserve"> </w:t>
      </w:r>
      <w:r>
        <w:t xml:space="preserve">“fire weather stations are not operated during the winter”</w:t>
      </w:r>
      <w:r>
        <w:t xml:space="preserve"> </w:t>
      </w:r>
      <w:r>
        <w:t xml:space="preserve">(C. Hanes et al., 2020, p. 5)</w:t>
      </w:r>
      <w:r>
        <w:t xml:space="preserve">.</w:t>
      </w:r>
    </w:p>
    <w:p>
      <w:pPr>
        <w:pStyle w:val="BodyText"/>
      </w:pPr>
      <w:r>
        <w:t xml:space="preserve">One consequence was stated rather than repaired. Fire season length could not be estimated from this network and was therefore not among the metrics, although lengthening season is among the most-reported fire danger trends, because a network whose stations are switched on and off for operational reasons cannot measure when a season begins. The published definitions of the season answer different questions and fail in different ways on a record like this one. The weather rule of</w:t>
      </w:r>
      <w:r>
        <w:t xml:space="preserve"> </w:t>
      </w:r>
      <w:r>
        <w:t xml:space="preserve">Lawson &amp; Armitage (2008)</w:t>
      </w:r>
      <w:r>
        <w:t xml:space="preserve"> </w:t>
      </w:r>
      <w:r>
        <w:t xml:space="preserve">and</w:t>
      </w:r>
      <w:r>
        <w:t xml:space="preserve"> </w:t>
      </w:r>
      <w:r>
        <w:t xml:space="preserve">B. M. Wotton &amp; Flannigan (1993)</w:t>
      </w:r>
      <w:r>
        <w:t xml:space="preserve">, which</w:t>
      </w:r>
      <w:r>
        <w:t xml:space="preserve"> </w:t>
      </w:r>
      <w:r>
        <w:t xml:space="preserve">McElhinny et al. (2020)</w:t>
      </w:r>
      <w:r>
        <w:t xml:space="preserve"> </w:t>
      </w:r>
      <w:r>
        <w:t xml:space="preserve">stated as a season</w:t>
      </w:r>
      <w:r>
        <w:t xml:space="preserve"> </w:t>
      </w:r>
      <w:r>
        <w:t xml:space="preserve">“active on the fourth day following 3 consecutive days with a maximum temperature of 12 °C or higher”</w:t>
      </w:r>
      <w:r>
        <w:t xml:space="preserve"> </w:t>
      </w:r>
      <w:r>
        <w:t xml:space="preserve">and over</w:t>
      </w:r>
      <w:r>
        <w:t xml:space="preserve"> </w:t>
      </w:r>
      <w:r>
        <w:t xml:space="preserve">“after 3 consecutive days with a maximum temperature of 5 °C or lower”</w:t>
      </w:r>
      <w:r>
        <w:t xml:space="preserve"> </w:t>
      </w:r>
      <w:r>
        <w:t xml:space="preserve">(McElhinny et al., 2020, p. 1826)</w:t>
      </w:r>
      <w:r>
        <w:t xml:space="preserve">, dates the weather season and needs a record that runs through the shoulder months.</w:t>
      </w:r>
      <w:r>
        <w:t xml:space="preserve"> </w:t>
      </w:r>
      <w:r>
        <w:t xml:space="preserve">Jolly et al. (2015)</w:t>
      </w:r>
      <w:r>
        <w:t xml:space="preserve"> </w:t>
      </w:r>
      <w:r>
        <w:t xml:space="preserve">defined fire weather season length from the danger series itself, as</w:t>
      </w:r>
      <w:r>
        <w:t xml:space="preserve"> </w:t>
      </w:r>
      <w:r>
        <w:t xml:space="preserve">“the number of days each year when fire danger is above half its value range”</w:t>
      </w:r>
      <w:r>
        <w:t xml:space="preserve"> </w:t>
      </w:r>
      <w:r>
        <w:t xml:space="preserve">(Jolly et al., 2015, p. 2)</w:t>
      </w:r>
      <w:r>
        <w:t xml:space="preserve">, and found that it lengthened across 25.3 per cent of the Earth’s vegetated surface from 1979 to 2013, a definition that dates the danger season and needs the stations to be reporting before the first such day. Definitions based on fires rather than weather date the fire season:</w:t>
      </w:r>
      <w:r>
        <w:t xml:space="preserve"> </w:t>
      </w:r>
      <w:r>
        <w:t xml:space="preserve">Westerling (2016)</w:t>
      </w:r>
      <w:r>
        <w:t xml:space="preserve"> </w:t>
      </w:r>
      <w:r>
        <w:t xml:space="preserve">measured it from the first discovery to the last control of a large fire and found western United States forest fire seasons in 2003 to 2012 more than 84 days longer than in 1973 to 1982,</w:t>
      </w:r>
      <w:r>
        <w:t xml:space="preserve"> </w:t>
      </w:r>
      <w:r>
        <w:t xml:space="preserve">Albert-Green, Dean, Martell, &amp; Woolford (2013)</w:t>
      </w:r>
      <w:r>
        <w:t xml:space="preserve"> </w:t>
      </w:r>
      <w:r>
        <w:t xml:space="preserve">dated its start and end where a smoothed daily lightning-fire risk curve crossed set thresholds in Alberta and Ontario, and</w:t>
      </w:r>
      <w:r>
        <w:t xml:space="preserve"> </w:t>
      </w:r>
      <w:r>
        <w:t xml:space="preserve">Granville, Woolford, &amp; Dean (2026)</w:t>
      </w:r>
      <w:r>
        <w:t xml:space="preserve"> </w:t>
      </w:r>
      <w:r>
        <w:t xml:space="preserve">dated it from observed wildfires across Ontario and found it lengthening by a median of about 0.5 days per year in the northwest. Those need a complete and well-dated ignition record, which</w:t>
      </w:r>
      <w:r>
        <w:t xml:space="preserve"> </w:t>
      </w:r>
      <w:hyperlink w:anchor="sec-data">
        <w:r>
          <w:rPr>
            <w:rStyle w:val="Hyperlink"/>
          </w:rPr>
          <w:t xml:space="preserve">Section 2</w:t>
        </w:r>
      </w:hyperlink>
      <w:r>
        <w:t xml:space="preserve"> </w:t>
      </w:r>
      <w:r>
        <w:t xml:space="preserve">shows the basin’s record is not after 2000. The metrics that remained here were counts and sums over a window of fixed length, which the network can measure, and what that window gives up is taken up in</w:t>
      </w:r>
      <w:r>
        <w:t xml:space="preserve"> </w:t>
      </w:r>
      <w:hyperlink w:anchor="sec-discussion">
        <w:r>
          <w:rPr>
            <w:rStyle w:val="Hyperlink"/>
          </w:rPr>
          <w:t xml:space="preserve">Section 5</w:t>
        </w:r>
      </w:hyperlink>
      <w:r>
        <w:t xml:space="preserve">.</w:t>
      </w:r>
    </w:p>
    <w:bookmarkEnd w:id="33"/>
    <w:bookmarkStart w:id="34" w:name="data-limitation-gaps-and-startup"/>
    <w:p>
      <w:pPr>
        <w:pStyle w:val="Heading3"/>
      </w:pPr>
      <w:r>
        <w:t xml:space="preserve">2.3.2 Data Limitation: Gaps and Startup</w:t>
      </w:r>
    </w:p>
    <w:p>
      <w:pPr>
        <w:pStyle w:val="FirstParagraph"/>
      </w:pPr>
      <w:r>
        <w:t xml:space="preserve">Runs of missing temperature, humidity or wind up to 24 hours were filled by linear interpolation, since the reference implementation requires a gap-free hourly stream, and missing precipitation was filled with zero, because rain cannot be invented. A station-season was kept only where at least 95 per cent of the 1 April to 30 September hours were observed and no single gap exceeded 24 hours.</w:t>
      </w:r>
    </w:p>
    <w:p>
      <w:pPr>
        <w:pStyle w:val="BodyText"/>
      </w:pPr>
      <w:r>
        <w:t xml:space="preserve">Filling a gap with no rain makes a missing wet spell look dry and pushes danger up. The direction matters and is stated. Coverage in this record was worse early than late, so this bias, where it acted, inflated danger in early seasons and therefore worked against an increasing trend rather than for one. It was identical across the three series by construction, since all three ran on the same filled record, and so could not move a contrast between versions.</w:t>
      </w:r>
    </w:p>
    <w:p>
      <w:pPr>
        <w:pStyle w:val="BodyText"/>
      </w:pPr>
      <w:r>
        <w:t xml:space="preserve">Each station-season started from FFMC 85, DMC 6 and DC 15, the values</w:t>
      </w:r>
      <w:r>
        <w:t xml:space="preserve"> </w:t>
      </w:r>
      <w:r>
        <w:t xml:space="preserve">Van Wagner (1987)</w:t>
      </w:r>
      <w:r>
        <w:t xml:space="preserve"> </w:t>
      </w:r>
      <w:r>
        <w:t xml:space="preserve">gives and the reference implementation defaults to. The Drought Code was not overwintered, because these stations report no winter weather for an overwintering calculation to run on. That departs from provincial practice, since</w:t>
      </w:r>
      <w:r>
        <w:t xml:space="preserve"> </w:t>
      </w:r>
      <w:r>
        <w:t xml:space="preserve">C. Hanes et al. (2020)</w:t>
      </w:r>
      <w:r>
        <w:t xml:space="preserve"> </w:t>
      </w:r>
      <w:r>
        <w:t xml:space="preserve">reported that</w:t>
      </w:r>
      <w:r>
        <w:t xml:space="preserve"> </w:t>
      </w:r>
      <w:r>
        <w:t xml:space="preserve">“the western provinces regularly overwinter the DC”</w:t>
      </w:r>
      <w:r>
        <w:t xml:space="preserve"> </w:t>
      </w:r>
      <w:r>
        <w:t xml:space="preserve">(C. Hanes et al., 2020, p. 2)</w:t>
      </w:r>
      <w:r>
        <w:t xml:space="preserve">, adjusting the fall value by the precipitation received over winter. The departure matters for absolute counts.</w:t>
      </w:r>
      <w:r>
        <w:t xml:space="preserve"> </w:t>
      </w:r>
      <w:r>
        <w:t xml:space="preserve">McElhinny et al. (2020)</w:t>
      </w:r>
      <w:r>
        <w:t xml:space="preserve"> </w:t>
      </w:r>
      <w:r>
        <w:t xml:space="preserve">computed a global Fire Weather Index reanalysis for 1979 to 2018 both ways and found that</w:t>
      </w:r>
      <w:r>
        <w:t xml:space="preserve"> </w:t>
      </w:r>
      <w:r>
        <w:t xml:space="preserve">“even a modest difference in FWI values at start-up can lead to important differences in the number and spatial distribution of fire spread days between the overwintered and default calculations”</w:t>
      </w:r>
      <w:r>
        <w:t xml:space="preserve"> </w:t>
      </w:r>
      <w:r>
        <w:t xml:space="preserve">(McElhinny et al., 2020, p. 1829)</w:t>
      </w:r>
      <w:r>
        <w:t xml:space="preserve">, illustrated with the 2016 season over North America, when fuel moisture before the Fort McMurray fire in Alberta followed low overwinter precipitation and severe fall drought. The Drought Code here therefore carried startup information into early May in every season, identically in all three series, and its effect on absolute Drought Code, Buildup Index and extreme-day levels is reported with the implementation checks in</w:t>
      </w:r>
      <w:r>
        <w:t xml:space="preserve"> </w:t>
      </w:r>
      <w:hyperlink w:anchor="sec-results">
        <w:r>
          <w:rPr>
            <w:rStyle w:val="Hyperlink"/>
          </w:rPr>
          <w:t xml:space="preserve">Section 4</w:t>
        </w:r>
      </w:hyperlink>
      <w:r>
        <w:t xml:space="preserve">.</w:t>
      </w:r>
    </w:p>
    <w:bookmarkEnd w:id="34"/>
    <w:bookmarkEnd w:id="35"/>
    <w:bookmarkStart w:id="41" w:name="fire-activity"/>
    <w:p>
      <w:pPr>
        <w:pStyle w:val="Heading2"/>
      </w:pPr>
      <w:r>
        <w:t xml:space="preserve">2.4 Fire Activity</w:t>
      </w:r>
    </w:p>
    <w:p>
      <w:pPr>
        <w:pStyle w:val="FirstParagraph"/>
      </w:pPr>
      <w:r>
        <w:t xml:space="preserve">The ignition record was the BC Wildfire Service historical incident set</w:t>
      </w:r>
      <w:r>
        <w:t xml:space="preserve"> </w:t>
      </w:r>
      <w:r>
        <w:t xml:space="preserve">(BC Wildfire Service, 2026a)</w:t>
      </w:r>
      <w:r>
        <w:t xml:space="preserve">, clipped to the basin, 8,176 incidents over the 1980 to 2025 seasons.</w:t>
      </w:r>
    </w:p>
    <w:p>
      <w:pPr>
        <w:pStyle w:val="BodyText"/>
      </w:pPr>
      <w:r>
        <w:t xml:space="preserve">Two properties of that record governed what could be asked of it, and neither was repaired here, because neither can be. First, many incidents could not be placed on a day at all. 6,304 of 8,176 incidents, 77.1 per cent, carried an ignition date, and the remaining 1,872 could not enter a daily series at any threshold. The missing dates were not spread evenly, and they did not concentrate where intuition puts them, in that the earliest decade in the record was 100 per cent dated and the most recent was 46 per cent. Missing date and missing cause were largely the same records. Second, cause attribution was not stationary.</w:t>
      </w:r>
      <w:r>
        <w:t xml:space="preserve"> </w:t>
      </w:r>
      <w:hyperlink w:anchor="tbl-completeness">
        <w:r>
          <w:rPr>
            <w:rStyle w:val="Hyperlink"/>
          </w:rPr>
          <w:t xml:space="preserve">Table 3</w:t>
        </w:r>
      </w:hyperlink>
      <w:r>
        <w:t xml:space="preserve"> </w:t>
      </w:r>
      <w:r>
        <w:t xml:space="preserve">gives both by decade, and a lightning-caused count that falls after 2000 may record a change in how cause was coded rather than a change in ignition.</w:t>
      </w:r>
    </w:p>
    <w:p>
      <w:pPr>
        <w:pStyle w:val="SourceCode"/>
      </w:pPr>
      <w:r>
        <w:rPr>
          <w:rStyle w:val="NormalTok"/>
        </w:rPr>
        <w:t xml:space="preserve">completeness</w:t>
      </w:r>
      <w:r>
        <w:rPr>
          <w:rStyle w:val="SpecialCharTok"/>
        </w:rPr>
        <w:t xml:space="preserve">$</w:t>
      </w:r>
      <w:r>
        <w:rPr>
          <w:rStyle w:val="NormalTok"/>
        </w:rPr>
        <w:t xml:space="preserve">decade </w:t>
      </w:r>
      <w:r>
        <w:rPr>
          <w:rStyle w:val="OtherTok"/>
        </w:rPr>
        <w:t xml:space="preserve">&lt;-</w:t>
      </w:r>
      <w:r>
        <w:rPr>
          <w:rStyle w:val="NormalTok"/>
        </w:rPr>
        <w:t xml:space="preserve"> </w:t>
      </w:r>
      <w:r>
        <w:rPr>
          <w:rStyle w:val="FunctionTok"/>
        </w:rPr>
        <w:t xml:space="preserve">paste0</w:t>
      </w:r>
      <w:r>
        <w:rPr>
          <w:rStyle w:val="NormalTok"/>
        </w:rPr>
        <w:t xml:space="preserve">(completeness</w:t>
      </w:r>
      <w:r>
        <w:rPr>
          <w:rStyle w:val="SpecialCharTok"/>
        </w:rPr>
        <w:t xml:space="preserve">$</w:t>
      </w:r>
      <w:r>
        <w:rPr>
          <w:rStyle w:val="NormalTok"/>
        </w:rPr>
        <w:t xml:space="preserve">year </w:t>
      </w:r>
      <w:r>
        <w:rPr>
          <w:rStyle w:val="SpecialCharTok"/>
        </w:rPr>
        <w:t xml:space="preserve">%/%</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w:t>
      </w:r>
      <w:r>
        <w:rPr>
          <w:rStyle w:val="DecValTok"/>
        </w:rPr>
        <w:t xml:space="preserve">10</w:t>
      </w:r>
      <w:r>
        <w:rPr>
          <w:rStyle w:val="NormalTok"/>
        </w:rPr>
        <w:t xml:space="preserve">, </w:t>
      </w:r>
      <w:r>
        <w:rPr>
          <w:rStyle w:val="StringTok"/>
        </w:rPr>
        <w:t xml:space="preserve">"s"</w:t>
      </w:r>
      <w:r>
        <w:rPr>
          <w:rStyle w:val="NormalTok"/>
        </w:rPr>
        <w:t xml:space="preserve">)</w:t>
      </w:r>
      <w:r>
        <w:br/>
      </w:r>
      <w:r>
        <w:rPr>
          <w:rStyle w:val="NormalTok"/>
        </w:rPr>
        <w:t xml:space="preserve">cd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w:t>
      </w:r>
      <w:r>
        <w:rPr>
          <w:rStyle w:val="FunctionTok"/>
        </w:rPr>
        <w:t xml:space="preserve">split</w:t>
      </w:r>
      <w:r>
        <w:rPr>
          <w:rStyle w:val="NormalTok"/>
        </w:rPr>
        <w:t xml:space="preserve">(completeness, completeness</w:t>
      </w:r>
      <w:r>
        <w:rPr>
          <w:rStyle w:val="SpecialCharTok"/>
        </w:rPr>
        <w:t xml:space="preserve">$</w:t>
      </w:r>
      <w:r>
        <w:rPr>
          <w:rStyle w:val="NormalTok"/>
        </w:rPr>
        <w:t xml:space="preserve">decade), </w:t>
      </w:r>
      <w:r>
        <w:rPr>
          <w:rStyle w:val="ControlFlowTok"/>
        </w:rPr>
        <w:t xml:space="preserve">function</w:t>
      </w:r>
      <w:r>
        <w:rPr>
          <w:rStyle w:val="NormalTok"/>
        </w:rPr>
        <w:t xml:space="preserve">(d) {</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Decade =</w:t>
      </w:r>
      <w:r>
        <w:rPr>
          <w:rStyle w:val="NormalTok"/>
        </w:rPr>
        <w:t xml:space="preserve"> d</w:t>
      </w:r>
      <w:r>
        <w:rPr>
          <w:rStyle w:val="SpecialCharTok"/>
        </w:rPr>
        <w:t xml:space="preserve">$</w:t>
      </w:r>
      <w:r>
        <w:rPr>
          <w:rStyle w:val="NormalTok"/>
        </w:rPr>
        <w:t xml:space="preserve">decade[</w:t>
      </w:r>
      <w:r>
        <w:rPr>
          <w:rStyle w:val="DecValTok"/>
        </w:rPr>
        <w:t xml:space="preserve">1</w:t>
      </w:r>
      <w:r>
        <w:rPr>
          <w:rStyle w:val="NormalTok"/>
        </w:rPr>
        <w:t xml:space="preserve">],</w:t>
      </w:r>
      <w:r>
        <w:br/>
      </w:r>
      <w:r>
        <w:rPr>
          <w:rStyle w:val="NormalTok"/>
        </w:rPr>
        <w:t xml:space="preserve">    </w:t>
      </w:r>
      <w:r>
        <w:rPr>
          <w:rStyle w:val="AttributeTok"/>
        </w:rPr>
        <w:t xml:space="preserve">Incidents =</w:t>
      </w:r>
      <w:r>
        <w:rPr>
          <w:rStyle w:val="NormalTok"/>
        </w:rPr>
        <w:t xml:space="preserve"> </w:t>
      </w:r>
      <w:r>
        <w:rPr>
          <w:rStyle w:val="FunctionTok"/>
        </w:rPr>
        <w:t xml:space="preserve">sum</w:t>
      </w:r>
      <w:r>
        <w:rPr>
          <w:rStyle w:val="NormalTok"/>
        </w:rPr>
        <w:t xml:space="preserve">(d</w:t>
      </w:r>
      <w:r>
        <w:rPr>
          <w:rStyle w:val="SpecialCharTok"/>
        </w:rPr>
        <w:t xml:space="preserve">$</w:t>
      </w:r>
      <w:r>
        <w:rPr>
          <w:rStyle w:val="NormalTok"/>
        </w:rPr>
        <w:t xml:space="preserve">n_incidents),</w:t>
      </w:r>
      <w:r>
        <w:br/>
      </w:r>
      <w:r>
        <w:rPr>
          <w:rStyle w:val="NormalTok"/>
        </w:rPr>
        <w:t xml:space="preserve">    </w:t>
      </w:r>
      <w:r>
        <w:rPr>
          <w:rStyle w:val="AttributeTok"/>
        </w:rPr>
        <w:t xml:space="preserve">Dated =</w:t>
      </w:r>
      <w:r>
        <w:rPr>
          <w:rStyle w:val="NormalTok"/>
        </w:rPr>
        <w:t xml:space="preserve"> </w:t>
      </w:r>
      <w:r>
        <w:rPr>
          <w:rStyle w:val="FunctionTok"/>
        </w:rPr>
        <w:t xml:space="preserve">sum</w:t>
      </w:r>
      <w:r>
        <w:rPr>
          <w:rStyle w:val="NormalTok"/>
        </w:rPr>
        <w:t xml:space="preserve">(d</w:t>
      </w:r>
      <w:r>
        <w:rPr>
          <w:rStyle w:val="SpecialCharTok"/>
        </w:rPr>
        <w:t xml:space="preserve">$</w:t>
      </w:r>
      <w:r>
        <w:rPr>
          <w:rStyle w:val="NormalTok"/>
        </w:rPr>
        <w:t xml:space="preserve">n_dated),</w:t>
      </w:r>
      <w:r>
        <w:br/>
      </w:r>
      <w:r>
        <w:rPr>
          <w:rStyle w:val="NormalTok"/>
        </w:rPr>
        <w:t xml:space="preserve">    </w:t>
      </w:r>
      <w:r>
        <w:rPr>
          <w:rStyle w:val="StringTok"/>
        </w:rPr>
        <w:t xml:space="preserve">`</w:t>
      </w:r>
      <w:r>
        <w:rPr>
          <w:rStyle w:val="AttributeTok"/>
        </w:rPr>
        <w:t xml:space="preserve">Dated %</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(d</w:t>
      </w:r>
      <w:r>
        <w:rPr>
          <w:rStyle w:val="SpecialCharTok"/>
        </w:rPr>
        <w:t xml:space="preserve">$</w:t>
      </w:r>
      <w:r>
        <w:rPr>
          <w:rStyle w:val="NormalTok"/>
        </w:rPr>
        <w:t xml:space="preserve">n_dated) </w:t>
      </w:r>
      <w:r>
        <w:rPr>
          <w:rStyle w:val="SpecialCharTok"/>
        </w:rPr>
        <w:t xml:space="preserve">/</w:t>
      </w:r>
      <w:r>
        <w:rPr>
          <w:rStyle w:val="NormalTok"/>
        </w:rPr>
        <w:t xml:space="preserve"> </w:t>
      </w:r>
      <w:r>
        <w:rPr>
          <w:rStyle w:val="FunctionTok"/>
        </w:rPr>
        <w:t xml:space="preserve">sum</w:t>
      </w:r>
      <w:r>
        <w:rPr>
          <w:rStyle w:val="NormalTok"/>
        </w:rPr>
        <w:t xml:space="preserve">(d</w:t>
      </w:r>
      <w:r>
        <w:rPr>
          <w:rStyle w:val="SpecialCharTok"/>
        </w:rPr>
        <w:t xml:space="preserve">$</w:t>
      </w:r>
      <w:r>
        <w:rPr>
          <w:rStyle w:val="NormalTok"/>
        </w:rPr>
        <w:t xml:space="preserve">n_incidents), </w:t>
      </w:r>
      <w:r>
        <w:rPr>
          <w:rStyle w:val="DecValTok"/>
        </w:rPr>
        <w:t xml:space="preserve">1</w:t>
      </w:r>
      <w:r>
        <w:rPr>
          <w:rStyle w:val="NormalTok"/>
        </w:rPr>
        <w:t xml:space="preserve">),</w:t>
      </w:r>
      <w:r>
        <w:br/>
      </w:r>
      <w:r>
        <w:rPr>
          <w:rStyle w:val="NormalTok"/>
        </w:rPr>
        <w:t xml:space="preserve">    </w:t>
      </w:r>
      <w:r>
        <w:rPr>
          <w:rStyle w:val="AttributeTok"/>
        </w:rPr>
        <w:t xml:space="preserve">Attributed =</w:t>
      </w:r>
      <w:r>
        <w:rPr>
          <w:rStyle w:val="NormalTok"/>
        </w:rPr>
        <w:t xml:space="preserve"> </w:t>
      </w:r>
      <w:r>
        <w:rPr>
          <w:rStyle w:val="FunctionTok"/>
        </w:rPr>
        <w:t xml:space="preserve">sum</w:t>
      </w:r>
      <w:r>
        <w:rPr>
          <w:rStyle w:val="NormalTok"/>
        </w:rPr>
        <w:t xml:space="preserve">(d</w:t>
      </w:r>
      <w:r>
        <w:rPr>
          <w:rStyle w:val="SpecialCharTok"/>
        </w:rPr>
        <w:t xml:space="preserve">$</w:t>
      </w:r>
      <w:r>
        <w:rPr>
          <w:rStyle w:val="NormalTok"/>
        </w:rPr>
        <w:t xml:space="preserve">n_caused),</w:t>
      </w:r>
      <w:r>
        <w:br/>
      </w:r>
      <w:r>
        <w:rPr>
          <w:rStyle w:val="NormalTok"/>
        </w:rPr>
        <w:t xml:space="preserve">    </w:t>
      </w:r>
      <w:r>
        <w:rPr>
          <w:rStyle w:val="StringTok"/>
        </w:rPr>
        <w:t xml:space="preserve">`</w:t>
      </w:r>
      <w:r>
        <w:rPr>
          <w:rStyle w:val="AttributeTok"/>
        </w:rPr>
        <w:t xml:space="preserve">Attributed %</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(d</w:t>
      </w:r>
      <w:r>
        <w:rPr>
          <w:rStyle w:val="SpecialCharTok"/>
        </w:rPr>
        <w:t xml:space="preserve">$</w:t>
      </w:r>
      <w:r>
        <w:rPr>
          <w:rStyle w:val="NormalTok"/>
        </w:rPr>
        <w:t xml:space="preserve">n_caused) </w:t>
      </w:r>
      <w:r>
        <w:rPr>
          <w:rStyle w:val="SpecialCharTok"/>
        </w:rPr>
        <w:t xml:space="preserve">/</w:t>
      </w:r>
      <w:r>
        <w:rPr>
          <w:rStyle w:val="NormalTok"/>
        </w:rPr>
        <w:t xml:space="preserve"> </w:t>
      </w:r>
      <w:r>
        <w:rPr>
          <w:rStyle w:val="FunctionTok"/>
        </w:rPr>
        <w:t xml:space="preserve">sum</w:t>
      </w:r>
      <w:r>
        <w:rPr>
          <w:rStyle w:val="NormalTok"/>
        </w:rPr>
        <w:t xml:space="preserve">(d</w:t>
      </w:r>
      <w:r>
        <w:rPr>
          <w:rStyle w:val="SpecialCharTok"/>
        </w:rPr>
        <w:t xml:space="preserve">$</w:t>
      </w:r>
      <w:r>
        <w:rPr>
          <w:rStyle w:val="NormalTok"/>
        </w:rPr>
        <w:t xml:space="preserve">n_incidents), </w:t>
      </w:r>
      <w:r>
        <w:rPr>
          <w:rStyle w:val="DecValTok"/>
        </w:rPr>
        <w:t xml:space="preserve">1</w:t>
      </w:r>
      <w:r>
        <w:rPr>
          <w:rStyle w:val="NormalTok"/>
        </w:rPr>
        <w:t xml:space="preserve">),</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w:t>
      </w:r>
      <w:r>
        <w:br/>
      </w:r>
      <w:r>
        <w:rPr>
          <w:rStyle w:val="NormalTok"/>
        </w:rPr>
        <w:t xml:space="preserve">}))</w:t>
      </w:r>
      <w:r>
        <w:br/>
      </w:r>
      <w:r>
        <w:rPr>
          <w:rStyle w:val="FunctionTok"/>
        </w:rPr>
        <w:t xml:space="preserve">fmt_tbl</w:t>
      </w:r>
      <w:r>
        <w:rPr>
          <w:rStyle w:val="NormalTok"/>
        </w:rPr>
        <w:t xml:space="preserve">(cd)</w:t>
      </w:r>
    </w:p>
    <w:tbl>
      <w:tblPr>
        <w:tblStyle w:val="Table"/>
        <w:tblW w:type="pct" w:w="5000"/>
        <w:tblLayout w:type="fixed"/>
        <w:tblLook w:firstRow="0" w:lastRow="0" w:firstColumn="0" w:lastColumn="0" w:noHBand="0" w:noVBand="0" w:val="0000"/>
      </w:tblPr>
      <w:tblGrid>
        <w:gridCol w:w="7920"/>
      </w:tblGrid>
      <w:tr>
        <w:tc>
          <w:tcPr/>
          <w:bookmarkStart w:id="36" w:name="tbl-completeness"/>
          <w:p>
            <w:pPr>
              <w:jc w:val="center"/>
            </w:pPr>
            <w:pPr>
              <w:jc w:val="start"/>
              <w:spacing w:before="200"/>
              <w:pStyle w:val="ImageCaption"/>
            </w:pPr>
            <w:r>
              <w:t xml:space="preserve">Table 3: Completeness of the ignition record by decade. A dated incident can be placed on a day; an attributed incident carries a recorded cause. Both fall sharply after 2000 and the same records are usually missing both.</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Decade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Incidents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Dated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Dated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Attributed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Attributed %</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1980s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1,338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1,338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1,274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95.2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1990s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89.2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2000s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32.4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2010s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1,587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1,259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41.1</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2020s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1,077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491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45.6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630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58.5</w:t>
                  </w:r>
                </w:p>
              </w:tc>
            </w:tr>
          </w:tbl>
          <w:bookmarkEnd w:id="36"/>
        </w:tc>
      </w:tr>
    </w:tbl>
    <w:p>
      <w:pPr>
        <w:pStyle w:val="SourceCode"/>
      </w:pPr>
      <w:r>
        <w:rPr>
          <w:rStyle w:val="CommentTok"/>
        </w:rPr>
        <w:t xml:space="preserve"># Season-by-cause counts and the two completeness measures, with the pooled</w:t>
      </w:r>
      <w:r>
        <w:br/>
      </w:r>
      <w:r>
        <w:rPr>
          <w:rStyle w:val="CommentTok"/>
        </w:rPr>
        <w:t xml:space="preserve"># shares before 2000 and from 2000 onward computed here for the caption.</w:t>
      </w:r>
      <w:r>
        <w:br/>
      </w:r>
      <w:r>
        <w:rPr>
          <w:rStyle w:val="NormalTok"/>
        </w:rPr>
        <w:t xml:space="preserve">ibs </w:t>
      </w:r>
      <w:r>
        <w:rPr>
          <w:rStyle w:val="OtherTok"/>
        </w:rPr>
        <w:t xml:space="preserve">&lt;-</w:t>
      </w:r>
      <w:r>
        <w:rPr>
          <w:rStyle w:val="NormalTok"/>
        </w:rPr>
        <w:t xml:space="preserve"> </w:t>
      </w:r>
      <w:r>
        <w:rPr>
          <w:rStyle w:val="FunctionTok"/>
        </w:rPr>
        <w:t xml:space="preserve">read.csv</w:t>
      </w:r>
      <w:r>
        <w:rPr>
          <w:rStyle w:val="NormalTok"/>
        </w:rPr>
        <w:t xml:space="preserve">(</w:t>
      </w:r>
      <w:r>
        <w:rPr>
          <w:rStyle w:val="FunctionTok"/>
        </w:rPr>
        <w:t xml:space="preserve">file.path</w:t>
      </w:r>
      <w:r>
        <w:rPr>
          <w:rStyle w:val="NormalTok"/>
        </w:rPr>
        <w:t xml:space="preserve">(derived, </w:t>
      </w:r>
      <w:r>
        <w:rPr>
          <w:rStyle w:val="StringTok"/>
        </w:rPr>
        <w:t xml:space="preserve">"ignitions-by-season.csv"</w:t>
      </w:r>
      <w:r>
        <w:rPr>
          <w:rStyle w:val="NormalTok"/>
        </w:rPr>
        <w:t xml:space="preserve">),</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cause_tab </w:t>
      </w:r>
      <w:r>
        <w:rPr>
          <w:rStyle w:val="OtherTok"/>
        </w:rPr>
        <w:t xml:space="preserve">&lt;-</w:t>
      </w:r>
      <w:r>
        <w:rPr>
          <w:rStyle w:val="NormalTok"/>
        </w:rPr>
        <w:t xml:space="preserve"> </w:t>
      </w:r>
      <w:r>
        <w:rPr>
          <w:rStyle w:val="FunctionTok"/>
        </w:rPr>
        <w:t xml:space="preserve">xtabs</w:t>
      </w:r>
      <w:r>
        <w:rPr>
          <w:rStyle w:val="NormalTok"/>
        </w:rPr>
        <w:t xml:space="preserve">(n </w:t>
      </w:r>
      <w:r>
        <w:rPr>
          <w:rStyle w:val="SpecialCharTok"/>
        </w:rPr>
        <w:t xml:space="preserve">~</w:t>
      </w:r>
      <w:r>
        <w:rPr>
          <w:rStyle w:val="NormalTok"/>
        </w:rPr>
        <w:t xml:space="preserve"> fire_cause </w:t>
      </w:r>
      <w:r>
        <w:rPr>
          <w:rStyle w:val="SpecialCharTok"/>
        </w:rPr>
        <w:t xml:space="preserve">+</w:t>
      </w:r>
      <w:r>
        <w:rPr>
          <w:rStyle w:val="NormalTok"/>
        </w:rPr>
        <w:t xml:space="preserve"> fire_year, ibs)</w:t>
      </w:r>
      <w:r>
        <w:br/>
      </w:r>
      <w:r>
        <w:rPr>
          <w:rStyle w:val="NormalTok"/>
        </w:rPr>
        <w:t xml:space="preserve">cause_tab </w:t>
      </w:r>
      <w:r>
        <w:rPr>
          <w:rStyle w:val="OtherTok"/>
        </w:rPr>
        <w:t xml:space="preserve">&lt;-</w:t>
      </w:r>
      <w:r>
        <w:rPr>
          <w:rStyle w:val="NormalTok"/>
        </w:rPr>
        <w:t xml:space="preserve"> cause_tab[</w:t>
      </w:r>
      <w:r>
        <w:rPr>
          <w:rStyle w:val="FunctionTok"/>
        </w:rPr>
        <w:t xml:space="preserve">c</w:t>
      </w:r>
      <w:r>
        <w:rPr>
          <w:rStyle w:val="NormalTok"/>
        </w:rPr>
        <w:t xml:space="preserve">(</w:t>
      </w:r>
      <w:r>
        <w:rPr>
          <w:rStyle w:val="StringTok"/>
        </w:rPr>
        <w:t xml:space="preserve">"Lightning"</w:t>
      </w:r>
      <w:r>
        <w:rPr>
          <w:rStyle w:val="NormalTok"/>
        </w:rPr>
        <w:t xml:space="preserve">, </w:t>
      </w:r>
      <w:r>
        <w:rPr>
          <w:rStyle w:val="StringTok"/>
        </w:rPr>
        <w:t xml:space="preserve">"Person"</w:t>
      </w:r>
      <w:r>
        <w:rPr>
          <w:rStyle w:val="NormalTok"/>
        </w:rPr>
        <w:t xml:space="preserve">, </w:t>
      </w:r>
      <w:r>
        <w:rPr>
          <w:rStyle w:val="StringTok"/>
        </w:rPr>
        <w:t xml:space="preserve">"Unknown"</w:t>
      </w:r>
      <w:r>
        <w:rPr>
          <w:rStyle w:val="NormalTok"/>
        </w:rPr>
        <w:t xml:space="preserve">), , drop </w:t>
      </w:r>
      <w:r>
        <w:rPr>
          <w:rStyle w:val="Othe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share </w:t>
      </w:r>
      <w:r>
        <w:rPr>
          <w:rStyle w:val="OtherTok"/>
        </w:rPr>
        <w:t xml:space="preserve">&lt;-</w:t>
      </w:r>
      <w:r>
        <w:rPr>
          <w:rStyle w:val="NormalTok"/>
        </w:rPr>
        <w:t xml:space="preserve"> </w:t>
      </w:r>
      <w:r>
        <w:rPr>
          <w:rStyle w:val="ControlFlowTok"/>
        </w:rPr>
        <w:t xml:space="preserve">function</w:t>
      </w:r>
      <w:r>
        <w:rPr>
          <w:rStyle w:val="NormalTok"/>
        </w:rPr>
        <w:t xml:space="preserve">(rows, col) </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(completeness[[col]][rows]) </w:t>
      </w:r>
      <w:r>
        <w:rPr>
          <w:rStyle w:val="SpecialCharTok"/>
        </w:rPr>
        <w:t xml:space="preserve">/</w:t>
      </w:r>
      <w:r>
        <w:rPr>
          <w:rStyle w:val="NormalTok"/>
        </w:rPr>
        <w:t xml:space="preserve"> </w:t>
      </w:r>
      <w:r>
        <w:rPr>
          <w:rStyle w:val="FunctionTok"/>
        </w:rPr>
        <w:t xml:space="preserve">sum</w:t>
      </w:r>
      <w:r>
        <w:rPr>
          <w:rStyle w:val="NormalTok"/>
        </w:rPr>
        <w:t xml:space="preserve">(completeness</w:t>
      </w:r>
      <w:r>
        <w:rPr>
          <w:rStyle w:val="SpecialCharTok"/>
        </w:rPr>
        <w:t xml:space="preserve">$</w:t>
      </w:r>
      <w:r>
        <w:rPr>
          <w:rStyle w:val="NormalTok"/>
        </w:rPr>
        <w:t xml:space="preserve">n_incidents[rows])</w:t>
      </w:r>
      <w:r>
        <w:br/>
      </w:r>
      <w:r>
        <w:rPr>
          <w:rStyle w:val="NormalTok"/>
        </w:rPr>
        <w:t xml:space="preserve">ign_cap </w:t>
      </w:r>
      <w:r>
        <w:rPr>
          <w:rStyle w:val="OtherTok"/>
        </w:rPr>
        <w:t xml:space="preserve">&lt;-</w:t>
      </w:r>
      <w:r>
        <w:rPr>
          <w:rStyle w:val="NormalTok"/>
        </w:rPr>
        <w:t xml:space="preserve"> </w:t>
      </w:r>
      <w:r>
        <w:rPr>
          <w:rStyle w:val="FunctionTok"/>
        </w:rPr>
        <w:t xml:space="preserve">sprintf</w:t>
      </w:r>
      <w:r>
        <w:rPr>
          <w:rStyle w:val="NormalTok"/>
        </w:rPr>
        <w:t xml:space="preserve">(</w:t>
      </w:r>
      <w:r>
        <w:rPr>
          <w:rStyle w:val="FunctionTok"/>
        </w:rPr>
        <w:t xml:space="preserve">paste</w:t>
      </w:r>
      <w:r>
        <w:rPr>
          <w:rStyle w:val="NormalTok"/>
        </w:rPr>
        <w:t xml:space="preserve">(</w:t>
      </w:r>
      <w:r>
        <w:br/>
      </w:r>
      <w:r>
        <w:rPr>
          <w:rStyle w:val="NormalTok"/>
        </w:rPr>
        <w:t xml:space="preserve">  </w:t>
      </w:r>
      <w:r>
        <w:rPr>
          <w:rStyle w:val="StringTok"/>
        </w:rPr>
        <w:t xml:space="preserve">"Ignitions by season and the completeness of their records. Upper panel,"</w:t>
      </w:r>
      <w:r>
        <w:rPr>
          <w:rStyle w:val="NormalTok"/>
        </w:rPr>
        <w:t xml:space="preserve">,</w:t>
      </w:r>
      <w:r>
        <w:br/>
      </w:r>
      <w:r>
        <w:rPr>
          <w:rStyle w:val="NormalTok"/>
        </w:rPr>
        <w:t xml:space="preserve">  </w:t>
      </w:r>
      <w:r>
        <w:rPr>
          <w:rStyle w:val="StringTok"/>
        </w:rPr>
        <w:t xml:space="preserve">"incidents per season by reported cause, %s in all. Lower panel, the share"</w:t>
      </w:r>
      <w:r>
        <w:rPr>
          <w:rStyle w:val="NormalTok"/>
        </w:rPr>
        <w:t xml:space="preserve">,</w:t>
      </w:r>
      <w:r>
        <w:br/>
      </w:r>
      <w:r>
        <w:rPr>
          <w:rStyle w:val="NormalTok"/>
        </w:rPr>
        <w:t xml:space="preserve">  </w:t>
      </w:r>
      <w:r>
        <w:rPr>
          <w:rStyle w:val="StringTok"/>
        </w:rPr>
        <w:t xml:space="preserve">"of incidents carrying an ignition date and the share carrying a recorded"</w:t>
      </w:r>
      <w:r>
        <w:rPr>
          <w:rStyle w:val="NormalTok"/>
        </w:rPr>
        <w:t xml:space="preserve">,</w:t>
      </w:r>
      <w:r>
        <w:br/>
      </w:r>
      <w:r>
        <w:rPr>
          <w:rStyle w:val="NormalTok"/>
        </w:rPr>
        <w:t xml:space="preserve">  </w:t>
      </w:r>
      <w:r>
        <w:rPr>
          <w:rStyle w:val="StringTok"/>
        </w:rPr>
        <w:t xml:space="preserve">"cause, which were %.0f and %.0f per cent before 2000 and %.0f and %.0f per"</w:t>
      </w:r>
      <w:r>
        <w:rPr>
          <w:rStyle w:val="NormalTok"/>
        </w:rPr>
        <w:t xml:space="preserve">,</w:t>
      </w:r>
      <w:r>
        <w:br/>
      </w:r>
      <w:r>
        <w:rPr>
          <w:rStyle w:val="NormalTok"/>
        </w:rPr>
        <w:t xml:space="preserve">  </w:t>
      </w:r>
      <w:r>
        <w:rPr>
          <w:rStyle w:val="StringTok"/>
        </w:rPr>
        <w:t xml:space="preserve">"cent from 2000 onward. Both panels are the same records, so the fall in the"</w:t>
      </w:r>
      <w:r>
        <w:rPr>
          <w:rStyle w:val="NormalTok"/>
        </w:rPr>
        <w:t xml:space="preserve">,</w:t>
      </w:r>
      <w:r>
        <w:br/>
      </w:r>
      <w:r>
        <w:rPr>
          <w:rStyle w:val="NormalTok"/>
        </w:rPr>
        <w:t xml:space="preserve">  </w:t>
      </w:r>
      <w:r>
        <w:rPr>
          <w:rStyle w:val="StringTok"/>
        </w:rPr>
        <w:t xml:space="preserve">"lower panel is what makes the cause split in the upper panel unreadable as"</w:t>
      </w:r>
      <w:r>
        <w:rPr>
          <w:rStyle w:val="NormalTok"/>
        </w:rPr>
        <w:t xml:space="preserve">,</w:t>
      </w:r>
      <w:r>
        <w:br/>
      </w:r>
      <w:r>
        <w:rPr>
          <w:rStyle w:val="NormalTok"/>
        </w:rPr>
        <w:t xml:space="preserve">  </w:t>
      </w:r>
      <w:r>
        <w:rPr>
          <w:rStyle w:val="StringTok"/>
        </w:rPr>
        <w:t xml:space="preserve">"an ignition trend after 2000."</w:t>
      </w:r>
      <w:r>
        <w:rPr>
          <w:rStyle w:val="NormalTok"/>
        </w:rPr>
        <w:t xml:space="preserve">),</w:t>
      </w:r>
      <w:r>
        <w:br/>
      </w:r>
      <w:r>
        <w:rPr>
          <w:rStyle w:val="NormalTok"/>
        </w:rPr>
        <w:t xml:space="preserve">  </w:t>
      </w:r>
      <w:r>
        <w:rPr>
          <w:rStyle w:val="FunctionTok"/>
        </w:rPr>
        <w:t xml:space="preserve">n_fmt</w:t>
      </w:r>
      <w:r>
        <w:rPr>
          <w:rStyle w:val="NormalTok"/>
        </w:rPr>
        <w:t xml:space="preserve">(n_total_incidents),</w:t>
      </w:r>
      <w:r>
        <w:br/>
      </w:r>
      <w:r>
        <w:rPr>
          <w:rStyle w:val="NormalTok"/>
        </w:rPr>
        <w:t xml:space="preserve">  </w:t>
      </w:r>
      <w:r>
        <w:rPr>
          <w:rStyle w:val="FunctionTok"/>
        </w:rPr>
        <w:t xml:space="preserve">share</w:t>
      </w:r>
      <w:r>
        <w:rPr>
          <w:rStyle w:val="NormalTok"/>
        </w:rPr>
        <w:t xml:space="preserve">(completeness</w:t>
      </w:r>
      <w:r>
        <w:rPr>
          <w:rStyle w:val="SpecialCharTok"/>
        </w:rPr>
        <w:t xml:space="preserve">$</w:t>
      </w:r>
      <w:r>
        <w:rPr>
          <w:rStyle w:val="NormalTok"/>
        </w:rPr>
        <w:t xml:space="preserve">year </w:t>
      </w:r>
      <w:r>
        <w:rPr>
          <w:rStyle w:val="SpecialCharTok"/>
        </w:rPr>
        <w:t xml:space="preserve">&lt;</w:t>
      </w:r>
      <w:r>
        <w:rPr>
          <w:rStyle w:val="NormalTok"/>
        </w:rPr>
        <w:t xml:space="preserve"> </w:t>
      </w:r>
      <w:r>
        <w:rPr>
          <w:rStyle w:val="DecValTok"/>
        </w:rPr>
        <w:t xml:space="preserve">2000</w:t>
      </w:r>
      <w:r>
        <w:rPr>
          <w:rStyle w:val="NormalTok"/>
        </w:rPr>
        <w:t xml:space="preserve">, </w:t>
      </w:r>
      <w:r>
        <w:rPr>
          <w:rStyle w:val="StringTok"/>
        </w:rPr>
        <w:t xml:space="preserve">"n_dated"</w:t>
      </w:r>
      <w:r>
        <w:rPr>
          <w:rStyle w:val="NormalTok"/>
        </w:rPr>
        <w:t xml:space="preserve">), </w:t>
      </w:r>
      <w:r>
        <w:rPr>
          <w:rStyle w:val="FunctionTok"/>
        </w:rPr>
        <w:t xml:space="preserve">share</w:t>
      </w:r>
      <w:r>
        <w:rPr>
          <w:rStyle w:val="NormalTok"/>
        </w:rPr>
        <w:t xml:space="preserve">(completeness</w:t>
      </w:r>
      <w:r>
        <w:rPr>
          <w:rStyle w:val="SpecialCharTok"/>
        </w:rPr>
        <w:t xml:space="preserve">$</w:t>
      </w:r>
      <w:r>
        <w:rPr>
          <w:rStyle w:val="NormalTok"/>
        </w:rPr>
        <w:t xml:space="preserve">year </w:t>
      </w:r>
      <w:r>
        <w:rPr>
          <w:rStyle w:val="SpecialCharTok"/>
        </w:rPr>
        <w:t xml:space="preserve">&lt;</w:t>
      </w:r>
      <w:r>
        <w:rPr>
          <w:rStyle w:val="NormalTok"/>
        </w:rPr>
        <w:t xml:space="preserve"> </w:t>
      </w:r>
      <w:r>
        <w:rPr>
          <w:rStyle w:val="DecValTok"/>
        </w:rPr>
        <w:t xml:space="preserve">2000</w:t>
      </w:r>
      <w:r>
        <w:rPr>
          <w:rStyle w:val="NormalTok"/>
        </w:rPr>
        <w:t xml:space="preserve">, </w:t>
      </w:r>
      <w:r>
        <w:rPr>
          <w:rStyle w:val="StringTok"/>
        </w:rPr>
        <w:t xml:space="preserve">"n_caused"</w:t>
      </w:r>
      <w:r>
        <w:rPr>
          <w:rStyle w:val="NormalTok"/>
        </w:rPr>
        <w:t xml:space="preserve">),</w:t>
      </w:r>
      <w:r>
        <w:br/>
      </w:r>
      <w:r>
        <w:rPr>
          <w:rStyle w:val="NormalTok"/>
        </w:rPr>
        <w:t xml:space="preserve">  </w:t>
      </w:r>
      <w:r>
        <w:rPr>
          <w:rStyle w:val="FunctionTok"/>
        </w:rPr>
        <w:t xml:space="preserve">share</w:t>
      </w:r>
      <w:r>
        <w:rPr>
          <w:rStyle w:val="NormalTok"/>
        </w:rPr>
        <w:t xml:space="preserve">(completeness</w:t>
      </w:r>
      <w:r>
        <w:rPr>
          <w:rStyle w:val="SpecialCharTok"/>
        </w:rPr>
        <w:t xml:space="preserve">$</w:t>
      </w:r>
      <w:r>
        <w:rPr>
          <w:rStyle w:val="NormalTok"/>
        </w:rPr>
        <w:t xml:space="preserve">year </w:t>
      </w:r>
      <w:r>
        <w:rPr>
          <w:rStyle w:val="SpecialCharTok"/>
        </w:rPr>
        <w:t xml:space="preserve">&gt;=</w:t>
      </w:r>
      <w:r>
        <w:rPr>
          <w:rStyle w:val="NormalTok"/>
        </w:rPr>
        <w:t xml:space="preserve"> </w:t>
      </w:r>
      <w:r>
        <w:rPr>
          <w:rStyle w:val="DecValTok"/>
        </w:rPr>
        <w:t xml:space="preserve">2000</w:t>
      </w:r>
      <w:r>
        <w:rPr>
          <w:rStyle w:val="NormalTok"/>
        </w:rPr>
        <w:t xml:space="preserve">, </w:t>
      </w:r>
      <w:r>
        <w:rPr>
          <w:rStyle w:val="StringTok"/>
        </w:rPr>
        <w:t xml:space="preserve">"n_dated"</w:t>
      </w:r>
      <w:r>
        <w:rPr>
          <w:rStyle w:val="NormalTok"/>
        </w:rPr>
        <w:t xml:space="preserve">), </w:t>
      </w:r>
      <w:r>
        <w:rPr>
          <w:rStyle w:val="FunctionTok"/>
        </w:rPr>
        <w:t xml:space="preserve">share</w:t>
      </w:r>
      <w:r>
        <w:rPr>
          <w:rStyle w:val="NormalTok"/>
        </w:rPr>
        <w:t xml:space="preserve">(completeness</w:t>
      </w:r>
      <w:r>
        <w:rPr>
          <w:rStyle w:val="SpecialCharTok"/>
        </w:rPr>
        <w:t xml:space="preserve">$</w:t>
      </w:r>
      <w:r>
        <w:rPr>
          <w:rStyle w:val="NormalTok"/>
        </w:rPr>
        <w:t xml:space="preserve">year </w:t>
      </w:r>
      <w:r>
        <w:rPr>
          <w:rStyle w:val="SpecialCharTok"/>
        </w:rPr>
        <w:t xml:space="preserve">&gt;=</w:t>
      </w:r>
      <w:r>
        <w:rPr>
          <w:rStyle w:val="NormalTok"/>
        </w:rPr>
        <w:t xml:space="preserve"> </w:t>
      </w:r>
      <w:r>
        <w:rPr>
          <w:rStyle w:val="DecValTok"/>
        </w:rPr>
        <w:t xml:space="preserve">2000</w:t>
      </w:r>
      <w:r>
        <w:rPr>
          <w:rStyle w:val="NormalTok"/>
        </w:rPr>
        <w:t xml:space="preserve">, </w:t>
      </w:r>
      <w:r>
        <w:rPr>
          <w:rStyle w:val="StringTok"/>
        </w:rPr>
        <w:t xml:space="preserve">"n_caused"</w:t>
      </w:r>
      <w:r>
        <w:rPr>
          <w:rStyle w:val="NormalTok"/>
        </w:rPr>
        <w:t xml:space="preserve">))</w:t>
      </w:r>
    </w:p>
    <w:p>
      <w:pPr>
        <w:pStyle w:val="SourceCode"/>
      </w:pPr>
      <w:r>
        <w:rPr>
          <w:rStyle w:val="CommentTok"/>
        </w:rPr>
        <w:t xml:space="preserve"># Two panels on one season axis. The bars are stacked by cause in the palette</w:t>
      </w:r>
      <w:r>
        <w:br/>
      </w:r>
      <w:r>
        <w:rPr>
          <w:rStyle w:val="CommentTok"/>
        </w:rPr>
        <w:t xml:space="preserve"># the study-area map uses; the lines are the two completeness measures from the</w:t>
      </w:r>
      <w:r>
        <w:br/>
      </w:r>
      <w:r>
        <w:rPr>
          <w:rStyle w:val="CommentTok"/>
        </w:rPr>
        <w:t xml:space="preserve"># same completeness table the decade table summarises.</w:t>
      </w:r>
      <w:r>
        <w:br/>
      </w:r>
      <w:r>
        <w:rPr>
          <w:rStyle w:val="NormalTok"/>
        </w:rPr>
        <w:t xml:space="preserve">cause_cols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Lightning =</w:t>
      </w:r>
      <w:r>
        <w:rPr>
          <w:rStyle w:val="NormalTok"/>
        </w:rPr>
        <w:t xml:space="preserve"> </w:t>
      </w:r>
      <w:r>
        <w:rPr>
          <w:rStyle w:val="StringTok"/>
        </w:rPr>
        <w:t xml:space="preserve">"#1B7A5A"</w:t>
      </w:r>
      <w:r>
        <w:rPr>
          <w:rStyle w:val="NormalTok"/>
        </w:rPr>
        <w:t xml:space="preserve">, </w:t>
      </w:r>
      <w:r>
        <w:rPr>
          <w:rStyle w:val="AttributeTok"/>
        </w:rPr>
        <w:t xml:space="preserve">Person =</w:t>
      </w:r>
      <w:r>
        <w:rPr>
          <w:rStyle w:val="NormalTok"/>
        </w:rPr>
        <w:t xml:space="preserve"> </w:t>
      </w:r>
      <w:r>
        <w:rPr>
          <w:rStyle w:val="StringTok"/>
        </w:rPr>
        <w:t xml:space="preserve">"#B3242B"</w:t>
      </w:r>
      <w:r>
        <w:rPr>
          <w:rStyle w:val="NormalTok"/>
        </w:rPr>
        <w:t xml:space="preserve">, </w:t>
      </w:r>
      <w:r>
        <w:rPr>
          <w:rStyle w:val="AttributeTok"/>
        </w:rPr>
        <w:t xml:space="preserve">Unknown =</w:t>
      </w:r>
      <w:r>
        <w:rPr>
          <w:rStyle w:val="NormalTok"/>
        </w:rPr>
        <w:t xml:space="preserve"> </w:t>
      </w:r>
      <w:r>
        <w:rPr>
          <w:rStyle w:val="StringTok"/>
        </w:rPr>
        <w:t xml:space="preserve">"grey60"</w:t>
      </w:r>
      <w:r>
        <w:rPr>
          <w:rStyle w:val="NormalTok"/>
        </w:rPr>
        <w:t xml:space="preserve">)</w:t>
      </w:r>
      <w:r>
        <w:br/>
      </w:r>
      <w:r>
        <w:rPr>
          <w:rStyle w:val="NormalTok"/>
        </w:rPr>
        <w:t xml:space="preserve">yrs2 </w:t>
      </w:r>
      <w:r>
        <w:rPr>
          <w:rStyle w:val="OtherTok"/>
        </w:rPr>
        <w:t xml:space="preserve">&lt;-</w:t>
      </w:r>
      <w:r>
        <w:rPr>
          <w:rStyle w:val="NormalTok"/>
        </w:rPr>
        <w:t xml:space="preserve"> </w:t>
      </w:r>
      <w:r>
        <w:rPr>
          <w:rStyle w:val="FunctionTok"/>
        </w:rPr>
        <w:t xml:space="preserve">as.integer</w:t>
      </w:r>
      <w:r>
        <w:rPr>
          <w:rStyle w:val="NormalTok"/>
        </w:rPr>
        <w:t xml:space="preserve">(</w:t>
      </w:r>
      <w:r>
        <w:rPr>
          <w:rStyle w:val="FunctionTok"/>
        </w:rPr>
        <w:t xml:space="preserve">colnames</w:t>
      </w:r>
      <w:r>
        <w:rPr>
          <w:rStyle w:val="NormalTok"/>
        </w:rPr>
        <w:t xml:space="preserve">(cause_tab))</w:t>
      </w:r>
      <w:r>
        <w:br/>
      </w:r>
      <w:r>
        <w:rPr>
          <w:rStyle w:val="NormalTok"/>
        </w:rPr>
        <w:t xml:space="preserve">op </w:t>
      </w:r>
      <w:r>
        <w:rPr>
          <w:rStyle w:val="OtherTok"/>
        </w:rPr>
        <w:t xml:space="preserve">&lt;-</w:t>
      </w:r>
      <w:r>
        <w:rPr>
          <w:rStyle w:val="NormalTok"/>
        </w:rPr>
        <w:t xml:space="preserve"> </w:t>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FloatTok"/>
        </w:rPr>
        <w:t xml:space="preserve">1.2</w:t>
      </w:r>
      <w:r>
        <w:rPr>
          <w:rStyle w:val="NormalTok"/>
        </w:rPr>
        <w:t xml:space="preserve">, </w:t>
      </w:r>
      <w:r>
        <w:rPr>
          <w:rStyle w:val="FloatTok"/>
        </w:rPr>
        <w:t xml:space="preserve">4.2</w:t>
      </w:r>
      <w:r>
        <w:rPr>
          <w:rStyle w:val="NormalTok"/>
        </w:rPr>
        <w:t xml:space="preserve">, </w:t>
      </w:r>
      <w:r>
        <w:rPr>
          <w:rStyle w:val="FloatTok"/>
        </w:rPr>
        <w:t xml:space="preserve">0.6</w:t>
      </w:r>
      <w:r>
        <w:rPr>
          <w:rStyle w:val="NormalTok"/>
        </w:rPr>
        <w:t xml:space="preserve">, </w:t>
      </w:r>
      <w:r>
        <w:rPr>
          <w:rStyle w:val="DecValTok"/>
        </w:rPr>
        <w:t xml:space="preserve">1</w:t>
      </w:r>
      <w:r>
        <w:rPr>
          <w:rStyle w:val="NormalTok"/>
        </w:rPr>
        <w:t xml:space="preserve">), </w:t>
      </w:r>
      <w:r>
        <w:rPr>
          <w:rStyle w:val="AttributeTok"/>
        </w:rPr>
        <w:t xml:space="preserve">oma =</w:t>
      </w:r>
      <w:r>
        <w:rPr>
          <w:rStyle w:val="NormalTok"/>
        </w:rPr>
        <w:t xml:space="preserve"> </w:t>
      </w:r>
      <w:r>
        <w:rPr>
          <w:rStyle w:val="FunctionTok"/>
        </w:rPr>
        <w:t xml:space="preserve">c</w:t>
      </w:r>
      <w:r>
        <w:rPr>
          <w:rStyle w:val="NormalTok"/>
        </w:rPr>
        <w:t xml:space="preserve">(</w:t>
      </w:r>
      <w:r>
        <w:rPr>
          <w:rStyle w:val="FloatTok"/>
        </w:rPr>
        <w:t xml:space="preserve">2.5</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mgp =</w:t>
      </w:r>
      <w:r>
        <w:rPr>
          <w:rStyle w:val="NormalTok"/>
        </w:rPr>
        <w:t xml:space="preserve"> </w:t>
      </w:r>
      <w:r>
        <w:rPr>
          <w:rStyle w:val="FunctionTok"/>
        </w:rPr>
        <w:t xml:space="preserve">c</w:t>
      </w:r>
      <w:r>
        <w:rPr>
          <w:rStyle w:val="NormalTok"/>
        </w:rPr>
        <w:t xml:space="preserve">(</w:t>
      </w:r>
      <w:r>
        <w:rPr>
          <w:rStyle w:val="FloatTok"/>
        </w:rPr>
        <w:t xml:space="preserve">2.4</w:t>
      </w:r>
      <w:r>
        <w:rPr>
          <w:rStyle w:val="NormalTok"/>
        </w:rPr>
        <w:t xml:space="preserve">, </w:t>
      </w:r>
      <w:r>
        <w:rPr>
          <w:rStyle w:val="FloatTok"/>
        </w:rPr>
        <w:t xml:space="preserve">0.7</w:t>
      </w:r>
      <w:r>
        <w:rPr>
          <w:rStyle w:val="NormalTok"/>
        </w:rPr>
        <w:t xml:space="preserve">, </w:t>
      </w:r>
      <w:r>
        <w:rPr>
          <w:rStyle w:val="DecValTok"/>
        </w:rPr>
        <w:t xml:space="preserve">0</w:t>
      </w:r>
      <w:r>
        <w:rPr>
          <w:rStyle w:val="NormalTok"/>
        </w:rPr>
        <w:t xml:space="preserve">), </w:t>
      </w:r>
      <w:r>
        <w:rPr>
          <w:rStyle w:val="AttributeTok"/>
        </w:rPr>
        <w:t xml:space="preserve">cex =</w:t>
      </w:r>
      <w:r>
        <w:rPr>
          <w:rStyle w:val="NormalTok"/>
        </w:rPr>
        <w:t xml:space="preserve"> </w:t>
      </w:r>
      <w:r>
        <w:rPr>
          <w:rStyle w:val="FloatTok"/>
        </w:rPr>
        <w:t xml:space="preserve">0.75</w:t>
      </w:r>
      <w:r>
        <w:rPr>
          <w:rStyle w:val="NormalTok"/>
        </w:rPr>
        <w:t xml:space="preserve">)</w:t>
      </w:r>
      <w:r>
        <w:br/>
      </w:r>
      <w:r>
        <w:rPr>
          <w:rStyle w:val="FunctionTok"/>
        </w:rPr>
        <w:t xml:space="preserve">barplot</w:t>
      </w:r>
      <w:r>
        <w:rPr>
          <w:rStyle w:val="NormalTok"/>
        </w:rPr>
        <w:t xml:space="preserve">(cause_tab, </w:t>
      </w:r>
      <w:r>
        <w:rPr>
          <w:rStyle w:val="AttributeTok"/>
        </w:rPr>
        <w:t xml:space="preserve">col =</w:t>
      </w:r>
      <w:r>
        <w:rPr>
          <w:rStyle w:val="NormalTok"/>
        </w:rPr>
        <w:t xml:space="preserve"> cause_cols[</w:t>
      </w:r>
      <w:r>
        <w:rPr>
          <w:rStyle w:val="FunctionTok"/>
        </w:rPr>
        <w:t xml:space="preserve">rownames</w:t>
      </w:r>
      <w:r>
        <w:rPr>
          <w:rStyle w:val="NormalTok"/>
        </w:rPr>
        <w:t xml:space="preserve">(cause_tab)], </w:t>
      </w:r>
      <w:r>
        <w:rPr>
          <w:rStyle w:val="AttributeTok"/>
        </w:rPr>
        <w:t xml:space="preserve">border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names.arg =</w:t>
      </w:r>
      <w:r>
        <w:rPr>
          <w:rStyle w:val="NormalTok"/>
        </w:rPr>
        <w:t xml:space="preserve"> </w:t>
      </w:r>
      <w:r>
        <w:rPr>
          <w:rStyle w:val="FunctionTok"/>
        </w:rPr>
        <w:t xml:space="preserve">rep</w:t>
      </w:r>
      <w:r>
        <w:rPr>
          <w:rStyle w:val="NormalTok"/>
        </w:rPr>
        <w:t xml:space="preserve">(</w:t>
      </w:r>
      <w:r>
        <w:rPr>
          <w:rStyle w:val="StringTok"/>
        </w:rPr>
        <w:t xml:space="preserve">""</w:t>
      </w:r>
      <w:r>
        <w:rPr>
          <w:rStyle w:val="NormalTok"/>
        </w:rPr>
        <w:t xml:space="preserve">, </w:t>
      </w:r>
      <w:r>
        <w:rPr>
          <w:rStyle w:val="FunctionTok"/>
        </w:rPr>
        <w:t xml:space="preserve">ncol</w:t>
      </w:r>
      <w:r>
        <w:rPr>
          <w:rStyle w:val="NormalTok"/>
        </w:rPr>
        <w:t xml:space="preserve">(cause_tab)), </w:t>
      </w:r>
      <w:r>
        <w:rPr>
          <w:rStyle w:val="AttributeTok"/>
        </w:rPr>
        <w:t xml:space="preserve">ylab =</w:t>
      </w:r>
      <w:r>
        <w:rPr>
          <w:rStyle w:val="NormalTok"/>
        </w:rPr>
        <w:t xml:space="preserve"> </w:t>
      </w:r>
      <w:r>
        <w:rPr>
          <w:rStyle w:val="StringTok"/>
        </w:rPr>
        <w:t xml:space="preserve">"Ignitions per season"</w:t>
      </w:r>
      <w:r>
        <w:rPr>
          <w:rStyle w:val="NormalTok"/>
        </w:rPr>
        <w:t xml:space="preserve">,</w:t>
      </w:r>
      <w:r>
        <w:br/>
      </w:r>
      <w:r>
        <w:rPr>
          <w:rStyle w:val="NormalTok"/>
        </w:rPr>
        <w:t xml:space="preserve">        </w:t>
      </w:r>
      <w:r>
        <w:rPr>
          <w:rStyle w:val="AttributeTok"/>
        </w:rPr>
        <w:t xml:space="preserve">space =</w:t>
      </w:r>
      <w:r>
        <w:rPr>
          <w:rStyle w:val="NormalTok"/>
        </w:rPr>
        <w:t xml:space="preserve"> </w:t>
      </w:r>
      <w:r>
        <w:rPr>
          <w:rStyle w:val="DecValTok"/>
        </w:rPr>
        <w:t xml:space="preserve">0</w:t>
      </w:r>
      <w:r>
        <w:rPr>
          <w:rStyle w:val="NormalTok"/>
        </w:rPr>
        <w:t xml:space="preserve">, </w:t>
      </w:r>
      <w:r>
        <w:rPr>
          <w:rStyle w:val="AttributeTok"/>
        </w:rPr>
        <w:t xml:space="preserve">xaxs =</w:t>
      </w:r>
      <w:r>
        <w:rPr>
          <w:rStyle w:val="NormalTok"/>
        </w:rPr>
        <w:t xml:space="preserve"> </w:t>
      </w:r>
      <w:r>
        <w:rPr>
          <w:rStyle w:val="StringTok"/>
        </w:rPr>
        <w:t xml:space="preserve">"i"</w:t>
      </w:r>
      <w:r>
        <w:rPr>
          <w:rStyle w:val="NormalTok"/>
        </w:rPr>
        <w:t xml:space="preserve">)</w:t>
      </w:r>
      <w:r>
        <w:br/>
      </w:r>
      <w:r>
        <w:rPr>
          <w:rStyle w:val="FunctionTok"/>
        </w:rPr>
        <w:t xml:space="preserve">legend</w:t>
      </w:r>
      <w:r>
        <w:rPr>
          <w:rStyle w:val="NormalTok"/>
        </w:rPr>
        <w:t xml:space="preserve">(</w:t>
      </w:r>
      <w:r>
        <w:rPr>
          <w:rStyle w:val="StringTok"/>
        </w:rPr>
        <w:t xml:space="preserve">"topright"</w:t>
      </w:r>
      <w:r>
        <w:rPr>
          <w:rStyle w:val="NormalTok"/>
        </w:rPr>
        <w:t xml:space="preserve">, </w:t>
      </w:r>
      <w:r>
        <w:rPr>
          <w:rStyle w:val="AttributeTok"/>
        </w:rPr>
        <w:t xml:space="preserve">legend =</w:t>
      </w:r>
      <w:r>
        <w:rPr>
          <w:rStyle w:val="NormalTok"/>
        </w:rPr>
        <w:t xml:space="preserve"> </w:t>
      </w:r>
      <w:r>
        <w:rPr>
          <w:rStyle w:val="FunctionTok"/>
        </w:rPr>
        <w:t xml:space="preserve">rownames</w:t>
      </w:r>
      <w:r>
        <w:rPr>
          <w:rStyle w:val="NormalTok"/>
        </w:rPr>
        <w:t xml:space="preserve">(cause_tab), </w:t>
      </w:r>
      <w:r>
        <w:rPr>
          <w:rStyle w:val="AttributeTok"/>
        </w:rPr>
        <w:t xml:space="preserve">fill =</w:t>
      </w:r>
      <w:r>
        <w:rPr>
          <w:rStyle w:val="NormalTok"/>
        </w:rPr>
        <w:t xml:space="preserve"> cause_cols[</w:t>
      </w:r>
      <w:r>
        <w:rPr>
          <w:rStyle w:val="FunctionTok"/>
        </w:rPr>
        <w:t xml:space="preserve">rownames</w:t>
      </w:r>
      <w:r>
        <w:rPr>
          <w:rStyle w:val="NormalTok"/>
        </w:rPr>
        <w:t xml:space="preserve">(cause_tab)],</w:t>
      </w:r>
      <w:r>
        <w:br/>
      </w:r>
      <w:r>
        <w:rPr>
          <w:rStyle w:val="NormalTok"/>
        </w:rPr>
        <w:t xml:space="preserve">       </w:t>
      </w:r>
      <w:r>
        <w:rPr>
          <w:rStyle w:val="AttributeTok"/>
        </w:rPr>
        <w:t xml:space="preserve">border =</w:t>
      </w:r>
      <w:r>
        <w:rPr>
          <w:rStyle w:val="NormalTok"/>
        </w:rPr>
        <w:t xml:space="preserve"> </w:t>
      </w:r>
      <w:r>
        <w:rPr>
          <w:rStyle w:val="ConstantTok"/>
        </w:rPr>
        <w:t xml:space="preserve">NA</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 </w:t>
      </w:r>
      <w:r>
        <w:rPr>
          <w:rStyle w:val="AttributeTok"/>
        </w:rPr>
        <w:t xml:space="preserve">cex =</w:t>
      </w:r>
      <w:r>
        <w:rPr>
          <w:rStyle w:val="NormalTok"/>
        </w:rPr>
        <w:t xml:space="preserve"> </w:t>
      </w:r>
      <w:r>
        <w:rPr>
          <w:rStyle w:val="FloatTok"/>
        </w:rPr>
        <w:t xml:space="preserve">0.8</w:t>
      </w:r>
      <w:r>
        <w:rPr>
          <w:rStyle w:val="NormalTok"/>
        </w:rPr>
        <w:t xml:space="preserve">)</w:t>
      </w:r>
      <w:r>
        <w:br/>
      </w:r>
      <w:r>
        <w:rPr>
          <w:rStyle w:val="FunctionTok"/>
        </w:rPr>
        <w:t xml:space="preserve">par</w:t>
      </w:r>
      <w:r>
        <w:rPr>
          <w:rStyle w:val="NormalTok"/>
        </w:rPr>
        <w:t xml:space="preserve">(</w:t>
      </w:r>
      <w:r>
        <w:rPr>
          <w:rStyle w:val="AttributeTok"/>
        </w:rPr>
        <w:t xml:space="preserve">mar =</w:t>
      </w:r>
      <w:r>
        <w:rPr>
          <w:rStyle w:val="NormalTok"/>
        </w:rPr>
        <w:t xml:space="preserve"> </w:t>
      </w:r>
      <w:r>
        <w:rPr>
          <w:rStyle w:val="FunctionTok"/>
        </w:rPr>
        <w:t xml:space="preserve">c</w:t>
      </w:r>
      <w:r>
        <w:rPr>
          <w:rStyle w:val="NormalTok"/>
        </w:rPr>
        <w:t xml:space="preserve">(</w:t>
      </w:r>
      <w:r>
        <w:rPr>
          <w:rStyle w:val="FloatTok"/>
        </w:rPr>
        <w:t xml:space="preserve">3.2</w:t>
      </w:r>
      <w:r>
        <w:rPr>
          <w:rStyle w:val="NormalTok"/>
        </w:rPr>
        <w:t xml:space="preserve">, </w:t>
      </w:r>
      <w:r>
        <w:rPr>
          <w:rStyle w:val="FloatTok"/>
        </w:rPr>
        <w:t xml:space="preserve">4.2</w:t>
      </w:r>
      <w:r>
        <w:rPr>
          <w:rStyle w:val="NormalTok"/>
        </w:rPr>
        <w:t xml:space="preserve">, </w:t>
      </w:r>
      <w:r>
        <w:rPr>
          <w:rStyle w:val="FloatTok"/>
        </w:rPr>
        <w:t xml:space="preserve">0.6</w:t>
      </w:r>
      <w:r>
        <w:rPr>
          <w:rStyle w:val="NormalTok"/>
        </w:rPr>
        <w:t xml:space="preserve">, </w:t>
      </w:r>
      <w:r>
        <w:rPr>
          <w:rStyle w:val="DecValTok"/>
        </w:rPr>
        <w:t xml:space="preserve">1</w:t>
      </w:r>
      <w:r>
        <w:rPr>
          <w:rStyle w:val="NormalTok"/>
        </w:rPr>
        <w:t xml:space="preserve">))</w:t>
      </w:r>
      <w:r>
        <w:br/>
      </w:r>
      <w:r>
        <w:rPr>
          <w:rStyle w:val="FunctionTok"/>
        </w:rPr>
        <w:t xml:space="preserve">plot</w:t>
      </w:r>
      <w:r>
        <w:rPr>
          <w:rStyle w:val="NormalTok"/>
        </w:rPr>
        <w:t xml:space="preserve">(completeness</w:t>
      </w:r>
      <w:r>
        <w:rPr>
          <w:rStyle w:val="SpecialCharTok"/>
        </w:rPr>
        <w:t xml:space="preserve">$</w:t>
      </w:r>
      <w:r>
        <w:rPr>
          <w:rStyle w:val="NormalTok"/>
        </w:rPr>
        <w:t xml:space="preserve">year, completeness</w:t>
      </w:r>
      <w:r>
        <w:rPr>
          <w:rStyle w:val="SpecialCharTok"/>
        </w:rPr>
        <w:t xml:space="preserve">$</w:t>
      </w:r>
      <w:r>
        <w:rPr>
          <w:rStyle w:val="NormalTok"/>
        </w:rPr>
        <w:t xml:space="preserve">pct_dated, </w:t>
      </w:r>
      <w:r>
        <w:rPr>
          <w:rStyle w:val="AttributeTok"/>
        </w:rPr>
        <w:t xml:space="preserve">type =</w:t>
      </w:r>
      <w:r>
        <w:rPr>
          <w:rStyle w:val="NormalTok"/>
        </w:rPr>
        <w:t xml:space="preserve"> </w:t>
      </w:r>
      <w:r>
        <w:rPr>
          <w:rStyle w:val="StringTok"/>
        </w:rPr>
        <w:t xml:space="preserve">"l"</w:t>
      </w:r>
      <w:r>
        <w:rPr>
          <w:rStyle w:val="NormalTok"/>
        </w:rPr>
        <w:t xml:space="preserve">, </w:t>
      </w:r>
      <w:r>
        <w:rPr>
          <w:rStyle w:val="AttributeTok"/>
        </w:rPr>
        <w:t xml:space="preserve">lwd =</w:t>
      </w:r>
      <w:r>
        <w:rPr>
          <w:rStyle w:val="NormalTok"/>
        </w:rPr>
        <w:t xml:space="preserve"> </w:t>
      </w:r>
      <w:r>
        <w:rPr>
          <w:rStyle w:val="FloatTok"/>
        </w:rPr>
        <w:t xml:space="preserve">1.8</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"#1B4F72"</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AttributeTok"/>
        </w:rPr>
        <w:t xml:space="preserve">xlab =</w:t>
      </w:r>
      <w:r>
        <w:rPr>
          <w:rStyle w:val="NormalTok"/>
        </w:rPr>
        <w:t xml:space="preserve"> </w:t>
      </w:r>
      <w:r>
        <w:rPr>
          <w:rStyle w:val="StringTok"/>
        </w:rPr>
        <w:t xml:space="preserve">"Season"</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"Per cent of incidents"</w:t>
      </w:r>
      <w:r>
        <w:rPr>
          <w:rStyle w:val="NormalTok"/>
        </w:rPr>
        <w:t xml:space="preserve">, </w:t>
      </w:r>
      <w:r>
        <w:rPr>
          <w:rStyle w:val="AttributeTok"/>
        </w:rPr>
        <w:t xml:space="preserve">xaxs =</w:t>
      </w:r>
      <w:r>
        <w:rPr>
          <w:rStyle w:val="NormalTok"/>
        </w:rPr>
        <w:t xml:space="preserve"> </w:t>
      </w:r>
      <w:r>
        <w:rPr>
          <w:rStyle w:val="StringTok"/>
        </w:rPr>
        <w:t xml:space="preserve">"i"</w:t>
      </w:r>
      <w:r>
        <w:rPr>
          <w:rStyle w:val="NormalTok"/>
        </w:rPr>
        <w:t xml:space="preserve">, </w:t>
      </w:r>
      <w:r>
        <w:rPr>
          <w:rStyle w:val="AttributeTok"/>
        </w:rPr>
        <w:t xml:space="preserve">xlim =</w:t>
      </w:r>
      <w:r>
        <w:rPr>
          <w:rStyle w:val="NormalTok"/>
        </w:rPr>
        <w:t xml:space="preserve"> </w:t>
      </w:r>
      <w:r>
        <w:rPr>
          <w:rStyle w:val="FunctionTok"/>
        </w:rPr>
        <w:t xml:space="preserve">range</w:t>
      </w:r>
      <w:r>
        <w:rPr>
          <w:rStyle w:val="NormalTok"/>
        </w:rPr>
        <w:t xml:space="preserve">(yrs2) </w:t>
      </w:r>
      <w:r>
        <w:rPr>
          <w:rStyle w:val="SpecialCharTok"/>
        </w:rPr>
        <w:t xml:space="preserve">+</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0.5</w:t>
      </w:r>
      <w:r>
        <w:rPr>
          <w:rStyle w:val="NormalTok"/>
        </w:rPr>
        <w:t xml:space="preserve">, </w:t>
      </w:r>
      <w:r>
        <w:rPr>
          <w:rStyle w:val="FloatTok"/>
        </w:rPr>
        <w:t xml:space="preserve">0.5</w:t>
      </w:r>
      <w:r>
        <w:rPr>
          <w:rStyle w:val="NormalTok"/>
        </w:rPr>
        <w:t xml:space="preserve">))</w:t>
      </w:r>
      <w:r>
        <w:br/>
      </w:r>
      <w:r>
        <w:rPr>
          <w:rStyle w:val="FunctionTok"/>
        </w:rPr>
        <w:t xml:space="preserve">lines</w:t>
      </w:r>
      <w:r>
        <w:rPr>
          <w:rStyle w:val="NormalTok"/>
        </w:rPr>
        <w:t xml:space="preserve">(completeness</w:t>
      </w:r>
      <w:r>
        <w:rPr>
          <w:rStyle w:val="SpecialCharTok"/>
        </w:rPr>
        <w:t xml:space="preserve">$</w:t>
      </w:r>
      <w:r>
        <w:rPr>
          <w:rStyle w:val="NormalTok"/>
        </w:rPr>
        <w:t xml:space="preserve">year, completeness</w:t>
      </w:r>
      <w:r>
        <w:rPr>
          <w:rStyle w:val="SpecialCharTok"/>
        </w:rPr>
        <w:t xml:space="preserve">$</w:t>
      </w:r>
      <w:r>
        <w:rPr>
          <w:rStyle w:val="NormalTok"/>
        </w:rPr>
        <w:t xml:space="preserve">pct_caused, </w:t>
      </w:r>
      <w:r>
        <w:rPr>
          <w:rStyle w:val="AttributeTok"/>
        </w:rPr>
        <w:t xml:space="preserve">lwd =</w:t>
      </w:r>
      <w:r>
        <w:rPr>
          <w:rStyle w:val="NormalTok"/>
        </w:rPr>
        <w:t xml:space="preserve"> </w:t>
      </w:r>
      <w:r>
        <w:rPr>
          <w:rStyle w:val="FloatTok"/>
        </w:rPr>
        <w:t xml:space="preserve">1.8</w:t>
      </w:r>
      <w:r>
        <w:rPr>
          <w:rStyle w:val="NormalTok"/>
        </w:rPr>
        <w:t xml:space="preserve">, </w:t>
      </w:r>
      <w:r>
        <w:rPr>
          <w:rStyle w:val="AttributeTok"/>
        </w:rPr>
        <w:t xml:space="preserve">col =</w:t>
      </w:r>
      <w:r>
        <w:rPr>
          <w:rStyle w:val="NormalTok"/>
        </w:rPr>
        <w:t xml:space="preserve"> </w:t>
      </w:r>
      <w:r>
        <w:rPr>
          <w:rStyle w:val="StringTok"/>
        </w:rPr>
        <w:t xml:space="preserve">"#B7950B"</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r>
        <w:br/>
      </w:r>
      <w:r>
        <w:rPr>
          <w:rStyle w:val="FunctionTok"/>
        </w:rPr>
        <w:t xml:space="preserve">legend</w:t>
      </w:r>
      <w:r>
        <w:rPr>
          <w:rStyle w:val="NormalTok"/>
        </w:rPr>
        <w:t xml:space="preserve">(</w:t>
      </w:r>
      <w:r>
        <w:rPr>
          <w:rStyle w:val="StringTok"/>
        </w:rPr>
        <w:t xml:space="preserve">"bottomleft"</w:t>
      </w:r>
      <w:r>
        <w:rPr>
          <w:rStyle w:val="NormalTok"/>
        </w:rPr>
        <w:t xml:space="preserve">, </w:t>
      </w:r>
      <w:r>
        <w:rPr>
          <w:rStyle w:val="AttributeTok"/>
        </w:rPr>
        <w:t xml:space="preserve">legend =</w:t>
      </w:r>
      <w:r>
        <w:rPr>
          <w:rStyle w:val="NormalTok"/>
        </w:rPr>
        <w:t xml:space="preserve"> </w:t>
      </w:r>
      <w:r>
        <w:rPr>
          <w:rStyle w:val="FunctionTok"/>
        </w:rPr>
        <w:t xml:space="preserve">c</w:t>
      </w:r>
      <w:r>
        <w:rPr>
          <w:rStyle w:val="NormalTok"/>
        </w:rPr>
        <w:t xml:space="preserve">(</w:t>
      </w:r>
      <w:r>
        <w:rPr>
          <w:rStyle w:val="StringTok"/>
        </w:rPr>
        <w:t xml:space="preserve">"dated"</w:t>
      </w:r>
      <w:r>
        <w:rPr>
          <w:rStyle w:val="NormalTok"/>
        </w:rPr>
        <w:t xml:space="preserve">, </w:t>
      </w:r>
      <w:r>
        <w:rPr>
          <w:rStyle w:val="StringTok"/>
        </w:rPr>
        <w:t xml:space="preserve">"cause attributed"</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"#1B4F72"</w:t>
      </w:r>
      <w:r>
        <w:rPr>
          <w:rStyle w:val="NormalTok"/>
        </w:rPr>
        <w:t xml:space="preserve">, </w:t>
      </w:r>
      <w:r>
        <w:rPr>
          <w:rStyle w:val="StringTok"/>
        </w:rPr>
        <w:t xml:space="preserve">"#B7950B"</w:t>
      </w:r>
      <w:r>
        <w:rPr>
          <w:rStyle w:val="NormalTok"/>
        </w:rPr>
        <w:t xml:space="preserve">), </w:t>
      </w:r>
      <w:r>
        <w:rPr>
          <w:rStyle w:val="AttributeTok"/>
        </w:rPr>
        <w:t xml:space="preserve">lwd =</w:t>
      </w:r>
      <w:r>
        <w:rPr>
          <w:rStyle w:val="NormalTok"/>
        </w:rPr>
        <w:t xml:space="preserve"> </w:t>
      </w:r>
      <w:r>
        <w:rPr>
          <w:rStyle w:val="FloatTok"/>
        </w:rPr>
        <w:t xml:space="preserve">1.8</w:t>
      </w:r>
      <w:r>
        <w:rPr>
          <w:rStyle w:val="NormalTok"/>
        </w:rPr>
        <w:t xml:space="preserve">, </w:t>
      </w:r>
      <w:r>
        <w:rPr>
          <w:rStyle w:val="AttributeTok"/>
        </w:rPr>
        <w:t xml:space="preserve">lty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 </w:t>
      </w:r>
      <w:r>
        <w:rPr>
          <w:rStyle w:val="AttributeTok"/>
        </w:rPr>
        <w:t xml:space="preserve">cex =</w:t>
      </w:r>
      <w:r>
        <w:rPr>
          <w:rStyle w:val="NormalTok"/>
        </w:rPr>
        <w:t xml:space="preserve"> </w:t>
      </w:r>
      <w:r>
        <w:rPr>
          <w:rStyle w:val="FloatTok"/>
        </w:rPr>
        <w:t xml:space="preserve">0.8</w:t>
      </w:r>
      <w:r>
        <w:rPr>
          <w:rStyle w:val="NormalTok"/>
        </w:rPr>
        <w:t xml:space="preserve">)</w:t>
      </w:r>
      <w:r>
        <w:br/>
      </w:r>
      <w:r>
        <w:rPr>
          <w:rStyle w:val="FunctionTok"/>
        </w:rPr>
        <w:t xml:space="preserve">par</w:t>
      </w:r>
      <w:r>
        <w:rPr>
          <w:rStyle w:val="NormalTok"/>
        </w:rPr>
        <w:t xml:space="preserve">(op)</w:t>
      </w:r>
    </w:p>
    <w:tbl>
      <w:tblPr>
        <w:tblStyle w:val="Table"/>
        <w:tblW w:type="pct" w:w="5000"/>
        <w:tblLayout w:type="fixed"/>
        <w:tblLook w:firstRow="0" w:lastRow="0" w:firstColumn="0" w:lastColumn="0" w:noHBand="0" w:noVBand="0" w:val="0000"/>
      </w:tblPr>
      <w:tblGrid>
        <w:gridCol w:w="7920"/>
      </w:tblGrid>
      <w:tr>
        <w:tc>
          <w:tcPr/>
          <w:bookmarkStart w:id="40" w:name="fig-ignitions"/>
          <w:p>
            <w:pPr>
              <w:pStyle w:val="Compact"/>
              <w:jc w:val="center"/>
            </w:pPr>
            <w:r>
              <w:drawing>
                <wp:inline>
                  <wp:extent cx="5943600" cy="4206240"/>
                  <wp:effectExtent b="0" l="0" r="0" t="0"/>
                  <wp:docPr descr="" title="" id="38" name="Picture"/>
                  <a:graphic>
                    <a:graphicData uri="http://schemas.openxmlformats.org/drawingml/2006/picture">
                      <pic:pic>
                        <pic:nvPicPr>
                          <pic:cNvPr descr="../03.outputs/figures/mfig-fig-ignitions-1.png" id="39" name="Picture"/>
                          <pic:cNvPicPr>
                            <a:picLocks noChangeArrowheads="1" noChangeAspect="1"/>
                          </pic:cNvPicPr>
                        </pic:nvPicPr>
                        <pic:blipFill>
                          <a:blip r:embed="rId37"/>
                          <a:stretch>
                            <a:fillRect/>
                          </a:stretch>
                        </pic:blipFill>
                        <pic:spPr bwMode="auto">
                          <a:xfrm>
                            <a:off x="0" y="0"/>
                            <a:ext cx="5943600" cy="420624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Ignitions by season and the completeness of their records. Upper panel, incidents per season by reported cause, 8,176 in all. Lower panel, the share of incidents carrying an ignition date and the share carrying a recorded cause, which were 100 and 92 per cent before 2000 and 67 and 40 per cent from 2000 onward. Both panels are the same records, so the fall in the lower panel is what makes the cause split in the upper panel unreadable as an ignition trend after 2000.</w:t>
            </w:r>
          </w:p>
          <w:bookmarkEnd w:id="40"/>
        </w:tc>
      </w:tr>
    </w:tbl>
    <w:p>
      <w:pPr>
        <w:pStyle w:val="BodyText"/>
      </w:pPr>
      <w:hyperlink w:anchor="fig-ignitions">
        <w:r>
          <w:rPr>
            <w:rStyle w:val="Hyperlink"/>
          </w:rPr>
          <w:t xml:space="preserve">Figure 3</w:t>
        </w:r>
      </w:hyperlink>
      <w:r>
        <w:t xml:space="preserve"> </w:t>
      </w:r>
      <w:r>
        <w:t xml:space="preserve">shows the same records season by season. The upper panel gives the counts by cause and the lower panel the two completeness measures, and the fall in the lower panel after 2000 is what makes the cause split in the upper panel unreadable as an ignition trend.</w:t>
      </w:r>
    </w:p>
    <w:p>
      <w:pPr>
        <w:pStyle w:val="BodyText"/>
      </w:pPr>
      <w:r>
        <w:t xml:space="preserve">The design responded to both rather than caveating them. The ignition models below carry season as a fixed effect, so the danger coefficient is identified only from day-to-day variation inside a season. Reporting completeness and cause coding both change between seasons and neither changes within one, so a between-season contrast would confound the danger effect with the record keeping and a within-season contrast cannot. Three response series were modelled, lightning, person-caused and all causes together, because the all-cause series cannot be affected by cause coding at all and is therefore the one that decides when the three disagree. Because detection of small fires also improved over the record, every result was reported at three minimum sizes, no limit, one hectare and four hectares, and a conclusion that survived at only one threshold was reported as not surviving.</w:t>
      </w:r>
    </w:p>
    <w:bookmarkEnd w:id="41"/>
    <w:bookmarkEnd w:id="42"/>
    <w:bookmarkStart w:id="48" w:name="sec-methods"/>
    <w:p>
      <w:pPr>
        <w:pStyle w:val="Heading1"/>
      </w:pPr>
      <w:r>
        <w:t xml:space="preserve">3. Methods</w:t>
      </w:r>
    </w:p>
    <w:bookmarkStart w:id="44" w:name="study-design"/>
    <w:p>
      <w:pPr>
        <w:pStyle w:val="Heading2"/>
      </w:pPr>
      <w:r>
        <w:t xml:space="preserve">3.1 Study Design</w:t>
      </w:r>
    </w:p>
    <w:p>
      <w:pPr>
        <w:pStyle w:val="FirstParagraph"/>
      </w:pPr>
      <w:r>
        <w:t xml:space="preserve">FWI1987 and FWI2025 differ in version and in input resolution simultaneously, so comparing one against the other answers no question about either. Three series were computed from a single hourly weather record, and each contrast moved one thing (</w:t>
      </w:r>
      <w:hyperlink w:anchor="tbl-design">
        <w:r>
          <w:rPr>
            <w:rStyle w:val="Hyperlink"/>
          </w:rPr>
          <w:t xml:space="preserve">Table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 w:name="tbl-design"/>
          <w:p>
            <w:pPr>
              <w:jc w:val="center"/>
            </w:pPr>
            <w:pPr>
              <w:jc w:val="start"/>
              <w:spacing w:before="200"/>
              <w:pStyle w:val="ImageCaption"/>
            </w:pPr>
            <w:r>
              <w:t xml:space="preserve">Table 4: The three fire danger series and what separates them.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Series</w:t>
                  </w:r>
                </w:p>
              </w:tc>
              <w:tc>
                <w:tcPr/>
                <w:p>
                  <w:pPr>
                    <w:pStyle w:val="Compact"/>
                    <w:jc w:val="center"/>
                  </w:pPr>
                  <w:r>
                    <w:t xml:space="preserve">System</w:t>
                  </w:r>
                </w:p>
              </w:tc>
              <w:tc>
                <w:tcPr/>
                <w:p>
                  <w:pPr>
                    <w:pStyle w:val="Compact"/>
                    <w:jc w:val="center"/>
                  </w:pPr>
                  <w:r>
                    <w:t xml:space="preserve">Weather input</w:t>
                  </w:r>
                </w:p>
              </w:tc>
              <w:tc>
                <w:tcPr/>
                <w:p>
                  <w:pPr>
                    <w:pStyle w:val="Compact"/>
                    <w:jc w:val="center"/>
                  </w:pPr>
                  <w:r>
                    <w:t xml:space="preserve">Pathway</w:t>
                  </w:r>
                </w:p>
              </w:tc>
            </w:tr>
            <w:tr>
              <w:tc>
                <w:tcPr/>
                <w:p>
                  <w:pPr>
                    <w:pStyle w:val="Compact"/>
                    <w:jc w:val="center"/>
                  </w:pPr>
                  <w:r>
                    <w:t xml:space="preserve">S1</w:t>
                  </w:r>
                </w:p>
              </w:tc>
              <w:tc>
                <w:tcPr/>
                <w:p>
                  <w:pPr>
                    <w:pStyle w:val="Compact"/>
                    <w:jc w:val="center"/>
                  </w:pPr>
                  <w:r>
                    <w:t xml:space="preserve">FWI1987</w:t>
                  </w:r>
                </w:p>
              </w:tc>
              <w:tc>
                <w:tcPr/>
                <w:p>
                  <w:pPr>
                    <w:pStyle w:val="Compact"/>
                    <w:jc w:val="center"/>
                  </w:pPr>
                  <w:r>
                    <w:t xml:space="preserve">daily 13:00 LDT observation</w:t>
                  </w:r>
                </w:p>
              </w:tc>
              <w:tc>
                <w:tcPr/>
                <w:p>
                  <w:pPr>
                    <w:pStyle w:val="Compact"/>
                    <w:jc w:val="center"/>
                  </w:pPr>
                  <w:r>
                    <w:t xml:space="preserve">the legacy configuration</w:t>
                  </w:r>
                </w:p>
              </w:tc>
            </w:tr>
            <w:tr>
              <w:tc>
                <w:tcPr/>
                <w:p>
                  <w:pPr>
                    <w:pStyle w:val="Compact"/>
                    <w:jc w:val="center"/>
                  </w:pPr>
                  <w:r>
                    <w:t xml:space="preserve">S2</w:t>
                  </w:r>
                </w:p>
              </w:tc>
              <w:tc>
                <w:tcPr/>
                <w:p>
                  <w:pPr>
                    <w:pStyle w:val="Compact"/>
                    <w:jc w:val="center"/>
                  </w:pPr>
                  <w:r>
                    <w:t xml:space="preserve">FWI2025</w:t>
                  </w:r>
                </w:p>
              </w:tc>
              <w:tc>
                <w:tcPr/>
                <w:p>
                  <w:pPr>
                    <w:pStyle w:val="Compact"/>
                    <w:jc w:val="center"/>
                  </w:pPr>
                  <w:r>
                    <w:t xml:space="preserve">daily 13:00 LDT observation</w:t>
                  </w:r>
                </w:p>
              </w:tc>
              <w:tc>
                <w:tcPr/>
                <w:p>
                  <w:pPr>
                    <w:pStyle w:val="Compact"/>
                    <w:jc w:val="center"/>
                  </w:pPr>
                  <w:r>
                    <w:t xml:space="preserve">pathway C of</w:t>
                  </w:r>
                  <w:r>
                    <w:t xml:space="preserve"> </w:t>
                  </w:r>
                  <w:r>
                    <w:t xml:space="preserve">Canadian Forest Service Fire Danger Group (2025)</w:t>
                  </w:r>
                </w:p>
              </w:tc>
            </w:tr>
            <w:tr>
              <w:tc>
                <w:tcPr/>
                <w:p>
                  <w:pPr>
                    <w:pStyle w:val="Compact"/>
                    <w:jc w:val="center"/>
                  </w:pPr>
                  <w:r>
                    <w:t xml:space="preserve">S3</w:t>
                  </w:r>
                </w:p>
              </w:tc>
              <w:tc>
                <w:tcPr/>
                <w:p>
                  <w:pPr>
                    <w:pStyle w:val="Compact"/>
                    <w:jc w:val="center"/>
                  </w:pPr>
                  <w:r>
                    <w:t xml:space="preserve">FWI2025</w:t>
                  </w:r>
                </w:p>
              </w:tc>
              <w:tc>
                <w:tcPr/>
                <w:p>
                  <w:pPr>
                    <w:pStyle w:val="Compact"/>
                    <w:jc w:val="center"/>
                  </w:pPr>
                  <w:r>
                    <w:t xml:space="preserve">observed hourly weather</w:t>
                  </w:r>
                </w:p>
              </w:tc>
              <w:tc>
                <w:tcPr/>
                <w:p>
                  <w:pPr>
                    <w:pStyle w:val="Compact"/>
                    <w:jc w:val="center"/>
                  </w:pPr>
                  <w:r>
                    <w:t xml:space="preserve">pathway A of</w:t>
                  </w:r>
                  <w:r>
                    <w:t xml:space="preserve"> </w:t>
                  </w:r>
                  <w:r>
                    <w:t xml:space="preserve">Canadian Forest Service Fire Danger Group (2025)</w:t>
                  </w:r>
                </w:p>
              </w:tc>
            </w:tr>
          </w:tbl>
          <w:bookmarkEnd w:id="43"/>
          <w:p/>
        </w:tc>
      </w:tr>
    </w:tbl>
    <w:p>
      <w:pPr>
        <w:pStyle w:val="BodyText"/>
      </w:pPr>
      <w:r>
        <w:t xml:space="preserve">S1 against S2 isolated the version change at fixed input, S2 against S3 isolated the input resolution change at fixed version, and S1 against S3 was the operational contrast an agency faces on migration, the sum of the other two. All three ran on the same weather, the same season window, the same startup values and the same gap filling, so nothing that differed between them was an artefact of the record.</w:t>
      </w:r>
    </w:p>
    <w:p>
      <w:pPr>
        <w:pStyle w:val="BodyText"/>
      </w:pPr>
      <w:r>
        <w:t xml:space="preserve">Pathway C is the report’s own procedure for the legacy observation. The 13:00 observation was converted to estimated daily maxima and minima using national constants, daily maximum temperature being about 2 degrees Celsius above the 13:00 value, minimum wind speed 10 per cent of it and maximum wind speed 30 per cent above it, and humidity carried through at constant vapour content; those maxima and minima were then expanded to an hourly stream by the sinusoidal method of</w:t>
      </w:r>
      <w:r>
        <w:t xml:space="preserve"> </w:t>
      </w:r>
      <w:r>
        <w:t xml:space="preserve">Beck &amp; Trevitt (1989)</w:t>
      </w:r>
      <w:r>
        <w:t xml:space="preserve"> </w:t>
      </w:r>
      <w:r>
        <w:t xml:space="preserve">with the default offset and decay coefficients of Table A-1 of</w:t>
      </w:r>
      <w:r>
        <w:t xml:space="preserve"> </w:t>
      </w:r>
      <w:r>
        <w:t xml:space="preserve">Canadian Forest Service Fire Danger Group (2025)</w:t>
      </w:r>
      <w:r>
        <w:t xml:space="preserve">. Daily rainfall, whose timing is unknown in a once-daily observation, was placed at the first hour after sunrise, which is the rule the report gives and the rule FWI1987 implicitly used.</w:t>
      </w:r>
    </w:p>
    <w:bookmarkEnd w:id="44"/>
    <w:bookmarkStart w:id="45" w:name="index-computation"/>
    <w:p>
      <w:pPr>
        <w:pStyle w:val="Heading2"/>
      </w:pPr>
      <w:r>
        <w:t xml:space="preserve">3.2 Index Computation</w:t>
      </w:r>
    </w:p>
    <w:p>
      <w:pPr>
        <w:pStyle w:val="FirstParagraph"/>
      </w:pPr>
      <w:r>
        <w:t xml:space="preserve">FWI2025 was computed with the reference implementation published by the Canadian Forest Service Fire Danger Group</w:t>
      </w:r>
      <w:r>
        <w:t xml:space="preserve"> </w:t>
      </w:r>
      <w:r>
        <w:t xml:space="preserve">(Canadian Forest Service Fire Danger Group, 2026)</w:t>
      </w:r>
      <w:r>
        <w:t xml:space="preserve">, run unmodified at the version cited. It reproduced the standard output distributed with it exactly, to the last decimal place the file carries, over the 2,623 hour Petawawa Research Forest test record.</w:t>
      </w:r>
    </w:p>
    <w:p>
      <w:pPr>
        <w:pStyle w:val="BodyText"/>
      </w:pPr>
      <w:r>
        <w:t xml:space="preserve">FWI1987 was implemented for this study in Python, so that both systems ran inside one process on one record, and the implementation was checked in two ways, both reported in the results. The first check was against the CRAN package</w:t>
      </w:r>
      <w:r>
        <w:t xml:space="preserve"> </w:t>
      </w:r>
      <w:r>
        <w:rPr>
          <w:rStyle w:val="VerbatimChar"/>
        </w:rPr>
        <w:t xml:space="preserve">cffdrs</w:t>
      </w:r>
      <w:r>
        <w:t xml:space="preserve">, version 1.9.2</w:t>
      </w:r>
      <w:r>
        <w:t xml:space="preserve"> </w:t>
      </w:r>
      <w:r>
        <w:t xml:space="preserve">(X. Wang et al., 2017, 2025)</w:t>
      </w:r>
      <w:r>
        <w:t xml:space="preserve">, an independently published implementation maintained by the Canadian Forest Service, run through R over the same test record. The second was against the FWI1987 codes that BC Wildfire Service itself computed operationally at these stations at the time, which the data mart preserves alongside the raw observations, so that a different party, different code and a different decade met the same weather.</w:t>
      </w:r>
    </w:p>
    <w:p>
      <w:pPr>
        <w:pStyle w:val="BodyText"/>
      </w:pPr>
      <w:r>
        <w:t xml:space="preserve">Two constants differ between</w:t>
      </w:r>
      <w:r>
        <w:t xml:space="preserve"> </w:t>
      </w:r>
      <w:r>
        <w:t xml:space="preserve">Van Wagner (1987)</w:t>
      </w:r>
      <w:r>
        <w:t xml:space="preserve"> </w:t>
      </w:r>
      <w:r>
        <w:t xml:space="preserve">as printed and</w:t>
      </w:r>
      <w:r>
        <w:t xml:space="preserve"> </w:t>
      </w:r>
      <w:r>
        <w:t xml:space="preserve">Van Wagner &amp; Pickett (1985)</w:t>
      </w:r>
      <w:r>
        <w:t xml:space="preserve"> </w:t>
      </w:r>
      <w:r>
        <w:t xml:space="preserve">as programmed, and this implementation followed the program. The moisture transform coefficient is 147.2772, not the rounded 147.2 of the report, since 59.5 x 250 / 101 = 147.27722772 is the value that closes the scale; and the Duff Moisture Code moisture functions take the listing’s form. Using the rounded constants instead moved the Fine Fuel Moisture Code by up to 3.9 units over the test record, which would have entered a version comparison as a difference between systems when it is a difference between roundings.</w:t>
      </w:r>
    </w:p>
    <w:bookmarkEnd w:id="45"/>
    <w:bookmarkStart w:id="46" w:name="seasonal-metrics"/>
    <w:p>
      <w:pPr>
        <w:pStyle w:val="Heading2"/>
      </w:pPr>
      <w:r>
        <w:t xml:space="preserve">3.3 Seasonal Metrics</w:t>
      </w:r>
    </w:p>
    <w:p>
      <w:pPr>
        <w:pStyle w:val="FirstParagraph"/>
      </w:pPr>
      <w:r>
        <w:t xml:space="preserve">Six seasonal metrics were computed per station, season and series over the 1 May to 30 September window, namely mean Fire Weather Index, seasonal severity rating as the sum of the Daily Severity Rating, peak Buildup Index, and counts of days above each of the thresholds described next. Because FWI2025 produces an hourly value and FWI1987 a daily one, the FWI2025 series were summarised to a daily value at 16:00 Local Standard Time, which is 17:00 local daylight time. That hour is the conventional peak burn hour, and it is the modal hour of peak burning conditions in the reference implementation’s own distributed output. It was not chosen from this record; for comparison, the modal hour of daily maximum summer temperature here was 15:00 Local Standard Time. The daily maximum over all 24 hours was carried as a sensitivity and not as the primary, because the maximum of 24 draws exceeds a single daily value for reasons that have nothing to do with the version change.</w:t>
      </w:r>
    </w:p>
    <w:p>
      <w:pPr>
        <w:pStyle w:val="BodyText"/>
      </w:pPr>
      <w:r>
        <w:t xml:space="preserve">The second question turns on the thresholding, so both schemes were built and neither was preferred.</w:t>
      </w:r>
    </w:p>
    <w:p>
      <w:pPr>
        <w:pStyle w:val="BodyText"/>
      </w:pPr>
      <w:r>
        <w:t xml:space="preserve">Absolute thresholds are fixed numbers on the index scale applied unchanged to all three series, which is the scheme an agency uses, because a danger class is a number in a manual.</w:t>
      </w:r>
      <w:r>
        <w:t xml:space="preserve"> </w:t>
      </w:r>
      <w:r>
        <w:t xml:space="preserve">Stephen W. Taylor &amp; Alexander (2006)</w:t>
      </w:r>
      <w:r>
        <w:t xml:space="preserve"> </w:t>
      </w:r>
      <w:r>
        <w:t xml:space="preserve">traced how Canadian danger classes were set from correlations between Fire Weather Index System values and historical fire occurrence, and reported that British Columbia defined its classes from the Fire Weather Index and the Buildup Index separately for three danger regions with different fire climates. Three thresholds were used. FFMC 91 was taken from section 4.1 of</w:t>
      </w:r>
      <w:r>
        <w:t xml:space="preserve"> </w:t>
      </w:r>
      <w:r>
        <w:t xml:space="preserve">Canadian Forest Service Fire Danger Group (2025)</w:t>
      </w:r>
      <w:r>
        <w:t xml:space="preserve">, so that counting days above it tested that report’s comparability sentence directly, and it is also the value above which the Canadian Wildland Fire Information System classes the Fine Fuel Moisture Code as extreme</w:t>
      </w:r>
      <w:r>
        <w:t xml:space="preserve"> </w:t>
      </w:r>
      <w:r>
        <w:t xml:space="preserve">(R. D. Field et al., 2015)</w:t>
      </w:r>
      <w:r>
        <w:t xml:space="preserve">. A Fire Weather Index above 30 is that system’s extreme class</w:t>
      </w:r>
      <w:r>
        <w:t xml:space="preserve"> </w:t>
      </w:r>
      <w:r>
        <w:t xml:space="preserve">(R. D. Field et al., 2015)</w:t>
      </w:r>
      <w:r>
        <w:t xml:space="preserve">, and a Fire Weather Index above 19 is the fire spread day threshold of</w:t>
      </w:r>
      <w:r>
        <w:t xml:space="preserve"> </w:t>
      </w:r>
      <w:r>
        <w:t xml:space="preserve">Podur &amp; Wotton (2011)</w:t>
      </w:r>
      <w:r>
        <w:t xml:space="preserve">, which</w:t>
      </w:r>
      <w:r>
        <w:t xml:space="preserve"> </w:t>
      </w:r>
      <w:r>
        <w:t xml:space="preserve">McElhinny et al. (2020)</w:t>
      </w:r>
      <w:r>
        <w:t xml:space="preserve"> </w:t>
      </w:r>
      <w:r>
        <w:t xml:space="preserve">used to count spread days in their global reanalysis.</w:t>
      </w:r>
      <w:r>
        <w:t xml:space="preserve"> </w:t>
      </w:r>
      <w:r>
        <w:t xml:space="preserve">R. D. Field et al. (2015)</w:t>
      </w:r>
      <w:r>
        <w:t xml:space="preserve"> </w:t>
      </w:r>
      <w:r>
        <w:t xml:space="preserve">noted that such extreme thresholds</w:t>
      </w:r>
      <w:r>
        <w:t xml:space="preserve"> </w:t>
      </w:r>
      <w:r>
        <w:t xml:space="preserve">“will be different in other regions”</w:t>
      </w:r>
      <w:r>
        <w:t xml:space="preserve"> </w:t>
      </w:r>
      <w:r>
        <w:t xml:space="preserve">(R. D. Field et al., 2015, p. 1409)</w:t>
      </w:r>
      <w:r>
        <w:t xml:space="preserve">, so the absolute counts here are Canadian classes applied to one basin and not local calibrations.</w:t>
      </w:r>
    </w:p>
    <w:p>
      <w:pPr>
        <w:pStyle w:val="BodyText"/>
      </w:pPr>
      <w:r>
        <w:t xml:space="preserve">Relative thresholds are percentiles of each series’ own distribution over a common reference period, taken as 1991 to 2020, the current World Meteorological Organization normal, and fixed before any metric was computed. Climate extremes monitoring moved to thresholds of this kind because, in the review of</w:t>
      </w:r>
      <w:r>
        <w:t xml:space="preserve"> </w:t>
      </w:r>
      <w:r>
        <w:t xml:space="preserve">X. Zhang et al. (2011)</w:t>
      </w:r>
      <w:r>
        <w:t xml:space="preserve">,</w:t>
      </w:r>
      <w:r>
        <w:t xml:space="preserve"> </w:t>
      </w:r>
      <w:r>
        <w:t xml:space="preserve">“few physically based thresholds have relevance in all parts of the world”</w:t>
      </w:r>
      <w:r>
        <w:t xml:space="preserve"> </w:t>
      </w:r>
      <w:r>
        <w:t xml:space="preserve">(X. Zhang et al., 2011)</w:t>
      </w:r>
      <w:r>
        <w:t xml:space="preserve">, and</w:t>
      </w:r>
      <w:r>
        <w:t xml:space="preserve"> </w:t>
      </w:r>
      <w:r>
        <w:t xml:space="preserve">Jain et al. (2017)</w:t>
      </w:r>
      <w:r>
        <w:t xml:space="preserve"> </w:t>
      </w:r>
      <w:r>
        <w:t xml:space="preserve">used the 99th percentile of the Fire Weather Index alongside counts of spread days for North America. British Columbia uses a threshold of the same kind operationally, since the head fire intensity layer of the provincial strategic threat analysis</w:t>
      </w:r>
      <w:r>
        <w:t xml:space="preserve"> </w:t>
      </w:r>
      <w:r>
        <w:t xml:space="preserve">“was developed using the 90th percentile fire weather index value for an interpolated and elevation-adjusted analysis of weather station values”</w:t>
      </w:r>
      <w:r>
        <w:t xml:space="preserve"> </w:t>
      </w:r>
      <w:r>
        <w:t xml:space="preserve">(BC Wildfire Service, 2026d)</w:t>
      </w:r>
      <w:r>
        <w:t xml:space="preserve">. A day above a series’ own 90th percentile means the same thing in each series by construction, so a difference in trend under relative thresholds cannot be an artefact of the two systems sitting at different levels.</w:t>
      </w:r>
    </w:p>
    <w:p>
      <w:pPr>
        <w:pStyle w:val="BodyText"/>
      </w:pPr>
      <w:r>
        <w:t xml:space="preserve">Percentile counts carry two known problems.</w:t>
      </w:r>
      <w:r>
        <w:t xml:space="preserve"> </w:t>
      </w:r>
      <w:r>
        <w:t xml:space="preserve">X. Zhang et al. (2005)</w:t>
      </w:r>
      <w:r>
        <w:t xml:space="preserve"> </w:t>
      </w:r>
      <w:r>
        <w:t xml:space="preserve">showed by Monte Carlo simulation that sampling error in a threshold estimated from a fixed base period leads to</w:t>
      </w:r>
      <w:r>
        <w:t xml:space="preserve"> </w:t>
      </w:r>
      <w:r>
        <w:t xml:space="preserve">“overestimated exceedance rates outside the base period”</w:t>
      </w:r>
      <w:r>
        <w:t xml:space="preserve"> </w:t>
      </w:r>
      <w:r>
        <w:t xml:space="preserve">(X. Zhang et al., 2005, p. 1641)</w:t>
      </w:r>
      <w:r>
        <w:t xml:space="preserve"> </w:t>
      </w:r>
      <w:r>
        <w:t xml:space="preserve">and underestimated rates inside it, producing an artificial jump at the boundary, larger for higher percentiles and for positively autocorrelated observations, that a linear trend fitted across it reads as a trend, and they removed it with a bootstrap estimate of the in-base rates. That correction was applied here. For each season inside the 1991 to 2020 base period, the threshold was re-estimated with that season removed and each other base season in turn duplicated in its place, and the count for the season was the mean over those replacements, while the last 5 seasons, which lie outside the base period, used the threshold from the whole base period.</w:t>
      </w:r>
      <w:r>
        <w:t xml:space="preserve"> </w:t>
      </w:r>
      <w:r>
        <w:t xml:space="preserve">X. Zhang et al. (2005)</w:t>
      </w:r>
      <w:r>
        <w:t xml:space="preserve"> </w:t>
      </w:r>
      <w:r>
        <w:t xml:space="preserve">estimated a threshold for each calendar day, whereas the threshold here was estimated from all days of the season pooled, so the procedure was adapted from a daily to a seasonal threshold.</w:t>
      </w:r>
      <w:r>
        <w:t xml:space="preserve"> </w:t>
      </w:r>
      <w:r>
        <w:t xml:space="preserve">Dunn &amp; Morice (2022)</w:t>
      </w:r>
      <w:r>
        <w:t xml:space="preserve"> </w:t>
      </w:r>
      <w:r>
        <w:t xml:space="preserve">then showed that trends computed from the same data over the same years differ when the reference period changes and the climate has shifted between the two periods, by about 1 day per decade, around 25 per cent, in the global HadEX3 warm-day index over 1961 to 2018 and by about 3 days per decade, around 50 per cent, at De Bilt</w:t>
      </w:r>
      <w:r>
        <w:t xml:space="preserve"> </w:t>
      </w:r>
      <w:r>
        <w:t xml:space="preserve">(Dunn &amp; Morice, 2022, p. 8)</w:t>
      </w:r>
      <w:r>
        <w:t xml:space="preserve">. That problem has no correction, because it is a property of the choice rather than an error in the estimate, so the reference period was fixed before any metric was computed and a relative-threshold trend here is a statement about the 1991 to 2020 period as well as about its index.</w:t>
      </w:r>
    </w:p>
    <w:p>
      <w:pPr>
        <w:pStyle w:val="BodyText"/>
      </w:pPr>
      <w:r>
        <w:t xml:space="preserve">One property of that construction is stated because it resembles a result and is not one. Inside the reference period the mean number of days above a series’ own 90th percentile is close to ten per cent of the days in it, in every series, by construction. The level of a relative count therefore carries no information about the version at all, and only its trend does.</w:t>
      </w:r>
    </w:p>
    <w:p>
      <w:pPr>
        <w:pStyle w:val="BodyText"/>
      </w:pPr>
      <w:r>
        <w:t xml:space="preserve">Reference distributions were computed per station as well as per series, because pooling them would mix a valley station at 492 m with a ridge station at 1,463 m, and the percentile would then describe the network rather than the site.</w:t>
      </w:r>
    </w:p>
    <w:bookmarkEnd w:id="46"/>
    <w:bookmarkStart w:id="47" w:name="statistical-analysis"/>
    <w:p>
      <w:pPr>
        <w:pStyle w:val="Heading2"/>
      </w:pPr>
      <w:r>
        <w:t xml:space="preserve">3.4 Statistical Analysis</w:t>
      </w:r>
    </w:p>
    <w:p>
      <w:pPr>
        <w:pStyle w:val="FirstParagraph"/>
      </w:pPr>
      <w:r>
        <w:t xml:space="preserve">Trends were estimated with the non-parametric pairing that fire weather trend studies have adopted, the Theil-Sen slope with a Mann-Kendall test.</w:t>
      </w:r>
      <w:r>
        <w:t xml:space="preserve"> </w:t>
      </w:r>
      <w:r>
        <w:t xml:space="preserve">Jain et al. (2017)</w:t>
      </w:r>
      <w:r>
        <w:t xml:space="preserve"> </w:t>
      </w:r>
      <w:r>
        <w:t xml:space="preserve">applied that pairing to the potential fire season length and to the 99th percentile of the Fire Weather Index across North America from 1979 to 2015, computing the System from the North American Regional Reanalysis with field significance testing and a Canadian series truncated because the reanalysis ceased to assimilate Canadian precipitation observations after 2002, and</w:t>
      </w:r>
      <w:r>
        <w:t xml:space="preserve"> </w:t>
      </w:r>
      <w:r>
        <w:t xml:space="preserve">Venäläinen et al. (2014)</w:t>
      </w:r>
      <w:r>
        <w:t xml:space="preserve"> </w:t>
      </w:r>
      <w:r>
        <w:t xml:space="preserve">applied it to the Fire Weather Index over Europe from 1960 to 2012 with a Mann-Kendall test corrected for autocorrelation through an effective sample size, computing trends separately for the ERA-40 and ERA-Interim reanalyses. The Theil-Sen slope, the median of all pairwise slopes</w:t>
      </w:r>
      <w:r>
        <w:t xml:space="preserve"> </w:t>
      </w:r>
      <w:r>
        <w:t xml:space="preserve">(Sen, 1968)</w:t>
      </w:r>
      <w:r>
        <w:t xml:space="preserve">, was computed here over the 31 seasons from 1991 to 2025 that survived the coverage rule, on the actual season numbers so that a gap in the sequence was honoured rather than treated as a step of one. The median of pairwise slopes was preferred to least squares because</w:t>
      </w:r>
      <w:r>
        <w:t xml:space="preserve"> </w:t>
      </w:r>
      <w:r>
        <w:t xml:space="preserve">Hirsch, Slack, &amp; Smith (1982)</w:t>
      </w:r>
      <w:r>
        <w:t xml:space="preserve"> </w:t>
      </w:r>
      <w:r>
        <w:t xml:space="preserve">showed that it was an unbiased estimator of a linear trend with considerably higher precision than a regression slope on highly skewed data, and seasonal counts of extreme days are skewed.</w:t>
      </w:r>
    </w:p>
    <w:p>
      <w:pPr>
        <w:pStyle w:val="BodyText"/>
      </w:pPr>
      <w:r>
        <w:t xml:space="preserve">Significance was the Mann-Kendall test</w:t>
      </w:r>
      <w:r>
        <w:t xml:space="preserve"> </w:t>
      </w:r>
      <w:r>
        <w:t xml:space="preserve">(Mann, 1945)</w:t>
      </w:r>
      <w:r>
        <w:t xml:space="preserve"> </w:t>
      </w:r>
      <w:r>
        <w:t xml:space="preserve">with the variance correction of</w:t>
      </w:r>
      <w:r>
        <w:t xml:space="preserve"> </w:t>
      </w:r>
      <w:r>
        <w:t xml:space="preserve">Hamed &amp; Rao (1998)</w:t>
      </w:r>
      <w:r>
        <w:t xml:space="preserve">, which inflates the variance of the test statistic by the serial correlation present in the series rather than assuming independence. Serial correlation alters the variance of the Mann-Kendall statistic</w:t>
      </w:r>
      <w:r>
        <w:t xml:space="preserve"> </w:t>
      </w:r>
      <w:r>
        <w:t xml:space="preserve">(Yue, Pilon, Phinney, &amp; Cavadias, 2002)</w:t>
      </w:r>
      <w:r>
        <w:t xml:space="preserve"> </w:t>
      </w:r>
      <w:r>
        <w:t xml:space="preserve">and gives too large a rejection rate on trendless series</w:t>
      </w:r>
      <w:r>
        <w:t xml:space="preserve"> </w:t>
      </w:r>
      <w:r>
        <w:t xml:space="preserve">(Bayazit &amp; Önöz, 2007)</w:t>
      </w:r>
      <w:r>
        <w:t xml:space="preserve">, and the literature offers four responses, prewhitening, trend-free prewhitening, variance correction and block bootstrap resampling</w:t>
      </w:r>
      <w:r>
        <w:t xml:space="preserve"> </w:t>
      </w:r>
      <w:r>
        <w:t xml:space="preserve">(Önöz &amp; Bayazit, 2012)</w:t>
      </w:r>
      <w:r>
        <w:t xml:space="preserve">. Prewhitening was not used.</w:t>
      </w:r>
      <w:r>
        <w:t xml:space="preserve"> </w:t>
      </w:r>
      <w:r>
        <w:t xml:space="preserve">Bayazit &amp; Önöz (2007)</w:t>
      </w:r>
      <w:r>
        <w:t xml:space="preserve"> </w:t>
      </w:r>
      <w:r>
        <w:t xml:space="preserve">found by simulation that it corrected the false rejection rate on trendless autocorrelated series but reduced the power of the test when a trend was present, and</w:t>
      </w:r>
      <w:r>
        <w:t xml:space="preserve"> </w:t>
      </w:r>
      <w:r>
        <w:t xml:space="preserve">Yue et al. (2002)</w:t>
      </w:r>
      <w:r>
        <w:t xml:space="preserve"> </w:t>
      </w:r>
      <w:r>
        <w:t xml:space="preserve">showed that removing a positive serial correlation component by prewhitening also reduced the magnitude of the trend itself</w:t>
      </w:r>
      <w:r>
        <w:t xml:space="preserve"> </w:t>
      </w:r>
      <w:r>
        <w:t xml:space="preserve">(see also Yue &amp; Wang, 2002)</w:t>
      </w:r>
      <w:r>
        <w:t xml:space="preserve">. The uncorrected result was reported alongside the corrected one only to show the size of the correction.</w:t>
      </w:r>
    </w:p>
    <w:p>
      <w:pPr>
        <w:pStyle w:val="BodyText"/>
      </w:pPr>
      <w:r>
        <w:t xml:space="preserve">One approximation in that correction is stated here. Coverage dropped seasons out of the middle of some station records, so the season sequence was not evenly spaced. The Mann-Kendall statistic itself is unaffected, because it depends on the order of the values and not on their spacing, and the Theil-Sen slope was computed on the actual season numbers so a gap is a gap. The Hamed and Rao variance correction, however, estimates autocorrelation at lags counted in observations rather than in years, which across a gap compares seasons further apart than the lag says. The direction of that error is knowable, because it attributes to lag one a correlation measured over two or more years, which is smaller, so the correction applied was smaller than the true one and the test less conservative than it would be on a complete record. A marginal result is therefore weaker than its q value suggests.</w:t>
      </w:r>
    </w:p>
    <w:p>
      <w:pPr>
        <w:pStyle w:val="BodyText"/>
      </w:pPr>
      <w:r>
        <w:t xml:space="preserve">Metric families were corrected within each series by the false discovery rate procedure of</w:t>
      </w:r>
      <w:r>
        <w:t xml:space="preserve"> </w:t>
      </w:r>
      <w:r>
        <w:t xml:space="preserve">Benjamini &amp; Hochberg (1995)</w:t>
      </w:r>
      <w:r>
        <w:t xml:space="preserve">. The eight metrics in a family were computed from one series and rise and fall with the same fire weather, so their tests were not independent.</w:t>
      </w:r>
      <w:r>
        <w:t xml:space="preserve"> </w:t>
      </w:r>
      <w:r>
        <w:t xml:space="preserve">Benjamini &amp; Yekutieli (2001)</w:t>
      </w:r>
      <w:r>
        <w:t xml:space="preserve"> </w:t>
      </w:r>
      <w:r>
        <w:t xml:space="preserve">proved that the same procedure still controls the false discovery rate when the test statistics have positive regression dependency on those of the true null hypotheses, which metrics driven by one weather record were expected to satisfy, and</w:t>
      </w:r>
      <w:r>
        <w:t xml:space="preserve"> </w:t>
      </w:r>
      <w:r>
        <w:t xml:space="preserve">Wilks (2016)</w:t>
      </w:r>
      <w:r>
        <w:t xml:space="preserve"> </w:t>
      </w:r>
      <w:r>
        <w:t xml:space="preserve">showed by simulation that under moderate to strong correlation among tests the procedure becomes conservative rather than permissive.</w:t>
      </w:r>
      <w:r>
        <w:t xml:space="preserve"> </w:t>
      </w:r>
      <w:r>
        <w:t xml:space="preserve">Wilks (2016)</w:t>
      </w:r>
      <w:r>
        <w:t xml:space="preserve"> </w:t>
      </w:r>
      <w:r>
        <w:t xml:space="preserve">also found that only 3 of the 281 papers published in the Journal of Climate in the first half of 2014, 1.1 per cent, considered multiple testing at all. Confidence intervals on a single slope were percentile intervals over 2,000 moving-block bootstrap resamples of seasons, with the block construction described next.</w:t>
      </w:r>
    </w:p>
    <w:p>
      <w:pPr>
        <w:pStyle w:val="BodyText"/>
      </w:pPr>
      <w:r>
        <w:t xml:space="preserve">Comparing the trends of two records that share most of their variability has a precedent in the evaluation of atmospheric temperature data sets.</w:t>
      </w:r>
      <w:r>
        <w:t xml:space="preserve"> </w:t>
      </w:r>
      <w:r>
        <w:t xml:space="preserve">Santer et al. (2000)</w:t>
      </w:r>
      <w:r>
        <w:t xml:space="preserve"> </w:t>
      </w:r>
      <w:r>
        <w:t xml:space="preserve">tested the trend in the series of differences between two data sets rather than the overlap of their separate confidence intervals, because the difference removes variability common to both, and found that roughly 30 per cent of data set pairs differed significantly in lower tropospheric trend, mainly through differences in measurement system, where overlapping intervals had not shown it.</w:t>
      </w:r>
      <w:r>
        <w:t xml:space="preserve"> </w:t>
      </w:r>
      <w:r>
        <w:t xml:space="preserve">Wilks (1997)</w:t>
      </w:r>
      <w:r>
        <w:t xml:space="preserve"> </w:t>
      </w:r>
      <w:r>
        <w:t xml:space="preserve">showed that applying the same resampling pattern to every element of a data vector carries the cross correlation between elements into the resampled statistics without the need to model it. The three series here came from one weather record and were strongly dependent, and each was also serially correlated from season to season. Resampling single seasons would keep the pairing between series but discard that serial correlation, which block bootstraps retain by resampling runs of consecutive observations</w:t>
      </w:r>
      <w:r>
        <w:t xml:space="preserve"> </w:t>
      </w:r>
      <w:r>
        <w:t xml:space="preserve">(Kunsch, 1989; Politis &amp; Romano, 1994)</w:t>
      </w:r>
      <w:r>
        <w:t xml:space="preserve">, and</w:t>
      </w:r>
      <w:r>
        <w:t xml:space="preserve"> </w:t>
      </w:r>
      <w:r>
        <w:t xml:space="preserve">Önöz &amp; Bayazit (2012)</w:t>
      </w:r>
      <w:r>
        <w:t xml:space="preserve"> </w:t>
      </w:r>
      <w:r>
        <w:t xml:space="preserve">found that a block bootstrap Mann-Kendall test had power comparable with the other corrections for serial dependence. The difference between two series’ slopes was therefore estimated by a moving-block bootstrap, drawing blocks of consecutive seasons with replacement and recomputing both slopes on the same resampled seasons in every one of 4,000 replicates, which kept the pairing between series by construction. Blocks were 3 seasons long for station records of 20 to 27 seasons, the cube root of the record length rounded up, which grows with the record but more slowly than it, as</w:t>
      </w:r>
      <w:r>
        <w:t xml:space="preserve"> </w:t>
      </w:r>
      <w:r>
        <w:t xml:space="preserve">Kunsch (1989)</w:t>
      </w:r>
      <w:r>
        <w:t xml:space="preserve"> </w:t>
      </w:r>
      <w:r>
        <w:t xml:space="preserve">required for consistency, and they were drawn from the seasons in order of occurrence so that a gap in a station record fell inside a block. The interval on the difference was the plain percentile interval, on which the bias-corrected and accelerated interval of</w:t>
      </w:r>
      <w:r>
        <w:t xml:space="preserve"> </w:t>
      </w:r>
      <w:r>
        <w:t xml:space="preserve">Efron (1987)</w:t>
      </w:r>
      <w:r>
        <w:t xml:space="preserve"> </w:t>
      </w:r>
      <w:r>
        <w:t xml:space="preserve">improves to second-order correctness</w:t>
      </w:r>
      <w:r>
        <w:t xml:space="preserve"> </w:t>
      </w:r>
      <w:r>
        <w:t xml:space="preserve">(DiCiccio &amp; Efron, 1996)</w:t>
      </w:r>
      <w:r>
        <w:t xml:space="preserve">. The two-sided p value was computed under the null hypothesis, following the first guideline of</w:t>
      </w:r>
      <w:r>
        <w:t xml:space="preserve"> </w:t>
      </w:r>
      <w:r>
        <w:t xml:space="preserve">Hall &amp; Wilson (1991)</w:t>
      </w:r>
      <w:r>
        <w:t xml:space="preserve">, that resampling should reflect the null hypothesis, whose violation they found can seriously reduce power. The resampled differences were centred on the observed difference, and p was the share of them lying at least as far from it as the observed difference lies from zero. It was corrected for false discovery rate within the eight metrics of one contrast at one station.</w:t>
      </w:r>
    </w:p>
    <w:p>
      <w:pPr>
        <w:pStyle w:val="BodyText"/>
      </w:pPr>
      <w:r>
        <w:t xml:space="preserve">Daily fire occurrence has been modelled statistically since Bruce (1960), whose negative binomial model related daily counts to a fire danger rating index and which</w:t>
      </w:r>
      <w:r>
        <w:t xml:space="preserve"> </w:t>
      </w:r>
      <w:r>
        <w:t xml:space="preserve">S. W. Taylor, Woolford, Dean, &amp; Martell (2013)</w:t>
      </w:r>
      <w:r>
        <w:t xml:space="preserve"> </w:t>
      </w:r>
      <w:r>
        <w:t xml:space="preserve">identified as the first stochastic model of fire occurrence. Canadian operational practice later moved to logistic models of fire presence, because, as</w:t>
      </w:r>
      <w:r>
        <w:t xml:space="preserve"> </w:t>
      </w:r>
      <w:r>
        <w:t xml:space="preserve">S. W. Taylor et al. (2013)</w:t>
      </w:r>
      <w:r>
        <w:t xml:space="preserve"> </w:t>
      </w:r>
      <w:r>
        <w:t xml:space="preserve">noted,</w:t>
      </w:r>
      <w:r>
        <w:t xml:space="preserve"> </w:t>
      </w:r>
      <w:r>
        <w:t xml:space="preserve">“overdispersion is of concern when Poisson-based methods are used to model counts”</w:t>
      </w:r>
      <w:r>
        <w:t xml:space="preserve"> </w:t>
      </w:r>
      <w:r>
        <w:t xml:space="preserve">(S. W. Taylor et al., 2013, p. 591)</w:t>
      </w:r>
      <w:r>
        <w:t xml:space="preserve">.</w:t>
      </w:r>
      <w:r>
        <w:t xml:space="preserve"> </w:t>
      </w:r>
      <w:r>
        <w:t xml:space="preserve">Martell, Otukol, &amp; Stocks (1987)</w:t>
      </w:r>
      <w:r>
        <w:t xml:space="preserve"> </w:t>
      </w:r>
      <w:r>
        <w:t xml:space="preserve">predicted the probability of a people-caused fire day in northern Ontario by logistic regression with a Poisson assumption for the daily count, and</w:t>
      </w:r>
      <w:r>
        <w:t xml:space="preserve"> </w:t>
      </w:r>
      <w:r>
        <w:t xml:space="preserve">Martell, Bevilacqua, &amp; Stocks (1989)</w:t>
      </w:r>
      <w:r>
        <w:t xml:space="preserve"> </w:t>
      </w:r>
      <w:r>
        <w:t xml:space="preserve">added periodic functions of the calendar day to represent seasonal variation. Count models remain in use where the daily number is the quantity of interest.</w:t>
      </w:r>
      <w:r>
        <w:t xml:space="preserve"> </w:t>
      </w:r>
      <w:r>
        <w:t xml:space="preserve">Plucinski, McCaw, Gould, &amp; Wotton (2014)</w:t>
      </w:r>
      <w:r>
        <w:t xml:space="preserve"> </w:t>
      </w:r>
      <w:r>
        <w:t xml:space="preserve">modelled daily human-caused bushfires in south-west Western Australia by negative binomial regression on fuel moisture, fitted on three years and tested on an independent fourth, and</w:t>
      </w:r>
      <w:r>
        <w:t xml:space="preserve"> </w:t>
      </w:r>
      <w:r>
        <w:t xml:space="preserve">Xiao, Zhang, &amp; Ji (2015)</w:t>
      </w:r>
      <w:r>
        <w:t xml:space="preserve"> </w:t>
      </w:r>
      <w:r>
        <w:t xml:space="preserve">found that a negative binomial mixed model described forest fire counts in Guizhou, China, better than Poisson, zero-inflated and hurdle alternatives. The closest regional precedent is</w:t>
      </w:r>
      <w:r>
        <w:t xml:space="preserve"> </w:t>
      </w:r>
      <w:r>
        <w:t xml:space="preserve">Magnussen &amp; Taylor (2012)</w:t>
      </w:r>
      <w:r>
        <w:t xml:space="preserve">, who modelled daily lightning- and human-caused fire occurrence across British Columbia from 1981 to 2000 by logistic regression on lightning strikes, forest cover, surface weather, atmospheric stability and Fire Weather Index System moisture codes, and under leave-one-year-out cross-validation predicted the daily provincial number of lightning fires at R = 0.83 and of human-caused fires at R = 0.55</w:t>
      </w:r>
      <w:r>
        <w:t xml:space="preserve"> </w:t>
      </w:r>
      <w:r>
        <w:t xml:space="preserve">(Magnussen &amp; Taylor, 2012)</w:t>
      </w:r>
      <w:r>
        <w:t xml:space="preserve">.</w:t>
      </w:r>
    </w:p>
    <w:p>
      <w:pPr>
        <w:pStyle w:val="BodyText"/>
      </w:pPr>
      <w:r>
        <w:t xml:space="preserve">Daily ignition counts here were modelled by negative binomial regression with a log link</w:t>
      </w:r>
      <w:r>
        <w:t xml:space="preserve"> </w:t>
      </w:r>
      <w:r>
        <w:t xml:space="preserve">(Lawless, 1987)</w:t>
      </w:r>
      <w:r>
        <w:t xml:space="preserve">, because the response was a daily basin count rather than a cell-day presence. The linear predictor carried the daily basin danger value, two annual harmonics in day of year in the manner of</w:t>
      </w:r>
      <w:r>
        <w:t xml:space="preserve"> </w:t>
      </w:r>
      <w:r>
        <w:t xml:space="preserve">Martell et al. (1989)</w:t>
      </w:r>
      <w:r>
        <w:t xml:space="preserve">, season as a factor, and the number of stations that contributed to the basin mean that day, since no station reports in every season and the composition of the network changes. That last term cannot affect the comparison between series in any case, because all three are averaged over exactly the same stations on exactly the same days. The seasonal terms matter beyond this study, since</w:t>
      </w:r>
      <w:r>
        <w:t xml:space="preserve"> </w:t>
      </w:r>
      <w:r>
        <w:t xml:space="preserve">Castel-Clavera et al. (2025)</w:t>
      </w:r>
      <w:r>
        <w:t xml:space="preserve"> </w:t>
      </w:r>
      <w:r>
        <w:t xml:space="preserve">found in Mediterranean France that</w:t>
      </w:r>
      <w:r>
        <w:t xml:space="preserve"> </w:t>
      </w:r>
      <w:r>
        <w:t xml:space="preserve">“relying solely on fire-weather indices is insufficient for efficient rating of fire activities”</w:t>
      </w:r>
      <w:r>
        <w:t xml:space="preserve"> </w:t>
      </w:r>
      <w:r>
        <w:t xml:space="preserve">and that spatial and seasonal effects were needed, even though the Canadian Fire Weather Index was the most skilful index they tested. The lightning model carried no strike term, because no strike record covered the window, and lightning occurrence models depend on one.</w:t>
      </w:r>
      <w:r>
        <w:t xml:space="preserve"> </w:t>
      </w:r>
      <w:r>
        <w:t xml:space="preserve">Flannigan &amp; Wotton (1991)</w:t>
      </w:r>
      <w:r>
        <w:t xml:space="preserve"> </w:t>
      </w:r>
      <w:r>
        <w:t xml:space="preserve">explained nearly 50 per cent of the variance in daily lightning fire counts in northwestern Ontario with the Duff Moisture Code and the multiplicity of negative discharges,</w:t>
      </w:r>
      <w:r>
        <w:t xml:space="preserve"> </w:t>
      </w:r>
      <w:r>
        <w:t xml:space="preserve">B. M. Wotton &amp; Martell (2005)</w:t>
      </w:r>
      <w:r>
        <w:t xml:space="preserve"> </w:t>
      </w:r>
      <w:r>
        <w:t xml:space="preserve">found that a sheltered duff moisture index was the strongest predictor of ignition given a strike, and</w:t>
      </w:r>
      <w:r>
        <w:t xml:space="preserve"> </w:t>
      </w:r>
      <w:r>
        <w:t xml:space="preserve">Wierzchowski et al. (2002)</w:t>
      </w:r>
      <w:r>
        <w:t xml:space="preserve"> </w:t>
      </w:r>
      <w:r>
        <w:t xml:space="preserve">recorded one fire for every 50 lightning discharges in British Columbia against one for every 1,400 in Alberta. The Canadian Lightning Detection Network climatology of</w:t>
      </w:r>
      <w:r>
        <w:t xml:space="preserve"> </w:t>
      </w:r>
      <w:r>
        <w:t xml:space="preserve">Kochtubajda &amp; Burrows (2020)</w:t>
      </w:r>
      <w:r>
        <w:t xml:space="preserve"> </w:t>
      </w:r>
      <w:r>
        <w:t xml:space="preserve">covers 1999 to 2018, so it misses the first 8 seasons of this window and the last 7.</w:t>
      </w:r>
    </w:p>
    <w:p>
      <w:pPr>
        <w:pStyle w:val="BodyText"/>
      </w:pPr>
      <w:r>
        <w:t xml:space="preserve">Predictive skill was compared by leaving one season out at a time, refitting without it, and scoring the held-out season, which is the blocked cross-validation</w:t>
      </w:r>
      <w:r>
        <w:t xml:space="preserve"> </w:t>
      </w:r>
      <w:r>
        <w:t xml:space="preserve">Roberts et al. (2017)</w:t>
      </w:r>
      <w:r>
        <w:t xml:space="preserve"> </w:t>
      </w:r>
      <w:r>
        <w:t xml:space="preserve">recommend for temporally structured data, since random splits of such data result</w:t>
      </w:r>
      <w:r>
        <w:t xml:space="preserve"> </w:t>
      </w:r>
      <w:r>
        <w:t xml:space="preserve">“in serious underestimation of predictive error”</w:t>
      </w:r>
      <w:r>
        <w:t xml:space="preserve"> </w:t>
      </w:r>
      <w:r>
        <w:t xml:space="preserve">(Roberts et al., 2017)</w:t>
      </w:r>
      <w:r>
        <w:t xml:space="preserve">, and the leave-one-year-out design</w:t>
      </w:r>
      <w:r>
        <w:t xml:space="preserve"> </w:t>
      </w:r>
      <w:r>
        <w:t xml:space="preserve">Magnussen &amp; Taylor (2012)</w:t>
      </w:r>
      <w:r>
        <w:t xml:space="preserve"> </w:t>
      </w:r>
      <w:r>
        <w:t xml:space="preserve">used for British Columbia. Each held-out season was scored by its log likelihood under the refitted model, the logarithmic score that</w:t>
      </w:r>
      <w:r>
        <w:t xml:space="preserve"> </w:t>
      </w:r>
      <w:r>
        <w:t xml:space="preserve">Gneiting &amp; Raftery (2007)</w:t>
      </w:r>
      <w:r>
        <w:t xml:space="preserve"> </w:t>
      </w:r>
      <w:r>
        <w:t xml:space="preserve">showed to be strictly proper. They also noted that scores for competing forecasts</w:t>
      </w:r>
      <w:r>
        <w:t xml:space="preserve"> </w:t>
      </w:r>
      <w:r>
        <w:t xml:space="preserve">“are directly comparable if they refer to exactly the same set of forecast situations”</w:t>
      </w:r>
      <w:r>
        <w:t xml:space="preserve"> </w:t>
      </w:r>
      <w:r>
        <w:t xml:space="preserve">(Gneiting &amp; Raftery, 2007, p. 362)</w:t>
      </w:r>
      <w:r>
        <w:t xml:space="preserve">, which held here because the three series were scored on the same days. Series were compared on held-out likelihood rather than on in-sample fit because three series computed from one weather record will all fit, and the question is which predicts. One caution from the index comparison literature applies directly.</w:t>
      </w:r>
      <w:r>
        <w:t xml:space="preserve"> </w:t>
      </w:r>
      <w:r>
        <w:t xml:space="preserve">Eastaugh, Arpaci, &amp; Vacik (2012)</w:t>
      </w:r>
      <w:r>
        <w:t xml:space="preserve"> </w:t>
      </w:r>
      <w:r>
        <w:t xml:space="preserve">compared four hypothetical indices, three of them simple transformations of one another, and found that all the established comparators they examined except the c-index</w:t>
      </w:r>
      <w:r>
        <w:t xml:space="preserve"> </w:t>
      </w:r>
      <w:r>
        <w:t xml:space="preserve">“indicate different predictive power between the effectively identical indices”</w:t>
      </w:r>
      <w:r>
        <w:t xml:space="preserve">, the differences</w:t>
      </w:r>
      <w:r>
        <w:t xml:space="preserve"> </w:t>
      </w:r>
      <w:r>
        <w:t xml:space="preserve">“resulting from the frequency distributions of the index values rather than from any real difference in predictive power”</w:t>
      </w:r>
      <w:r>
        <w:t xml:space="preserve"> </w:t>
      </w:r>
      <w:r>
        <w:t xml:space="preserve">(Eastaugh et al., 2012, p. 932)</w:t>
      </w:r>
      <w:r>
        <w:t xml:space="preserve">. The three series here are close to transformations of one another, and a log-linear danger term is sensitive to the shape of their distributions, so a small likelihood difference between them is not evidence of a difference in predictive power.</w:t>
      </w:r>
    </w:p>
    <w:p>
      <w:pPr>
        <w:pStyle w:val="BodyText"/>
      </w:pPr>
      <w:r>
        <w:t xml:space="preserve">What a window of 31 seasons cannot resolve was computed rather than hedged, following</w:t>
      </w:r>
      <w:r>
        <w:t xml:space="preserve"> </w:t>
      </w:r>
      <w:r>
        <w:t xml:space="preserve">Weatherhead et al. (1998)</w:t>
      </w:r>
      <w:r>
        <w:t xml:space="preserve">, who showed that the number of years needed to detect a trend grows with the variance and the lag-one autocorrelation of the noise, from about 10 to more than 20 years for a trend of 5 per cent per decade, and that a level shift from a change of instrument or site can raise that number by 50 per cent or more.</w:t>
      </w:r>
      <w:r>
        <w:t xml:space="preserve"> </w:t>
      </w:r>
      <w:r>
        <w:t xml:space="preserve">Tiao et al. (1990)</w:t>
      </w:r>
      <w:r>
        <w:t xml:space="preserve"> </w:t>
      </w:r>
      <w:r>
        <w:t xml:space="preserve">had shown that the precision of a trend estimate depends critically on autocorrelation and on record length, and</w:t>
      </w:r>
      <w:r>
        <w:t xml:space="preserve"> </w:t>
      </w:r>
      <w:r>
        <w:t xml:space="preserve">F. Wang et al. (2020)</w:t>
      </w:r>
      <w:r>
        <w:t xml:space="preserve"> </w:t>
      </w:r>
      <w:r>
        <w:t xml:space="preserve">showed by simulation that the power of the Mann-Kendall test rises with slope and record length, falls with variance, and that positive autocorrelation increases both the Type I and the Type II error. For each metric the minimum detectable trend was the slope at which a two-sided test at alpha 0.05 would reach 80 per cent power given the residual spread of that metric about its own Theil-Sen line, adjusted for the lower efficiency of the Theil-Sen estimator under normal errors and inflated for serial correlation by the factor that</w:t>
      </w:r>
      <w:r>
        <w:t xml:space="preserve"> </w:t>
      </w:r>
      <w:r>
        <w:t xml:space="preserve">Weatherhead et al. (1998)</w:t>
      </w:r>
      <w:r>
        <w:t xml:space="preserve"> </w:t>
      </w:r>
      <w:r>
        <w:t xml:space="preserve">derived for first-order autoregressive noise, the square root of (1 + phi) / (1 - phi), where phi is the lag-one autocorrelation of the residuals in season order. Phi was bounded between 0 and 0.9, so that a negative sample estimate could not make the detectable trend smaller than it would be for independent seasons. The extreme-day counts are counts of rare days, and</w:t>
      </w:r>
      <w:r>
        <w:t xml:space="preserve"> </w:t>
      </w:r>
      <w:r>
        <w:t xml:space="preserve">Frei &amp; Schär (2001)</w:t>
      </w:r>
      <w:r>
        <w:t xml:space="preserve"> </w:t>
      </w:r>
      <w:r>
        <w:t xml:space="preserve">found that in a 100-year record a 1.5-fold change in the frequency of an event was detected with probability 0.6 when the event had an average return period of 30 days but only 0.2 at a return period of 100 days, so the least frequent thresholds were expected to be the least detectable. A null result was reported against the minimum detectable trend, so that</w:t>
      </w:r>
      <w:r>
        <w:t xml:space="preserve"> </w:t>
      </w:r>
      <w:r>
        <w:t xml:space="preserve">“no trend detected”</w:t>
      </w:r>
      <w:r>
        <w:t xml:space="preserve"> </w:t>
      </w:r>
      <w:r>
        <w:t xml:space="preserve">was kept separate from</w:t>
      </w:r>
      <w:r>
        <w:t xml:space="preserve"> </w:t>
      </w:r>
      <w:r>
        <w:t xml:space="preserve">“no trend”</w:t>
      </w:r>
      <w:r>
        <w:t xml:space="preserve">.</w:t>
      </w:r>
    </w:p>
    <w:bookmarkEnd w:id="47"/>
    <w:bookmarkEnd w:id="48"/>
    <w:bookmarkStart w:id="84" w:name="sec-results"/>
    <w:p>
      <w:pPr>
        <w:pStyle w:val="Heading1"/>
      </w:pPr>
      <w:r>
        <w:t xml:space="preserve">4. Results</w:t>
      </w:r>
    </w:p>
    <w:p>
      <w:pPr>
        <w:pStyle w:val="SourceCode"/>
      </w:pPr>
      <w:r>
        <w:rPr>
          <w:rStyle w:val="NormalTok"/>
        </w:rPr>
        <w:t xml:space="preserve">series_daily </w:t>
      </w:r>
      <w:r>
        <w:rPr>
          <w:rStyle w:val="OtherTok"/>
        </w:rPr>
        <w:t xml:space="preserve">&lt;-</w:t>
      </w:r>
      <w:r>
        <w:rPr>
          <w:rStyle w:val="NormalTok"/>
        </w:rPr>
        <w:t xml:space="preserve"> </w:t>
      </w:r>
      <w:r>
        <w:rPr>
          <w:rStyle w:val="FunctionTok"/>
        </w:rPr>
        <w:t xml:space="preserve">read.csv</w:t>
      </w:r>
      <w:r>
        <w:rPr>
          <w:rStyle w:val="NormalTok"/>
        </w:rPr>
        <w:t xml:space="preserve">(</w:t>
      </w:r>
      <w:r>
        <w:rPr>
          <w:rStyle w:val="FunctionTok"/>
        </w:rPr>
        <w:t xml:space="preserve">file.path</w:t>
      </w:r>
      <w:r>
        <w:rPr>
          <w:rStyle w:val="NormalTok"/>
        </w:rPr>
        <w:t xml:space="preserve">(derived, </w:t>
      </w:r>
      <w:r>
        <w:rPr>
          <w:rStyle w:val="StringTok"/>
        </w:rPr>
        <w:t xml:space="preserve">"fwi-series-daily.csv"</w:t>
      </w:r>
      <w:r>
        <w:rPr>
          <w:rStyle w:val="NormalTok"/>
        </w:rPr>
        <w:t xml:space="preserve">),</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series_daily</w:t>
      </w:r>
      <w:r>
        <w:rPr>
          <w:rStyle w:val="SpecialCharTok"/>
        </w:rPr>
        <w:t xml:space="preserve">$</w:t>
      </w:r>
      <w:r>
        <w:rPr>
          <w:rStyle w:val="NormalTok"/>
        </w:rPr>
        <w:t xml:space="preserve">date </w:t>
      </w:r>
      <w:r>
        <w:rPr>
          <w:rStyle w:val="OtherTok"/>
        </w:rPr>
        <w:t xml:space="preserve">&lt;-</w:t>
      </w:r>
      <w:r>
        <w:rPr>
          <w:rStyle w:val="NormalTok"/>
        </w:rPr>
        <w:t xml:space="preserve"> </w:t>
      </w:r>
      <w:r>
        <w:rPr>
          <w:rStyle w:val="FunctionTok"/>
        </w:rPr>
        <w:t xml:space="preserve">as.Date</w:t>
      </w:r>
      <w:r>
        <w:rPr>
          <w:rStyle w:val="NormalTok"/>
        </w:rPr>
        <w:t xml:space="preserve">(series_daily</w:t>
      </w:r>
      <w:r>
        <w:rPr>
          <w:rStyle w:val="SpecialCharTok"/>
        </w:rPr>
        <w:t xml:space="preserve">$</w:t>
      </w:r>
      <w:r>
        <w:rPr>
          <w:rStyle w:val="NormalTok"/>
        </w:rPr>
        <w:t xml:space="preserve">date)</w:t>
      </w:r>
      <w:r>
        <w:br/>
      </w:r>
      <w:r>
        <w:rPr>
          <w:rStyle w:val="NormalTok"/>
        </w:rPr>
        <w:t xml:space="preserve">metrics </w:t>
      </w:r>
      <w:r>
        <w:rPr>
          <w:rStyle w:val="OtherTok"/>
        </w:rPr>
        <w:t xml:space="preserve">&lt;-</w:t>
      </w:r>
      <w:r>
        <w:rPr>
          <w:rStyle w:val="NormalTok"/>
        </w:rPr>
        <w:t xml:space="preserve"> </w:t>
      </w:r>
      <w:r>
        <w:rPr>
          <w:rStyle w:val="FunctionTok"/>
        </w:rPr>
        <w:t xml:space="preserve">read.csv</w:t>
      </w:r>
      <w:r>
        <w:rPr>
          <w:rStyle w:val="NormalTok"/>
        </w:rPr>
        <w:t xml:space="preserve">(</w:t>
      </w:r>
      <w:r>
        <w:rPr>
          <w:rStyle w:val="FunctionTok"/>
        </w:rPr>
        <w:t xml:space="preserve">file.path</w:t>
      </w:r>
      <w:r>
        <w:rPr>
          <w:rStyle w:val="NormalTok"/>
        </w:rPr>
        <w:t xml:space="preserve">(derived, </w:t>
      </w:r>
      <w:r>
        <w:rPr>
          <w:rStyle w:val="StringTok"/>
        </w:rPr>
        <w:t xml:space="preserve">"seasonal-metrics.csv"</w:t>
      </w:r>
      <w:r>
        <w:rPr>
          <w:rStyle w:val="NormalTok"/>
        </w:rPr>
        <w:t xml:space="preserve">),</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thresh_pct </w:t>
      </w:r>
      <w:r>
        <w:rPr>
          <w:rStyle w:val="OtherTok"/>
        </w:rPr>
        <w:t xml:space="preserve">&lt;-</w:t>
      </w:r>
      <w:r>
        <w:rPr>
          <w:rStyle w:val="NormalTok"/>
        </w:rPr>
        <w:t xml:space="preserve"> </w:t>
      </w:r>
      <w:r>
        <w:rPr>
          <w:rStyle w:val="FunctionTok"/>
        </w:rPr>
        <w:t xml:space="preserve">read.csv</w:t>
      </w:r>
      <w:r>
        <w:rPr>
          <w:rStyle w:val="NormalTok"/>
        </w:rPr>
        <w:t xml:space="preserve">(</w:t>
      </w:r>
      <w:r>
        <w:rPr>
          <w:rStyle w:val="FunctionTok"/>
        </w:rPr>
        <w:t xml:space="preserve">file.path</w:t>
      </w:r>
      <w:r>
        <w:rPr>
          <w:rStyle w:val="NormalTok"/>
        </w:rPr>
        <w:t xml:space="preserve">(derived, </w:t>
      </w:r>
      <w:r>
        <w:rPr>
          <w:rStyle w:val="StringTok"/>
        </w:rPr>
        <w:t xml:space="preserve">"threshold-percentiles.csv"</w:t>
      </w:r>
      <w:r>
        <w:rPr>
          <w:rStyle w:val="NormalTok"/>
        </w:rPr>
        <w:t xml:space="preserve">),</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basin </w:t>
      </w:r>
      <w:r>
        <w:rPr>
          <w:rStyle w:val="OtherTok"/>
        </w:rPr>
        <w:t xml:space="preserve">&lt;-</w:t>
      </w:r>
      <w:r>
        <w:rPr>
          <w:rStyle w:val="NormalTok"/>
        </w:rPr>
        <w:t xml:space="preserve"> </w:t>
      </w:r>
      <w:r>
        <w:rPr>
          <w:rStyle w:val="FunctionTok"/>
        </w:rPr>
        <w:t xml:space="preserve">read.csv</w:t>
      </w:r>
      <w:r>
        <w:rPr>
          <w:rStyle w:val="NormalTok"/>
        </w:rPr>
        <w:t xml:space="preserve">(</w:t>
      </w:r>
      <w:r>
        <w:rPr>
          <w:rStyle w:val="FunctionTok"/>
        </w:rPr>
        <w:t xml:space="preserve">file.path</w:t>
      </w:r>
      <w:r>
        <w:rPr>
          <w:rStyle w:val="NormalTok"/>
        </w:rPr>
        <w:t xml:space="preserve">(derived, </w:t>
      </w:r>
      <w:r>
        <w:rPr>
          <w:rStyle w:val="StringTok"/>
        </w:rPr>
        <w:t xml:space="preserve">"basin-daily.csv"</w:t>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basin</w:t>
      </w:r>
      <w:r>
        <w:rPr>
          <w:rStyle w:val="SpecialCharTok"/>
        </w:rPr>
        <w:t xml:space="preserve">$</w:t>
      </w:r>
      <w:r>
        <w:rPr>
          <w:rStyle w:val="NormalTok"/>
        </w:rPr>
        <w:t xml:space="preserve">date </w:t>
      </w:r>
      <w:r>
        <w:rPr>
          <w:rStyle w:val="OtherTok"/>
        </w:rPr>
        <w:t xml:space="preserve">&lt;-</w:t>
      </w:r>
      <w:r>
        <w:rPr>
          <w:rStyle w:val="NormalTok"/>
        </w:rPr>
        <w:t xml:space="preserve"> </w:t>
      </w:r>
      <w:r>
        <w:rPr>
          <w:rStyle w:val="FunctionTok"/>
        </w:rPr>
        <w:t xml:space="preserve">as.Date</w:t>
      </w:r>
      <w:r>
        <w:rPr>
          <w:rStyle w:val="NormalTok"/>
        </w:rPr>
        <w:t xml:space="preserve">(basin</w:t>
      </w:r>
      <w:r>
        <w:rPr>
          <w:rStyle w:val="SpecialCharTok"/>
        </w:rPr>
        <w:t xml:space="preserve">$</w:t>
      </w:r>
      <w:r>
        <w:rPr>
          <w:rStyle w:val="NormalTok"/>
        </w:rPr>
        <w:t xml:space="preserve">date)</w:t>
      </w:r>
      <w:r>
        <w:br/>
      </w:r>
      <w:r>
        <w:br/>
      </w:r>
      <w:r>
        <w:rPr>
          <w:rStyle w:val="CommentTok"/>
        </w:rPr>
        <w:t xml:space="preserve"># Relative-threshold counts are replaced by the in-base bootstrap estimates of</w:t>
      </w:r>
      <w:r>
        <w:br/>
      </w:r>
      <w:r>
        <w:rPr>
          <w:rStyle w:val="CommentTok"/>
        </w:rPr>
        <w:t xml:space="preserve"># Zhang et al. (2005), computed from the same daily series and the same</w:t>
      </w:r>
      <w:r>
        <w:br/>
      </w:r>
      <w:r>
        <w:rPr>
          <w:rStyle w:val="CommentTok"/>
        </w:rPr>
        <w:t xml:space="preserve"># 1991 to 2020 base period. Out-of-base seasons are unchanged by construction;</w:t>
      </w:r>
      <w:r>
        <w:br/>
      </w:r>
      <w:r>
        <w:rPr>
          <w:rStyle w:val="CommentTok"/>
        </w:rPr>
        <w:t xml:space="preserve"># the check below stops the render if any is not.</w:t>
      </w:r>
      <w:r>
        <w:br/>
      </w:r>
      <w:r>
        <w:rPr>
          <w:rStyle w:val="NormalTok"/>
        </w:rPr>
        <w:t xml:space="preserve">corrected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w:t>
      </w:r>
      <w:r>
        <w:rPr>
          <w:rStyle w:val="FunctionTok"/>
        </w:rPr>
        <w:t xml:space="preserve">names</w:t>
      </w:r>
      <w:r>
        <w:rPr>
          <w:rStyle w:val="NormalTok"/>
        </w:rPr>
        <w:t xml:space="preserve">(SERIES), </w:t>
      </w:r>
      <w:r>
        <w:rPr>
          <w:rStyle w:val="ControlFlowTok"/>
        </w:rPr>
        <w:t xml:space="preserve">function</w:t>
      </w:r>
      <w:r>
        <w:rPr>
          <w:rStyle w:val="NormalTok"/>
        </w:rPr>
        <w:t xml:space="preserve">(s)</w:t>
      </w:r>
      <w:r>
        <w:br/>
      </w:r>
      <w:r>
        <w:rPr>
          <w:rStyle w:val="NormalTok"/>
        </w:rPr>
        <w:t xml:space="preserve">  </w:t>
      </w:r>
      <w:r>
        <w:rPr>
          <w:rStyle w:val="FunctionTok"/>
        </w:rPr>
        <w:t xml:space="preserve">inbase_corrected_counts</w:t>
      </w:r>
      <w:r>
        <w:rPr>
          <w:rStyle w:val="NormalTok"/>
        </w:rPr>
        <w:t xml:space="preserve">(series_daily, s,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DecValTok"/>
        </w:rPr>
        <w:t xml:space="preserve">90</w:t>
      </w:r>
      <w:r>
        <w:rPr>
          <w:rStyle w:val="NormalTok"/>
        </w:rPr>
        <w:t xml:space="preserve">, </w:t>
      </w:r>
      <w:r>
        <w:rPr>
          <w:rStyle w:val="DecValTok"/>
        </w:rPr>
        <w:t xml:space="preserve">95</w:t>
      </w:r>
      <w:r>
        <w:rPr>
          <w:rStyle w:val="NormalTok"/>
        </w:rPr>
        <w:t xml:space="preserve">),</w:t>
      </w:r>
      <w:r>
        <w:br/>
      </w:r>
      <w:r>
        <w:rPr>
          <w:rStyle w:val="NormalTok"/>
        </w:rPr>
        <w:t xml:space="preserve">                          </w:t>
      </w:r>
      <w:r>
        <w:rPr>
          <w:rStyle w:val="AttributeTok"/>
        </w:rPr>
        <w:t xml:space="preserve">reference =</w:t>
      </w:r>
      <w:r>
        <w:rPr>
          <w:rStyle w:val="NormalTok"/>
        </w:rPr>
        <w:t xml:space="preserve"> </w:t>
      </w:r>
      <w:r>
        <w:rPr>
          <w:rStyle w:val="FunctionTok"/>
        </w:rPr>
        <w:t xml:space="preserve">c</w:t>
      </w:r>
      <w:r>
        <w:rPr>
          <w:rStyle w:val="NormalTok"/>
        </w:rPr>
        <w:t xml:space="preserve">(</w:t>
      </w:r>
      <w:r>
        <w:rPr>
          <w:rStyle w:val="DecValTok"/>
        </w:rPr>
        <w:t xml:space="preserve">1991</w:t>
      </w:r>
      <w:r>
        <w:rPr>
          <w:rStyle w:val="NormalTok"/>
        </w:rPr>
        <w:t xml:space="preserve">, </w:t>
      </w:r>
      <w:r>
        <w:rPr>
          <w:rStyle w:val="DecValTok"/>
        </w:rPr>
        <w:t xml:space="preserve">2020</w:t>
      </w:r>
      <w:r>
        <w:rPr>
          <w:rStyle w:val="NormalTok"/>
        </w:rPr>
        <w:t xml:space="preserve">))))</w:t>
      </w:r>
      <w:r>
        <w:br/>
      </w:r>
      <w:r>
        <w:rPr>
          <w:rStyle w:val="ControlFlowTok"/>
        </w:rPr>
        <w:t xml:space="preserve">for</w:t>
      </w:r>
      <w:r>
        <w:rPr>
          <w:rStyle w:val="NormalTok"/>
        </w:rPr>
        <w:t xml:space="preserve"> (pp </w:t>
      </w:r>
      <w:r>
        <w:rPr>
          <w:rStyle w:val="ControlFlowTok"/>
        </w:rPr>
        <w:t xml:space="preserve">in</w:t>
      </w:r>
      <w:r>
        <w:rPr>
          <w:rStyle w:val="NormalTok"/>
        </w:rPr>
        <w:t xml:space="preserve"> </w:t>
      </w:r>
      <w:r>
        <w:rPr>
          <w:rStyle w:val="FunctionTok"/>
        </w:rPr>
        <w:t xml:space="preserve">c</w:t>
      </w:r>
      <w:r>
        <w:rPr>
          <w:rStyle w:val="NormalTok"/>
        </w:rPr>
        <w:t xml:space="preserve">(</w:t>
      </w:r>
      <w:r>
        <w:rPr>
          <w:rStyle w:val="DecValTok"/>
        </w:rPr>
        <w:t xml:space="preserve">90</w:t>
      </w:r>
      <w:r>
        <w:rPr>
          <w:rStyle w:val="NormalTok"/>
        </w:rPr>
        <w:t xml:space="preserve">, </w:t>
      </w:r>
      <w:r>
        <w:rPr>
          <w:rStyle w:val="DecValTok"/>
        </w:rPr>
        <w:t xml:space="preserve">95</w:t>
      </w:r>
      <w:r>
        <w:rPr>
          <w:rStyle w:val="NormalTok"/>
        </w:rPr>
        <w:t xml:space="preserve">)) {</w:t>
      </w:r>
      <w:r>
        <w:br/>
      </w:r>
      <w:r>
        <w:rPr>
          <w:rStyle w:val="NormalTok"/>
        </w:rPr>
        <w:t xml:space="preserve">  col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"n_fwi_p"</w:t>
      </w:r>
      <w:r>
        <w:rPr>
          <w:rStyle w:val="NormalTok"/>
        </w:rPr>
        <w:t xml:space="preserve">, pp)</w:t>
      </w:r>
      <w:r>
        <w:br/>
      </w:r>
      <w:r>
        <w:rPr>
          <w:rStyle w:val="NormalTok"/>
        </w:rPr>
        <w:t xml:space="preserve">  cc </w:t>
      </w:r>
      <w:r>
        <w:rPr>
          <w:rStyle w:val="OtherTok"/>
        </w:rPr>
        <w:t xml:space="preserve">&lt;-</w:t>
      </w:r>
      <w:r>
        <w:rPr>
          <w:rStyle w:val="NormalTok"/>
        </w:rPr>
        <w:t xml:space="preserve"> corrected[corrected</w:t>
      </w:r>
      <w:r>
        <w:rPr>
          <w:rStyle w:val="SpecialCharTok"/>
        </w:rPr>
        <w:t xml:space="preserve">$</w:t>
      </w:r>
      <w:r>
        <w:rPr>
          <w:rStyle w:val="NormalTok"/>
        </w:rPr>
        <w:t xml:space="preserve">prob </w:t>
      </w:r>
      <w:r>
        <w:rPr>
          <w:rStyle w:val="SpecialCharTok"/>
        </w:rPr>
        <w:t xml:space="preserve">==</w:t>
      </w:r>
      <w:r>
        <w:rPr>
          <w:rStyle w:val="NormalTok"/>
        </w:rPr>
        <w:t xml:space="preserve"> pp, </w:t>
      </w:r>
      <w:r>
        <w:rPr>
          <w:rStyle w:val="FunctionTok"/>
        </w:rPr>
        <w:t xml:space="preserve">c</w:t>
      </w:r>
      <w:r>
        <w:rPr>
          <w:rStyle w:val="NormalTok"/>
        </w:rPr>
        <w:t xml:space="preserve">(</w:t>
      </w:r>
      <w:r>
        <w:rPr>
          <w:rStyle w:val="StringTok"/>
        </w:rPr>
        <w:t xml:space="preserve">"station_name"</w:t>
      </w:r>
      <w:r>
        <w:rPr>
          <w:rStyle w:val="NormalTok"/>
        </w:rPr>
        <w:t xml:space="preserve">, </w:t>
      </w:r>
      <w:r>
        <w:rPr>
          <w:rStyle w:val="StringTok"/>
        </w:rPr>
        <w:t xml:space="preserve">"series"</w:t>
      </w:r>
      <w:r>
        <w:rPr>
          <w:rStyle w:val="NormalTok"/>
        </w:rPr>
        <w:t xml:space="preserve">, </w:t>
      </w:r>
      <w:r>
        <w:rPr>
          <w:rStyle w:val="StringTok"/>
        </w:rPr>
        <w:t xml:space="preserve">"year"</w:t>
      </w:r>
      <w:r>
        <w:rPr>
          <w:rStyle w:val="NormalTok"/>
        </w:rPr>
        <w:t xml:space="preserve">, </w:t>
      </w:r>
      <w:r>
        <w:rPr>
          <w:rStyle w:val="StringTok"/>
        </w:rPr>
        <w:t xml:space="preserve">"count"</w:t>
      </w:r>
      <w:r>
        <w:rPr>
          <w:rStyle w:val="NormalTok"/>
        </w:rPr>
        <w:t xml:space="preserve">)]</w:t>
      </w:r>
      <w:r>
        <w:br/>
      </w:r>
      <w:r>
        <w:rPr>
          <w:rStyle w:val="NormalTok"/>
        </w:rPr>
        <w:t xml:space="preserve">  key_m </w:t>
      </w:r>
      <w:r>
        <w:rPr>
          <w:rStyle w:val="OtherTok"/>
        </w:rPr>
        <w:t xml:space="preserve">&lt;-</w:t>
      </w:r>
      <w:r>
        <w:rPr>
          <w:rStyle w:val="NormalTok"/>
        </w:rPr>
        <w:t xml:space="preserve"> </w:t>
      </w:r>
      <w:r>
        <w:rPr>
          <w:rStyle w:val="FunctionTok"/>
        </w:rPr>
        <w:t xml:space="preserve">paste</w:t>
      </w:r>
      <w:r>
        <w:rPr>
          <w:rStyle w:val="NormalTok"/>
        </w:rPr>
        <w:t xml:space="preserve">(metrics</w:t>
      </w:r>
      <w:r>
        <w:rPr>
          <w:rStyle w:val="SpecialCharTok"/>
        </w:rPr>
        <w:t xml:space="preserve">$</w:t>
      </w:r>
      <w:r>
        <w:rPr>
          <w:rStyle w:val="NormalTok"/>
        </w:rPr>
        <w:t xml:space="preserve">station_name, metrics</w:t>
      </w:r>
      <w:r>
        <w:rPr>
          <w:rStyle w:val="SpecialCharTok"/>
        </w:rPr>
        <w:t xml:space="preserve">$</w:t>
      </w:r>
      <w:r>
        <w:rPr>
          <w:rStyle w:val="NormalTok"/>
        </w:rPr>
        <w:t xml:space="preserve">series, metrics</w:t>
      </w:r>
      <w:r>
        <w:rPr>
          <w:rStyle w:val="SpecialCharTok"/>
        </w:rPr>
        <w:t xml:space="preserve">$</w:t>
      </w:r>
      <w:r>
        <w:rPr>
          <w:rStyle w:val="NormalTok"/>
        </w:rPr>
        <w:t xml:space="preserve">year)</w:t>
      </w:r>
      <w:r>
        <w:br/>
      </w:r>
      <w:r>
        <w:rPr>
          <w:rStyle w:val="NormalTok"/>
        </w:rPr>
        <w:t xml:space="preserve">  key_c </w:t>
      </w:r>
      <w:r>
        <w:rPr>
          <w:rStyle w:val="OtherTok"/>
        </w:rPr>
        <w:t xml:space="preserve">&lt;-</w:t>
      </w:r>
      <w:r>
        <w:rPr>
          <w:rStyle w:val="NormalTok"/>
        </w:rPr>
        <w:t xml:space="preserve"> </w:t>
      </w:r>
      <w:r>
        <w:rPr>
          <w:rStyle w:val="FunctionTok"/>
        </w:rPr>
        <w:t xml:space="preserve">paste</w:t>
      </w:r>
      <w:r>
        <w:rPr>
          <w:rStyle w:val="NormalTok"/>
        </w:rPr>
        <w:t xml:space="preserve">(cc</w:t>
      </w:r>
      <w:r>
        <w:rPr>
          <w:rStyle w:val="SpecialCharTok"/>
        </w:rPr>
        <w:t xml:space="preserve">$</w:t>
      </w:r>
      <w:r>
        <w:rPr>
          <w:rStyle w:val="NormalTok"/>
        </w:rPr>
        <w:t xml:space="preserve">station_name, cc</w:t>
      </w:r>
      <w:r>
        <w:rPr>
          <w:rStyle w:val="SpecialCharTok"/>
        </w:rPr>
        <w:t xml:space="preserve">$</w:t>
      </w:r>
      <w:r>
        <w:rPr>
          <w:rStyle w:val="NormalTok"/>
        </w:rPr>
        <w:t xml:space="preserve">series, cc</w:t>
      </w:r>
      <w:r>
        <w:rPr>
          <w:rStyle w:val="SpecialCharTok"/>
        </w:rPr>
        <w:t xml:space="preserve">$</w:t>
      </w:r>
      <w:r>
        <w:rPr>
          <w:rStyle w:val="NormalTok"/>
        </w:rPr>
        <w:t xml:space="preserve">year)</w:t>
      </w:r>
      <w:r>
        <w:br/>
      </w:r>
      <w:r>
        <w:rPr>
          <w:rStyle w:val="NormalTok"/>
        </w:rPr>
        <w:t xml:space="preserve">  new </w:t>
      </w:r>
      <w:r>
        <w:rPr>
          <w:rStyle w:val="OtherTok"/>
        </w:rPr>
        <w:t xml:space="preserve">&lt;-</w:t>
      </w:r>
      <w:r>
        <w:rPr>
          <w:rStyle w:val="NormalTok"/>
        </w:rPr>
        <w:t xml:space="preserve"> cc</w:t>
      </w:r>
      <w:r>
        <w:rPr>
          <w:rStyle w:val="SpecialCharTok"/>
        </w:rPr>
        <w:t xml:space="preserve">$</w:t>
      </w:r>
      <w:r>
        <w:rPr>
          <w:rStyle w:val="NormalTok"/>
        </w:rPr>
        <w:t xml:space="preserve">count[</w:t>
      </w:r>
      <w:r>
        <w:rPr>
          <w:rStyle w:val="FunctionTok"/>
        </w:rPr>
        <w:t xml:space="preserve">match</w:t>
      </w:r>
      <w:r>
        <w:rPr>
          <w:rStyle w:val="NormalTok"/>
        </w:rPr>
        <w:t xml:space="preserve">(key_m, key_c)]</w:t>
      </w:r>
      <w:r>
        <w:br/>
      </w:r>
      <w:r>
        <w:rPr>
          <w:rStyle w:val="NormalTok"/>
        </w:rPr>
        <w:t xml:space="preserve">  out_base </w:t>
      </w:r>
      <w:r>
        <w:rPr>
          <w:rStyle w:val="OtherTok"/>
        </w:rPr>
        <w:t xml:space="preserve">&lt;-</w:t>
      </w:r>
      <w:r>
        <w:rPr>
          <w:rStyle w:val="NormalTok"/>
        </w:rPr>
        <w:t xml:space="preserve"> metrics</w:t>
      </w:r>
      <w:r>
        <w:rPr>
          <w:rStyle w:val="SpecialCharTok"/>
        </w:rPr>
        <w:t xml:space="preserve">$</w:t>
      </w:r>
      <w:r>
        <w:rPr>
          <w:rStyle w:val="NormalTok"/>
        </w:rPr>
        <w:t xml:space="preserve">year </w:t>
      </w:r>
      <w:r>
        <w:rPr>
          <w:rStyle w:val="SpecialCharTok"/>
        </w:rPr>
        <w:t xml:space="preserve">&gt;</w:t>
      </w:r>
      <w:r>
        <w:rPr>
          <w:rStyle w:val="NormalTok"/>
        </w:rPr>
        <w:t xml:space="preserve"> </w:t>
      </w:r>
      <w:r>
        <w:rPr>
          <w:rStyle w:val="DecValTok"/>
        </w:rPr>
        <w:t xml:space="preserve">2020</w:t>
      </w:r>
      <w:r>
        <w:rPr>
          <w:rStyle w:val="NormalTok"/>
        </w:rPr>
        <w:t xml:space="preserve"> </w:t>
      </w:r>
      <w:r>
        <w:rPr>
          <w:rStyle w:val="SpecialCharTok"/>
        </w:rPr>
        <w:t xml:space="preserve">&amp;</w:t>
      </w:r>
      <w:r>
        <w:rPr>
          <w:rStyle w:val="NormalTok"/>
        </w:rPr>
        <w:t xml:space="preserve"> </w:t>
      </w:r>
      <w:r>
        <w:rPr>
          <w:rStyle w:val="FunctionTok"/>
        </w:rPr>
        <w:t xml:space="preserve">is.finite</w:t>
      </w:r>
      <w:r>
        <w:rPr>
          <w:rStyle w:val="NormalTok"/>
        </w:rPr>
        <w:t xml:space="preserve">(metrics[[col]])</w:t>
      </w:r>
      <w:r>
        <w:br/>
      </w:r>
      <w:r>
        <w:rPr>
          <w:rStyle w:val="NormalTok"/>
        </w:rPr>
        <w:t xml:space="preserve">  </w:t>
      </w:r>
      <w:r>
        <w:rPr>
          <w:rStyle w:val="ControlFlowTok"/>
        </w:rPr>
        <w:t xml:space="preserve">if</w:t>
      </w:r>
      <w:r>
        <w:rPr>
          <w:rStyle w:val="NormalTok"/>
        </w:rPr>
        <w:t xml:space="preserve"> (</w:t>
      </w:r>
      <w:r>
        <w:rPr>
          <w:rStyle w:val="FunctionTok"/>
        </w:rPr>
        <w:t xml:space="preserve">any</w:t>
      </w:r>
      <w:r>
        <w:rPr>
          <w:rStyle w:val="NormalTok"/>
        </w:rPr>
        <w:t xml:space="preserve">(</w:t>
      </w:r>
      <w:r>
        <w:rPr>
          <w:rStyle w:val="FunctionTok"/>
        </w:rPr>
        <w:t xml:space="preserve">abs</w:t>
      </w:r>
      <w:r>
        <w:rPr>
          <w:rStyle w:val="NormalTok"/>
        </w:rPr>
        <w:t xml:space="preserve">(new[out_base] </w:t>
      </w:r>
      <w:r>
        <w:rPr>
          <w:rStyle w:val="SpecialCharTok"/>
        </w:rPr>
        <w:t xml:space="preserve">-</w:t>
      </w:r>
      <w:r>
        <w:rPr>
          <w:rStyle w:val="NormalTok"/>
        </w:rPr>
        <w:t xml:space="preserve"> metrics[[col]][out_base]) </w:t>
      </w:r>
      <w:r>
        <w:rPr>
          <w:rStyle w:val="SpecialCharTok"/>
        </w:rPr>
        <w:t xml:space="preserve">&gt;</w:t>
      </w:r>
      <w:r>
        <w:rPr>
          <w:rStyle w:val="NormalTok"/>
        </w:rPr>
        <w:t xml:space="preserve"> </w:t>
      </w:r>
      <w:r>
        <w:rPr>
          <w:rStyle w:val="FloatTok"/>
        </w:rPr>
        <w:t xml:space="preserve">1e-9</w:t>
      </w:r>
      <w:r>
        <w:rPr>
          <w:rStyle w:val="NormalTok"/>
        </w:rPr>
        <w:t xml:space="preserve">))</w:t>
      </w:r>
      <w:r>
        <w:br/>
      </w:r>
      <w:r>
        <w:rPr>
          <w:rStyle w:val="NormalTok"/>
        </w:rPr>
        <w:t xml:space="preserve">    </w:t>
      </w:r>
      <w:r>
        <w:rPr>
          <w:rStyle w:val="FunctionTok"/>
        </w:rPr>
        <w:t xml:space="preserve">stop</w:t>
      </w:r>
      <w:r>
        <w:rPr>
          <w:rStyle w:val="NormalTok"/>
        </w:rPr>
        <w:t xml:space="preserve">(</w:t>
      </w:r>
      <w:r>
        <w:rPr>
          <w:rStyle w:val="StringTok"/>
        </w:rPr>
        <w:t xml:space="preserve">"in-base correction changed an out-of-base count for "</w:t>
      </w:r>
      <w:r>
        <w:rPr>
          <w:rStyle w:val="NormalTok"/>
        </w:rPr>
        <w:t xml:space="preserve">, col)</w:t>
      </w:r>
      <w:r>
        <w:br/>
      </w:r>
      <w:r>
        <w:rPr>
          <w:rStyle w:val="NormalTok"/>
        </w:rPr>
        <w:t xml:space="preserve">  metrics[[</w:t>
      </w:r>
      <w:r>
        <w:rPr>
          <w:rStyle w:val="FunctionTok"/>
        </w:rPr>
        <w:t xml:space="preserve">paste0</w:t>
      </w:r>
      <w:r>
        <w:rPr>
          <w:rStyle w:val="NormalTok"/>
        </w:rPr>
        <w:t xml:space="preserve">(col, </w:t>
      </w:r>
      <w:r>
        <w:rPr>
          <w:rStyle w:val="StringTok"/>
        </w:rPr>
        <w:t xml:space="preserve">"_uncorrected"</w:t>
      </w:r>
      <w:r>
        <w:rPr>
          <w:rStyle w:val="NormalTok"/>
        </w:rPr>
        <w:t xml:space="preserve">)]] </w:t>
      </w:r>
      <w:r>
        <w:rPr>
          <w:rStyle w:val="OtherTok"/>
        </w:rPr>
        <w:t xml:space="preserve">&lt;-</w:t>
      </w:r>
      <w:r>
        <w:rPr>
          <w:rStyle w:val="NormalTok"/>
        </w:rPr>
        <w:t xml:space="preserve"> metrics[[col]]</w:t>
      </w:r>
      <w:r>
        <w:br/>
      </w:r>
      <w:r>
        <w:rPr>
          <w:rStyle w:val="NormalTok"/>
        </w:rPr>
        <w:t xml:space="preserve">  metrics[[col]] </w:t>
      </w:r>
      <w:r>
        <w:rPr>
          <w:rStyle w:val="OtherTok"/>
        </w:rPr>
        <w:t xml:space="preserve">&lt;-</w:t>
      </w:r>
      <w:r>
        <w:rPr>
          <w:rStyle w:val="NormalTok"/>
        </w:rPr>
        <w:t xml:space="preserve"> new</w:t>
      </w:r>
      <w:r>
        <w:br/>
      </w:r>
      <w:r>
        <w:rPr>
          <w:rStyle w:val="NormalTok"/>
        </w:rPr>
        <w:t xml:space="preserve">}</w:t>
      </w:r>
    </w:p>
    <w:bookmarkStart w:id="50" w:name="implementation-checks"/>
    <w:p>
      <w:pPr>
        <w:pStyle w:val="Heading2"/>
      </w:pPr>
      <w:r>
        <w:t xml:space="preserve">4.1 Implementation Checks</w:t>
      </w:r>
    </w:p>
    <w:p>
      <w:pPr>
        <w:pStyle w:val="SourceCode"/>
      </w:pPr>
      <w:r>
        <w:rPr>
          <w:rStyle w:val="NormalTok"/>
        </w:rPr>
        <w:t xml:space="preserve">val </w:t>
      </w:r>
      <w:r>
        <w:rPr>
          <w:rStyle w:val="OtherTok"/>
        </w:rPr>
        <w:t xml:space="preserve">&lt;-</w:t>
      </w:r>
      <w:r>
        <w:rPr>
          <w:rStyle w:val="NormalTok"/>
        </w:rPr>
        <w:t xml:space="preserve"> </w:t>
      </w:r>
      <w:r>
        <w:rPr>
          <w:rStyle w:val="FunctionTok"/>
        </w:rPr>
        <w:t xml:space="preserve">read.csv</w:t>
      </w:r>
      <w:r>
        <w:rPr>
          <w:rStyle w:val="NormalTok"/>
        </w:rPr>
        <w:t xml:space="preserve">(</w:t>
      </w:r>
      <w:r>
        <w:rPr>
          <w:rStyle w:val="FunctionTok"/>
        </w:rPr>
        <w:t xml:space="preserve">file.path</w:t>
      </w:r>
      <w:r>
        <w:rPr>
          <w:rStyle w:val="NormalTok"/>
        </w:rPr>
        <w:t xml:space="preserve">(derived, </w:t>
      </w:r>
      <w:r>
        <w:rPr>
          <w:rStyle w:val="StringTok"/>
        </w:rPr>
        <w:t xml:space="preserve">"fwi1987-validation.csv"</w:t>
      </w:r>
      <w:r>
        <w:rPr>
          <w:rStyle w:val="NormalTok"/>
        </w:rPr>
        <w:t xml:space="preserve">),</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opc </w:t>
      </w:r>
      <w:r>
        <w:rPr>
          <w:rStyle w:val="OtherTok"/>
        </w:rPr>
        <w:t xml:space="preserve">&lt;-</w:t>
      </w:r>
      <w:r>
        <w:rPr>
          <w:rStyle w:val="NormalTok"/>
        </w:rPr>
        <w:t xml:space="preserve"> </w:t>
      </w:r>
      <w:r>
        <w:rPr>
          <w:rStyle w:val="FunctionTok"/>
        </w:rPr>
        <w:t xml:space="preserve">read.csv</w:t>
      </w:r>
      <w:r>
        <w:rPr>
          <w:rStyle w:val="NormalTok"/>
        </w:rPr>
        <w:t xml:space="preserve">(</w:t>
      </w:r>
      <w:r>
        <w:rPr>
          <w:rStyle w:val="FunctionTok"/>
        </w:rPr>
        <w:t xml:space="preserve">file.path</w:t>
      </w:r>
      <w:r>
        <w:rPr>
          <w:rStyle w:val="NormalTok"/>
        </w:rPr>
        <w:t xml:space="preserve">(derived, </w:t>
      </w:r>
      <w:r>
        <w:rPr>
          <w:rStyle w:val="StringTok"/>
        </w:rPr>
        <w:t xml:space="preserve">"fwi1987-operational-check.csv"</w:t>
      </w:r>
      <w:r>
        <w:rPr>
          <w:rStyle w:val="NormalTok"/>
        </w:rPr>
        <w:t xml:space="preserve">),</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br/>
      </w:r>
      <w:r>
        <w:rPr>
          <w:rStyle w:val="CommentTok"/>
        </w:rPr>
        <w:t xml:space="preserve"># The two blocks differ by ten orders of magnitude, so the differences are</w:t>
      </w:r>
      <w:r>
        <w:br/>
      </w:r>
      <w:r>
        <w:rPr>
          <w:rStyle w:val="CommentTok"/>
        </w:rPr>
        <w:t xml:space="preserve"># formatted as strings rather than left to the table's numeric printing, which</w:t>
      </w:r>
      <w:r>
        <w:br/>
      </w:r>
      <w:r>
        <w:rPr>
          <w:rStyle w:val="CommentTok"/>
        </w:rPr>
        <w:t xml:space="preserve"># would render machine epsilon as a wall of zeros.</w:t>
      </w:r>
      <w:r>
        <w:br/>
      </w:r>
      <w:r>
        <w:rPr>
          <w:rStyle w:val="NormalTok"/>
        </w:rPr>
        <w:t xml:space="preserve">fmt_diff </w:t>
      </w:r>
      <w:r>
        <w:rPr>
          <w:rStyle w:val="OtherTok"/>
        </w:rPr>
        <w:t xml:space="preserve">&lt;-</w:t>
      </w:r>
      <w:r>
        <w:rPr>
          <w:rStyle w:val="NormalTok"/>
        </w:rPr>
        <w:t xml:space="preserve"> </w:t>
      </w:r>
      <w:r>
        <w:rPr>
          <w:rStyle w:val="ControlFlowTok"/>
        </w:rPr>
        <w:t xml:space="preserve">function</w:t>
      </w:r>
      <w:r>
        <w:rPr>
          <w:rStyle w:val="NormalTok"/>
        </w:rPr>
        <w:t xml:space="preserve">(x) </w:t>
      </w:r>
      <w:r>
        <w:rPr>
          <w:rStyle w:val="FunctionTok"/>
        </w:rPr>
        <w:t xml:space="preserve">ifelse</w:t>
      </w:r>
      <w:r>
        <w:rPr>
          <w:rStyle w:val="NormalTok"/>
        </w:rPr>
        <w:t xml:space="preserve">(</w:t>
      </w:r>
      <w:r>
        <w:rPr>
          <w:rStyle w:val="FunctionTok"/>
        </w:rPr>
        <w:t xml:space="preserve">is.na</w:t>
      </w:r>
      <w:r>
        <w:rPr>
          <w:rStyle w:val="NormalTok"/>
        </w:rPr>
        <w:t xml:space="preserve">(x), </w:t>
      </w:r>
      <w:r>
        <w:rPr>
          <w:rStyle w:val="StringTok"/>
        </w:rPr>
        <w:t xml:space="preserve">""</w:t>
      </w:r>
      <w:r>
        <w:rPr>
          <w:rStyle w:val="NormalTok"/>
        </w:rPr>
        <w:t xml:space="preserve">, </w:t>
      </w:r>
      <w:r>
        <w:rPr>
          <w:rStyle w:val="FunctionTok"/>
        </w:rPr>
        <w:t xml:space="preserve">formatC</w:t>
      </w:r>
      <w:r>
        <w:rPr>
          <w:rStyle w:val="NormalTok"/>
        </w:rPr>
        <w:t xml:space="preserve">(x, </w:t>
      </w:r>
      <w:r>
        <w:rPr>
          <w:rStyle w:val="AttributeTok"/>
        </w:rPr>
        <w:t xml:space="preserve">format =</w:t>
      </w:r>
      <w:r>
        <w:rPr>
          <w:rStyle w:val="NormalTok"/>
        </w:rPr>
        <w:t xml:space="preserve"> </w:t>
      </w:r>
      <w:r>
        <w:rPr>
          <w:rStyle w:val="StringTok"/>
        </w:rPr>
        <w:t xml:space="preserve">"g"</w:t>
      </w:r>
      <w:r>
        <w:rPr>
          <w:rStyle w:val="NormalTok"/>
        </w:rPr>
        <w:t xml:space="preserve">, </w:t>
      </w:r>
      <w:r>
        <w:rPr>
          <w:rStyle w:val="AttributeTok"/>
        </w:rPr>
        <w:t xml:space="preserve">digits =</w:t>
      </w:r>
      <w:r>
        <w:rPr>
          <w:rStyle w:val="NormalTok"/>
        </w:rPr>
        <w:t xml:space="preserve"> </w:t>
      </w:r>
      <w:r>
        <w:rPr>
          <w:rStyle w:val="DecValTok"/>
        </w:rPr>
        <w:t xml:space="preserve">3</w:t>
      </w:r>
      <w:r>
        <w:rPr>
          <w:rStyle w:val="NormalTok"/>
        </w:rPr>
        <w:t xml:space="preserve">))</w:t>
      </w:r>
      <w:r>
        <w:br/>
      </w:r>
      <w:r>
        <w:br/>
      </w:r>
      <w:r>
        <w:rPr>
          <w:rStyle w:val="NormalTok"/>
        </w:rPr>
        <w:t xml:space="preserve">blk1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StringTok"/>
        </w:rPr>
        <w:t xml:space="preserve">"against cffdrs"</w:t>
      </w:r>
      <w:r>
        <w:rPr>
          <w:rStyle w:val="NormalTok"/>
        </w:rPr>
        <w:t xml:space="preserve">,</w:t>
      </w:r>
      <w:r>
        <w:br/>
      </w:r>
      <w:r>
        <w:rPr>
          <w:rStyle w:val="NormalTok"/>
        </w:rPr>
        <w:t xml:space="preserve">  </w:t>
      </w:r>
      <w:r>
        <w:rPr>
          <w:rStyle w:val="AttributeTok"/>
        </w:rPr>
        <w:t xml:space="preserve">Component =</w:t>
      </w:r>
      <w:r>
        <w:rPr>
          <w:rStyle w:val="NormalTok"/>
        </w:rPr>
        <w:t xml:space="preserve"> val</w:t>
      </w:r>
      <w:r>
        <w:rPr>
          <w:rStyle w:val="SpecialCharTok"/>
        </w:rPr>
        <w:t xml:space="preserve">$</w:t>
      </w:r>
      <w:r>
        <w:rPr>
          <w:rStyle w:val="NormalTok"/>
        </w:rPr>
        <w:t xml:space="preserve">component,</w:t>
      </w:r>
      <w:r>
        <w:br/>
      </w:r>
      <w:r>
        <w:rPr>
          <w:rStyle w:val="NormalTok"/>
        </w:rPr>
        <w:t xml:space="preserve">  </w:t>
      </w:r>
      <w:r>
        <w:rPr>
          <w:rStyle w:val="AttributeTok"/>
        </w:rPr>
        <w:t xml:space="preserve">n =</w:t>
      </w:r>
      <w:r>
        <w:rPr>
          <w:rStyle w:val="NormalTok"/>
        </w:rPr>
        <w:t xml:space="preserve"> </w:t>
      </w:r>
      <w:r>
        <w:rPr>
          <w:rStyle w:val="FunctionTok"/>
        </w:rPr>
        <w:t xml:space="preserve">format</w:t>
      </w:r>
      <w:r>
        <w:rPr>
          <w:rStyle w:val="NormalTok"/>
        </w:rPr>
        <w:t xml:space="preserve">(val</w:t>
      </w:r>
      <w:r>
        <w:rPr>
          <w:rStyle w:val="SpecialCharTok"/>
        </w:rPr>
        <w:t xml:space="preserve">$</w:t>
      </w:r>
      <w:r>
        <w:rPr>
          <w:rStyle w:val="NormalTok"/>
        </w:rPr>
        <w:t xml:space="preserve">n,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Max absolute difference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fmt_diff</w:t>
      </w:r>
      <w:r>
        <w:rPr>
          <w:rStyle w:val="NormalTok"/>
        </w:rPr>
        <w:t xml:space="preserve">(val</w:t>
      </w:r>
      <w:r>
        <w:rPr>
          <w:rStyle w:val="SpecialCharTok"/>
        </w:rPr>
        <w:t xml:space="preserve">$</w:t>
      </w:r>
      <w:r>
        <w:rPr>
          <w:rStyle w:val="NormalTok"/>
        </w:rPr>
        <w:t xml:space="preserve">max_abs_diff),</w:t>
      </w:r>
      <w:r>
        <w:br/>
      </w:r>
      <w:r>
        <w:rPr>
          <w:rStyle w:val="NormalTok"/>
        </w:rPr>
        <w:t xml:space="preserve">  </w:t>
      </w:r>
      <w:r>
        <w:rPr>
          <w:rStyle w:val="StringTok"/>
        </w:rPr>
        <w:t xml:space="preserve">`</w:t>
      </w:r>
      <w:r>
        <w:rPr>
          <w:rStyle w:val="AttributeTok"/>
        </w:rPr>
        <w:t xml:space="preserve">Mean absolute difference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fmt_diff</w:t>
      </w:r>
      <w:r>
        <w:rPr>
          <w:rStyle w:val="NormalTok"/>
        </w:rPr>
        <w:t xml:space="preserve">(val</w:t>
      </w:r>
      <w:r>
        <w:rPr>
          <w:rStyle w:val="SpecialCharTok"/>
        </w:rPr>
        <w:t xml:space="preserve">$</w:t>
      </w:r>
      <w:r>
        <w:rPr>
          <w:rStyle w:val="NormalTok"/>
        </w:rPr>
        <w:t xml:space="preserve">mean_abs_diff),</w:t>
      </w:r>
      <w:r>
        <w:br/>
      </w:r>
      <w:r>
        <w:rPr>
          <w:rStyle w:val="NormalTok"/>
        </w:rPr>
        <w:t xml:space="preserve">  </w:t>
      </w:r>
      <w:r>
        <w:rPr>
          <w:rStyle w:val="StringTok"/>
        </w:rPr>
        <w:t xml:space="preserve">`</w:t>
      </w:r>
      <w:r>
        <w:rPr>
          <w:rStyle w:val="AttributeTok"/>
        </w:rPr>
        <w:t xml:space="preserve">Correlation</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w:t>
      </w:r>
      <w:r>
        <w:br/>
      </w:r>
      <w:r>
        <w:br/>
      </w:r>
      <w:r>
        <w:rPr>
          <w:rStyle w:val="CommentTok"/>
        </w:rPr>
        <w:t xml:space="preserve"># The data mart names the operational columns in full; the initials are the</w:t>
      </w:r>
      <w:r>
        <w:br/>
      </w:r>
      <w:r>
        <w:rPr>
          <w:rStyle w:val="CommentTok"/>
        </w:rPr>
        <w:t xml:space="preserve"># component names used everywhere else in this document.</w:t>
      </w:r>
      <w:r>
        <w:br/>
      </w:r>
      <w:r>
        <w:rPr>
          <w:rStyle w:val="NormalTok"/>
        </w:rPr>
        <w:t xml:space="preserve">initials </w:t>
      </w:r>
      <w:r>
        <w:rPr>
          <w:rStyle w:val="OtherTok"/>
        </w:rPr>
        <w:t xml:space="preserve">&lt;-</w:t>
      </w:r>
      <w:r>
        <w:rPr>
          <w:rStyle w:val="NormalTok"/>
        </w:rPr>
        <w:t xml:space="preserve"> </w:t>
      </w:r>
      <w:r>
        <w:rPr>
          <w:rStyle w:val="ControlFlowTok"/>
        </w:rPr>
        <w:t xml:space="preserve">function</w:t>
      </w:r>
      <w:r>
        <w:rPr>
          <w:rStyle w:val="NormalTok"/>
        </w:rPr>
        <w:t xml:space="preserve">(x) </w:t>
      </w:r>
      <w:r>
        <w:rPr>
          <w:rStyle w:val="FunctionTok"/>
        </w:rPr>
        <w:t xml:space="preserve">vapply</w:t>
      </w:r>
      <w:r>
        <w:rPr>
          <w:rStyle w:val="NormalTok"/>
        </w:rPr>
        <w:t xml:space="preserve">(</w:t>
      </w:r>
      <w:r>
        <w:rPr>
          <w:rStyle w:val="FunctionTok"/>
        </w:rPr>
        <w:t xml:space="preserve">strsplit</w:t>
      </w:r>
      <w:r>
        <w:rPr>
          <w:rStyle w:val="NormalTok"/>
        </w:rPr>
        <w:t xml:space="preserve">(x, </w:t>
      </w:r>
      <w:r>
        <w:rPr>
          <w:rStyle w:val="StringTok"/>
        </w:rPr>
        <w:t xml:space="preserve">"_"</w:t>
      </w:r>
      <w:r>
        <w:rPr>
          <w:rStyle w:val="NormalTok"/>
        </w:rPr>
        <w:t xml:space="preserve">),</w:t>
      </w:r>
      <w:r>
        <w:br/>
      </w:r>
      <w:r>
        <w:rPr>
          <w:rStyle w:val="NormalTok"/>
        </w:rPr>
        <w:t xml:space="preserve">                               </w:t>
      </w:r>
      <w:r>
        <w:rPr>
          <w:rStyle w:val="ControlFlowTok"/>
        </w:rPr>
        <w:t xml:space="preserve">function</w:t>
      </w:r>
      <w:r>
        <w:rPr>
          <w:rStyle w:val="NormalTok"/>
        </w:rPr>
        <w:t xml:space="preserve">(p) </w:t>
      </w:r>
      <w:r>
        <w:rPr>
          <w:rStyle w:val="FunctionTok"/>
        </w:rPr>
        <w:t xml:space="preserve">paste0</w:t>
      </w:r>
      <w:r>
        <w:rPr>
          <w:rStyle w:val="NormalTok"/>
        </w:rPr>
        <w:t xml:space="preserve">(</w:t>
      </w:r>
      <w:r>
        <w:rPr>
          <w:rStyle w:val="FunctionTok"/>
        </w:rPr>
        <w:t xml:space="preserve">substr</w:t>
      </w:r>
      <w:r>
        <w:rPr>
          <w:rStyle w:val="NormalTok"/>
        </w:rPr>
        <w:t xml:space="preserve">(p, </w:t>
      </w:r>
      <w:r>
        <w:rPr>
          <w:rStyle w:val="DecValTok"/>
        </w:rPr>
        <w:t xml:space="preserve">1</w:t>
      </w:r>
      <w:r>
        <w:rPr>
          <w:rStyle w:val="NormalTok"/>
        </w:rPr>
        <w:t xml:space="preserve">, </w:t>
      </w:r>
      <w:r>
        <w:rPr>
          <w:rStyle w:val="DecValTok"/>
        </w:rPr>
        <w:t xml:space="preserve">1</w:t>
      </w:r>
      <w:r>
        <w:rPr>
          <w:rStyle w:val="NormalTok"/>
        </w:rPr>
        <w:t xml:space="preserve">),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character</w:t>
      </w:r>
      <w:r>
        <w:rPr>
          <w:rStyle w:val="NormalTok"/>
        </w:rPr>
        <w:t xml:space="preserve">(</w:t>
      </w:r>
      <w:r>
        <w:rPr>
          <w:rStyle w:val="DecValTok"/>
        </w:rPr>
        <w:t xml:space="preserve">1</w:t>
      </w:r>
      <w:r>
        <w:rPr>
          <w:rStyle w:val="NormalTok"/>
        </w:rPr>
        <w:t xml:space="preserve">))</w:t>
      </w:r>
      <w:r>
        <w:br/>
      </w:r>
      <w:r>
        <w:rPr>
          <w:rStyle w:val="NormalTok"/>
        </w:rPr>
        <w:t xml:space="preserve">op_agg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w:t>
      </w:r>
      <w:r>
        <w:rPr>
          <w:rStyle w:val="FunctionTok"/>
        </w:rPr>
        <w:t xml:space="preserve">split</w:t>
      </w:r>
      <w:r>
        <w:rPr>
          <w:rStyle w:val="NormalTok"/>
        </w:rPr>
        <w:t xml:space="preserve">(opc, opc</w:t>
      </w:r>
      <w:r>
        <w:rPr>
          <w:rStyle w:val="SpecialCharTok"/>
        </w:rPr>
        <w:t xml:space="preserve">$</w:t>
      </w:r>
      <w:r>
        <w:rPr>
          <w:rStyle w:val="NormalTok"/>
        </w:rPr>
        <w:t xml:space="preserve">component), </w:t>
      </w:r>
      <w:r>
        <w:rPr>
          <w:rStyle w:val="ControlFlowTok"/>
        </w:rPr>
        <w:t xml:space="preserve">function</w:t>
      </w:r>
      <w:r>
        <w:rPr>
          <w:rStyle w:val="NormalTok"/>
        </w:rPr>
        <w:t xml:space="preserve">(d) {</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StringTok"/>
        </w:rPr>
        <w:t xml:space="preserve">"against operational codes"</w:t>
      </w:r>
      <w:r>
        <w:rPr>
          <w:rStyle w:val="NormalTok"/>
        </w:rPr>
        <w:t xml:space="preserve">,</w:t>
      </w:r>
      <w:r>
        <w:br/>
      </w:r>
      <w:r>
        <w:rPr>
          <w:rStyle w:val="NormalTok"/>
        </w:rPr>
        <w:t xml:space="preserve">    </w:t>
      </w:r>
      <w:r>
        <w:rPr>
          <w:rStyle w:val="AttributeTok"/>
        </w:rPr>
        <w:t xml:space="preserve">Component =</w:t>
      </w:r>
      <w:r>
        <w:rPr>
          <w:rStyle w:val="NormalTok"/>
        </w:rPr>
        <w:t xml:space="preserve"> </w:t>
      </w:r>
      <w:r>
        <w:rPr>
          <w:rStyle w:val="FunctionTok"/>
        </w:rPr>
        <w:t xml:space="preserve">initials</w:t>
      </w:r>
      <w:r>
        <w:rPr>
          <w:rStyle w:val="NormalTok"/>
        </w:rPr>
        <w:t xml:space="preserve">(d</w:t>
      </w:r>
      <w:r>
        <w:rPr>
          <w:rStyle w:val="SpecialCharTok"/>
        </w:rPr>
        <w:t xml:space="preserve">$</w:t>
      </w:r>
      <w:r>
        <w:rPr>
          <w:rStyle w:val="NormalTok"/>
        </w:rPr>
        <w:t xml:space="preserve">component[</w:t>
      </w:r>
      <w:r>
        <w:rPr>
          <w:rStyle w:val="DecValTok"/>
        </w:rPr>
        <w:t xml:space="preserve">1</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format</w:t>
      </w:r>
      <w:r>
        <w:rPr>
          <w:rStyle w:val="NormalTok"/>
        </w:rPr>
        <w:t xml:space="preserve">(</w:t>
      </w:r>
      <w:r>
        <w:rPr>
          <w:rStyle w:val="FunctionTok"/>
        </w:rPr>
        <w:t xml:space="preserve">sum</w:t>
      </w:r>
      <w:r>
        <w:rPr>
          <w:rStyle w:val="NormalTok"/>
        </w:rPr>
        <w:t xml:space="preserve">(d</w:t>
      </w:r>
      <w:r>
        <w:rPr>
          <w:rStyle w:val="SpecialCharTok"/>
        </w:rPr>
        <w:t xml:space="preserve">$</w:t>
      </w:r>
      <w:r>
        <w:rPr>
          <w:rStyle w:val="NormalTok"/>
        </w:rPr>
        <w:t xml:space="preserve">n),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Max absolute difference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Mean absolute difference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fmt_diff</w:t>
      </w:r>
      <w:r>
        <w:rPr>
          <w:rStyle w:val="NormalTok"/>
        </w:rPr>
        <w:t xml:space="preserve">(</w:t>
      </w:r>
      <w:r>
        <w:rPr>
          <w:rStyle w:val="FunctionTok"/>
        </w:rPr>
        <w:t xml:space="preserve">weighted.mean</w:t>
      </w:r>
      <w:r>
        <w:rPr>
          <w:rStyle w:val="NormalTok"/>
        </w:rPr>
        <w:t xml:space="preserve">(</w:t>
      </w:r>
      <w:r>
        <w:rPr>
          <w:rStyle w:val="FunctionTok"/>
        </w:rPr>
        <w:t xml:space="preserve">abs</w:t>
      </w:r>
      <w:r>
        <w:rPr>
          <w:rStyle w:val="NormalTok"/>
        </w:rPr>
        <w:t xml:space="preserve">(d</w:t>
      </w:r>
      <w:r>
        <w:rPr>
          <w:rStyle w:val="SpecialCharTok"/>
        </w:rPr>
        <w:t xml:space="preserve">$</w:t>
      </w:r>
      <w:r>
        <w:rPr>
          <w:rStyle w:val="NormalTok"/>
        </w:rPr>
        <w:t xml:space="preserve">mean_bias), d</w:t>
      </w:r>
      <w:r>
        <w:rPr>
          <w:rStyle w:val="SpecialCharTok"/>
        </w:rPr>
        <w:t xml:space="preserve">$</w:t>
      </w:r>
      <w:r>
        <w:rPr>
          <w:rStyle w:val="NormalTok"/>
        </w:rPr>
        <w:t xml:space="preserve">n)),</w:t>
      </w:r>
      <w:r>
        <w:br/>
      </w:r>
      <w:r>
        <w:rPr>
          <w:rStyle w:val="NormalTok"/>
        </w:rPr>
        <w:t xml:space="preserve">    </w:t>
      </w:r>
      <w:r>
        <w:rPr>
          <w:rStyle w:val="StringTok"/>
        </w:rPr>
        <w:t xml:space="preserve">`</w:t>
      </w:r>
      <w:r>
        <w:rPr>
          <w:rStyle w:val="AttributeTok"/>
        </w:rPr>
        <w:t xml:space="preserve">Correlation</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formatC</w:t>
      </w:r>
      <w:r>
        <w:rPr>
          <w:rStyle w:val="NormalTok"/>
        </w:rPr>
        <w:t xml:space="preserve">(</w:t>
      </w:r>
      <w:r>
        <w:rPr>
          <w:rStyle w:val="FunctionTok"/>
        </w:rPr>
        <w:t xml:space="preserve">weighted.mean</w:t>
      </w:r>
      <w:r>
        <w:rPr>
          <w:rStyle w:val="NormalTok"/>
        </w:rPr>
        <w:t xml:space="preserve">(d</w:t>
      </w:r>
      <w:r>
        <w:rPr>
          <w:rStyle w:val="SpecialCharTok"/>
        </w:rPr>
        <w:t xml:space="preserve">$</w:t>
      </w:r>
      <w:r>
        <w:rPr>
          <w:rStyle w:val="NormalTok"/>
        </w:rPr>
        <w:t xml:space="preserve">pearson_r, d</w:t>
      </w:r>
      <w:r>
        <w:rPr>
          <w:rStyle w:val="SpecialCharTok"/>
        </w:rPr>
        <w:t xml:space="preserve">$</w:t>
      </w:r>
      <w:r>
        <w:rPr>
          <w:rStyle w:val="NormalTok"/>
        </w:rPr>
        <w:t xml:space="preserve">n), </w:t>
      </w:r>
      <w:r>
        <w:rPr>
          <w:rStyle w:val="AttributeTok"/>
        </w:rPr>
        <w:t xml:space="preserve">format =</w:t>
      </w:r>
      <w:r>
        <w:rPr>
          <w:rStyle w:val="NormalTok"/>
        </w:rPr>
        <w:t xml:space="preserve"> </w:t>
      </w:r>
      <w:r>
        <w:rPr>
          <w:rStyle w:val="StringTok"/>
        </w:rPr>
        <w:t xml:space="preserve">"f"</w:t>
      </w:r>
      <w:r>
        <w:rPr>
          <w:rStyle w:val="NormalTok"/>
        </w:rPr>
        <w:t xml:space="preserve">, </w:t>
      </w:r>
      <w:r>
        <w:rPr>
          <w:rStyle w:val="AttributeTok"/>
        </w:rPr>
        <w:t xml:space="preserve">digits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w:t>
      </w:r>
      <w:r>
        <w:br/>
      </w:r>
      <w:r>
        <w:rPr>
          <w:rStyle w:val="NormalTok"/>
        </w:rPr>
        <w:t xml:space="preserve">}))</w:t>
      </w:r>
      <w:r>
        <w:br/>
      </w:r>
      <w:r>
        <w:rPr>
          <w:rStyle w:val="FunctionTok"/>
        </w:rPr>
        <w:t xml:space="preserve">rownames</w:t>
      </w:r>
      <w:r>
        <w:rPr>
          <w:rStyle w:val="NormalTok"/>
        </w:rPr>
        <w:t xml:space="preserve">(op_agg) </w:t>
      </w:r>
      <w:r>
        <w:rPr>
          <w:rStyle w:val="OtherTok"/>
        </w:rPr>
        <w:t xml:space="preserve">&lt;-</w:t>
      </w:r>
      <w:r>
        <w:rPr>
          <w:rStyle w:val="NormalTok"/>
        </w:rPr>
        <w:t xml:space="preserve"> </w:t>
      </w:r>
      <w:r>
        <w:rPr>
          <w:rStyle w:val="ConstantTok"/>
        </w:rPr>
        <w:t xml:space="preserve">NULL</w:t>
      </w:r>
      <w:r>
        <w:br/>
      </w:r>
      <w:r>
        <w:rPr>
          <w:rStyle w:val="FunctionTok"/>
        </w:rPr>
        <w:t xml:space="preserve">fmt_tbl</w:t>
      </w:r>
      <w:r>
        <w:rPr>
          <w:rStyle w:val="NormalTok"/>
        </w:rPr>
        <w:t xml:space="preserve">(</w:t>
      </w:r>
      <w:r>
        <w:rPr>
          <w:rStyle w:val="FunctionTok"/>
        </w:rPr>
        <w:t xml:space="preserve">rbind</w:t>
      </w:r>
      <w:r>
        <w:rPr>
          <w:rStyle w:val="NormalTok"/>
        </w:rPr>
        <w:t xml:space="preserve">(blk1, op_agg))</w:t>
      </w:r>
    </w:p>
    <w:tbl>
      <w:tblPr>
        <w:tblStyle w:val="Table"/>
        <w:tblW w:type="pct" w:w="5000"/>
        <w:tblLayout w:type="fixed"/>
        <w:tblLook w:firstRow="0" w:lastRow="0" w:firstColumn="0" w:lastColumn="0" w:noHBand="0" w:noVBand="0" w:val="0000"/>
      </w:tblPr>
      <w:tblGrid>
        <w:gridCol w:w="7920"/>
      </w:tblGrid>
      <w:tr>
        <w:tc>
          <w:tcPr/>
          <w:bookmarkStart w:id="49" w:name="tbl-verify"/>
          <w:p>
            <w:pPr>
              <w:jc w:val="center"/>
            </w:pPr>
            <w:pPr>
              <w:jc w:val="start"/>
              <w:spacing w:before="200"/>
              <w:pStyle w:val="ImageCaption"/>
            </w:pPr>
            <w:r>
              <w:t xml:space="preserve">Table 5: Verification of the FWI1987 implementation. The first block compares it against the CRAN package cffdrs over the Petawawa Research Forest test record. The second compares it against the FWI1987 codes BC Wildfire Service computed operationally at these stations, pooled over all kept station-seasons.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Check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Component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Max absolute difference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Mean absolute difference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Correlation</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against cffdrs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FFMC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9.95e-14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3.03e-14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against cffdrs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DMC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7.46e-14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2.24e-14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against cffdrs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5.4e-13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1.78e-13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against cffdrs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ISI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5.86e-14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1.13e-14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against cffdrs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BUI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7.82e-14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2.47e-14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against cffdrs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FWI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1.1e-13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1.86e-14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against cffdrs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DSR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3.82e-14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6.33e-15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against operational codes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BI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18,149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0.9834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against operational codes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18,178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0.9520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against operational codes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DMC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18,178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0.9912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against operational codes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FFMC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18,178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0.9960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against operational codes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FWI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18,149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0.9928</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against operational codes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ISI</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18,149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0.0696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0.9984</w:t>
                  </w:r>
                </w:p>
              </w:tc>
            </w:tr>
          </w:tbl>
          <w:bookmarkEnd w:id="49"/>
        </w:tc>
      </w:tr>
    </w:tbl>
    <w:p>
      <w:pPr>
        <w:pStyle w:val="SourceCode"/>
      </w:pPr>
      <w:r>
        <w:rPr>
          <w:rStyle w:val="NormalTok"/>
        </w:rPr>
        <w:t xml:space="preserve">max_cffdrs </w:t>
      </w:r>
      <w:r>
        <w:rPr>
          <w:rStyle w:val="OtherTok"/>
        </w:rPr>
        <w:t xml:space="preserve">&lt;-</w:t>
      </w:r>
      <w:r>
        <w:rPr>
          <w:rStyle w:val="NormalTok"/>
        </w:rPr>
        <w:t xml:space="preserve"> </w:t>
      </w:r>
      <w:r>
        <w:rPr>
          <w:rStyle w:val="FunctionTok"/>
        </w:rPr>
        <w:t xml:space="preserve">max</w:t>
      </w:r>
      <w:r>
        <w:rPr>
          <w:rStyle w:val="NormalTok"/>
        </w:rPr>
        <w:t xml:space="preserve">(val</w:t>
      </w:r>
      <w:r>
        <w:rPr>
          <w:rStyle w:val="SpecialCharTok"/>
        </w:rPr>
        <w:t xml:space="preserve">$</w:t>
      </w:r>
      <w:r>
        <w:rPr>
          <w:rStyle w:val="NormalTok"/>
        </w:rPr>
        <w:t xml:space="preserve">max_abs_diff)</w:t>
      </w:r>
      <w:r>
        <w:br/>
      </w:r>
      <w:r>
        <w:rPr>
          <w:rStyle w:val="NormalTok"/>
        </w:rPr>
        <w:t xml:space="preserve">op_r </w:t>
      </w:r>
      <w:r>
        <w:rPr>
          <w:rStyle w:val="OtherTok"/>
        </w:rPr>
        <w:t xml:space="preserve">&lt;-</w:t>
      </w:r>
      <w:r>
        <w:rPr>
          <w:rStyle w:val="NormalTok"/>
        </w:rPr>
        <w:t xml:space="preserve"> </w:t>
      </w:r>
      <w:r>
        <w:rPr>
          <w:rStyle w:val="FunctionTok"/>
        </w:rPr>
        <w:t xml:space="preserve">weighted.mean</w:t>
      </w:r>
      <w:r>
        <w:rPr>
          <w:rStyle w:val="NormalTok"/>
        </w:rPr>
        <w:t xml:space="preserve">(opc</w:t>
      </w:r>
      <w:r>
        <w:rPr>
          <w:rStyle w:val="SpecialCharTok"/>
        </w:rPr>
        <w:t xml:space="preserve">$</w:t>
      </w:r>
      <w:r>
        <w:rPr>
          <w:rStyle w:val="NormalTok"/>
        </w:rPr>
        <w:t xml:space="preserve">pearson_r, opc</w:t>
      </w:r>
      <w:r>
        <w:rPr>
          <w:rStyle w:val="SpecialCharTok"/>
        </w:rPr>
        <w:t xml:space="preserve">$</w:t>
      </w:r>
      <w:r>
        <w:rPr>
          <w:rStyle w:val="NormalTok"/>
        </w:rPr>
        <w:t xml:space="preserve">n)</w:t>
      </w:r>
      <w:r>
        <w:br/>
      </w:r>
      <w:r>
        <w:rPr>
          <w:rStyle w:val="NormalTok"/>
        </w:rPr>
        <w:t xml:space="preserve">op_n </w:t>
      </w:r>
      <w:r>
        <w:rPr>
          <w:rStyle w:val="OtherTok"/>
        </w:rPr>
        <w:t xml:space="preserve">&lt;-</w:t>
      </w:r>
      <w:r>
        <w:rPr>
          <w:rStyle w:val="NormalTok"/>
        </w:rPr>
        <w:t xml:space="preserve"> </w:t>
      </w:r>
      <w:r>
        <w:rPr>
          <w:rStyle w:val="FunctionTok"/>
        </w:rPr>
        <w:t xml:space="preserve">sum</w:t>
      </w:r>
      <w:r>
        <w:rPr>
          <w:rStyle w:val="NormalTok"/>
        </w:rPr>
        <w:t xml:space="preserve">(opc</w:t>
      </w:r>
      <w:r>
        <w:rPr>
          <w:rStyle w:val="SpecialCharTok"/>
        </w:rPr>
        <w:t xml:space="preserve">$</w:t>
      </w:r>
      <w:r>
        <w:rPr>
          <w:rStyle w:val="NormalTok"/>
        </w:rPr>
        <w:t xml:space="preserve">n)</w:t>
      </w:r>
      <w:r>
        <w:br/>
      </w:r>
      <w:r>
        <w:rPr>
          <w:rStyle w:val="NormalTok"/>
        </w:rPr>
        <w:t xml:space="preserve">bias_of </w:t>
      </w:r>
      <w:r>
        <w:rPr>
          <w:rStyle w:val="OtherTok"/>
        </w:rPr>
        <w:t xml:space="preserve">&lt;-</w:t>
      </w:r>
      <w:r>
        <w:rPr>
          <w:rStyle w:val="NormalTok"/>
        </w:rPr>
        <w:t xml:space="preserve"> </w:t>
      </w:r>
      <w:r>
        <w:rPr>
          <w:rStyle w:val="ControlFlowTok"/>
        </w:rPr>
        <w:t xml:space="preserve">function</w:t>
      </w:r>
      <w:r>
        <w:rPr>
          <w:rStyle w:val="NormalTok"/>
        </w:rPr>
        <w:t xml:space="preserve">(comp) {</w:t>
      </w:r>
      <w:r>
        <w:br/>
      </w:r>
      <w:r>
        <w:rPr>
          <w:rStyle w:val="NormalTok"/>
        </w:rPr>
        <w:t xml:space="preserve">  d </w:t>
      </w:r>
      <w:r>
        <w:rPr>
          <w:rStyle w:val="OtherTok"/>
        </w:rPr>
        <w:t xml:space="preserve">&lt;-</w:t>
      </w:r>
      <w:r>
        <w:rPr>
          <w:rStyle w:val="NormalTok"/>
        </w:rPr>
        <w:t xml:space="preserve"> opc[opc</w:t>
      </w:r>
      <w:r>
        <w:rPr>
          <w:rStyle w:val="SpecialCharTok"/>
        </w:rPr>
        <w:t xml:space="preserve">$</w:t>
      </w:r>
      <w:r>
        <w:rPr>
          <w:rStyle w:val="NormalTok"/>
        </w:rPr>
        <w:t xml:space="preserve">component </w:t>
      </w:r>
      <w:r>
        <w:rPr>
          <w:rStyle w:val="SpecialCharTok"/>
        </w:rPr>
        <w:t xml:space="preserve">==</w:t>
      </w:r>
      <w:r>
        <w:rPr>
          <w:rStyle w:val="NormalTok"/>
        </w:rPr>
        <w:t xml:space="preserve"> comp, ]</w:t>
      </w:r>
      <w:r>
        <w:br/>
      </w:r>
      <w:r>
        <w:rPr>
          <w:rStyle w:val="NormalTok"/>
        </w:rPr>
        <w:t xml:space="preserve">  </w:t>
      </w:r>
      <w:r>
        <w:rPr>
          <w:rStyle w:val="FunctionTok"/>
        </w:rPr>
        <w:t xml:space="preserve">weighted.mean</w:t>
      </w:r>
      <w:r>
        <w:rPr>
          <w:rStyle w:val="NormalTok"/>
        </w:rPr>
        <w:t xml:space="preserve">(</w:t>
      </w:r>
      <w:r>
        <w:rPr>
          <w:rStyle w:val="FunctionTok"/>
        </w:rPr>
        <w:t xml:space="preserve">abs</w:t>
      </w:r>
      <w:r>
        <w:rPr>
          <w:rStyle w:val="NormalTok"/>
        </w:rPr>
        <w:t xml:space="preserve">(d</w:t>
      </w:r>
      <w:r>
        <w:rPr>
          <w:rStyle w:val="SpecialCharTok"/>
        </w:rPr>
        <w:t xml:space="preserve">$</w:t>
      </w:r>
      <w:r>
        <w:rPr>
          <w:rStyle w:val="NormalTok"/>
        </w:rPr>
        <w:t xml:space="preserve">mean_bias), d</w:t>
      </w:r>
      <w:r>
        <w:rPr>
          <w:rStyle w:val="SpecialCharTok"/>
        </w:rPr>
        <w:t xml:space="preserve">$</w:t>
      </w:r>
      <w:r>
        <w:rPr>
          <w:rStyle w:val="NormalTok"/>
        </w:rPr>
        <w:t xml:space="preserve">n)</w:t>
      </w:r>
      <w:r>
        <w:br/>
      </w:r>
      <w:r>
        <w:rPr>
          <w:rStyle w:val="NormalTok"/>
        </w:rPr>
        <w:t xml:space="preserve">}</w:t>
      </w:r>
      <w:r>
        <w:br/>
      </w:r>
      <w:r>
        <w:rPr>
          <w:rStyle w:val="NormalTok"/>
        </w:rPr>
        <w:t xml:space="preserve">r_of </w:t>
      </w:r>
      <w:r>
        <w:rPr>
          <w:rStyle w:val="OtherTok"/>
        </w:rPr>
        <w:t xml:space="preserve">&lt;-</w:t>
      </w:r>
      <w:r>
        <w:rPr>
          <w:rStyle w:val="NormalTok"/>
        </w:rPr>
        <w:t xml:space="preserve"> </w:t>
      </w:r>
      <w:r>
        <w:rPr>
          <w:rStyle w:val="ControlFlowTok"/>
        </w:rPr>
        <w:t xml:space="preserve">function</w:t>
      </w:r>
      <w:r>
        <w:rPr>
          <w:rStyle w:val="NormalTok"/>
        </w:rPr>
        <w:t xml:space="preserve">(comp) {</w:t>
      </w:r>
      <w:r>
        <w:br/>
      </w:r>
      <w:r>
        <w:rPr>
          <w:rStyle w:val="NormalTok"/>
        </w:rPr>
        <w:t xml:space="preserve">  d </w:t>
      </w:r>
      <w:r>
        <w:rPr>
          <w:rStyle w:val="OtherTok"/>
        </w:rPr>
        <w:t xml:space="preserve">&lt;-</w:t>
      </w:r>
      <w:r>
        <w:rPr>
          <w:rStyle w:val="NormalTok"/>
        </w:rPr>
        <w:t xml:space="preserve"> opc[opc</w:t>
      </w:r>
      <w:r>
        <w:rPr>
          <w:rStyle w:val="SpecialCharTok"/>
        </w:rPr>
        <w:t xml:space="preserve">$</w:t>
      </w:r>
      <w:r>
        <w:rPr>
          <w:rStyle w:val="NormalTok"/>
        </w:rPr>
        <w:t xml:space="preserve">component </w:t>
      </w:r>
      <w:r>
        <w:rPr>
          <w:rStyle w:val="SpecialCharTok"/>
        </w:rPr>
        <w:t xml:space="preserve">==</w:t>
      </w:r>
      <w:r>
        <w:rPr>
          <w:rStyle w:val="NormalTok"/>
        </w:rPr>
        <w:t xml:space="preserve"> comp, ]</w:t>
      </w:r>
      <w:r>
        <w:br/>
      </w:r>
      <w:r>
        <w:rPr>
          <w:rStyle w:val="NormalTok"/>
        </w:rPr>
        <w:t xml:space="preserve">  </w:t>
      </w:r>
      <w:r>
        <w:rPr>
          <w:rStyle w:val="FunctionTok"/>
        </w:rPr>
        <w:t xml:space="preserve">weighted.mean</w:t>
      </w:r>
      <w:r>
        <w:rPr>
          <w:rStyle w:val="NormalTok"/>
        </w:rPr>
        <w:t xml:space="preserve">(d</w:t>
      </w:r>
      <w:r>
        <w:rPr>
          <w:rStyle w:val="SpecialCharTok"/>
        </w:rPr>
        <w:t xml:space="preserve">$</w:t>
      </w:r>
      <w:r>
        <w:rPr>
          <w:rStyle w:val="NormalTok"/>
        </w:rPr>
        <w:t xml:space="preserve">pearson_r, d</w:t>
      </w:r>
      <w:r>
        <w:rPr>
          <w:rStyle w:val="SpecialCharTok"/>
        </w:rPr>
        <w:t xml:space="preserve">$</w:t>
      </w:r>
      <w:r>
        <w:rPr>
          <w:rStyle w:val="NormalTok"/>
        </w:rPr>
        <w:t xml:space="preserve">n)</w:t>
      </w:r>
      <w:r>
        <w:br/>
      </w:r>
      <w:r>
        <w:rPr>
          <w:rStyle w:val="NormalTok"/>
        </w:rPr>
        <w:t xml:space="preserve">}</w:t>
      </w:r>
      <w:r>
        <w:br/>
      </w:r>
      <w:r>
        <w:rPr>
          <w:rStyle w:val="NormalTok"/>
        </w:rPr>
        <w:t xml:space="preserve">dc_bias </w:t>
      </w:r>
      <w:r>
        <w:rPr>
          <w:rStyle w:val="OtherTok"/>
        </w:rPr>
        <w:t xml:space="preserve">&lt;-</w:t>
      </w:r>
      <w:r>
        <w:rPr>
          <w:rStyle w:val="NormalTok"/>
        </w:rPr>
        <w:t xml:space="preserve"> </w:t>
      </w:r>
      <w:r>
        <w:rPr>
          <w:rStyle w:val="FunctionTok"/>
        </w:rPr>
        <w:t xml:space="preserve">bias_of</w:t>
      </w:r>
      <w:r>
        <w:rPr>
          <w:rStyle w:val="NormalTok"/>
        </w:rPr>
        <w:t xml:space="preserve">(</w:t>
      </w:r>
      <w:r>
        <w:rPr>
          <w:rStyle w:val="StringTok"/>
        </w:rPr>
        <w:t xml:space="preserve">"DROUGHT_CODE"</w:t>
      </w:r>
      <w:r>
        <w:rPr>
          <w:rStyle w:val="NormalTok"/>
        </w:rPr>
        <w:t xml:space="preserve">)</w:t>
      </w:r>
      <w:r>
        <w:br/>
      </w:r>
      <w:r>
        <w:rPr>
          <w:rStyle w:val="NormalTok"/>
        </w:rPr>
        <w:t xml:space="preserve">bui_bias </w:t>
      </w:r>
      <w:r>
        <w:rPr>
          <w:rStyle w:val="OtherTok"/>
        </w:rPr>
        <w:t xml:space="preserve">&lt;-</w:t>
      </w:r>
      <w:r>
        <w:rPr>
          <w:rStyle w:val="NormalTok"/>
        </w:rPr>
        <w:t xml:space="preserve"> </w:t>
      </w:r>
      <w:r>
        <w:rPr>
          <w:rStyle w:val="FunctionTok"/>
        </w:rPr>
        <w:t xml:space="preserve">bias_of</w:t>
      </w:r>
      <w:r>
        <w:rPr>
          <w:rStyle w:val="NormalTok"/>
        </w:rPr>
        <w:t xml:space="preserve">(</w:t>
      </w:r>
      <w:r>
        <w:rPr>
          <w:rStyle w:val="StringTok"/>
        </w:rPr>
        <w:t xml:space="preserve">"BUILDUP_INDEX"</w:t>
      </w:r>
      <w:r>
        <w:rPr>
          <w:rStyle w:val="NormalTok"/>
        </w:rPr>
        <w:t xml:space="preserve">)</w:t>
      </w:r>
      <w:r>
        <w:br/>
      </w:r>
      <w:r>
        <w:rPr>
          <w:rStyle w:val="NormalTok"/>
        </w:rPr>
        <w:t xml:space="preserve">ffmc_r </w:t>
      </w:r>
      <w:r>
        <w:rPr>
          <w:rStyle w:val="OtherTok"/>
        </w:rPr>
        <w:t xml:space="preserve">&lt;-</w:t>
      </w:r>
      <w:r>
        <w:rPr>
          <w:rStyle w:val="NormalTok"/>
        </w:rPr>
        <w:t xml:space="preserve"> </w:t>
      </w:r>
      <w:r>
        <w:rPr>
          <w:rStyle w:val="FunctionTok"/>
        </w:rPr>
        <w:t xml:space="preserve">r_of</w:t>
      </w:r>
      <w:r>
        <w:rPr>
          <w:rStyle w:val="NormalTok"/>
        </w:rPr>
        <w:t xml:space="preserve">(</w:t>
      </w:r>
      <w:r>
        <w:rPr>
          <w:rStyle w:val="StringTok"/>
        </w:rPr>
        <w:t xml:space="preserve">"FINE_FUEL_MOISTURE_CODE"</w:t>
      </w:r>
      <w:r>
        <w:rPr>
          <w:rStyle w:val="NormalTok"/>
        </w:rPr>
        <w:t xml:space="preserve">)</w:t>
      </w:r>
    </w:p>
    <w:p>
      <w:pPr>
        <w:pStyle w:val="FirstParagraph"/>
      </w:pPr>
      <w:hyperlink w:anchor="tbl-verify">
        <w:r>
          <w:rPr>
            <w:rStyle w:val="Hyperlink"/>
          </w:rPr>
          <w:t xml:space="preserve">Table 5</w:t>
        </w:r>
      </w:hyperlink>
      <w:r>
        <w:t xml:space="preserve"> </w:t>
      </w:r>
      <w:r>
        <w:t xml:space="preserve">gives both checks. Against</w:t>
      </w:r>
      <w:r>
        <w:t xml:space="preserve"> </w:t>
      </w:r>
      <w:r>
        <w:rPr>
          <w:rStyle w:val="VerbatimChar"/>
        </w:rPr>
        <w:t xml:space="preserve">cffdrs</w:t>
      </w:r>
      <w:r>
        <w:t xml:space="preserve"> </w:t>
      </w:r>
      <w:r>
        <w:t xml:space="preserve">the two implementations agreed to 5.4e-13 across all seven components, which is machine precision, because they are the same arithmetic, and the check confirmed that the equations were transcribed correctly rather than that they are correct.</w:t>
      </w:r>
    </w:p>
    <w:p>
      <w:pPr>
        <w:pStyle w:val="BodyText"/>
      </w:pPr>
      <w:r>
        <w:t xml:space="preserve">Against the operational codes, computed by a different party in a different decade, the weighted mean correlation over 108,981 station-days was 0.986. That check was not expected to be exact, and one of its disagreements was large and had a known cause. The mean absolute bias in the Drought Code was 165 units, and in the Buildup Index, which is computed from it, 10.7. BC Wildfire Service overwinters the Drought Code, carrying it from the previous autumn, whereas this study restarted it at 15 on 1 April, because these stations report no winter weather for an overwintering calculation to use. That is a difference in convention, not an error, and its direction is known, in that a restarted Drought Code is lower than an overwintered one. Every absolute Drought Code and Buildup Index level reported here is conditional on that convention, and it cannot affect any comparison between the three series, because all three restart identically.</w:t>
      </w:r>
    </w:p>
    <w:p>
      <w:pPr>
        <w:pStyle w:val="BodyText"/>
      </w:pPr>
      <w:r>
        <w:t xml:space="preserve">The components that do not depend on the overwintered code agreed closely. The Fine Fuel Moisture Code correlated 0.996 with the operational value, which is the component the version comparison principally rests on.</w:t>
      </w:r>
    </w:p>
    <w:bookmarkEnd w:id="50"/>
    <w:bookmarkStart w:id="56" w:name="threshold-positions"/>
    <w:p>
      <w:pPr>
        <w:pStyle w:val="Heading2"/>
      </w:pPr>
      <w:r>
        <w:t xml:space="preserve">4.2 Threshold Positions</w:t>
      </w:r>
    </w:p>
    <w:p>
      <w:pPr>
        <w:pStyle w:val="SourceCode"/>
      </w:pPr>
      <w:r>
        <w:rPr>
          <w:rStyle w:val="NormalTok"/>
        </w:rPr>
        <w:t xml:space="preserve">tp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w:t>
      </w:r>
      <w:r>
        <w:br/>
      </w:r>
      <w:r>
        <w:rPr>
          <w:rStyle w:val="NormalTok"/>
        </w:rPr>
        <w:t xml:space="preserve">  </w:t>
      </w:r>
      <w:r>
        <w:rPr>
          <w:rStyle w:val="FunctionTok"/>
        </w:rPr>
        <w:t xml:space="preserve">split</w:t>
      </w:r>
      <w:r>
        <w:rPr>
          <w:rStyle w:val="NormalTok"/>
        </w:rPr>
        <w:t xml:space="preserve">(thresh_pct, </w:t>
      </w:r>
      <w:r>
        <w:rPr>
          <w:rStyle w:val="FunctionTok"/>
        </w:rPr>
        <w:t xml:space="preserve">list</w:t>
      </w:r>
      <w:r>
        <w:rPr>
          <w:rStyle w:val="NormalTok"/>
        </w:rPr>
        <w:t xml:space="preserve">(thresh_pct</w:t>
      </w:r>
      <w:r>
        <w:rPr>
          <w:rStyle w:val="SpecialCharTok"/>
        </w:rPr>
        <w:t xml:space="preserve">$</w:t>
      </w:r>
      <w:r>
        <w:rPr>
          <w:rStyle w:val="NormalTok"/>
        </w:rPr>
        <w:t xml:space="preserve">series, thresh_pct</w:t>
      </w:r>
      <w:r>
        <w:rPr>
          <w:rStyle w:val="SpecialCharTok"/>
        </w:rPr>
        <w:t xml:space="preserve">$</w:t>
      </w:r>
      <w:r>
        <w:rPr>
          <w:rStyle w:val="NormalTok"/>
        </w:rPr>
        <w:t xml:space="preserve">component,</w:t>
      </w:r>
      <w:r>
        <w:br/>
      </w:r>
      <w:r>
        <w:rPr>
          <w:rStyle w:val="NormalTok"/>
        </w:rPr>
        <w:t xml:space="preserve">                         thresh_pct</w:t>
      </w:r>
      <w:r>
        <w:rPr>
          <w:rStyle w:val="SpecialCharTok"/>
        </w:rPr>
        <w:t xml:space="preserve">$</w:t>
      </w:r>
      <w:r>
        <w:rPr>
          <w:rStyle w:val="NormalTok"/>
        </w:rPr>
        <w:t xml:space="preserve">threshold), </w:t>
      </w:r>
      <w:r>
        <w:rPr>
          <w:rStyle w:val="AttributeTok"/>
        </w:rPr>
        <w:t xml:space="preserve">drop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ControlFlowTok"/>
        </w:rPr>
        <w:t xml:space="preserve">function</w:t>
      </w:r>
      <w:r>
        <w:rPr>
          <w:rStyle w:val="NormalTok"/>
        </w:rPr>
        <w:t xml:space="preserve">(d) </w:t>
      </w:r>
      <w:r>
        <w:rPr>
          <w:rStyle w:val="FunctionTok"/>
        </w:rPr>
        <w:t xml:space="preserve">data.frame</w:t>
      </w:r>
      <w:r>
        <w:rPr>
          <w:rStyle w:val="NormalTok"/>
        </w:rPr>
        <w:t xml:space="preserve">(</w:t>
      </w:r>
      <w:r>
        <w:br/>
      </w:r>
      <w:r>
        <w:rPr>
          <w:rStyle w:val="NormalTok"/>
        </w:rPr>
        <w:t xml:space="preserve">    </w:t>
      </w:r>
      <w:r>
        <w:rPr>
          <w:rStyle w:val="AttributeTok"/>
        </w:rPr>
        <w:t xml:space="preserve">Series =</w:t>
      </w:r>
      <w:r>
        <w:rPr>
          <w:rStyle w:val="NormalTok"/>
        </w:rPr>
        <w:t xml:space="preserve"> </w:t>
      </w:r>
      <w:r>
        <w:rPr>
          <w:rStyle w:val="FunctionTok"/>
        </w:rPr>
        <w:t xml:space="preserve">unname</w:t>
      </w:r>
      <w:r>
        <w:rPr>
          <w:rStyle w:val="NormalTok"/>
        </w:rPr>
        <w:t xml:space="preserve">(SERIES[d</w:t>
      </w:r>
      <w:r>
        <w:rPr>
          <w:rStyle w:val="SpecialCharTok"/>
        </w:rPr>
        <w:t xml:space="preserve">$</w:t>
      </w:r>
      <w:r>
        <w:rPr>
          <w:rStyle w:val="NormalTok"/>
        </w:rPr>
        <w:t xml:space="preserve">series[</w:t>
      </w:r>
      <w:r>
        <w:rPr>
          <w:rStyle w:val="DecValTok"/>
        </w:rPr>
        <w:t xml:space="preserve">1</w:t>
      </w:r>
      <w:r>
        <w:rPr>
          <w:rStyle w:val="NormalTok"/>
        </w:rPr>
        <w:t xml:space="preserve">]]),</w:t>
      </w:r>
      <w:r>
        <w:br/>
      </w:r>
      <w:r>
        <w:rPr>
          <w:rStyle w:val="NormalTok"/>
        </w:rPr>
        <w:t xml:space="preserve">    </w:t>
      </w:r>
      <w:r>
        <w:rPr>
          <w:rStyle w:val="AttributeTok"/>
        </w:rPr>
        <w:t xml:space="preserve">Component =</w:t>
      </w:r>
      <w:r>
        <w:rPr>
          <w:rStyle w:val="NormalTok"/>
        </w:rPr>
        <w:t xml:space="preserve"> </w:t>
      </w:r>
      <w:r>
        <w:rPr>
          <w:rStyle w:val="FunctionTok"/>
        </w:rPr>
        <w:t xml:space="preserve">toupper</w:t>
      </w:r>
      <w:r>
        <w:rPr>
          <w:rStyle w:val="NormalTok"/>
        </w:rPr>
        <w:t xml:space="preserve">(d</w:t>
      </w:r>
      <w:r>
        <w:rPr>
          <w:rStyle w:val="SpecialCharTok"/>
        </w:rPr>
        <w:t xml:space="preserve">$</w:t>
      </w:r>
      <w:r>
        <w:rPr>
          <w:rStyle w:val="NormalTok"/>
        </w:rPr>
        <w:t xml:space="preserve">component[</w:t>
      </w:r>
      <w:r>
        <w:rPr>
          <w:rStyle w:val="DecValTok"/>
        </w:rPr>
        <w:t xml:space="preserve">1</w:t>
      </w:r>
      <w:r>
        <w:rPr>
          <w:rStyle w:val="NormalTok"/>
        </w:rPr>
        <w:t xml:space="preserve">]),</w:t>
      </w:r>
      <w:r>
        <w:br/>
      </w:r>
      <w:r>
        <w:rPr>
          <w:rStyle w:val="NormalTok"/>
        </w:rPr>
        <w:t xml:space="preserve">    </w:t>
      </w:r>
      <w:r>
        <w:rPr>
          <w:rStyle w:val="AttributeTok"/>
        </w:rPr>
        <w:t xml:space="preserve">Threshold =</w:t>
      </w:r>
      <w:r>
        <w:rPr>
          <w:rStyle w:val="NormalTok"/>
        </w:rPr>
        <w:t xml:space="preserve"> d</w:t>
      </w:r>
      <w:r>
        <w:rPr>
          <w:rStyle w:val="SpecialCharTok"/>
        </w:rPr>
        <w:t xml:space="preserve">$</w:t>
      </w:r>
      <w:r>
        <w:rPr>
          <w:rStyle w:val="NormalTok"/>
        </w:rPr>
        <w:t xml:space="preserve">threshold[</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Percentile of threshold</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(d</w:t>
      </w:r>
      <w:r>
        <w:rPr>
          <w:rStyle w:val="SpecialCharTok"/>
        </w:rPr>
        <w:t xml:space="preserve">$</w:t>
      </w:r>
      <w:r>
        <w:rPr>
          <w:rStyle w:val="NormalTok"/>
        </w:rPr>
        <w:t xml:space="preserve">percentile_of_threshold,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Days per season above</w:t>
      </w:r>
      <w:r>
        <w:rPr>
          <w:rStyle w:val="StringTok"/>
        </w:rPr>
        <w:t xml:space="preserve">`</w:t>
      </w:r>
      <w:r>
        <w:rPr>
          <w:rStyle w:val="NormalTok"/>
        </w:rPr>
        <w:t xml:space="preserve"> </w:t>
      </w:r>
      <w:r>
        <w:rPr>
          <w:rStyle w:val="OtherTok"/>
        </w:rPr>
        <w:t xml:space="preserve">=</w:t>
      </w:r>
      <w:r>
        <w:rPr>
          <w:rStyle w:val="NormalTok"/>
        </w:rPr>
        <w:t xml:space="preserve"> </w:t>
      </w:r>
      <w:r>
        <w:rPr>
          <w:rStyle w:val="ConstantTok"/>
        </w:rPr>
        <w:t xml:space="preserve">NA_real_</w:t>
      </w:r>
      <w:r>
        <w:rPr>
          <w:rStyle w:val="NormalTok"/>
        </w:rPr>
        <w:t xml:space="preserve">,</w:t>
      </w:r>
      <w:r>
        <w:br/>
      </w:r>
      <w:r>
        <w:rPr>
          <w:rStyle w:val="NormalTok"/>
        </w:rPr>
        <w:t xml:space="preserve">    </w:t>
      </w:r>
      <w:r>
        <w:rPr>
          <w:rStyle w:val="StringTok"/>
        </w:rPr>
        <w:t xml:space="preserve">`</w:t>
      </w:r>
      <w:r>
        <w:rPr>
          <w:rStyle w:val="AttributeTok"/>
        </w:rPr>
        <w:t xml:space="preserve">Reference median</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(d</w:t>
      </w:r>
      <w:r>
        <w:rPr>
          <w:rStyle w:val="SpecialCharTok"/>
        </w:rPr>
        <w:t xml:space="preserve">$</w:t>
      </w:r>
      <w:r>
        <w:rPr>
          <w:rStyle w:val="NormalTok"/>
        </w:rPr>
        <w:t xml:space="preserve">reference_median,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w:t>
      </w:r>
      <w:r>
        <w:br/>
      </w:r>
      <w:r>
        <w:rPr>
          <w:rStyle w:val="CommentTok"/>
        </w:rPr>
        <w:t xml:space="preserve"># Days per season above each absolute threshold, averaged over station-seasons.</w:t>
      </w:r>
      <w:r>
        <w:br/>
      </w:r>
      <w:r>
        <w:rPr>
          <w:rStyle w:val="NormalTok"/>
        </w:rPr>
        <w:t xml:space="preserve">days_above </w:t>
      </w:r>
      <w:r>
        <w:rPr>
          <w:rStyle w:val="OtherTok"/>
        </w:rPr>
        <w:t xml:space="preserve">&lt;-</w:t>
      </w:r>
      <w:r>
        <w:rPr>
          <w:rStyle w:val="NormalTok"/>
        </w:rPr>
        <w:t xml:space="preserve"> </w:t>
      </w:r>
      <w:r>
        <w:rPr>
          <w:rStyle w:val="ControlFlowTok"/>
        </w:rPr>
        <w:t xml:space="preserve">function</w:t>
      </w:r>
      <w:r>
        <w:rPr>
          <w:rStyle w:val="NormalTok"/>
        </w:rPr>
        <w:t xml:space="preserve">(series, component, thr) {</w:t>
      </w:r>
      <w:r>
        <w:br/>
      </w:r>
      <w:r>
        <w:rPr>
          <w:rStyle w:val="NormalTok"/>
        </w:rPr>
        <w:t xml:space="preserve">  col </w:t>
      </w:r>
      <w:r>
        <w:rPr>
          <w:rStyle w:val="OtherTok"/>
        </w:rPr>
        <w:t xml:space="preserve">&lt;-</w:t>
      </w:r>
      <w:r>
        <w:rPr>
          <w:rStyle w:val="NormalTok"/>
        </w:rPr>
        <w:t xml:space="preserve"> </w:t>
      </w:r>
      <w:r>
        <w:rPr>
          <w:rStyle w:val="ControlFlowTok"/>
        </w:rPr>
        <w:t xml:space="preserve">switch</w:t>
      </w:r>
      <w:r>
        <w:rPr>
          <w:rStyle w:val="NormalTok"/>
        </w:rPr>
        <w:t xml:space="preserve">(</w:t>
      </w:r>
      <w:r>
        <w:rPr>
          <w:rStyle w:val="FunctionTok"/>
        </w:rPr>
        <w:t xml:space="preserve">paste</w:t>
      </w:r>
      <w:r>
        <w:rPr>
          <w:rStyle w:val="NormalTok"/>
        </w:rPr>
        <w:t xml:space="preserve">(component, thr),</w:t>
      </w:r>
      <w:r>
        <w:br/>
      </w:r>
      <w:r>
        <w:rPr>
          <w:rStyle w:val="NormalTok"/>
        </w:rPr>
        <w:t xml:space="preserve">                </w:t>
      </w:r>
      <w:r>
        <w:rPr>
          <w:rStyle w:val="StringTok"/>
        </w:rPr>
        <w:t xml:space="preserve">"ffmc 91"</w:t>
      </w:r>
      <w:r>
        <w:rPr>
          <w:rStyle w:val="NormalTok"/>
        </w:rPr>
        <w:t xml:space="preserve"> </w:t>
      </w:r>
      <w:r>
        <w:rPr>
          <w:rStyle w:val="OtherTok"/>
        </w:rPr>
        <w:t xml:space="preserve">=</w:t>
      </w:r>
      <w:r>
        <w:rPr>
          <w:rStyle w:val="NormalTok"/>
        </w:rPr>
        <w:t xml:space="preserve"> </w:t>
      </w:r>
      <w:r>
        <w:rPr>
          <w:rStyle w:val="StringTok"/>
        </w:rPr>
        <w:t xml:space="preserve">"n_ffmc_ge91"</w:t>
      </w:r>
      <w:r>
        <w:rPr>
          <w:rStyle w:val="NormalTok"/>
        </w:rPr>
        <w:t xml:space="preserve">,</w:t>
      </w:r>
      <w:r>
        <w:br/>
      </w:r>
      <w:r>
        <w:rPr>
          <w:rStyle w:val="NormalTok"/>
        </w:rPr>
        <w:t xml:space="preserve">                </w:t>
      </w:r>
      <w:r>
        <w:rPr>
          <w:rStyle w:val="StringTok"/>
        </w:rPr>
        <w:t xml:space="preserve">"fwi 19"</w:t>
      </w:r>
      <w:r>
        <w:rPr>
          <w:rStyle w:val="NormalTok"/>
        </w:rPr>
        <w:t xml:space="preserve"> </w:t>
      </w:r>
      <w:r>
        <w:rPr>
          <w:rStyle w:val="OtherTok"/>
        </w:rPr>
        <w:t xml:space="preserve">=</w:t>
      </w:r>
      <w:r>
        <w:rPr>
          <w:rStyle w:val="NormalTok"/>
        </w:rPr>
        <w:t xml:space="preserve"> </w:t>
      </w:r>
      <w:r>
        <w:rPr>
          <w:rStyle w:val="StringTok"/>
        </w:rPr>
        <w:t xml:space="preserve">"n_fwi_ge19"</w:t>
      </w:r>
      <w:r>
        <w:rPr>
          <w:rStyle w:val="NormalTok"/>
        </w:rPr>
        <w:t xml:space="preserve">,</w:t>
      </w:r>
      <w:r>
        <w:br/>
      </w:r>
      <w:r>
        <w:rPr>
          <w:rStyle w:val="NormalTok"/>
        </w:rPr>
        <w:t xml:space="preserve">                </w:t>
      </w:r>
      <w:r>
        <w:rPr>
          <w:rStyle w:val="StringTok"/>
        </w:rPr>
        <w:t xml:space="preserve">"fwi 30"</w:t>
      </w:r>
      <w:r>
        <w:rPr>
          <w:rStyle w:val="NormalTok"/>
        </w:rPr>
        <w:t xml:space="preserve"> </w:t>
      </w:r>
      <w:r>
        <w:rPr>
          <w:rStyle w:val="OtherTok"/>
        </w:rPr>
        <w:t xml:space="preserve">=</w:t>
      </w:r>
      <w:r>
        <w:rPr>
          <w:rStyle w:val="NormalTok"/>
        </w:rPr>
        <w:t xml:space="preserve"> </w:t>
      </w:r>
      <w:r>
        <w:rPr>
          <w:rStyle w:val="StringTok"/>
        </w:rPr>
        <w:t xml:space="preserve">"n_fwi_ge30"</w:t>
      </w:r>
      <w:r>
        <w:rPr>
          <w:rStyle w:val="NormalTok"/>
        </w:rPr>
        <w:t xml:space="preserve">)</w:t>
      </w:r>
      <w:r>
        <w:br/>
      </w:r>
      <w:r>
        <w:rPr>
          <w:rStyle w:val="NormalTok"/>
        </w:rPr>
        <w:t xml:space="preserve">  </w:t>
      </w:r>
      <w:r>
        <w:rPr>
          <w:rStyle w:val="FunctionTok"/>
        </w:rPr>
        <w:t xml:space="preserve">mean</w:t>
      </w:r>
      <w:r>
        <w:rPr>
          <w:rStyle w:val="NormalTok"/>
        </w:rPr>
        <w:t xml:space="preserve">(metrics[[col]][metrics</w:t>
      </w:r>
      <w:r>
        <w:rPr>
          <w:rStyle w:val="SpecialCharTok"/>
        </w:rPr>
        <w:t xml:space="preserve">$</w:t>
      </w:r>
      <w:r>
        <w:rPr>
          <w:rStyle w:val="NormalTok"/>
        </w:rPr>
        <w:t xml:space="preserve">series </w:t>
      </w:r>
      <w:r>
        <w:rPr>
          <w:rStyle w:val="SpecialCharTok"/>
        </w:rPr>
        <w:t xml:space="preserve">==</w:t>
      </w:r>
      <w:r>
        <w:rPr>
          <w:rStyle w:val="NormalTok"/>
        </w:rPr>
        <w:t xml:space="preserve"> series],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r>
        <w:br/>
      </w:r>
      <w:r>
        <w:rPr>
          <w:rStyle w:val="NormalTok"/>
        </w:rPr>
        <w:t xml:space="preserve">key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strsplit</w:t>
      </w:r>
      <w:r>
        <w:rPr>
          <w:rStyle w:val="NormalTok"/>
        </w:rPr>
        <w:t xml:space="preserve">(</w:t>
      </w:r>
      <w:r>
        <w:rPr>
          <w:rStyle w:val="FunctionTok"/>
        </w:rPr>
        <w:t xml:space="preserve">rownames</w:t>
      </w:r>
      <w:r>
        <w:rPr>
          <w:rStyle w:val="NormalTok"/>
        </w:rPr>
        <w:t xml:space="preserve">(tp), </w:t>
      </w:r>
      <w:r>
        <w:rPr>
          <w:rStyle w:val="StringTok"/>
        </w:rPr>
        <w:t xml:space="preserve">"</w:t>
      </w:r>
      <w:r>
        <w:rPr>
          <w:rStyle w:val="SpecialCharTok"/>
        </w:rPr>
        <w:t xml:space="preserve">\\</w:t>
      </w:r>
      <w:r>
        <w:rPr>
          <w:rStyle w:val="StringTok"/>
        </w:rPr>
        <w:t xml:space="preserve">."</w:t>
      </w:r>
      <w:r>
        <w:rPr>
          <w:rStyle w:val="NormalTok"/>
        </w:rPr>
        <w:t xml:space="preserve">))</w:t>
      </w:r>
      <w:r>
        <w:br/>
      </w:r>
      <w:r>
        <w:rPr>
          <w:rStyle w:val="NormalTok"/>
        </w:rPr>
        <w:t xml:space="preserve">tp</w:t>
      </w:r>
      <w:r>
        <w:rPr>
          <w:rStyle w:val="SpecialCharTok"/>
        </w:rPr>
        <w:t xml:space="preserve">$</w:t>
      </w:r>
      <w:r>
        <w:rPr>
          <w:rStyle w:val="StringTok"/>
        </w:rPr>
        <w:t xml:space="preserve">`</w:t>
      </w:r>
      <w:r>
        <w:rPr>
          <w:rStyle w:val="AttributeTok"/>
        </w:rPr>
        <w:t xml:space="preserve">Days per season above</w:t>
      </w:r>
      <w:r>
        <w:rPr>
          <w:rStyle w:val="StringTok"/>
        </w:rPr>
        <w:t xml:space="preserve">`</w:t>
      </w:r>
      <w:r>
        <w:rPr>
          <w:rStyle w:val="NormalTok"/>
        </w:rPr>
        <w:t xml:space="preserve">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mapply</w:t>
      </w:r>
      <w:r>
        <w:rPr>
          <w:rStyle w:val="NormalTok"/>
        </w:rPr>
        <w:t xml:space="preserve">(days_above, key[, </w:t>
      </w:r>
      <w:r>
        <w:rPr>
          <w:rStyle w:val="DecValTok"/>
        </w:rPr>
        <w:t xml:space="preserve">1</w:t>
      </w:r>
      <w:r>
        <w:rPr>
          <w:rStyle w:val="NormalTok"/>
        </w:rPr>
        <w:t xml:space="preserve">], key[, </w:t>
      </w:r>
      <w:r>
        <w:rPr>
          <w:rStyle w:val="DecValTok"/>
        </w:rPr>
        <w:t xml:space="preserve">2</w:t>
      </w:r>
      <w:r>
        <w:rPr>
          <w:rStyle w:val="NormalTok"/>
        </w:rPr>
        <w:t xml:space="preserve">],</w:t>
      </w:r>
      <w:r>
        <w:br/>
      </w:r>
      <w:r>
        <w:rPr>
          <w:rStyle w:val="NormalTok"/>
        </w:rPr>
        <w:t xml:space="preserve">                                           </w:t>
      </w:r>
      <w:r>
        <w:rPr>
          <w:rStyle w:val="FunctionTok"/>
        </w:rPr>
        <w:t xml:space="preserve">as.numeric</w:t>
      </w:r>
      <w:r>
        <w:rPr>
          <w:rStyle w:val="NormalTok"/>
        </w:rPr>
        <w:t xml:space="preserve">(key[,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tp </w:t>
      </w:r>
      <w:r>
        <w:rPr>
          <w:rStyle w:val="OtherTok"/>
        </w:rPr>
        <w:t xml:space="preserve">&lt;-</w:t>
      </w:r>
      <w:r>
        <w:rPr>
          <w:rStyle w:val="NormalTok"/>
        </w:rPr>
        <w:t xml:space="preserve"> tp[</w:t>
      </w:r>
      <w:r>
        <w:rPr>
          <w:rStyle w:val="FunctionTok"/>
        </w:rPr>
        <w:t xml:space="preserve">order</w:t>
      </w:r>
      <w:r>
        <w:rPr>
          <w:rStyle w:val="NormalTok"/>
        </w:rPr>
        <w:t xml:space="preserve">(tp</w:t>
      </w:r>
      <w:r>
        <w:rPr>
          <w:rStyle w:val="SpecialCharTok"/>
        </w:rPr>
        <w:t xml:space="preserve">$</w:t>
      </w:r>
      <w:r>
        <w:rPr>
          <w:rStyle w:val="NormalTok"/>
        </w:rPr>
        <w:t xml:space="preserve">Component, tp</w:t>
      </w:r>
      <w:r>
        <w:rPr>
          <w:rStyle w:val="SpecialCharTok"/>
        </w:rPr>
        <w:t xml:space="preserve">$</w:t>
      </w:r>
      <w:r>
        <w:rPr>
          <w:rStyle w:val="NormalTok"/>
        </w:rPr>
        <w:t xml:space="preserve">Threshold, tp</w:t>
      </w:r>
      <w:r>
        <w:rPr>
          <w:rStyle w:val="SpecialCharTok"/>
        </w:rPr>
        <w:t xml:space="preserve">$</w:t>
      </w:r>
      <w:r>
        <w:rPr>
          <w:rStyle w:val="NormalTok"/>
        </w:rPr>
        <w:t xml:space="preserve">Series), ]</w:t>
      </w:r>
      <w:r>
        <w:br/>
      </w:r>
      <w:r>
        <w:rPr>
          <w:rStyle w:val="FunctionTok"/>
        </w:rPr>
        <w:t xml:space="preserve">rownames</w:t>
      </w:r>
      <w:r>
        <w:rPr>
          <w:rStyle w:val="NormalTok"/>
        </w:rPr>
        <w:t xml:space="preserve">(tp) </w:t>
      </w:r>
      <w:r>
        <w:rPr>
          <w:rStyle w:val="OtherTok"/>
        </w:rPr>
        <w:t xml:space="preserve">&lt;-</w:t>
      </w:r>
      <w:r>
        <w:rPr>
          <w:rStyle w:val="NormalTok"/>
        </w:rPr>
        <w:t xml:space="preserve"> </w:t>
      </w:r>
      <w:r>
        <w:rPr>
          <w:rStyle w:val="ConstantTok"/>
        </w:rPr>
        <w:t xml:space="preserve">NULL</w:t>
      </w:r>
      <w:r>
        <w:br/>
      </w:r>
      <w:r>
        <w:rPr>
          <w:rStyle w:val="FunctionTok"/>
        </w:rPr>
        <w:t xml:space="preserve">fmt_tbl</w:t>
      </w:r>
      <w:r>
        <w:rPr>
          <w:rStyle w:val="NormalTok"/>
        </w:rPr>
        <w:t xml:space="preserve">(tp)</w:t>
      </w:r>
    </w:p>
    <w:tbl>
      <w:tblPr>
        <w:tblStyle w:val="Table"/>
        <w:tblW w:type="pct" w:w="5000"/>
        <w:tblLayout w:type="fixed"/>
        <w:tblLook w:firstRow="0" w:lastRow="0" w:firstColumn="0" w:lastColumn="0" w:noHBand="0" w:noVBand="0" w:val="0000"/>
      </w:tblPr>
      <w:tblGrid>
        <w:gridCol w:w="7920"/>
      </w:tblGrid>
      <w:tr>
        <w:tc>
          <w:tcPr/>
          <w:bookmarkStart w:id="51" w:name="tbl-thresholds"/>
          <w:p>
            <w:pPr>
              <w:jc w:val="center"/>
            </w:pPr>
            <w:pPr>
              <w:jc w:val="start"/>
              <w:spacing w:before="200"/>
              <w:pStyle w:val="ImageCaption"/>
            </w:pPr>
            <w:r>
              <w:t xml:space="preserve">Table 6: Where each absolute threshold falls in each series’ own 1991 to 2020 reference distribution, averaged over stations. A threshold at the same percentile in every series would mean the three systems are interchangeable for counting extremes. The reference median is the median of that component over the same distribution.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Series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Component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Threshold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Percentile of threshold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Days per season above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Reference median</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S1: FWI1987, 13:00 observation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FFMC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65.1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57.2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89.3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S2: FWI2025, 13:00 observation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FFMC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89.5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S3: FWI2025, hourly observation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FFMC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89.8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S1: FWI1987, 13:00 observation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FWI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S2: FWI2025, 13:00 observation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FWI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S3: FWI2025, hourly observation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FWI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S1: FWI1987, 13:00 observation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FWI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S2: FWI2025, 13:00 observation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FWI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21.4</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S3: FWI2025, hourly observation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FWI</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75.2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42.9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19.5</w:t>
                  </w:r>
                </w:p>
              </w:tc>
            </w:tr>
          </w:tbl>
          <w:bookmarkEnd w:id="51"/>
        </w:tc>
      </w:tr>
    </w:tbl>
    <w:p>
      <w:pPr>
        <w:pStyle w:val="SourceCode"/>
      </w:pPr>
      <w:r>
        <w:rPr>
          <w:rStyle w:val="NormalTok"/>
        </w:rPr>
        <w:t xml:space="preserve">ffmc91 </w:t>
      </w:r>
      <w:r>
        <w:rPr>
          <w:rStyle w:val="OtherTok"/>
        </w:rPr>
        <w:t xml:space="preserve">&lt;-</w:t>
      </w:r>
      <w:r>
        <w:rPr>
          <w:rStyle w:val="NormalTok"/>
        </w:rPr>
        <w:t xml:space="preserve"> </w:t>
      </w:r>
      <w:r>
        <w:rPr>
          <w:rStyle w:val="FunctionTok"/>
        </w:rPr>
        <w:t xml:space="preserve">subset</w:t>
      </w:r>
      <w:r>
        <w:rPr>
          <w:rStyle w:val="NormalTok"/>
        </w:rPr>
        <w:t xml:space="preserve">(tp, Component </w:t>
      </w:r>
      <w:r>
        <w:rPr>
          <w:rStyle w:val="SpecialCharTok"/>
        </w:rPr>
        <w:t xml:space="preserve">==</w:t>
      </w:r>
      <w:r>
        <w:rPr>
          <w:rStyle w:val="NormalTok"/>
        </w:rPr>
        <w:t xml:space="preserve"> </w:t>
      </w:r>
      <w:r>
        <w:rPr>
          <w:rStyle w:val="StringTok"/>
        </w:rPr>
        <w:t xml:space="preserve">"FFMC"</w:t>
      </w:r>
      <w:r>
        <w:rPr>
          <w:rStyle w:val="NormalTok"/>
        </w:rPr>
        <w:t xml:space="preserve"> </w:t>
      </w:r>
      <w:r>
        <w:rPr>
          <w:rStyle w:val="SpecialCharTok"/>
        </w:rPr>
        <w:t xml:space="preserve">&amp;</w:t>
      </w:r>
      <w:r>
        <w:rPr>
          <w:rStyle w:val="NormalTok"/>
        </w:rPr>
        <w:t xml:space="preserve"> Threshold </w:t>
      </w:r>
      <w:r>
        <w:rPr>
          <w:rStyle w:val="SpecialCharTok"/>
        </w:rPr>
        <w:t xml:space="preserve">==</w:t>
      </w:r>
      <w:r>
        <w:rPr>
          <w:rStyle w:val="NormalTok"/>
        </w:rPr>
        <w:t xml:space="preserve"> </w:t>
      </w:r>
      <w:r>
        <w:rPr>
          <w:rStyle w:val="DecValTok"/>
        </w:rPr>
        <w:t xml:space="preserve">91</w:t>
      </w:r>
      <w:r>
        <w:rPr>
          <w:rStyle w:val="NormalTok"/>
        </w:rPr>
        <w:t xml:space="preserve">)</w:t>
      </w:r>
      <w:r>
        <w:br/>
      </w:r>
      <w:r>
        <w:rPr>
          <w:rStyle w:val="NormalTok"/>
        </w:rPr>
        <w:t xml:space="preserve">fwi19 </w:t>
      </w:r>
      <w:r>
        <w:rPr>
          <w:rStyle w:val="OtherTok"/>
        </w:rPr>
        <w:t xml:space="preserve">&lt;-</w:t>
      </w:r>
      <w:r>
        <w:rPr>
          <w:rStyle w:val="NormalTok"/>
        </w:rPr>
        <w:t xml:space="preserve"> </w:t>
      </w:r>
      <w:r>
        <w:rPr>
          <w:rStyle w:val="FunctionTok"/>
        </w:rPr>
        <w:t xml:space="preserve">subset</w:t>
      </w:r>
      <w:r>
        <w:rPr>
          <w:rStyle w:val="NormalTok"/>
        </w:rPr>
        <w:t xml:space="preserve">(tp, Component </w:t>
      </w:r>
      <w:r>
        <w:rPr>
          <w:rStyle w:val="SpecialCharTok"/>
        </w:rPr>
        <w:t xml:space="preserve">==</w:t>
      </w:r>
      <w:r>
        <w:rPr>
          <w:rStyle w:val="NormalTok"/>
        </w:rPr>
        <w:t xml:space="preserve"> </w:t>
      </w:r>
      <w:r>
        <w:rPr>
          <w:rStyle w:val="StringTok"/>
        </w:rPr>
        <w:t xml:space="preserve">"FWI"</w:t>
      </w:r>
      <w:r>
        <w:rPr>
          <w:rStyle w:val="NormalTok"/>
        </w:rPr>
        <w:t xml:space="preserve"> </w:t>
      </w:r>
      <w:r>
        <w:rPr>
          <w:rStyle w:val="SpecialCharTok"/>
        </w:rPr>
        <w:t xml:space="preserve">&amp;</w:t>
      </w:r>
      <w:r>
        <w:rPr>
          <w:rStyle w:val="NormalTok"/>
        </w:rPr>
        <w:t xml:space="preserve"> Threshold </w:t>
      </w:r>
      <w:r>
        <w:rPr>
          <w:rStyle w:val="SpecialCharTok"/>
        </w:rPr>
        <w:t xml:space="preserve">==</w:t>
      </w:r>
      <w:r>
        <w:rPr>
          <w:rStyle w:val="NormalTok"/>
        </w:rPr>
        <w:t xml:space="preserve"> </w:t>
      </w:r>
      <w:r>
        <w:rPr>
          <w:rStyle w:val="DecValTok"/>
        </w:rPr>
        <w:t xml:space="preserve">19</w:t>
      </w:r>
      <w:r>
        <w:rPr>
          <w:rStyle w:val="NormalTok"/>
        </w:rPr>
        <w:t xml:space="preserve">)</w:t>
      </w:r>
      <w:r>
        <w:br/>
      </w:r>
      <w:r>
        <w:rPr>
          <w:rStyle w:val="NormalTok"/>
        </w:rPr>
        <w:t xml:space="preserve">p_s1 </w:t>
      </w:r>
      <w:r>
        <w:rPr>
          <w:rStyle w:val="OtherTok"/>
        </w:rPr>
        <w:t xml:space="preserve">&lt;-</w:t>
      </w:r>
      <w:r>
        <w:rPr>
          <w:rStyle w:val="NormalTok"/>
        </w:rPr>
        <w:t xml:space="preserve"> ffmc91</w:t>
      </w:r>
      <w:r>
        <w:rPr>
          <w:rStyle w:val="SpecialCharTok"/>
        </w:rPr>
        <w:t xml:space="preserve">$</w:t>
      </w:r>
      <w:r>
        <w:rPr>
          <w:rStyle w:val="StringTok"/>
        </w:rPr>
        <w:t xml:space="preserve">`</w:t>
      </w:r>
      <w:r>
        <w:rPr>
          <w:rStyle w:val="AttributeTok"/>
        </w:rPr>
        <w:t xml:space="preserve">Percentile of threshold</w:t>
      </w:r>
      <w:r>
        <w:rPr>
          <w:rStyle w:val="StringTok"/>
        </w:rPr>
        <w:t xml:space="preserve">`</w:t>
      </w:r>
      <w:r>
        <w:rPr>
          <w:rStyle w:val="NormalTok"/>
        </w:rPr>
        <w:t xml:space="preserve">[</w:t>
      </w:r>
      <w:r>
        <w:rPr>
          <w:rStyle w:val="FunctionTok"/>
        </w:rPr>
        <w:t xml:space="preserve">grepl</w:t>
      </w:r>
      <w:r>
        <w:rPr>
          <w:rStyle w:val="NormalTok"/>
        </w:rPr>
        <w:t xml:space="preserve">(</w:t>
      </w:r>
      <w:r>
        <w:rPr>
          <w:rStyle w:val="StringTok"/>
        </w:rPr>
        <w:t xml:space="preserve">"S1"</w:t>
      </w:r>
      <w:r>
        <w:rPr>
          <w:rStyle w:val="NormalTok"/>
        </w:rPr>
        <w:t xml:space="preserve">, ffmc91</w:t>
      </w:r>
      <w:r>
        <w:rPr>
          <w:rStyle w:val="SpecialCharTok"/>
        </w:rPr>
        <w:t xml:space="preserve">$</w:t>
      </w:r>
      <w:r>
        <w:rPr>
          <w:rStyle w:val="NormalTok"/>
        </w:rPr>
        <w:t xml:space="preserve">Series)]</w:t>
      </w:r>
      <w:r>
        <w:br/>
      </w:r>
      <w:r>
        <w:rPr>
          <w:rStyle w:val="NormalTok"/>
        </w:rPr>
        <w:t xml:space="preserve">p_s2 </w:t>
      </w:r>
      <w:r>
        <w:rPr>
          <w:rStyle w:val="OtherTok"/>
        </w:rPr>
        <w:t xml:space="preserve">&lt;-</w:t>
      </w:r>
      <w:r>
        <w:rPr>
          <w:rStyle w:val="NormalTok"/>
        </w:rPr>
        <w:t xml:space="preserve"> ffmc91</w:t>
      </w:r>
      <w:r>
        <w:rPr>
          <w:rStyle w:val="SpecialCharTok"/>
        </w:rPr>
        <w:t xml:space="preserve">$</w:t>
      </w:r>
      <w:r>
        <w:rPr>
          <w:rStyle w:val="StringTok"/>
        </w:rPr>
        <w:t xml:space="preserve">`</w:t>
      </w:r>
      <w:r>
        <w:rPr>
          <w:rStyle w:val="AttributeTok"/>
        </w:rPr>
        <w:t xml:space="preserve">Percentile of threshold</w:t>
      </w:r>
      <w:r>
        <w:rPr>
          <w:rStyle w:val="StringTok"/>
        </w:rPr>
        <w:t xml:space="preserve">`</w:t>
      </w:r>
      <w:r>
        <w:rPr>
          <w:rStyle w:val="NormalTok"/>
        </w:rPr>
        <w:t xml:space="preserve">[</w:t>
      </w:r>
      <w:r>
        <w:rPr>
          <w:rStyle w:val="FunctionTok"/>
        </w:rPr>
        <w:t xml:space="preserve">grepl</w:t>
      </w:r>
      <w:r>
        <w:rPr>
          <w:rStyle w:val="NormalTok"/>
        </w:rPr>
        <w:t xml:space="preserve">(</w:t>
      </w:r>
      <w:r>
        <w:rPr>
          <w:rStyle w:val="StringTok"/>
        </w:rPr>
        <w:t xml:space="preserve">"S2"</w:t>
      </w:r>
      <w:r>
        <w:rPr>
          <w:rStyle w:val="NormalTok"/>
        </w:rPr>
        <w:t xml:space="preserve">, ffmc91</w:t>
      </w:r>
      <w:r>
        <w:rPr>
          <w:rStyle w:val="SpecialCharTok"/>
        </w:rPr>
        <w:t xml:space="preserve">$</w:t>
      </w:r>
      <w:r>
        <w:rPr>
          <w:rStyle w:val="NormalTok"/>
        </w:rPr>
        <w:t xml:space="preserve">Series)]</w:t>
      </w:r>
      <w:r>
        <w:br/>
      </w:r>
      <w:r>
        <w:rPr>
          <w:rStyle w:val="NormalTok"/>
        </w:rPr>
        <w:t xml:space="preserve">p_s3 </w:t>
      </w:r>
      <w:r>
        <w:rPr>
          <w:rStyle w:val="OtherTok"/>
        </w:rPr>
        <w:t xml:space="preserve">&lt;-</w:t>
      </w:r>
      <w:r>
        <w:rPr>
          <w:rStyle w:val="NormalTok"/>
        </w:rPr>
        <w:t xml:space="preserve"> ffmc91</w:t>
      </w:r>
      <w:r>
        <w:rPr>
          <w:rStyle w:val="SpecialCharTok"/>
        </w:rPr>
        <w:t xml:space="preserve">$</w:t>
      </w:r>
      <w:r>
        <w:rPr>
          <w:rStyle w:val="StringTok"/>
        </w:rPr>
        <w:t xml:space="preserve">`</w:t>
      </w:r>
      <w:r>
        <w:rPr>
          <w:rStyle w:val="AttributeTok"/>
        </w:rPr>
        <w:t xml:space="preserve">Percentile of threshold</w:t>
      </w:r>
      <w:r>
        <w:rPr>
          <w:rStyle w:val="StringTok"/>
        </w:rPr>
        <w:t xml:space="preserve">`</w:t>
      </w:r>
      <w:r>
        <w:rPr>
          <w:rStyle w:val="NormalTok"/>
        </w:rPr>
        <w:t xml:space="preserve">[</w:t>
      </w:r>
      <w:r>
        <w:rPr>
          <w:rStyle w:val="FunctionTok"/>
        </w:rPr>
        <w:t xml:space="preserve">grepl</w:t>
      </w:r>
      <w:r>
        <w:rPr>
          <w:rStyle w:val="NormalTok"/>
        </w:rPr>
        <w:t xml:space="preserve">(</w:t>
      </w:r>
      <w:r>
        <w:rPr>
          <w:rStyle w:val="StringTok"/>
        </w:rPr>
        <w:t xml:space="preserve">"S3"</w:t>
      </w:r>
      <w:r>
        <w:rPr>
          <w:rStyle w:val="NormalTok"/>
        </w:rPr>
        <w:t xml:space="preserve">, ffmc91</w:t>
      </w:r>
      <w:r>
        <w:rPr>
          <w:rStyle w:val="SpecialCharTok"/>
        </w:rPr>
        <w:t xml:space="preserve">$</w:t>
      </w:r>
      <w:r>
        <w:rPr>
          <w:rStyle w:val="NormalTok"/>
        </w:rPr>
        <w:t xml:space="preserve">Series)]</w:t>
      </w:r>
      <w:r>
        <w:br/>
      </w:r>
      <w:r>
        <w:rPr>
          <w:rStyle w:val="NormalTok"/>
        </w:rPr>
        <w:t xml:space="preserve">d_s1 </w:t>
      </w:r>
      <w:r>
        <w:rPr>
          <w:rStyle w:val="OtherTok"/>
        </w:rPr>
        <w:t xml:space="preserve">&lt;-</w:t>
      </w:r>
      <w:r>
        <w:rPr>
          <w:rStyle w:val="NormalTok"/>
        </w:rPr>
        <w:t xml:space="preserve"> ffmc91</w:t>
      </w:r>
      <w:r>
        <w:rPr>
          <w:rStyle w:val="SpecialCharTok"/>
        </w:rPr>
        <w:t xml:space="preserve">$</w:t>
      </w:r>
      <w:r>
        <w:rPr>
          <w:rStyle w:val="StringTok"/>
        </w:rPr>
        <w:t xml:space="preserve">`</w:t>
      </w:r>
      <w:r>
        <w:rPr>
          <w:rStyle w:val="AttributeTok"/>
        </w:rPr>
        <w:t xml:space="preserve">Days per season above</w:t>
      </w:r>
      <w:r>
        <w:rPr>
          <w:rStyle w:val="StringTok"/>
        </w:rPr>
        <w:t xml:space="preserve">`</w:t>
      </w:r>
      <w:r>
        <w:rPr>
          <w:rStyle w:val="NormalTok"/>
        </w:rPr>
        <w:t xml:space="preserve">[</w:t>
      </w:r>
      <w:r>
        <w:rPr>
          <w:rStyle w:val="FunctionTok"/>
        </w:rPr>
        <w:t xml:space="preserve">grepl</w:t>
      </w:r>
      <w:r>
        <w:rPr>
          <w:rStyle w:val="NormalTok"/>
        </w:rPr>
        <w:t xml:space="preserve">(</w:t>
      </w:r>
      <w:r>
        <w:rPr>
          <w:rStyle w:val="StringTok"/>
        </w:rPr>
        <w:t xml:space="preserve">"S1"</w:t>
      </w:r>
      <w:r>
        <w:rPr>
          <w:rStyle w:val="NormalTok"/>
        </w:rPr>
        <w:t xml:space="preserve">, ffmc91</w:t>
      </w:r>
      <w:r>
        <w:rPr>
          <w:rStyle w:val="SpecialCharTok"/>
        </w:rPr>
        <w:t xml:space="preserve">$</w:t>
      </w:r>
      <w:r>
        <w:rPr>
          <w:rStyle w:val="NormalTok"/>
        </w:rPr>
        <w:t xml:space="preserve">Series)]</w:t>
      </w:r>
      <w:r>
        <w:br/>
      </w:r>
      <w:r>
        <w:rPr>
          <w:rStyle w:val="NormalTok"/>
        </w:rPr>
        <w:t xml:space="preserve">d_s2 </w:t>
      </w:r>
      <w:r>
        <w:rPr>
          <w:rStyle w:val="OtherTok"/>
        </w:rPr>
        <w:t xml:space="preserve">&lt;-</w:t>
      </w:r>
      <w:r>
        <w:rPr>
          <w:rStyle w:val="NormalTok"/>
        </w:rPr>
        <w:t xml:space="preserve"> ffmc91</w:t>
      </w:r>
      <w:r>
        <w:rPr>
          <w:rStyle w:val="SpecialCharTok"/>
        </w:rPr>
        <w:t xml:space="preserve">$</w:t>
      </w:r>
      <w:r>
        <w:rPr>
          <w:rStyle w:val="StringTok"/>
        </w:rPr>
        <w:t xml:space="preserve">`</w:t>
      </w:r>
      <w:r>
        <w:rPr>
          <w:rStyle w:val="AttributeTok"/>
        </w:rPr>
        <w:t xml:space="preserve">Days per season above</w:t>
      </w:r>
      <w:r>
        <w:rPr>
          <w:rStyle w:val="StringTok"/>
        </w:rPr>
        <w:t xml:space="preserve">`</w:t>
      </w:r>
      <w:r>
        <w:rPr>
          <w:rStyle w:val="NormalTok"/>
        </w:rPr>
        <w:t xml:space="preserve">[</w:t>
      </w:r>
      <w:r>
        <w:rPr>
          <w:rStyle w:val="FunctionTok"/>
        </w:rPr>
        <w:t xml:space="preserve">grepl</w:t>
      </w:r>
      <w:r>
        <w:rPr>
          <w:rStyle w:val="NormalTok"/>
        </w:rPr>
        <w:t xml:space="preserve">(</w:t>
      </w:r>
      <w:r>
        <w:rPr>
          <w:rStyle w:val="StringTok"/>
        </w:rPr>
        <w:t xml:space="preserve">"S2"</w:t>
      </w:r>
      <w:r>
        <w:rPr>
          <w:rStyle w:val="NormalTok"/>
        </w:rPr>
        <w:t xml:space="preserve">, ffmc91</w:t>
      </w:r>
      <w:r>
        <w:rPr>
          <w:rStyle w:val="SpecialCharTok"/>
        </w:rPr>
        <w:t xml:space="preserve">$</w:t>
      </w:r>
      <w:r>
        <w:rPr>
          <w:rStyle w:val="NormalTok"/>
        </w:rPr>
        <w:t xml:space="preserve">Series)]</w:t>
      </w:r>
      <w:r>
        <w:br/>
      </w:r>
      <w:r>
        <w:rPr>
          <w:rStyle w:val="NormalTok"/>
        </w:rPr>
        <w:t xml:space="preserve">d_s3 </w:t>
      </w:r>
      <w:r>
        <w:rPr>
          <w:rStyle w:val="OtherTok"/>
        </w:rPr>
        <w:t xml:space="preserve">&lt;-</w:t>
      </w:r>
      <w:r>
        <w:rPr>
          <w:rStyle w:val="NormalTok"/>
        </w:rPr>
        <w:t xml:space="preserve"> ffmc91</w:t>
      </w:r>
      <w:r>
        <w:rPr>
          <w:rStyle w:val="SpecialCharTok"/>
        </w:rPr>
        <w:t xml:space="preserve">$</w:t>
      </w:r>
      <w:r>
        <w:rPr>
          <w:rStyle w:val="StringTok"/>
        </w:rPr>
        <w:t xml:space="preserve">`</w:t>
      </w:r>
      <w:r>
        <w:rPr>
          <w:rStyle w:val="AttributeTok"/>
        </w:rPr>
        <w:t xml:space="preserve">Days per season above</w:t>
      </w:r>
      <w:r>
        <w:rPr>
          <w:rStyle w:val="StringTok"/>
        </w:rPr>
        <w:t xml:space="preserve">`</w:t>
      </w:r>
      <w:r>
        <w:rPr>
          <w:rStyle w:val="NormalTok"/>
        </w:rPr>
        <w:t xml:space="preserve">[</w:t>
      </w:r>
      <w:r>
        <w:rPr>
          <w:rStyle w:val="FunctionTok"/>
        </w:rPr>
        <w:t xml:space="preserve">grepl</w:t>
      </w:r>
      <w:r>
        <w:rPr>
          <w:rStyle w:val="NormalTok"/>
        </w:rPr>
        <w:t xml:space="preserve">(</w:t>
      </w:r>
      <w:r>
        <w:rPr>
          <w:rStyle w:val="StringTok"/>
        </w:rPr>
        <w:t xml:space="preserve">"S3"</w:t>
      </w:r>
      <w:r>
        <w:rPr>
          <w:rStyle w:val="NormalTok"/>
        </w:rPr>
        <w:t xml:space="preserve">, ffmc91</w:t>
      </w:r>
      <w:r>
        <w:rPr>
          <w:rStyle w:val="SpecialCharTok"/>
        </w:rPr>
        <w:t xml:space="preserve">$</w:t>
      </w:r>
      <w:r>
        <w:rPr>
          <w:rStyle w:val="NormalTok"/>
        </w:rPr>
        <w:t xml:space="preserve">Series)]</w:t>
      </w:r>
    </w:p>
    <w:p>
      <w:pPr>
        <w:pStyle w:val="FirstParagraph"/>
      </w:pPr>
      <w:hyperlink w:anchor="tbl-thresholds">
        <w:r>
          <w:rPr>
            <w:rStyle w:val="Hyperlink"/>
          </w:rPr>
          <w:t xml:space="preserve">Table 6</w:t>
        </w:r>
      </w:hyperlink>
      <w:r>
        <w:t xml:space="preserve"> </w:t>
      </w:r>
      <w:r>
        <w:t xml:space="preserve">tests the comparability sentence of</w:t>
      </w:r>
      <w:r>
        <w:t xml:space="preserve"> </w:t>
      </w:r>
      <w:r>
        <w:t xml:space="preserve">Canadian Forest Service Fire Danger Group (2025)</w:t>
      </w:r>
      <w:r>
        <w:t xml:space="preserve"> </w:t>
      </w:r>
      <w:r>
        <w:t xml:space="preserve">directly. A Fine Fuel Moisture Code of 91 sat at the 65.1th percentile of the S1 distribution, the 66.2th of S2 and the 62.5th of S3, which in days per season above it was 57.2 under S1, 55.4 under S2 and 61.9 under S3.</w:t>
      </w:r>
    </w:p>
    <w:p>
      <w:pPr>
        <w:pStyle w:val="SourceCode"/>
      </w:pPr>
      <w:r>
        <w:rPr>
          <w:rStyle w:val="CommentTok"/>
        </w:rPr>
        <w:t xml:space="preserve"># The comparability claim is about where a value sits, so the reading is stated</w:t>
      </w:r>
      <w:r>
        <w:br/>
      </w:r>
      <w:r>
        <w:rPr>
          <w:rStyle w:val="CommentTok"/>
        </w:rPr>
        <w:t xml:space="preserve"># in the two units that matter and neither is rounded away: the percentile spread</w:t>
      </w:r>
      <w:r>
        <w:br/>
      </w:r>
      <w:r>
        <w:rPr>
          <w:rStyle w:val="CommentTok"/>
        </w:rPr>
        <w:t xml:space="preserve"># across series, and the difference in days per season an agency would count.</w:t>
      </w:r>
      <w:r>
        <w:br/>
      </w:r>
      <w:r>
        <w:rPr>
          <w:rStyle w:val="NormalTok"/>
        </w:rPr>
        <w:t xml:space="preserve">pct_spread </w:t>
      </w:r>
      <w:r>
        <w:rPr>
          <w:rStyle w:val="OtherTok"/>
        </w:rPr>
        <w:t xml:space="preserve">&lt;-</w:t>
      </w:r>
      <w:r>
        <w:rPr>
          <w:rStyle w:val="NormalTok"/>
        </w:rPr>
        <w:t xml:space="preserve"> </w:t>
      </w:r>
      <w:r>
        <w:rPr>
          <w:rStyle w:val="FunctionTok"/>
        </w:rPr>
        <w:t xml:space="preserve">max</w:t>
      </w:r>
      <w:r>
        <w:rPr>
          <w:rStyle w:val="NormalTok"/>
        </w:rPr>
        <w:t xml:space="preserve">(</w:t>
      </w:r>
      <w:r>
        <w:rPr>
          <w:rStyle w:val="FunctionTok"/>
        </w:rPr>
        <w:t xml:space="preserve">abs</w:t>
      </w:r>
      <w:r>
        <w:rPr>
          <w:rStyle w:val="NormalTok"/>
        </w:rPr>
        <w:t xml:space="preserve">(p_s3 </w:t>
      </w:r>
      <w:r>
        <w:rPr>
          <w:rStyle w:val="SpecialCharTok"/>
        </w:rPr>
        <w:t xml:space="preserve">-</w:t>
      </w:r>
      <w:r>
        <w:rPr>
          <w:rStyle w:val="NormalTok"/>
        </w:rPr>
        <w:t xml:space="preserve"> p_s1), </w:t>
      </w:r>
      <w:r>
        <w:rPr>
          <w:rStyle w:val="FunctionTok"/>
        </w:rPr>
        <w:t xml:space="preserve">abs</w:t>
      </w:r>
      <w:r>
        <w:rPr>
          <w:rStyle w:val="NormalTok"/>
        </w:rPr>
        <w:t xml:space="preserve">(p_s2 </w:t>
      </w:r>
      <w:r>
        <w:rPr>
          <w:rStyle w:val="SpecialCharTok"/>
        </w:rPr>
        <w:t xml:space="preserve">-</w:t>
      </w:r>
      <w:r>
        <w:rPr>
          <w:rStyle w:val="NormalTok"/>
        </w:rPr>
        <w:t xml:space="preserve"> p_s1))</w:t>
      </w:r>
      <w:r>
        <w:br/>
      </w:r>
      <w:r>
        <w:rPr>
          <w:rStyle w:val="NormalTok"/>
        </w:rPr>
        <w:t xml:space="preserve">day_gap </w:t>
      </w:r>
      <w:r>
        <w:rPr>
          <w:rStyle w:val="OtherTok"/>
        </w:rPr>
        <w:t xml:space="preserve">&lt;-</w:t>
      </w:r>
      <w:r>
        <w:rPr>
          <w:rStyle w:val="NormalTok"/>
        </w:rPr>
        <w:t xml:space="preserve"> d_s3 </w:t>
      </w:r>
      <w:r>
        <w:rPr>
          <w:rStyle w:val="SpecialCharTok"/>
        </w:rPr>
        <w:t xml:space="preserve">-</w:t>
      </w:r>
      <w:r>
        <w:rPr>
          <w:rStyle w:val="NormalTok"/>
        </w:rPr>
        <w:t xml:space="preserve"> d_s1</w:t>
      </w:r>
      <w:r>
        <w:br/>
      </w:r>
      <w:r>
        <w:rPr>
          <w:rStyle w:val="NormalTok"/>
        </w:rPr>
        <w:t xml:space="preserve">day_gap_pct </w:t>
      </w:r>
      <w:r>
        <w:rPr>
          <w:rStyle w:val="OtherTok"/>
        </w:rPr>
        <w:t xml:space="preserve">&lt;-</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day_gap </w:t>
      </w:r>
      <w:r>
        <w:rPr>
          <w:rStyle w:val="SpecialCharTok"/>
        </w:rPr>
        <w:t xml:space="preserve">/</w:t>
      </w:r>
      <w:r>
        <w:rPr>
          <w:rStyle w:val="NormalTok"/>
        </w:rPr>
        <w:t xml:space="preserve"> d_s1</w:t>
      </w:r>
    </w:p>
    <w:p>
      <w:pPr>
        <w:pStyle w:val="FirstParagraph"/>
      </w:pPr>
      <w:r>
        <w:t xml:space="preserve">The claim survived as a statement about levels and did not survive as a statement about counts. The three medians of the Fine Fuel Moisture Code over the reference period sat within about a unit of each other, so a value of 91 does mean much what it used to mean, but the same threshold selected 4.7 more days per season under S3 than under S1, a difference of 8 per cent, because the percentile it occupied moved by 2.6 points. Those are the same distributions, described two ways, and</w:t>
      </w:r>
      <w:r>
        <w:t xml:space="preserve"> </w:t>
      </w:r>
      <w:hyperlink w:anchor="fig-distributions">
        <w:r>
          <w:rPr>
            <w:rStyle w:val="Hyperlink"/>
          </w:rPr>
          <w:t xml:space="preserve">Figure 4</w:t>
        </w:r>
      </w:hyperlink>
      <w:r>
        <w:t xml:space="preserve"> </w:t>
      </w:r>
      <w:r>
        <w:t xml:space="preserve">shows why, in that the curves sit almost on top of one another through the middle and separate where the threshold is.</w:t>
      </w:r>
    </w:p>
    <w:p>
      <w:pPr>
        <w:pStyle w:val="SourceCode"/>
      </w:pPr>
      <w:r>
        <w:rPr>
          <w:rStyle w:val="NormalTok"/>
        </w:rPr>
        <w:t xml:space="preserve">op </w:t>
      </w:r>
      <w:r>
        <w:rPr>
          <w:rStyle w:val="OtherTok"/>
        </w:rPr>
        <w:t xml:space="preserve">&lt;-</w:t>
      </w:r>
      <w:r>
        <w:rPr>
          <w:rStyle w:val="NormalTok"/>
        </w:rPr>
        <w:t xml:space="preserve"> </w:t>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4</w:t>
      </w:r>
      <w:r>
        <w:rPr>
          <w:rStyle w:val="NormalTok"/>
        </w:rPr>
        <w:t xml:space="preserve">, </w:t>
      </w:r>
      <w:r>
        <w:rPr>
          <w:rStyle w:val="DecValTok"/>
        </w:rPr>
        <w:t xml:space="preserve">4</w:t>
      </w:r>
      <w:r>
        <w:rPr>
          <w:rStyle w:val="NormalTok"/>
        </w:rPr>
        <w:t xml:space="preserve">, </w:t>
      </w:r>
      <w:r>
        <w:rPr>
          <w:rStyle w:val="FloatTok"/>
        </w:rPr>
        <w:t xml:space="preserve">1.4</w:t>
      </w:r>
      <w:r>
        <w:rPr>
          <w:rStyle w:val="NormalTok"/>
        </w:rPr>
        <w:t xml:space="preserve">, </w:t>
      </w:r>
      <w:r>
        <w:rPr>
          <w:rStyle w:val="DecValTok"/>
        </w:rPr>
        <w:t xml:space="preserve">1</w:t>
      </w:r>
      <w:r>
        <w:rPr>
          <w:rStyle w:val="NormalTok"/>
        </w:rPr>
        <w:t xml:space="preserve">), </w:t>
      </w:r>
      <w:r>
        <w:rPr>
          <w:rStyle w:val="AttributeTok"/>
        </w:rPr>
        <w:t xml:space="preserve">mgp =</w:t>
      </w:r>
      <w:r>
        <w:rPr>
          <w:rStyle w:val="NormalTok"/>
        </w:rPr>
        <w:t xml:space="preserve"> </w:t>
      </w:r>
      <w:r>
        <w:rPr>
          <w:rStyle w:val="FunctionTok"/>
        </w:rPr>
        <w:t xml:space="preserve">c</w:t>
      </w:r>
      <w:r>
        <w:rPr>
          <w:rStyle w:val="NormalTok"/>
        </w:rPr>
        <w:t xml:space="preserve">(</w:t>
      </w:r>
      <w:r>
        <w:rPr>
          <w:rStyle w:val="FloatTok"/>
        </w:rPr>
        <w:t xml:space="preserve">2.4</w:t>
      </w:r>
      <w:r>
        <w:rPr>
          <w:rStyle w:val="NormalTok"/>
        </w:rPr>
        <w:t xml:space="preserve">, </w:t>
      </w:r>
      <w:r>
        <w:rPr>
          <w:rStyle w:val="FloatTok"/>
        </w:rPr>
        <w:t xml:space="preserve">0.7</w:t>
      </w:r>
      <w:r>
        <w:rPr>
          <w:rStyle w:val="NormalTok"/>
        </w:rPr>
        <w:t xml:space="preserve">, </w:t>
      </w:r>
      <w:r>
        <w:rPr>
          <w:rStyle w:val="DecValTok"/>
        </w:rPr>
        <w:t xml:space="preserve">0</w:t>
      </w:r>
      <w:r>
        <w:rPr>
          <w:rStyle w:val="NormalTok"/>
        </w:rPr>
        <w:t xml:space="preserve">), </w:t>
      </w:r>
      <w:r>
        <w:rPr>
          <w:rStyle w:val="AttributeTok"/>
        </w:rPr>
        <w:t xml:space="preserve">cex =</w:t>
      </w:r>
      <w:r>
        <w:rPr>
          <w:rStyle w:val="NormalTok"/>
        </w:rPr>
        <w:t xml:space="preserve"> </w:t>
      </w:r>
      <w:r>
        <w:rPr>
          <w:rStyle w:val="FloatTok"/>
        </w:rPr>
        <w:t xml:space="preserve">0.75</w:t>
      </w:r>
      <w:r>
        <w:rPr>
          <w:rStyle w:val="NormalTok"/>
        </w:rPr>
        <w:t xml:space="preserve">)</w:t>
      </w:r>
      <w:r>
        <w:br/>
      </w:r>
      <w:r>
        <w:rPr>
          <w:rStyle w:val="NormalTok"/>
        </w:rPr>
        <w:t xml:space="preserve">cols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s1 =</w:t>
      </w:r>
      <w:r>
        <w:rPr>
          <w:rStyle w:val="NormalTok"/>
        </w:rPr>
        <w:t xml:space="preserve"> </w:t>
      </w:r>
      <w:r>
        <w:rPr>
          <w:rStyle w:val="StringTok"/>
        </w:rPr>
        <w:t xml:space="preserve">"#1B4F72"</w:t>
      </w:r>
      <w:r>
        <w:rPr>
          <w:rStyle w:val="NormalTok"/>
        </w:rPr>
        <w:t xml:space="preserve">, </w:t>
      </w:r>
      <w:r>
        <w:rPr>
          <w:rStyle w:val="AttributeTok"/>
        </w:rPr>
        <w:t xml:space="preserve">s2 =</w:t>
      </w:r>
      <w:r>
        <w:rPr>
          <w:rStyle w:val="NormalTok"/>
        </w:rPr>
        <w:t xml:space="preserve"> </w:t>
      </w:r>
      <w:r>
        <w:rPr>
          <w:rStyle w:val="StringTok"/>
        </w:rPr>
        <w:t xml:space="preserve">"#B7950B"</w:t>
      </w:r>
      <w:r>
        <w:rPr>
          <w:rStyle w:val="NormalTok"/>
        </w:rPr>
        <w:t xml:space="preserve">, </w:t>
      </w:r>
      <w:r>
        <w:rPr>
          <w:rStyle w:val="AttributeTok"/>
        </w:rPr>
        <w:t xml:space="preserve">s3 =</w:t>
      </w:r>
      <w:r>
        <w:rPr>
          <w:rStyle w:val="NormalTok"/>
        </w:rPr>
        <w:t xml:space="preserve"> </w:t>
      </w:r>
      <w:r>
        <w:rPr>
          <w:rStyle w:val="StringTok"/>
        </w:rPr>
        <w:t xml:space="preserve">"#943126"</w:t>
      </w:r>
      <w:r>
        <w:rPr>
          <w:rStyle w:val="NormalTok"/>
        </w:rPr>
        <w:t xml:space="preserve">)</w:t>
      </w:r>
      <w:r>
        <w:br/>
      </w:r>
      <w:r>
        <w:br/>
      </w:r>
      <w:r>
        <w:rPr>
          <w:rStyle w:val="NormalTok"/>
        </w:rPr>
        <w:t xml:space="preserve">plot_dens </w:t>
      </w:r>
      <w:r>
        <w:rPr>
          <w:rStyle w:val="OtherTok"/>
        </w:rPr>
        <w:t xml:space="preserve">&lt;-</w:t>
      </w:r>
      <w:r>
        <w:rPr>
          <w:rStyle w:val="NormalTok"/>
        </w:rPr>
        <w:t xml:space="preserve"> </w:t>
      </w:r>
      <w:r>
        <w:rPr>
          <w:rStyle w:val="ControlFlowTok"/>
        </w:rPr>
        <w:t xml:space="preserve">function</w:t>
      </w:r>
      <w:r>
        <w:rPr>
          <w:rStyle w:val="NormalTok"/>
        </w:rPr>
        <w:t xml:space="preserve">(cols_prefix, xlab, cuts, xlim) {</w:t>
      </w:r>
      <w:r>
        <w:br/>
      </w:r>
      <w:r>
        <w:rPr>
          <w:rStyle w:val="NormalTok"/>
        </w:rPr>
        <w:t xml:space="preserve">  dens </w:t>
      </w:r>
      <w:r>
        <w:rPr>
          <w:rStyle w:val="OtherTok"/>
        </w:rPr>
        <w:t xml:space="preserve">&lt;-</w:t>
      </w:r>
      <w:r>
        <w:rPr>
          <w:rStyle w:val="NormalTok"/>
        </w:rPr>
        <w:t xml:space="preserve"> </w:t>
      </w:r>
      <w:r>
        <w:rPr>
          <w:rStyle w:val="FunctionTok"/>
        </w:rPr>
        <w:t xml:space="preserve">lapply</w:t>
      </w:r>
      <w:r>
        <w:rPr>
          <w:rStyle w:val="NormalTok"/>
        </w:rPr>
        <w:t xml:space="preserve">(</w:t>
      </w:r>
      <w:r>
        <w:rPr>
          <w:rStyle w:val="FunctionTok"/>
        </w:rPr>
        <w:t xml:space="preserve">names</w:t>
      </w:r>
      <w:r>
        <w:rPr>
          <w:rStyle w:val="NormalTok"/>
        </w:rPr>
        <w:t xml:space="preserve">(cols), </w:t>
      </w:r>
      <w:r>
        <w:rPr>
          <w:rStyle w:val="ControlFlowTok"/>
        </w:rPr>
        <w:t xml:space="preserve">function</w:t>
      </w:r>
      <w:r>
        <w:rPr>
          <w:rStyle w:val="NormalTok"/>
        </w:rPr>
        <w:t xml:space="preserve">(s) {</w:t>
      </w:r>
      <w:r>
        <w:br/>
      </w:r>
      <w:r>
        <w:rPr>
          <w:rStyle w:val="NormalTok"/>
        </w:rPr>
        <w:t xml:space="preserve">    v </w:t>
      </w:r>
      <w:r>
        <w:rPr>
          <w:rStyle w:val="OtherTok"/>
        </w:rPr>
        <w:t xml:space="preserve">&lt;-</w:t>
      </w:r>
      <w:r>
        <w:rPr>
          <w:rStyle w:val="NormalTok"/>
        </w:rPr>
        <w:t xml:space="preserve"> series_daily[[</w:t>
      </w:r>
      <w:r>
        <w:rPr>
          <w:rStyle w:val="FunctionTok"/>
        </w:rPr>
        <w:t xml:space="preserve">paste0</w:t>
      </w:r>
      <w:r>
        <w:rPr>
          <w:rStyle w:val="NormalTok"/>
        </w:rPr>
        <w:t xml:space="preserve">(s, </w:t>
      </w:r>
      <w:r>
        <w:rPr>
          <w:rStyle w:val="StringTok"/>
        </w:rPr>
        <w:t xml:space="preserve">"_"</w:t>
      </w:r>
      <w:r>
        <w:rPr>
          <w:rStyle w:val="NormalTok"/>
        </w:rPr>
        <w:t xml:space="preserve">, cols_prefix)]]</w:t>
      </w:r>
      <w:r>
        <w:br/>
      </w:r>
      <w:r>
        <w:rPr>
          <w:rStyle w:val="NormalTok"/>
        </w:rPr>
        <w:t xml:space="preserve">    </w:t>
      </w:r>
      <w:r>
        <w:rPr>
          <w:rStyle w:val="FunctionTok"/>
        </w:rPr>
        <w:t xml:space="preserve">density</w:t>
      </w:r>
      <w:r>
        <w:rPr>
          <w:rStyle w:val="NormalTok"/>
        </w:rPr>
        <w:t xml:space="preserve">(v[</w:t>
      </w:r>
      <w:r>
        <w:rPr>
          <w:rStyle w:val="FunctionTok"/>
        </w:rPr>
        <w:t xml:space="preserve">is.finite</w:t>
      </w:r>
      <w:r>
        <w:rPr>
          <w:rStyle w:val="NormalTok"/>
        </w:rPr>
        <w:t xml:space="preserve">(v)],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ymax </w:t>
      </w:r>
      <w:r>
        <w:rPr>
          <w:rStyle w:val="OtherTok"/>
        </w:rPr>
        <w:t xml:space="preserve">&lt;-</w:t>
      </w:r>
      <w:r>
        <w:rPr>
          <w:rStyle w:val="NormalTok"/>
        </w:rPr>
        <w:t xml:space="preserve"> </w:t>
      </w:r>
      <w:r>
        <w:rPr>
          <w:rStyle w:val="FunctionTok"/>
        </w:rPr>
        <w:t xml:space="preserve">max</w:t>
      </w:r>
      <w:r>
        <w:rPr>
          <w:rStyle w:val="NormalTok"/>
        </w:rPr>
        <w:t xml:space="preserve">(</w:t>
      </w:r>
      <w:r>
        <w:rPr>
          <w:rStyle w:val="FunctionTok"/>
        </w:rPr>
        <w:t xml:space="preserve">vapply</w:t>
      </w:r>
      <w:r>
        <w:rPr>
          <w:rStyle w:val="NormalTok"/>
        </w:rPr>
        <w:t xml:space="preserve">(dens, </w:t>
      </w:r>
      <w:r>
        <w:rPr>
          <w:rStyle w:val="ControlFlowTok"/>
        </w:rPr>
        <w:t xml:space="preserve">function</w:t>
      </w:r>
      <w:r>
        <w:rPr>
          <w:rStyle w:val="NormalTok"/>
        </w:rPr>
        <w:t xml:space="preserve">(d) </w:t>
      </w:r>
      <w:r>
        <w:rPr>
          <w:rStyle w:val="FunctionTok"/>
        </w:rPr>
        <w:t xml:space="preserve">max</w:t>
      </w:r>
      <w:r>
        <w:rPr>
          <w:rStyle w:val="NormalTok"/>
        </w:rPr>
        <w:t xml:space="preserve">(d</w:t>
      </w:r>
      <w:r>
        <w:rPr>
          <w:rStyle w:val="SpecialCharTok"/>
        </w:rPr>
        <w:t xml:space="preserve">$</w:t>
      </w:r>
      <w:r>
        <w:rPr>
          <w:rStyle w:val="NormalTok"/>
        </w:rPr>
        <w:t xml:space="preserve">y),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rPr>
          <w:rStyle w:val="FunctionTok"/>
        </w:rPr>
        <w:t xml:space="preserve">plot</w:t>
      </w:r>
      <w:r>
        <w:rPr>
          <w:rStyle w:val="NormalTok"/>
        </w:rPr>
        <w:t xml:space="preserve">(</w:t>
      </w:r>
      <w:r>
        <w:rPr>
          <w:rStyle w:val="ConstantTok"/>
        </w:rPr>
        <w:t xml:space="preserve">NA</w:t>
      </w:r>
      <w:r>
        <w:rPr>
          <w:rStyle w:val="NormalTok"/>
        </w:rPr>
        <w:t xml:space="preserve">, </w:t>
      </w:r>
      <w:r>
        <w:rPr>
          <w:rStyle w:val="AttributeTok"/>
        </w:rPr>
        <w:t xml:space="preserve">xlim =</w:t>
      </w:r>
      <w:r>
        <w:rPr>
          <w:rStyle w:val="NormalTok"/>
        </w:rPr>
        <w:t xml:space="preserve"> xlim,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ymax </w:t>
      </w:r>
      <w:r>
        <w:rPr>
          <w:rStyle w:val="SpecialCharTok"/>
        </w:rPr>
        <w:t xml:space="preserve">*</w:t>
      </w:r>
      <w:r>
        <w:rPr>
          <w:rStyle w:val="NormalTok"/>
        </w:rPr>
        <w:t xml:space="preserve"> </w:t>
      </w:r>
      <w:r>
        <w:rPr>
          <w:rStyle w:val="FloatTok"/>
        </w:rPr>
        <w:t xml:space="preserve">1.05</w:t>
      </w:r>
      <w:r>
        <w:rPr>
          <w:rStyle w:val="NormalTok"/>
        </w:rPr>
        <w:t xml:space="preserve">), </w:t>
      </w:r>
      <w:r>
        <w:rPr>
          <w:rStyle w:val="AttributeTok"/>
        </w:rPr>
        <w:t xml:space="preserve">xlab =</w:t>
      </w:r>
      <w:r>
        <w:rPr>
          <w:rStyle w:val="NormalTok"/>
        </w:rPr>
        <w:t xml:space="preserve"> xlab,</w:t>
      </w:r>
      <w:r>
        <w:br/>
      </w:r>
      <w:r>
        <w:rPr>
          <w:rStyle w:val="NormalTok"/>
        </w:rPr>
        <w:t xml:space="preserve">       </w:t>
      </w:r>
      <w:r>
        <w:rPr>
          <w:rStyle w:val="AttributeTok"/>
        </w:rPr>
        <w:t xml:space="preserve">ylab =</w:t>
      </w:r>
      <w:r>
        <w:rPr>
          <w:rStyle w:val="NormalTok"/>
        </w:rPr>
        <w:t xml:space="preserve"> </w:t>
      </w:r>
      <w:r>
        <w:rPr>
          <w:rStyle w:val="StringTok"/>
        </w:rPr>
        <w:t xml:space="preserve">"Density"</w:t>
      </w:r>
      <w:r>
        <w:rPr>
          <w:rStyle w:val="NormalTok"/>
        </w:rPr>
        <w:t xml:space="preserve">, </w:t>
      </w:r>
      <w:r>
        <w:rPr>
          <w:rStyle w:val="AttributeTok"/>
        </w:rPr>
        <w:t xml:space="preserve">main =</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seq_along</w:t>
      </w:r>
      <w:r>
        <w:rPr>
          <w:rStyle w:val="NormalTok"/>
        </w:rPr>
        <w:t xml:space="preserve">(dens)) </w:t>
      </w:r>
      <w:r>
        <w:rPr>
          <w:rStyle w:val="FunctionTok"/>
        </w:rPr>
        <w:t xml:space="preserve">lines</w:t>
      </w:r>
      <w:r>
        <w:rPr>
          <w:rStyle w:val="NormalTok"/>
        </w:rPr>
        <w:t xml:space="preserve">(dens[[i]], </w:t>
      </w:r>
      <w:r>
        <w:rPr>
          <w:rStyle w:val="AttributeTok"/>
        </w:rPr>
        <w:t xml:space="preserve">col =</w:t>
      </w:r>
      <w:r>
        <w:rPr>
          <w:rStyle w:val="NormalTok"/>
        </w:rPr>
        <w:t xml:space="preserve"> cols[i], </w:t>
      </w:r>
      <w:r>
        <w:rPr>
          <w:rStyle w:val="AttributeTok"/>
        </w:rPr>
        <w:t xml:space="preserve">lwd =</w:t>
      </w:r>
      <w:r>
        <w:rPr>
          <w:rStyle w:val="NormalTok"/>
        </w:rPr>
        <w:t xml:space="preserve"> </w:t>
      </w:r>
      <w:r>
        <w:rPr>
          <w:rStyle w:val="FloatTok"/>
        </w:rPr>
        <w:t xml:space="preserve">1.8</w:t>
      </w:r>
      <w:r>
        <w:rPr>
          <w:rStyle w:val="NormalTok"/>
        </w:rPr>
        <w:t xml:space="preserve">)</w:t>
      </w:r>
      <w:r>
        <w:br/>
      </w:r>
      <w:r>
        <w:rPr>
          <w:rStyle w:val="NormalTok"/>
        </w:rPr>
        <w:t xml:space="preserve">  </w:t>
      </w:r>
      <w:r>
        <w:rPr>
          <w:rStyle w:val="FunctionTok"/>
        </w:rPr>
        <w:t xml:space="preserve">abline</w:t>
      </w:r>
      <w:r>
        <w:rPr>
          <w:rStyle w:val="NormalTok"/>
        </w:rPr>
        <w:t xml:space="preserve">(</w:t>
      </w:r>
      <w:r>
        <w:rPr>
          <w:rStyle w:val="AttributeTok"/>
        </w:rPr>
        <w:t xml:space="preserve">v =</w:t>
      </w:r>
      <w:r>
        <w:rPr>
          <w:rStyle w:val="NormalTok"/>
        </w:rPr>
        <w:t xml:space="preserve"> cuts, </w:t>
      </w:r>
      <w:r>
        <w:rPr>
          <w:rStyle w:val="AttributeTok"/>
        </w:rPr>
        <w:t xml:space="preserve">lty =</w:t>
      </w:r>
      <w:r>
        <w:rPr>
          <w:rStyle w:val="NormalTok"/>
        </w:rPr>
        <w:t xml:space="preserve"> </w:t>
      </w:r>
      <w:r>
        <w:rPr>
          <w:rStyle w:val="DecValTok"/>
        </w:rPr>
        <w:t xml:space="preserve">3</w:t>
      </w:r>
      <w:r>
        <w:rPr>
          <w:rStyle w:val="NormalTok"/>
        </w:rPr>
        <w:t xml:space="preserve">, </w:t>
      </w:r>
      <w:r>
        <w:rPr>
          <w:rStyle w:val="AttributeTok"/>
        </w:rPr>
        <w:t xml:space="preserve">col =</w:t>
      </w:r>
      <w:r>
        <w:rPr>
          <w:rStyle w:val="NormalTok"/>
        </w:rPr>
        <w:t xml:space="preserve"> </w:t>
      </w:r>
      <w:r>
        <w:rPr>
          <w:rStyle w:val="StringTok"/>
        </w:rPr>
        <w:t xml:space="preserve">"grey30"</w:t>
      </w:r>
      <w:r>
        <w:rPr>
          <w:rStyle w:val="NormalTok"/>
        </w:rPr>
        <w:t xml:space="preserve">)</w:t>
      </w:r>
      <w:r>
        <w:br/>
      </w:r>
      <w:r>
        <w:rPr>
          <w:rStyle w:val="NormalTok"/>
        </w:rPr>
        <w:t xml:space="preserve">  </w:t>
      </w:r>
      <w:r>
        <w:rPr>
          <w:rStyle w:val="FunctionTok"/>
        </w:rPr>
        <w:t xml:space="preserve">legend</w:t>
      </w:r>
      <w:r>
        <w:rPr>
          <w:rStyle w:val="NormalTok"/>
        </w:rPr>
        <w:t xml:space="preserve">(</w:t>
      </w:r>
      <w:r>
        <w:rPr>
          <w:rStyle w:val="StringTok"/>
        </w:rPr>
        <w:t xml:space="preserve">"topleft"</w:t>
      </w:r>
      <w:r>
        <w:rPr>
          <w:rStyle w:val="NormalTok"/>
        </w:rPr>
        <w:t xml:space="preserve">, </w:t>
      </w:r>
      <w:r>
        <w:rPr>
          <w:rStyle w:val="AttributeTok"/>
        </w:rPr>
        <w:t xml:space="preserve">legend =</w:t>
      </w:r>
      <w:r>
        <w:rPr>
          <w:rStyle w:val="NormalTok"/>
        </w:rPr>
        <w:t xml:space="preserve"> </w:t>
      </w:r>
      <w:r>
        <w:rPr>
          <w:rStyle w:val="FunctionTok"/>
        </w:rPr>
        <w:t xml:space="preserve">unname</w:t>
      </w:r>
      <w:r>
        <w:rPr>
          <w:rStyle w:val="NormalTok"/>
        </w:rPr>
        <w:t xml:space="preserve">(SERIES), </w:t>
      </w:r>
      <w:r>
        <w:rPr>
          <w:rStyle w:val="AttributeTok"/>
        </w:rPr>
        <w:t xml:space="preserve">col =</w:t>
      </w:r>
      <w:r>
        <w:rPr>
          <w:rStyle w:val="NormalTok"/>
        </w:rPr>
        <w:t xml:space="preserve"> cols, </w:t>
      </w:r>
      <w:r>
        <w:rPr>
          <w:rStyle w:val="AttributeTok"/>
        </w:rPr>
        <w:t xml:space="preserve">lwd =</w:t>
      </w:r>
      <w:r>
        <w:rPr>
          <w:rStyle w:val="NormalTok"/>
        </w:rPr>
        <w:t xml:space="preserve"> </w:t>
      </w:r>
      <w:r>
        <w:rPr>
          <w:rStyle w:val="FloatTok"/>
        </w:rPr>
        <w:t xml:space="preserve">1.8</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w:t>
      </w:r>
      <w:r>
        <w:br/>
      </w:r>
      <w:r>
        <w:rPr>
          <w:rStyle w:val="NormalTok"/>
        </w:rPr>
        <w:t xml:space="preserve">         </w:t>
      </w:r>
      <w:r>
        <w:rPr>
          <w:rStyle w:val="AttributeTok"/>
        </w:rPr>
        <w:t xml:space="preserve">cex =</w:t>
      </w:r>
      <w:r>
        <w:rPr>
          <w:rStyle w:val="NormalTok"/>
        </w:rPr>
        <w:t xml:space="preserve"> </w:t>
      </w:r>
      <w:r>
        <w:rPr>
          <w:rStyle w:val="FloatTok"/>
        </w:rPr>
        <w:t xml:space="preserve">0.72</w:t>
      </w:r>
      <w:r>
        <w:rPr>
          <w:rStyle w:val="NormalTok"/>
        </w:rPr>
        <w:t xml:space="preserve">)</w:t>
      </w:r>
      <w:r>
        <w:br/>
      </w:r>
      <w:r>
        <w:rPr>
          <w:rStyle w:val="NormalTok"/>
        </w:rPr>
        <w:t xml:space="preserve">}</w:t>
      </w:r>
      <w:r>
        <w:br/>
      </w:r>
      <w:r>
        <w:rPr>
          <w:rStyle w:val="FunctionTok"/>
        </w:rPr>
        <w:t xml:space="preserve">plot_dens</w:t>
      </w:r>
      <w:r>
        <w:rPr>
          <w:rStyle w:val="NormalTok"/>
        </w:rPr>
        <w:t xml:space="preserve">(</w:t>
      </w:r>
      <w:r>
        <w:rPr>
          <w:rStyle w:val="StringTok"/>
        </w:rPr>
        <w:t xml:space="preserve">"ffmc"</w:t>
      </w:r>
      <w:r>
        <w:rPr>
          <w:rStyle w:val="NormalTok"/>
        </w:rPr>
        <w:t xml:space="preserve">, </w:t>
      </w:r>
      <w:r>
        <w:rPr>
          <w:rStyle w:val="StringTok"/>
        </w:rPr>
        <w:t xml:space="preserve">"Fine Fuel Moisture Code"</w:t>
      </w:r>
      <w:r>
        <w:rPr>
          <w:rStyle w:val="NormalTok"/>
        </w:rPr>
        <w:t xml:space="preserve">, </w:t>
      </w:r>
      <w:r>
        <w:rPr>
          <w:rStyle w:val="DecValTok"/>
        </w:rPr>
        <w:t xml:space="preserve">91</w:t>
      </w:r>
      <w:r>
        <w:rPr>
          <w:rStyle w:val="NormalTok"/>
        </w:rPr>
        <w:t xml:space="preserve">, </w:t>
      </w:r>
      <w:r>
        <w:rPr>
          <w:rStyle w:val="FunctionTok"/>
        </w:rPr>
        <w:t xml:space="preserve">c</w:t>
      </w:r>
      <w:r>
        <w:rPr>
          <w:rStyle w:val="NormalTok"/>
        </w:rPr>
        <w:t xml:space="preserve">(</w:t>
      </w:r>
      <w:r>
        <w:rPr>
          <w:rStyle w:val="DecValTok"/>
        </w:rPr>
        <w:t xml:space="preserve">40</w:t>
      </w:r>
      <w:r>
        <w:rPr>
          <w:rStyle w:val="NormalTok"/>
        </w:rPr>
        <w:t xml:space="preserve">, </w:t>
      </w:r>
      <w:r>
        <w:rPr>
          <w:rStyle w:val="DecValTok"/>
        </w:rPr>
        <w:t xml:space="preserve">101</w:t>
      </w:r>
      <w:r>
        <w:rPr>
          <w:rStyle w:val="NormalTok"/>
        </w:rPr>
        <w:t xml:space="preserve">))</w:t>
      </w:r>
      <w:r>
        <w:br/>
      </w:r>
      <w:r>
        <w:rPr>
          <w:rStyle w:val="FunctionTok"/>
        </w:rPr>
        <w:t xml:space="preserve">plot_dens</w:t>
      </w:r>
      <w:r>
        <w:rPr>
          <w:rStyle w:val="NormalTok"/>
        </w:rPr>
        <w:t xml:space="preserve">(</w:t>
      </w:r>
      <w:r>
        <w:rPr>
          <w:rStyle w:val="StringTok"/>
        </w:rPr>
        <w:t xml:space="preserve">"fwi"</w:t>
      </w:r>
      <w:r>
        <w:rPr>
          <w:rStyle w:val="NormalTok"/>
        </w:rPr>
        <w:t xml:space="preserve">, </w:t>
      </w:r>
      <w:r>
        <w:rPr>
          <w:rStyle w:val="StringTok"/>
        </w:rPr>
        <w:t xml:space="preserve">"Fire Weather Index"</w:t>
      </w:r>
      <w:r>
        <w:rPr>
          <w:rStyle w:val="NormalTok"/>
        </w:rPr>
        <w:t xml:space="preserve">, </w:t>
      </w:r>
      <w:r>
        <w:rPr>
          <w:rStyle w:val="FunctionTok"/>
        </w:rPr>
        <w:t xml:space="preserve">c</w:t>
      </w:r>
      <w:r>
        <w:rPr>
          <w:rStyle w:val="NormalTok"/>
        </w:rPr>
        <w:t xml:space="preserve">(</w:t>
      </w:r>
      <w:r>
        <w:rPr>
          <w:rStyle w:val="DecValTok"/>
        </w:rPr>
        <w:t xml:space="preserve">19</w:t>
      </w:r>
      <w:r>
        <w:rPr>
          <w:rStyle w:val="NormalTok"/>
        </w:rPr>
        <w:t xml:space="preserve">, </w:t>
      </w:r>
      <w:r>
        <w:rPr>
          <w:rStyle w:val="DecValTok"/>
        </w:rPr>
        <w:t xml:space="preserve">30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60</w:t>
      </w:r>
      <w:r>
        <w:rPr>
          <w:rStyle w:val="NormalTok"/>
        </w:rPr>
        <w:t xml:space="preserve">))</w:t>
      </w:r>
      <w:r>
        <w:br/>
      </w:r>
      <w:r>
        <w:rPr>
          <w:rStyle w:val="FunctionTok"/>
        </w:rPr>
        <w:t xml:space="preserve">par</w:t>
      </w:r>
      <w:r>
        <w:rPr>
          <w:rStyle w:val="NormalTok"/>
        </w:rPr>
        <w:t xml:space="preserve">(op)</w:t>
      </w:r>
    </w:p>
    <w:tbl>
      <w:tblPr>
        <w:tblStyle w:val="Table"/>
        <w:tblW w:type="pct" w:w="5000"/>
        <w:tblLayout w:type="fixed"/>
        <w:tblLook w:firstRow="0" w:lastRow="0" w:firstColumn="0" w:lastColumn="0" w:noHBand="0" w:noVBand="0" w:val="0000"/>
      </w:tblPr>
      <w:tblGrid>
        <w:gridCol w:w="7920"/>
      </w:tblGrid>
      <w:tr>
        <w:tc>
          <w:tcPr/>
          <w:bookmarkStart w:id="55" w:name="fig-distributions"/>
          <w:p>
            <w:pPr>
              <w:pStyle w:val="Compact"/>
              <w:jc w:val="center"/>
            </w:pPr>
            <w:r>
              <w:drawing>
                <wp:inline>
                  <wp:extent cx="5943600" cy="3840480"/>
                  <wp:effectExtent b="0" l="0" r="0" t="0"/>
                  <wp:docPr descr="" title="" id="53" name="Picture"/>
                  <a:graphic>
                    <a:graphicData uri="http://schemas.openxmlformats.org/drawingml/2006/picture">
                      <pic:pic>
                        <pic:nvPicPr>
                          <pic:cNvPr descr="../03.outputs/figures/mfig-fig-distributions-1.png" id="54" name="Picture"/>
                          <pic:cNvPicPr>
                            <a:picLocks noChangeArrowheads="1" noChangeAspect="1"/>
                          </pic:cNvPicPr>
                        </pic:nvPicPr>
                        <pic:blipFill>
                          <a:blip r:embed="rId52"/>
                          <a:stretch>
                            <a:fillRect/>
                          </a:stretch>
                        </pic:blipFill>
                        <pic:spPr bwMode="auto">
                          <a:xfrm>
                            <a:off x="0" y="0"/>
                            <a:ext cx="5943600" cy="38404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Distribution of the daily Fine Fuel Moisture Code and the daily Fire Weather Index over all kept station-days under the three series, with the absolute thresholds marked. The comparability claim of the 2025 report concerns the position of a value on the scale; an extreme-day count concerns the mass beyond a threshold, which is a different quantity.</w:t>
            </w:r>
          </w:p>
          <w:bookmarkEnd w:id="55"/>
        </w:tc>
      </w:tr>
    </w:tbl>
    <w:bookmarkEnd w:id="56"/>
    <w:bookmarkStart w:id="62" w:name="mechanism"/>
    <w:p>
      <w:pPr>
        <w:pStyle w:val="Heading2"/>
      </w:pPr>
      <w:r>
        <w:t xml:space="preserve">4.3 Mechanism</w:t>
      </w:r>
    </w:p>
    <w:p>
      <w:pPr>
        <w:pStyle w:val="SourceCode"/>
      </w:pPr>
      <w:r>
        <w:rPr>
          <w:rStyle w:val="NormalTok"/>
        </w:rPr>
        <w:t xml:space="preserve">ex </w:t>
      </w:r>
      <w:r>
        <w:rPr>
          <w:rStyle w:val="OtherTok"/>
        </w:rPr>
        <w:t xml:space="preserve">&lt;-</w:t>
      </w:r>
      <w:r>
        <w:rPr>
          <w:rStyle w:val="NormalTok"/>
        </w:rPr>
        <w:t xml:space="preserve"> </w:t>
      </w:r>
      <w:r>
        <w:rPr>
          <w:rStyle w:val="FunctionTok"/>
        </w:rPr>
        <w:t xml:space="preserve">read.csv</w:t>
      </w:r>
      <w:r>
        <w:rPr>
          <w:rStyle w:val="NormalTok"/>
        </w:rPr>
        <w:t xml:space="preserve">(</w:t>
      </w:r>
      <w:r>
        <w:rPr>
          <w:rStyle w:val="FunctionTok"/>
        </w:rPr>
        <w:t xml:space="preserve">file.path</w:t>
      </w:r>
      <w:r>
        <w:rPr>
          <w:rStyle w:val="NormalTok"/>
        </w:rPr>
        <w:t xml:space="preserve">(derived, </w:t>
      </w:r>
      <w:r>
        <w:rPr>
          <w:rStyle w:val="StringTok"/>
        </w:rPr>
        <w:t xml:space="preserve">"example-season-hourly.csv"</w:t>
      </w:r>
      <w:r>
        <w:rPr>
          <w:rStyle w:val="NormalTok"/>
        </w:rPr>
        <w:t xml:space="preserve">),</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rPr>
          <w:rStyle w:val="NormalTok"/>
        </w:rPr>
        <w:t xml:space="preserve">ex</w:t>
      </w:r>
      <w:r>
        <w:rPr>
          <w:rStyle w:val="SpecialCharTok"/>
        </w:rPr>
        <w:t xml:space="preserve">$</w:t>
      </w:r>
      <w:r>
        <w:rPr>
          <w:rStyle w:val="NormalTok"/>
        </w:rPr>
        <w:t xml:space="preserve">t </w:t>
      </w:r>
      <w:r>
        <w:rPr>
          <w:rStyle w:val="OtherTok"/>
        </w:rPr>
        <w:t xml:space="preserve">&lt;-</w:t>
      </w:r>
      <w:r>
        <w:rPr>
          <w:rStyle w:val="NormalTok"/>
        </w:rPr>
        <w:t xml:space="preserve"> </w:t>
      </w:r>
      <w:r>
        <w:rPr>
          <w:rStyle w:val="FunctionTok"/>
        </w:rPr>
        <w:t xml:space="preserve">as.POSIXct</w:t>
      </w:r>
      <w:r>
        <w:rPr>
          <w:rStyle w:val="NormalTok"/>
        </w:rPr>
        <w:t xml:space="preserve">(</w:t>
      </w:r>
      <w:r>
        <w:rPr>
          <w:rStyle w:val="FunctionTok"/>
        </w:rPr>
        <w:t xml:space="preserve">sprintf</w:t>
      </w:r>
      <w:r>
        <w:rPr>
          <w:rStyle w:val="NormalTok"/>
        </w:rPr>
        <w:t xml:space="preserve">(</w:t>
      </w:r>
      <w:r>
        <w:rPr>
          <w:rStyle w:val="StringTok"/>
        </w:rPr>
        <w:t xml:space="preserve">"%04d-%02d-%02d %02d:00:00"</w:t>
      </w:r>
      <w:r>
        <w:rPr>
          <w:rStyle w:val="NormalTok"/>
        </w:rPr>
        <w:t xml:space="preserve">, ex</w:t>
      </w:r>
      <w:r>
        <w:rPr>
          <w:rStyle w:val="SpecialCharTok"/>
        </w:rPr>
        <w:t xml:space="preserve">$</w:t>
      </w:r>
      <w:r>
        <w:rPr>
          <w:rStyle w:val="NormalTok"/>
        </w:rPr>
        <w:t xml:space="preserve">yr, ex</w:t>
      </w:r>
      <w:r>
        <w:rPr>
          <w:rStyle w:val="SpecialCharTok"/>
        </w:rPr>
        <w:t xml:space="preserve">$</w:t>
      </w:r>
      <w:r>
        <w:rPr>
          <w:rStyle w:val="NormalTok"/>
        </w:rPr>
        <w:t xml:space="preserve">mon, ex</w:t>
      </w:r>
      <w:r>
        <w:rPr>
          <w:rStyle w:val="SpecialCharTok"/>
        </w:rPr>
        <w:t xml:space="preserve">$</w:t>
      </w:r>
      <w:r>
        <w:rPr>
          <w:rStyle w:val="NormalTok"/>
        </w:rPr>
        <w:t xml:space="preserve">day, ex</w:t>
      </w:r>
      <w:r>
        <w:rPr>
          <w:rStyle w:val="SpecialCharTok"/>
        </w:rPr>
        <w:t xml:space="preserve">$</w:t>
      </w:r>
      <w:r>
        <w:rPr>
          <w:rStyle w:val="NormalTok"/>
        </w:rPr>
        <w:t xml:space="preserve">hr),</w:t>
      </w:r>
      <w:r>
        <w:br/>
      </w:r>
      <w:r>
        <w:rPr>
          <w:rStyle w:val="NormalTok"/>
        </w:rPr>
        <w:t xml:space="preserve">                   </w:t>
      </w:r>
      <w:r>
        <w:rPr>
          <w:rStyle w:val="AttributeTok"/>
        </w:rPr>
        <w:t xml:space="preserve">tz =</w:t>
      </w:r>
      <w:r>
        <w:rPr>
          <w:rStyle w:val="NormalTok"/>
        </w:rPr>
        <w:t xml:space="preserve"> </w:t>
      </w:r>
      <w:r>
        <w:rPr>
          <w:rStyle w:val="StringTok"/>
        </w:rPr>
        <w:t xml:space="preserve">"UTC"</w:t>
      </w:r>
      <w:r>
        <w:rPr>
          <w:rStyle w:val="NormalTok"/>
        </w:rPr>
        <w:t xml:space="preserve">)</w:t>
      </w:r>
      <w:r>
        <w:br/>
      </w:r>
      <w:r>
        <w:rPr>
          <w:rStyle w:val="NormalTok"/>
        </w:rPr>
        <w:t xml:space="preserve">win </w:t>
      </w:r>
      <w:r>
        <w:rPr>
          <w:rStyle w:val="OtherTok"/>
        </w:rPr>
        <w:t xml:space="preserve">&lt;-</w:t>
      </w:r>
      <w:r>
        <w:rPr>
          <w:rStyle w:val="NormalTok"/>
        </w:rPr>
        <w:t xml:space="preserve"> ex[ex</w:t>
      </w:r>
      <w:r>
        <w:rPr>
          <w:rStyle w:val="SpecialCharTok"/>
        </w:rPr>
        <w:t xml:space="preserve">$</w:t>
      </w:r>
      <w:r>
        <w:rPr>
          <w:rStyle w:val="NormalTok"/>
        </w:rPr>
        <w:t xml:space="preserve">mon </w:t>
      </w:r>
      <w:r>
        <w:rPr>
          <w:rStyle w:val="SpecialCharTok"/>
        </w:rPr>
        <w:t xml:space="preserve">==</w:t>
      </w:r>
      <w:r>
        <w:rPr>
          <w:rStyle w:val="NormalTok"/>
        </w:rPr>
        <w:t xml:space="preserve"> </w:t>
      </w:r>
      <w:r>
        <w:rPr>
          <w:rStyle w:val="DecValTok"/>
        </w:rPr>
        <w:t xml:space="preserve">8</w:t>
      </w:r>
      <w:r>
        <w:rPr>
          <w:rStyle w:val="NormalTok"/>
        </w:rPr>
        <w:t xml:space="preserve"> </w:t>
      </w:r>
      <w:r>
        <w:rPr>
          <w:rStyle w:val="SpecialCharTok"/>
        </w:rPr>
        <w:t xml:space="preserve">&amp;</w:t>
      </w:r>
      <w:r>
        <w:rPr>
          <w:rStyle w:val="NormalTok"/>
        </w:rPr>
        <w:t xml:space="preserve"> ex</w:t>
      </w:r>
      <w:r>
        <w:rPr>
          <w:rStyle w:val="SpecialCharTok"/>
        </w:rPr>
        <w:t xml:space="preserve">$</w:t>
      </w:r>
      <w:r>
        <w:rPr>
          <w:rStyle w:val="NormalTok"/>
        </w:rPr>
        <w:t xml:space="preserve">day </w:t>
      </w:r>
      <w:r>
        <w:rPr>
          <w:rStyle w:val="SpecialCharTok"/>
        </w:rPr>
        <w:t xml:space="preserve">&gt;=</w:t>
      </w:r>
      <w:r>
        <w:rPr>
          <w:rStyle w:val="NormalTok"/>
        </w:rPr>
        <w:t xml:space="preserve"> </w:t>
      </w:r>
      <w:r>
        <w:rPr>
          <w:rStyle w:val="DecValTok"/>
        </w:rPr>
        <w:t xml:space="preserve">14</w:t>
      </w:r>
      <w:r>
        <w:rPr>
          <w:rStyle w:val="NormalTok"/>
        </w:rPr>
        <w:t xml:space="preserve"> </w:t>
      </w:r>
      <w:r>
        <w:rPr>
          <w:rStyle w:val="SpecialCharTok"/>
        </w:rPr>
        <w:t xml:space="preserve">&amp;</w:t>
      </w:r>
      <w:r>
        <w:rPr>
          <w:rStyle w:val="NormalTok"/>
        </w:rPr>
        <w:t xml:space="preserve"> ex</w:t>
      </w:r>
      <w:r>
        <w:rPr>
          <w:rStyle w:val="SpecialCharTok"/>
        </w:rPr>
        <w:t xml:space="preserve">$</w:t>
      </w:r>
      <w:r>
        <w:rPr>
          <w:rStyle w:val="NormalTok"/>
        </w:rPr>
        <w:t xml:space="preserve">day </w:t>
      </w:r>
      <w:r>
        <w:rPr>
          <w:rStyle w:val="SpecialCharTok"/>
        </w:rPr>
        <w:t xml:space="preserve">&lt;=</w:t>
      </w:r>
      <w:r>
        <w:rPr>
          <w:rStyle w:val="NormalTok"/>
        </w:rPr>
        <w:t xml:space="preserve"> </w:t>
      </w:r>
      <w:r>
        <w:rPr>
          <w:rStyle w:val="DecValTok"/>
        </w:rPr>
        <w:t xml:space="preserve">23</w:t>
      </w:r>
      <w:r>
        <w:rPr>
          <w:rStyle w:val="NormalTok"/>
        </w:rPr>
        <w:t xml:space="preserve">, ]</w:t>
      </w:r>
      <w:r>
        <w:br/>
      </w:r>
      <w:r>
        <w:br/>
      </w:r>
      <w:r>
        <w:rPr>
          <w:rStyle w:val="NormalTok"/>
        </w:rPr>
        <w:t xml:space="preserve">op </w:t>
      </w:r>
      <w:r>
        <w:rPr>
          <w:rStyle w:val="OtherTok"/>
        </w:rPr>
        <w:t xml:space="preserve">&lt;-</w:t>
      </w:r>
      <w:r>
        <w:rPr>
          <w:rStyle w:val="NormalTok"/>
        </w:rPr>
        <w:t xml:space="preserve"> </w:t>
      </w:r>
      <w:r>
        <w:rPr>
          <w:rStyle w:val="FunctionTok"/>
        </w:rPr>
        <w:t xml:space="preserve">par</w:t>
      </w:r>
      <w:r>
        <w:rPr>
          <w:rStyle w:val="NormalTok"/>
        </w:rPr>
        <w:t xml:space="preserve">(</w:t>
      </w:r>
      <w:r>
        <w:rPr>
          <w:rStyle w:val="AttributeTok"/>
        </w:rPr>
        <w:t xml:space="preserve">mar =</w:t>
      </w:r>
      <w:r>
        <w:rPr>
          <w:rStyle w:val="NormalTok"/>
        </w:rPr>
        <w:t xml:space="preserve"> </w:t>
      </w:r>
      <w:r>
        <w:rPr>
          <w:rStyle w:val="FunctionTok"/>
        </w:rPr>
        <w:t xml:space="preserve">c</w:t>
      </w:r>
      <w:r>
        <w:rPr>
          <w:rStyle w:val="NormalTok"/>
        </w:rPr>
        <w:t xml:space="preserve">(</w:t>
      </w:r>
      <w:r>
        <w:rPr>
          <w:rStyle w:val="FloatTok"/>
        </w:rPr>
        <w:t xml:space="preserve">3.2</w:t>
      </w:r>
      <w:r>
        <w:rPr>
          <w:rStyle w:val="NormalTok"/>
        </w:rPr>
        <w:t xml:space="preserve">, </w:t>
      </w:r>
      <w:r>
        <w:rPr>
          <w:rStyle w:val="DecValTok"/>
        </w:rPr>
        <w:t xml:space="preserve">4</w:t>
      </w:r>
      <w:r>
        <w:rPr>
          <w:rStyle w:val="NormalTok"/>
        </w:rPr>
        <w:t xml:space="preserve">, </w:t>
      </w:r>
      <w:r>
        <w:rPr>
          <w:rStyle w:val="FloatTok"/>
        </w:rPr>
        <w:t xml:space="preserve">1.2</w:t>
      </w:r>
      <w:r>
        <w:rPr>
          <w:rStyle w:val="NormalTok"/>
        </w:rPr>
        <w:t xml:space="preserve">, </w:t>
      </w:r>
      <w:r>
        <w:rPr>
          <w:rStyle w:val="DecValTok"/>
        </w:rPr>
        <w:t xml:space="preserve">1</w:t>
      </w:r>
      <w:r>
        <w:rPr>
          <w:rStyle w:val="NormalTok"/>
        </w:rPr>
        <w:t xml:space="preserve">), </w:t>
      </w:r>
      <w:r>
        <w:rPr>
          <w:rStyle w:val="AttributeTok"/>
        </w:rPr>
        <w:t xml:space="preserve">cex =</w:t>
      </w:r>
      <w:r>
        <w:rPr>
          <w:rStyle w:val="NormalTok"/>
        </w:rPr>
        <w:t xml:space="preserve"> </w:t>
      </w:r>
      <w:r>
        <w:rPr>
          <w:rStyle w:val="FloatTok"/>
        </w:rPr>
        <w:t xml:space="preserve">0.8</w:t>
      </w:r>
      <w:r>
        <w:rPr>
          <w:rStyle w:val="NormalTok"/>
        </w:rPr>
        <w:t xml:space="preserve">)</w:t>
      </w:r>
      <w:r>
        <w:br/>
      </w:r>
      <w:r>
        <w:rPr>
          <w:rStyle w:val="FunctionTok"/>
        </w:rPr>
        <w:t xml:space="preserve">plot</w:t>
      </w:r>
      <w:r>
        <w:rPr>
          <w:rStyle w:val="NormalTok"/>
        </w:rPr>
        <w:t xml:space="preserve">(win</w:t>
      </w:r>
      <w:r>
        <w:rPr>
          <w:rStyle w:val="SpecialCharTok"/>
        </w:rPr>
        <w:t xml:space="preserve">$</w:t>
      </w:r>
      <w:r>
        <w:rPr>
          <w:rStyle w:val="NormalTok"/>
        </w:rPr>
        <w:t xml:space="preserve">t, win</w:t>
      </w:r>
      <w:r>
        <w:rPr>
          <w:rStyle w:val="SpecialCharTok"/>
        </w:rPr>
        <w:t xml:space="preserve">$</w:t>
      </w:r>
      <w:r>
        <w:rPr>
          <w:rStyle w:val="NormalTok"/>
        </w:rPr>
        <w:t xml:space="preserve">s3_ffmc, </w:t>
      </w:r>
      <w:r>
        <w:rPr>
          <w:rStyle w:val="AttributeTok"/>
        </w:rPr>
        <w:t xml:space="preserve">type =</w:t>
      </w:r>
      <w:r>
        <w:rPr>
          <w:rStyle w:val="NormalTok"/>
        </w:rPr>
        <w:t xml:space="preserve"> </w:t>
      </w:r>
      <w:r>
        <w:rPr>
          <w:rStyle w:val="StringTok"/>
        </w:rPr>
        <w:t xml:space="preserve">"l"</w:t>
      </w:r>
      <w:r>
        <w:rPr>
          <w:rStyle w:val="NormalTok"/>
        </w:rPr>
        <w:t xml:space="preserve">, </w:t>
      </w:r>
      <w:r>
        <w:rPr>
          <w:rStyle w:val="AttributeTok"/>
        </w:rPr>
        <w:t xml:space="preserve">col =</w:t>
      </w:r>
      <w:r>
        <w:rPr>
          <w:rStyle w:val="NormalTok"/>
        </w:rPr>
        <w:t xml:space="preserve"> cols[</w:t>
      </w:r>
      <w:r>
        <w:rPr>
          <w:rStyle w:val="StringTok"/>
        </w:rPr>
        <w:t xml:space="preserve">"s3"</w:t>
      </w:r>
      <w:r>
        <w:rPr>
          <w:rStyle w:val="NormalTok"/>
        </w:rPr>
        <w:t xml:space="preserve">], </w:t>
      </w:r>
      <w:r>
        <w:rPr>
          <w:rStyle w:val="AttributeTok"/>
        </w:rPr>
        <w:t xml:space="preserve">lwd =</w:t>
      </w:r>
      <w:r>
        <w:rPr>
          <w:rStyle w:val="NormalTok"/>
        </w:rPr>
        <w:t xml:space="preserve"> </w:t>
      </w:r>
      <w:r>
        <w:rPr>
          <w:rStyle w:val="FloatTok"/>
        </w:rPr>
        <w:t xml:space="preserve">1.6</w:t>
      </w:r>
      <w:r>
        <w:rPr>
          <w:rStyle w:val="NormalTok"/>
        </w:rPr>
        <w:t xml:space="preserve">,</w:t>
      </w:r>
      <w:r>
        <w:br/>
      </w:r>
      <w:r>
        <w:rPr>
          <w:rStyle w:val="NormalTok"/>
        </w:rPr>
        <w:t xml:space="preserve">     </w:t>
      </w:r>
      <w:r>
        <w:rPr>
          <w:rStyle w:val="AttributeTok"/>
        </w:rPr>
        <w:t xml:space="preserve">ylim =</w:t>
      </w:r>
      <w:r>
        <w:rPr>
          <w:rStyle w:val="NormalTok"/>
        </w:rPr>
        <w:t xml:space="preserve"> </w:t>
      </w:r>
      <w:r>
        <w:rPr>
          <w:rStyle w:val="FunctionTok"/>
        </w:rPr>
        <w:t xml:space="preserve">range</w:t>
      </w:r>
      <w:r>
        <w:rPr>
          <w:rStyle w:val="NormalTok"/>
        </w:rPr>
        <w:t xml:space="preserve">(</w:t>
      </w:r>
      <w:r>
        <w:rPr>
          <w:rStyle w:val="FunctionTok"/>
        </w:rPr>
        <w:t xml:space="preserve">c</w:t>
      </w:r>
      <w:r>
        <w:rPr>
          <w:rStyle w:val="NormalTok"/>
        </w:rPr>
        <w:t xml:space="preserve">(win</w:t>
      </w:r>
      <w:r>
        <w:rPr>
          <w:rStyle w:val="SpecialCharTok"/>
        </w:rPr>
        <w:t xml:space="preserve">$</w:t>
      </w:r>
      <w:r>
        <w:rPr>
          <w:rStyle w:val="NormalTok"/>
        </w:rPr>
        <w:t xml:space="preserve">s3_ffmc, win</w:t>
      </w:r>
      <w:r>
        <w:rPr>
          <w:rStyle w:val="SpecialCharTok"/>
        </w:rPr>
        <w:t xml:space="preserve">$</w:t>
      </w:r>
      <w:r>
        <w:rPr>
          <w:rStyle w:val="NormalTok"/>
        </w:rPr>
        <w:t xml:space="preserve">s2_ffmc),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w:t>
      </w:r>
      <w:r>
        <w:rPr>
          <w:rStyle w:val="NormalTok"/>
        </w:rPr>
        <w:t xml:space="preserve">, </w:t>
      </w:r>
      <w:r>
        <w:rPr>
          <w:rStyle w:val="AttributeTok"/>
        </w:rPr>
        <w:t xml:space="preserve">ylab =</w:t>
      </w:r>
      <w:r>
        <w:rPr>
          <w:rStyle w:val="NormalTok"/>
        </w:rPr>
        <w:t xml:space="preserve"> </w:t>
      </w:r>
      <w:r>
        <w:rPr>
          <w:rStyle w:val="StringTok"/>
        </w:rPr>
        <w:t xml:space="preserve">"Fine Fuel Moisture Code"</w:t>
      </w:r>
      <w:r>
        <w:rPr>
          <w:rStyle w:val="NormalTok"/>
        </w:rPr>
        <w:t xml:space="preserve">, </w:t>
      </w:r>
      <w:r>
        <w:rPr>
          <w:rStyle w:val="AttributeTok"/>
        </w:rPr>
        <w:t xml:space="preserve">xaxt =</w:t>
      </w:r>
      <w:r>
        <w:rPr>
          <w:rStyle w:val="NormalTok"/>
        </w:rPr>
        <w:t xml:space="preserve"> </w:t>
      </w:r>
      <w:r>
        <w:rPr>
          <w:rStyle w:val="StringTok"/>
        </w:rPr>
        <w:t xml:space="preserve">"n"</w:t>
      </w:r>
      <w:r>
        <w:rPr>
          <w:rStyle w:val="NormalTok"/>
        </w:rPr>
        <w:t xml:space="preserve">)</w:t>
      </w:r>
      <w:r>
        <w:br/>
      </w:r>
      <w:r>
        <w:rPr>
          <w:rStyle w:val="FunctionTok"/>
        </w:rPr>
        <w:t xml:space="preserve">lines</w:t>
      </w:r>
      <w:r>
        <w:rPr>
          <w:rStyle w:val="NormalTok"/>
        </w:rPr>
        <w:t xml:space="preserve">(win</w:t>
      </w:r>
      <w:r>
        <w:rPr>
          <w:rStyle w:val="SpecialCharTok"/>
        </w:rPr>
        <w:t xml:space="preserve">$</w:t>
      </w:r>
      <w:r>
        <w:rPr>
          <w:rStyle w:val="NormalTok"/>
        </w:rPr>
        <w:t xml:space="preserve">t, win</w:t>
      </w:r>
      <w:r>
        <w:rPr>
          <w:rStyle w:val="SpecialCharTok"/>
        </w:rPr>
        <w:t xml:space="preserve">$</w:t>
      </w:r>
      <w:r>
        <w:rPr>
          <w:rStyle w:val="NormalTok"/>
        </w:rPr>
        <w:t xml:space="preserve">s2_ffmc, </w:t>
      </w:r>
      <w:r>
        <w:rPr>
          <w:rStyle w:val="AttributeTok"/>
        </w:rPr>
        <w:t xml:space="preserve">col =</w:t>
      </w:r>
      <w:r>
        <w:rPr>
          <w:rStyle w:val="NormalTok"/>
        </w:rPr>
        <w:t xml:space="preserve"> cols[</w:t>
      </w:r>
      <w:r>
        <w:rPr>
          <w:rStyle w:val="StringTok"/>
        </w:rPr>
        <w:t xml:space="preserve">"s2"</w:t>
      </w:r>
      <w:r>
        <w:rPr>
          <w:rStyle w:val="NormalTok"/>
        </w:rPr>
        <w:t xml:space="preserve">], </w:t>
      </w:r>
      <w:r>
        <w:rPr>
          <w:rStyle w:val="AttributeTok"/>
        </w:rPr>
        <w:t xml:space="preserve">lwd =</w:t>
      </w:r>
      <w:r>
        <w:rPr>
          <w:rStyle w:val="NormalTok"/>
        </w:rPr>
        <w:t xml:space="preserve"> </w:t>
      </w:r>
      <w:r>
        <w:rPr>
          <w:rStyle w:val="FloatTok"/>
        </w:rPr>
        <w:t xml:space="preserve">1.6</w:t>
      </w:r>
      <w:r>
        <w:rPr>
          <w:rStyle w:val="NormalTok"/>
        </w:rPr>
        <w:t xml:space="preserve">)</w:t>
      </w:r>
      <w:r>
        <w:br/>
      </w:r>
      <w:r>
        <w:rPr>
          <w:rStyle w:val="FunctionTok"/>
        </w:rPr>
        <w:t xml:space="preserve">axis.POSIXct</w:t>
      </w:r>
      <w:r>
        <w:rPr>
          <w:rStyle w:val="NormalTok"/>
        </w:rPr>
        <w:t xml:space="preserve">(</w:t>
      </w:r>
      <w:r>
        <w:rPr>
          <w:rStyle w:val="DecValTok"/>
        </w:rPr>
        <w:t xml:space="preserve">1</w:t>
      </w:r>
      <w:r>
        <w:rPr>
          <w:rStyle w:val="NormalTok"/>
        </w:rPr>
        <w:t xml:space="preserve">, win</w:t>
      </w:r>
      <w:r>
        <w:rPr>
          <w:rStyle w:val="SpecialCharTok"/>
        </w:rPr>
        <w:t xml:space="preserve">$</w:t>
      </w:r>
      <w:r>
        <w:rPr>
          <w:rStyle w:val="NormalTok"/>
        </w:rPr>
        <w:t xml:space="preserve">t, </w:t>
      </w:r>
      <w:r>
        <w:rPr>
          <w:rStyle w:val="AttributeTok"/>
        </w:rPr>
        <w:t xml:space="preserve">format =</w:t>
      </w:r>
      <w:r>
        <w:rPr>
          <w:rStyle w:val="NormalTok"/>
        </w:rPr>
        <w:t xml:space="preserve"> </w:t>
      </w:r>
      <w:r>
        <w:rPr>
          <w:rStyle w:val="StringTok"/>
        </w:rPr>
        <w:t xml:space="preserve">"%d %b"</w:t>
      </w:r>
      <w:r>
        <w:rPr>
          <w:rStyle w:val="NormalTok"/>
        </w:rPr>
        <w:t xml:space="preserve">)</w:t>
      </w:r>
      <w:r>
        <w:br/>
      </w:r>
      <w:r>
        <w:rPr>
          <w:rStyle w:val="CommentTok"/>
        </w:rPr>
        <w:t xml:space="preserve"># The hour markers are drawn thin and pale on purpose: they locate the two</w:t>
      </w:r>
      <w:r>
        <w:br/>
      </w:r>
      <w:r>
        <w:rPr>
          <w:rStyle w:val="CommentTok"/>
        </w:rPr>
        <w:t xml:space="preserve"># sampling hours without competing with the curves, which are the subject.</w:t>
      </w:r>
      <w:r>
        <w:br/>
      </w:r>
      <w:r>
        <w:rPr>
          <w:rStyle w:val="FunctionTok"/>
        </w:rPr>
        <w:t xml:space="preserve">abline</w:t>
      </w:r>
      <w:r>
        <w:rPr>
          <w:rStyle w:val="NormalTok"/>
        </w:rPr>
        <w:t xml:space="preserve">(</w:t>
      </w:r>
      <w:r>
        <w:rPr>
          <w:rStyle w:val="AttributeTok"/>
        </w:rPr>
        <w:t xml:space="preserve">v =</w:t>
      </w:r>
      <w:r>
        <w:rPr>
          <w:rStyle w:val="NormalTok"/>
        </w:rPr>
        <w:t xml:space="preserve"> win</w:t>
      </w:r>
      <w:r>
        <w:rPr>
          <w:rStyle w:val="SpecialCharTok"/>
        </w:rPr>
        <w:t xml:space="preserve">$</w:t>
      </w:r>
      <w:r>
        <w:rPr>
          <w:rStyle w:val="NormalTok"/>
        </w:rPr>
        <w:t xml:space="preserve">t[win</w:t>
      </w:r>
      <w:r>
        <w:rPr>
          <w:rStyle w:val="SpecialCharTok"/>
        </w:rPr>
        <w:t xml:space="preserve">$</w:t>
      </w:r>
      <w:r>
        <w:rPr>
          <w:rStyle w:val="NormalTok"/>
        </w:rPr>
        <w:t xml:space="preserve">hr </w:t>
      </w:r>
      <w:r>
        <w:rPr>
          <w:rStyle w:val="SpecialCharTok"/>
        </w:rPr>
        <w:t xml:space="preserve">==</w:t>
      </w:r>
      <w:r>
        <w:rPr>
          <w:rStyle w:val="NormalTok"/>
        </w:rPr>
        <w:t xml:space="preserve"> </w:t>
      </w:r>
      <w:r>
        <w:rPr>
          <w:rStyle w:val="DecValTok"/>
        </w:rPr>
        <w:t xml:space="preserve">12</w:t>
      </w:r>
      <w:r>
        <w:rPr>
          <w:rStyle w:val="NormalTok"/>
        </w:rPr>
        <w:t xml:space="preserve">], </w:t>
      </w:r>
      <w:r>
        <w:rPr>
          <w:rStyle w:val="AttributeTok"/>
        </w:rPr>
        <w:t xml:space="preserve">col =</w:t>
      </w:r>
      <w:r>
        <w:rPr>
          <w:rStyle w:val="NormalTok"/>
        </w:rPr>
        <w:t xml:space="preserve"> </w:t>
      </w:r>
      <w:r>
        <w:rPr>
          <w:rStyle w:val="StringTok"/>
        </w:rPr>
        <w:t xml:space="preserve">"grey86"</w:t>
      </w:r>
      <w:r>
        <w:rPr>
          <w:rStyle w:val="NormalTok"/>
        </w:rPr>
        <w:t xml:space="preserve">, </w:t>
      </w:r>
      <w:r>
        <w:rPr>
          <w:rStyle w:val="AttributeTok"/>
        </w:rPr>
        <w:t xml:space="preserve">lty =</w:t>
      </w:r>
      <w:r>
        <w:rPr>
          <w:rStyle w:val="NormalTok"/>
        </w:rPr>
        <w:t xml:space="preserve"> </w:t>
      </w:r>
      <w:r>
        <w:rPr>
          <w:rStyle w:val="DecValTok"/>
        </w:rPr>
        <w:t xml:space="preserve">3</w:t>
      </w:r>
      <w:r>
        <w:rPr>
          <w:rStyle w:val="NormalTok"/>
        </w:rPr>
        <w:t xml:space="preserve">, </w:t>
      </w:r>
      <w:r>
        <w:rPr>
          <w:rStyle w:val="AttributeTok"/>
        </w:rPr>
        <w:t xml:space="preserve">lwd =</w:t>
      </w:r>
      <w:r>
        <w:rPr>
          <w:rStyle w:val="NormalTok"/>
        </w:rPr>
        <w:t xml:space="preserve"> </w:t>
      </w:r>
      <w:r>
        <w:rPr>
          <w:rStyle w:val="FloatTok"/>
        </w:rPr>
        <w:t xml:space="preserve">0.6</w:t>
      </w:r>
      <w:r>
        <w:rPr>
          <w:rStyle w:val="NormalTok"/>
        </w:rPr>
        <w:t xml:space="preserve">)</w:t>
      </w:r>
      <w:r>
        <w:br/>
      </w:r>
      <w:r>
        <w:rPr>
          <w:rStyle w:val="FunctionTok"/>
        </w:rPr>
        <w:t xml:space="preserve">abline</w:t>
      </w:r>
      <w:r>
        <w:rPr>
          <w:rStyle w:val="NormalTok"/>
        </w:rPr>
        <w:t xml:space="preserve">(</w:t>
      </w:r>
      <w:r>
        <w:rPr>
          <w:rStyle w:val="AttributeTok"/>
        </w:rPr>
        <w:t xml:space="preserve">v =</w:t>
      </w:r>
      <w:r>
        <w:rPr>
          <w:rStyle w:val="NormalTok"/>
        </w:rPr>
        <w:t xml:space="preserve"> win</w:t>
      </w:r>
      <w:r>
        <w:rPr>
          <w:rStyle w:val="SpecialCharTok"/>
        </w:rPr>
        <w:t xml:space="preserve">$</w:t>
      </w:r>
      <w:r>
        <w:rPr>
          <w:rStyle w:val="NormalTok"/>
        </w:rPr>
        <w:t xml:space="preserve">t[win</w:t>
      </w:r>
      <w:r>
        <w:rPr>
          <w:rStyle w:val="SpecialCharTok"/>
        </w:rPr>
        <w:t xml:space="preserve">$</w:t>
      </w:r>
      <w:r>
        <w:rPr>
          <w:rStyle w:val="NormalTok"/>
        </w:rPr>
        <w:t xml:space="preserve">hr </w:t>
      </w:r>
      <w:r>
        <w:rPr>
          <w:rStyle w:val="SpecialCharTok"/>
        </w:rPr>
        <w:t xml:space="preserve">==</w:t>
      </w:r>
      <w:r>
        <w:rPr>
          <w:rStyle w:val="NormalTok"/>
        </w:rPr>
        <w:t xml:space="preserve"> </w:t>
      </w:r>
      <w:r>
        <w:rPr>
          <w:rStyle w:val="DecValTok"/>
        </w:rPr>
        <w:t xml:space="preserve">16</w:t>
      </w:r>
      <w:r>
        <w:rPr>
          <w:rStyle w:val="NormalTok"/>
        </w:rPr>
        <w:t xml:space="preserve">], </w:t>
      </w:r>
      <w:r>
        <w:rPr>
          <w:rStyle w:val="AttributeTok"/>
        </w:rPr>
        <w:t xml:space="preserve">col =</w:t>
      </w:r>
      <w:r>
        <w:rPr>
          <w:rStyle w:val="NormalTok"/>
        </w:rPr>
        <w:t xml:space="preserve"> </w:t>
      </w:r>
      <w:r>
        <w:rPr>
          <w:rStyle w:val="StringTok"/>
        </w:rPr>
        <w:t xml:space="preserve">"grey62"</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lwd =</w:t>
      </w:r>
      <w:r>
        <w:rPr>
          <w:rStyle w:val="NormalTok"/>
        </w:rPr>
        <w:t xml:space="preserve"> </w:t>
      </w:r>
      <w:r>
        <w:rPr>
          <w:rStyle w:val="FloatTok"/>
        </w:rPr>
        <w:t xml:space="preserve">0.6</w:t>
      </w:r>
      <w:r>
        <w:rPr>
          <w:rStyle w:val="NormalTok"/>
        </w:rPr>
        <w:t xml:space="preserve">)</w:t>
      </w:r>
      <w:r>
        <w:br/>
      </w:r>
      <w:r>
        <w:rPr>
          <w:rStyle w:val="FunctionTok"/>
        </w:rPr>
        <w:t xml:space="preserve">lines</w:t>
      </w:r>
      <w:r>
        <w:rPr>
          <w:rStyle w:val="NormalTok"/>
        </w:rPr>
        <w:t xml:space="preserve">(win</w:t>
      </w:r>
      <w:r>
        <w:rPr>
          <w:rStyle w:val="SpecialCharTok"/>
        </w:rPr>
        <w:t xml:space="preserve">$</w:t>
      </w:r>
      <w:r>
        <w:rPr>
          <w:rStyle w:val="NormalTok"/>
        </w:rPr>
        <w:t xml:space="preserve">t, win</w:t>
      </w:r>
      <w:r>
        <w:rPr>
          <w:rStyle w:val="SpecialCharTok"/>
        </w:rPr>
        <w:t xml:space="preserve">$</w:t>
      </w:r>
      <w:r>
        <w:rPr>
          <w:rStyle w:val="NormalTok"/>
        </w:rPr>
        <w:t xml:space="preserve">s3_ffmc, </w:t>
      </w:r>
      <w:r>
        <w:rPr>
          <w:rStyle w:val="AttributeTok"/>
        </w:rPr>
        <w:t xml:space="preserve">col =</w:t>
      </w:r>
      <w:r>
        <w:rPr>
          <w:rStyle w:val="NormalTok"/>
        </w:rPr>
        <w:t xml:space="preserve"> cols[</w:t>
      </w:r>
      <w:r>
        <w:rPr>
          <w:rStyle w:val="StringTok"/>
        </w:rPr>
        <w:t xml:space="preserve">"s3"</w:t>
      </w:r>
      <w:r>
        <w:rPr>
          <w:rStyle w:val="NormalTok"/>
        </w:rPr>
        <w:t xml:space="preserve">], </w:t>
      </w:r>
      <w:r>
        <w:rPr>
          <w:rStyle w:val="AttributeTok"/>
        </w:rPr>
        <w:t xml:space="preserve">lwd =</w:t>
      </w:r>
      <w:r>
        <w:rPr>
          <w:rStyle w:val="NormalTok"/>
        </w:rPr>
        <w:t xml:space="preserve"> </w:t>
      </w:r>
      <w:r>
        <w:rPr>
          <w:rStyle w:val="FloatTok"/>
        </w:rPr>
        <w:t xml:space="preserve">1.6</w:t>
      </w:r>
      <w:r>
        <w:rPr>
          <w:rStyle w:val="NormalTok"/>
        </w:rPr>
        <w:t xml:space="preserve">)</w:t>
      </w:r>
      <w:r>
        <w:br/>
      </w:r>
      <w:r>
        <w:rPr>
          <w:rStyle w:val="FunctionTok"/>
        </w:rPr>
        <w:t xml:space="preserve">lines</w:t>
      </w:r>
      <w:r>
        <w:rPr>
          <w:rStyle w:val="NormalTok"/>
        </w:rPr>
        <w:t xml:space="preserve">(win</w:t>
      </w:r>
      <w:r>
        <w:rPr>
          <w:rStyle w:val="SpecialCharTok"/>
        </w:rPr>
        <w:t xml:space="preserve">$</w:t>
      </w:r>
      <w:r>
        <w:rPr>
          <w:rStyle w:val="NormalTok"/>
        </w:rPr>
        <w:t xml:space="preserve">t, win</w:t>
      </w:r>
      <w:r>
        <w:rPr>
          <w:rStyle w:val="SpecialCharTok"/>
        </w:rPr>
        <w:t xml:space="preserve">$</w:t>
      </w:r>
      <w:r>
        <w:rPr>
          <w:rStyle w:val="NormalTok"/>
        </w:rPr>
        <w:t xml:space="preserve">s2_ffmc, </w:t>
      </w:r>
      <w:r>
        <w:rPr>
          <w:rStyle w:val="AttributeTok"/>
        </w:rPr>
        <w:t xml:space="preserve">col =</w:t>
      </w:r>
      <w:r>
        <w:rPr>
          <w:rStyle w:val="NormalTok"/>
        </w:rPr>
        <w:t xml:space="preserve"> cols[</w:t>
      </w:r>
      <w:r>
        <w:rPr>
          <w:rStyle w:val="StringTok"/>
        </w:rPr>
        <w:t xml:space="preserve">"s2"</w:t>
      </w:r>
      <w:r>
        <w:rPr>
          <w:rStyle w:val="NormalTok"/>
        </w:rPr>
        <w:t xml:space="preserve">], </w:t>
      </w:r>
      <w:r>
        <w:rPr>
          <w:rStyle w:val="AttributeTok"/>
        </w:rPr>
        <w:t xml:space="preserve">lwd =</w:t>
      </w:r>
      <w:r>
        <w:rPr>
          <w:rStyle w:val="NormalTok"/>
        </w:rPr>
        <w:t xml:space="preserve"> </w:t>
      </w:r>
      <w:r>
        <w:rPr>
          <w:rStyle w:val="FloatTok"/>
        </w:rPr>
        <w:t xml:space="preserve">1.6</w:t>
      </w:r>
      <w:r>
        <w:rPr>
          <w:rStyle w:val="NormalTok"/>
        </w:rPr>
        <w:t xml:space="preserve">)</w:t>
      </w:r>
      <w:r>
        <w:br/>
      </w:r>
      <w:r>
        <w:rPr>
          <w:rStyle w:val="FunctionTok"/>
        </w:rPr>
        <w:t xml:space="preserve">legend</w:t>
      </w:r>
      <w:r>
        <w:rPr>
          <w:rStyle w:val="NormalTok"/>
        </w:rPr>
        <w:t xml:space="preserve">(</w:t>
      </w:r>
      <w:r>
        <w:rPr>
          <w:rStyle w:val="StringTok"/>
        </w:rPr>
        <w:t xml:space="preserve">"bottomleft"</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 </w:t>
      </w:r>
      <w:r>
        <w:rPr>
          <w:rStyle w:val="AttributeTok"/>
        </w:rPr>
        <w:t xml:space="preserve">cex =</w:t>
      </w:r>
      <w:r>
        <w:rPr>
          <w:rStyle w:val="NormalTok"/>
        </w:rPr>
        <w:t xml:space="preserve"> </w:t>
      </w:r>
      <w:r>
        <w:rPr>
          <w:rStyle w:val="FloatTok"/>
        </w:rPr>
        <w:t xml:space="preserve">0.75</w:t>
      </w:r>
      <w:r>
        <w:rPr>
          <w:rStyle w:val="NormalTok"/>
        </w:rPr>
        <w:t xml:space="preserve">,</w:t>
      </w:r>
      <w:r>
        <w:br/>
      </w:r>
      <w:r>
        <w:rPr>
          <w:rStyle w:val="NormalTok"/>
        </w:rPr>
        <w:t xml:space="preserve">       </w:t>
      </w:r>
      <w:r>
        <w:rPr>
          <w:rStyle w:val="AttributeTok"/>
        </w:rPr>
        <w:t xml:space="preserve">legend =</w:t>
      </w:r>
      <w:r>
        <w:rPr>
          <w:rStyle w:val="NormalTok"/>
        </w:rPr>
        <w:t xml:space="preserve"> </w:t>
      </w:r>
      <w:r>
        <w:rPr>
          <w:rStyle w:val="FunctionTok"/>
        </w:rPr>
        <w:t xml:space="preserve">c</w:t>
      </w:r>
      <w:r>
        <w:rPr>
          <w:rStyle w:val="NormalTok"/>
        </w:rPr>
        <w:t xml:space="preserve">(</w:t>
      </w:r>
      <w:r>
        <w:rPr>
          <w:rStyle w:val="FunctionTok"/>
        </w:rPr>
        <w:t xml:space="preserve">unname</w:t>
      </w:r>
      <w:r>
        <w:rPr>
          <w:rStyle w:val="NormalTok"/>
        </w:rPr>
        <w:t xml:space="preserve">(SERIES[</w:t>
      </w:r>
      <w:r>
        <w:rPr>
          <w:rStyle w:val="FunctionTok"/>
        </w:rPr>
        <w:t xml:space="preserve">c</w:t>
      </w:r>
      <w:r>
        <w:rPr>
          <w:rStyle w:val="NormalTok"/>
        </w:rPr>
        <w:t xml:space="preserve">(</w:t>
      </w:r>
      <w:r>
        <w:rPr>
          <w:rStyle w:val="StringTok"/>
        </w:rPr>
        <w:t xml:space="preserve">"s3"</w:t>
      </w:r>
      <w:r>
        <w:rPr>
          <w:rStyle w:val="NormalTok"/>
        </w:rPr>
        <w:t xml:space="preserve">, </w:t>
      </w:r>
      <w:r>
        <w:rPr>
          <w:rStyle w:val="StringTok"/>
        </w:rPr>
        <w:t xml:space="preserve">"s2"</w:t>
      </w:r>
      <w:r>
        <w:rPr>
          <w:rStyle w:val="NormalTok"/>
        </w:rPr>
        <w:t xml:space="preserve">)]),</w:t>
      </w:r>
      <w:r>
        <w:br/>
      </w:r>
      <w:r>
        <w:rPr>
          <w:rStyle w:val="NormalTok"/>
        </w:rPr>
        <w:t xml:space="preserve">                  </w:t>
      </w:r>
      <w:r>
        <w:rPr>
          <w:rStyle w:val="StringTok"/>
        </w:rPr>
        <w:t xml:space="preserve">"13:00 LDT, the FWI1987 observation"</w:t>
      </w:r>
      <w:r>
        <w:rPr>
          <w:rStyle w:val="NormalTok"/>
        </w:rPr>
        <w:t xml:space="preserve">, </w:t>
      </w:r>
      <w:r>
        <w:rPr>
          <w:rStyle w:val="StringTok"/>
        </w:rPr>
        <w:t xml:space="preserve">"17:00 LDT"</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(cols[</w:t>
      </w:r>
      <w:r>
        <w:rPr>
          <w:rStyle w:val="StringTok"/>
        </w:rPr>
        <w:t xml:space="preserve">"s3"</w:t>
      </w:r>
      <w:r>
        <w:rPr>
          <w:rStyle w:val="NormalTok"/>
        </w:rPr>
        <w:t xml:space="preserve">], cols[</w:t>
      </w:r>
      <w:r>
        <w:rPr>
          <w:rStyle w:val="StringTok"/>
        </w:rPr>
        <w:t xml:space="preserve">"s2"</w:t>
      </w:r>
      <w:r>
        <w:rPr>
          <w:rStyle w:val="NormalTok"/>
        </w:rPr>
        <w:t xml:space="preserve">], </w:t>
      </w:r>
      <w:r>
        <w:rPr>
          <w:rStyle w:val="StringTok"/>
        </w:rPr>
        <w:t xml:space="preserve">"grey86"</w:t>
      </w:r>
      <w:r>
        <w:rPr>
          <w:rStyle w:val="NormalTok"/>
        </w:rPr>
        <w:t xml:space="preserve">, </w:t>
      </w:r>
      <w:r>
        <w:rPr>
          <w:rStyle w:val="StringTok"/>
        </w:rPr>
        <w:t xml:space="preserve">"grey62"</w:t>
      </w:r>
      <w:r>
        <w:rPr>
          <w:rStyle w:val="NormalTok"/>
        </w:rPr>
        <w:t xml:space="preserve">),</w:t>
      </w:r>
      <w:r>
        <w:br/>
      </w:r>
      <w:r>
        <w:rPr>
          <w:rStyle w:val="NormalTok"/>
        </w:rPr>
        <w:t xml:space="preserve">       </w:t>
      </w:r>
      <w:r>
        <w:rPr>
          <w:rStyle w:val="AttributeTok"/>
        </w:rPr>
        <w:t xml:space="preserve">lwd =</w:t>
      </w:r>
      <w:r>
        <w:rPr>
          <w:rStyle w:val="NormalTok"/>
        </w:rPr>
        <w:t xml:space="preserve"> </w:t>
      </w:r>
      <w:r>
        <w:rPr>
          <w:rStyle w:val="FunctionTok"/>
        </w:rPr>
        <w:t xml:space="preserve">c</w:t>
      </w:r>
      <w:r>
        <w:rPr>
          <w:rStyle w:val="NormalTok"/>
        </w:rPr>
        <w:t xml:space="preserve">(</w:t>
      </w:r>
      <w:r>
        <w:rPr>
          <w:rStyle w:val="FloatTok"/>
        </w:rPr>
        <w:t xml:space="preserve">1.6</w:t>
      </w:r>
      <w:r>
        <w:rPr>
          <w:rStyle w:val="NormalTok"/>
        </w:rPr>
        <w:t xml:space="preserve">, </w:t>
      </w:r>
      <w:r>
        <w:rPr>
          <w:rStyle w:val="FloatTok"/>
        </w:rPr>
        <w:t xml:space="preserve">1.6</w:t>
      </w:r>
      <w:r>
        <w:rPr>
          <w:rStyle w:val="NormalTok"/>
        </w:rPr>
        <w:t xml:space="preserve">, </w:t>
      </w:r>
      <w:r>
        <w:rPr>
          <w:rStyle w:val="FloatTok"/>
        </w:rPr>
        <w:t xml:space="preserve">0.8</w:t>
      </w:r>
      <w:r>
        <w:rPr>
          <w:rStyle w:val="NormalTok"/>
        </w:rPr>
        <w:t xml:space="preserve">, </w:t>
      </w:r>
      <w:r>
        <w:rPr>
          <w:rStyle w:val="FloatTok"/>
        </w:rPr>
        <w:t xml:space="preserve">0.8</w:t>
      </w:r>
      <w:r>
        <w:rPr>
          <w:rStyle w:val="NormalTok"/>
        </w:rPr>
        <w:t xml:space="preserve">), </w:t>
      </w:r>
      <w:r>
        <w:rPr>
          <w:rStyle w:val="AttributeTok"/>
        </w:rPr>
        <w:t xml:space="preserve">lty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FunctionTok"/>
        </w:rPr>
        <w:t xml:space="preserve">par</w:t>
      </w:r>
      <w:r>
        <w:rPr>
          <w:rStyle w:val="NormalTok"/>
        </w:rPr>
        <w:t xml:space="preserve">(op)</w:t>
      </w:r>
    </w:p>
    <w:tbl>
      <w:tblPr>
        <w:tblStyle w:val="Table"/>
        <w:tblW w:type="pct" w:w="5000"/>
        <w:tblLayout w:type="fixed"/>
        <w:tblLook w:firstRow="0" w:lastRow="0" w:firstColumn="0" w:lastColumn="0" w:noHBand="0" w:noVBand="0" w:val="0000"/>
      </w:tblPr>
      <w:tblGrid>
        <w:gridCol w:w="7920"/>
      </w:tblGrid>
      <w:tr>
        <w:tc>
          <w:tcPr/>
          <w:bookmarkStart w:id="60" w:name="fig-mechanism"/>
          <w:p>
            <w:pPr>
              <w:pStyle w:val="Compact"/>
              <w:jc w:val="center"/>
            </w:pPr>
            <w:r>
              <w:drawing>
                <wp:inline>
                  <wp:extent cx="5943600" cy="4023360"/>
                  <wp:effectExtent b="0" l="0" r="0" t="0"/>
                  <wp:docPr descr="" title="" id="58" name="Picture"/>
                  <a:graphic>
                    <a:graphicData uri="http://schemas.openxmlformats.org/drawingml/2006/picture">
                      <pic:pic>
                        <pic:nvPicPr>
                          <pic:cNvPr descr="../03.outputs/figures/mfig-fig-mechanism-1.png" id="59" name="Picture"/>
                          <pic:cNvPicPr>
                            <a:picLocks noChangeArrowheads="1" noChangeAspect="1"/>
                          </pic:cNvPicPr>
                        </pic:nvPicPr>
                        <pic:blipFill>
                          <a:blip r:embed="rId57"/>
                          <a:stretch>
                            <a:fillRect/>
                          </a:stretch>
                        </pic:blipFill>
                        <pic:spPr bwMode="auto">
                          <a:xfrm>
                            <a:off x="0" y="0"/>
                            <a:ext cx="5943600" cy="402336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Ten days of the hourly Fine Fuel Moisture Code at Penticton RS in August 2003, under FWI2025 driven by the observed hourly weather and under FWI2025 driven by the 13:00 observation alone. Both are the same system on the same days, and the only difference is the weather input the System received. The vertical lines mark 13:00 local daylight time, the hour FWI1987 observes, and 17:00, the hour a daily value conventionally represents.</w:t>
            </w:r>
          </w:p>
          <w:bookmarkEnd w:id="60"/>
        </w:tc>
      </w:tr>
    </w:tbl>
    <w:p>
      <w:pPr>
        <w:pStyle w:val="SourceCode"/>
      </w:pPr>
      <w:r>
        <w:rPr>
          <w:rStyle w:val="NormalTok"/>
        </w:rPr>
        <w:t xml:space="preserve">cap </w:t>
      </w:r>
      <w:r>
        <w:rPr>
          <w:rStyle w:val="OtherTok"/>
        </w:rPr>
        <w:t xml:space="preserve">&lt;-</w:t>
      </w:r>
      <w:r>
        <w:rPr>
          <w:rStyle w:val="NormalTok"/>
        </w:rPr>
        <w:t xml:space="preserve"> metrics[metrics</w:t>
      </w:r>
      <w:r>
        <w:rPr>
          <w:rStyle w:val="SpecialCharTok"/>
        </w:rPr>
        <w:t xml:space="preserve">$</w:t>
      </w:r>
      <w:r>
        <w:rPr>
          <w:rStyle w:val="NormalTok"/>
        </w:rPr>
        <w:t xml:space="preserve">series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"s2"</w:t>
      </w:r>
      <w:r>
        <w:rPr>
          <w:rStyle w:val="NormalTok"/>
        </w:rPr>
        <w:t xml:space="preserve">, </w:t>
      </w:r>
      <w:r>
        <w:rPr>
          <w:rStyle w:val="StringTok"/>
        </w:rPr>
        <w:t xml:space="preserve">"s3"</w:t>
      </w:r>
      <w:r>
        <w:rPr>
          <w:rStyle w:val="NormalTok"/>
        </w:rPr>
        <w:t xml:space="preserve">) </w:t>
      </w:r>
      <w:r>
        <w:rPr>
          <w:rStyle w:val="SpecialCharTok"/>
        </w:rPr>
        <w:t xml:space="preserve">&amp;</w:t>
      </w:r>
      <w:r>
        <w:br/>
      </w:r>
      <w:r>
        <w:rPr>
          <w:rStyle w:val="NormalTok"/>
        </w:rPr>
        <w:t xml:space="preserve">                 </w:t>
      </w:r>
      <w:r>
        <w:rPr>
          <w:rStyle w:val="SpecialCharTok"/>
        </w:rPr>
        <w:t xml:space="preserve">!</w:t>
      </w:r>
      <w:r>
        <w:rPr>
          <w:rStyle w:val="FunctionTok"/>
        </w:rPr>
        <w:t xml:space="preserve">is.na</w:t>
      </w:r>
      <w:r>
        <w:rPr>
          <w:rStyle w:val="NormalTok"/>
        </w:rPr>
        <w:t xml:space="preserve">(metrics</w:t>
      </w:r>
      <w:r>
        <w:rPr>
          <w:rStyle w:val="SpecialCharTok"/>
        </w:rPr>
        <w:t xml:space="preserve">$</w:t>
      </w:r>
      <w:r>
        <w:rPr>
          <w:rStyle w:val="NormalTok"/>
        </w:rPr>
        <w:t xml:space="preserve">mean_peak_hr), ]</w:t>
      </w:r>
      <w:r>
        <w:br/>
      </w:r>
      <w:r>
        <w:rPr>
          <w:rStyle w:val="ControlFlowTok"/>
        </w:rPr>
        <w:t xml:space="preserve">if</w:t>
      </w:r>
      <w:r>
        <w:rPr>
          <w:rStyle w:val="NormalTok"/>
        </w:rPr>
        <w:t xml:space="preserve"> (</w:t>
      </w:r>
      <w:r>
        <w:rPr>
          <w:rStyle w:val="FunctionTok"/>
        </w:rPr>
        <w:t xml:space="preserve">nrow</w:t>
      </w:r>
      <w:r>
        <w:rPr>
          <w:rStyle w:val="NormalTok"/>
        </w:rPr>
        <w:t xml:space="preserve">(cap)) {</w:t>
      </w:r>
      <w:r>
        <w:br/>
      </w:r>
      <w:r>
        <w:rPr>
          <w:rStyle w:val="NormalTok"/>
        </w:rPr>
        <w:t xml:space="preserve">  ct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w:t>
      </w:r>
      <w:r>
        <w:rPr>
          <w:rStyle w:val="FunctionTok"/>
        </w:rPr>
        <w:t xml:space="preserve">split</w:t>
      </w:r>
      <w:r>
        <w:rPr>
          <w:rStyle w:val="NormalTok"/>
        </w:rPr>
        <w:t xml:space="preserve">(cap, cap</w:t>
      </w:r>
      <w:r>
        <w:rPr>
          <w:rStyle w:val="SpecialCharTok"/>
        </w:rPr>
        <w:t xml:space="preserve">$</w:t>
      </w:r>
      <w:r>
        <w:rPr>
          <w:rStyle w:val="NormalTok"/>
        </w:rPr>
        <w:t xml:space="preserve">series), </w:t>
      </w:r>
      <w:r>
        <w:rPr>
          <w:rStyle w:val="ControlFlowTok"/>
        </w:rPr>
        <w:t xml:space="preserve">function</w:t>
      </w:r>
      <w:r>
        <w:rPr>
          <w:rStyle w:val="NormalTok"/>
        </w:rPr>
        <w:t xml:space="preserve">(d) </w:t>
      </w:r>
      <w:r>
        <w:rPr>
          <w:rStyle w:val="FunctionTok"/>
        </w:rPr>
        <w:t xml:space="preserve">data.frame</w:t>
      </w:r>
      <w:r>
        <w:rPr>
          <w:rStyle w:val="NormalTok"/>
        </w:rPr>
        <w:t xml:space="preserve">(</w:t>
      </w:r>
      <w:r>
        <w:br/>
      </w:r>
      <w:r>
        <w:rPr>
          <w:rStyle w:val="NormalTok"/>
        </w:rPr>
        <w:t xml:space="preserve">    </w:t>
      </w:r>
      <w:r>
        <w:rPr>
          <w:rStyle w:val="AttributeTok"/>
        </w:rPr>
        <w:t xml:space="preserve">Series =</w:t>
      </w:r>
      <w:r>
        <w:rPr>
          <w:rStyle w:val="NormalTok"/>
        </w:rPr>
        <w:t xml:space="preserve"> </w:t>
      </w:r>
      <w:r>
        <w:rPr>
          <w:rStyle w:val="FunctionTok"/>
        </w:rPr>
        <w:t xml:space="preserve">unname</w:t>
      </w:r>
      <w:r>
        <w:rPr>
          <w:rStyle w:val="NormalTok"/>
        </w:rPr>
        <w:t xml:space="preserve">(SERIES[d</w:t>
      </w:r>
      <w:r>
        <w:rPr>
          <w:rStyle w:val="SpecialCharTok"/>
        </w:rPr>
        <w:t xml:space="preserve">$</w:t>
      </w:r>
      <w:r>
        <w:rPr>
          <w:rStyle w:val="NormalTok"/>
        </w:rPr>
        <w:t xml:space="preserve">series[</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Mean peak hour (LST)</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(d</w:t>
      </w:r>
      <w:r>
        <w:rPr>
          <w:rStyle w:val="SpecialCharTok"/>
        </w:rPr>
        <w:t xml:space="preserve">$</w:t>
      </w:r>
      <w:r>
        <w:rPr>
          <w:rStyle w:val="NormalTok"/>
        </w:rPr>
        <w:t xml:space="preserve">mean_peak_hr,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w:t>
      </w:r>
      <w:r>
        <w:rPr>
          <w:rStyle w:val="AttributeTok"/>
        </w:rPr>
        <w:t xml:space="preserve">Mean burning window (h)</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(d</w:t>
      </w:r>
      <w:r>
        <w:rPr>
          <w:rStyle w:val="SpecialCharTok"/>
        </w:rPr>
        <w:t xml:space="preserve">$</w:t>
      </w:r>
      <w:r>
        <w:rPr>
          <w:rStyle w:val="NormalTok"/>
        </w:rPr>
        <w:t xml:space="preserve">mean_duration,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w:t>
      </w:r>
      <w:r>
        <w:rPr>
          <w:rStyle w:val="AttributeTok"/>
        </w:rPr>
        <w:t xml:space="preserve">Days per season with window &gt;= 6 h</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(d</w:t>
      </w:r>
      <w:r>
        <w:rPr>
          <w:rStyle w:val="SpecialCharTok"/>
        </w:rPr>
        <w:t xml:space="preserve">$</w:t>
      </w:r>
      <w:r>
        <w:rPr>
          <w:rStyle w:val="NormalTok"/>
        </w:rPr>
        <w:t xml:space="preserve">n_duration_ge6,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rownames</w:t>
      </w:r>
      <w:r>
        <w:rPr>
          <w:rStyle w:val="NormalTok"/>
        </w:rPr>
        <w:t xml:space="preserve">(ct) </w:t>
      </w:r>
      <w:r>
        <w:rPr>
          <w:rStyle w:val="OtherTok"/>
        </w:rPr>
        <w:t xml:space="preserve">&lt;-</w:t>
      </w:r>
      <w:r>
        <w:rPr>
          <w:rStyle w:val="NormalTok"/>
        </w:rPr>
        <w:t xml:space="preserve"> </w:t>
      </w:r>
      <w:r>
        <w:rPr>
          <w:rStyle w:val="ConstantTok"/>
        </w:rPr>
        <w:t xml:space="preserve">NULL</w:t>
      </w:r>
      <w:r>
        <w:br/>
      </w:r>
      <w:r>
        <w:rPr>
          <w:rStyle w:val="NormalTok"/>
        </w:rPr>
        <w:t xml:space="preserve">  </w:t>
      </w:r>
      <w:r>
        <w:rPr>
          <w:rStyle w:val="FunctionTok"/>
        </w:rPr>
        <w:t xml:space="preserve">fmt_tbl</w:t>
      </w:r>
      <w:r>
        <w:rPr>
          <w:rStyle w:val="NormalTok"/>
        </w:rPr>
        <w:t xml:space="preserve">(ct)</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stop</w:t>
      </w:r>
      <w:r>
        <w:rPr>
          <w:rStyle w:val="NormalTok"/>
        </w:rPr>
        <w:t xml:space="preserve">(</w:t>
      </w:r>
      <w:r>
        <w:rPr>
          <w:rStyle w:val="StringTok"/>
        </w:rPr>
        <w:t xml:space="preserve">"seasonal-metrics.csv carries no daily summary columns; re-run build_seasonal_metrics.py"</w:t>
      </w:r>
      <w:r>
        <w:rPr>
          <w:rStyle w:val="NormalTok"/>
        </w:rPr>
        <w:t xml:space="preserve">)</w:t>
      </w:r>
      <w:r>
        <w:br/>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61" w:name="tbl-capability"/>
          <w:p>
            <w:pPr>
              <w:jc w:val="center"/>
            </w:pPr>
            <w:pPr>
              <w:jc w:val="start"/>
              <w:spacing w:before="200"/>
              <w:pStyle w:val="ImageCaption"/>
            </w:pPr>
            <w:r>
              <w:t xml:space="preserve">Table 7: Two quantities FWI2025 reports and FWI1987 cannot, the hour at which peak burning conditions occur and the number of hours per day the burning window stays open, both as the specification’s own daily summary computes them. Values are means over kept station-seasons. FWI1987 has no entry because a system with one value per day cannot say when in the day it applies.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Series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Mean peak hour (LST)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Mean burning window (h)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Days per season with window &gt;= 6 h</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S2: FWI2025, 13:00 observation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7.26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87.2</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S3: FWI2025, hourly observation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11.00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96.0</w:t>
                  </w:r>
                </w:p>
              </w:tc>
            </w:tr>
          </w:tbl>
          <w:bookmarkEnd w:id="61"/>
        </w:tc>
      </w:tr>
    </w:tbl>
    <w:p>
      <w:pPr>
        <w:pStyle w:val="SourceCode"/>
      </w:pPr>
      <w:r>
        <w:rPr>
          <w:rStyle w:val="CommentTok"/>
        </w:rPr>
        <w:t xml:space="preserve"># The two readings the figure supports, computed from the same window it draws.</w:t>
      </w:r>
      <w:r>
        <w:br/>
      </w:r>
      <w:r>
        <w:rPr>
          <w:rStyle w:val="NormalTok"/>
        </w:rPr>
        <w:t xml:space="preserve">night </w:t>
      </w:r>
      <w:r>
        <w:rPr>
          <w:rStyle w:val="OtherTok"/>
        </w:rPr>
        <w:t xml:space="preserve">&lt;-</w:t>
      </w:r>
      <w:r>
        <w:rPr>
          <w:rStyle w:val="NormalTok"/>
        </w:rPr>
        <w:t xml:space="preserve"> win</w:t>
      </w:r>
      <w:r>
        <w:rPr>
          <w:rStyle w:val="SpecialCharTok"/>
        </w:rPr>
        <w:t xml:space="preserve">$</w:t>
      </w:r>
      <w:r>
        <w:rPr>
          <w:rStyle w:val="NormalTok"/>
        </w:rPr>
        <w:t xml:space="preserve">hr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rPr>
          <w:rStyle w:val="NormalTok"/>
        </w:rPr>
        <w:t xml:space="preserve">day </w:t>
      </w:r>
      <w:r>
        <w:rPr>
          <w:rStyle w:val="OtherTok"/>
        </w:rPr>
        <w:t xml:space="preserve">&lt;-</w:t>
      </w:r>
      <w:r>
        <w:rPr>
          <w:rStyle w:val="NormalTok"/>
        </w:rPr>
        <w:t xml:space="preserve"> win</w:t>
      </w:r>
      <w:r>
        <w:rPr>
          <w:rStyle w:val="SpecialCharTok"/>
        </w:rPr>
        <w:t xml:space="preserve">$</w:t>
      </w:r>
      <w:r>
        <w:rPr>
          <w:rStyle w:val="NormalTok"/>
        </w:rPr>
        <w:t xml:space="preserve">hr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14</w:t>
      </w:r>
      <w:r>
        <w:rPr>
          <w:rStyle w:val="NormalTok"/>
        </w:rPr>
        <w:t xml:space="preserve">, </w:t>
      </w:r>
      <w:r>
        <w:rPr>
          <w:rStyle w:val="DecValTok"/>
        </w:rPr>
        <w:t xml:space="preserve">15</w:t>
      </w:r>
      <w:r>
        <w:rPr>
          <w:rStyle w:val="NormalTok"/>
        </w:rPr>
        <w:t xml:space="preserve">, </w:t>
      </w:r>
      <w:r>
        <w:rPr>
          <w:rStyle w:val="DecValTok"/>
        </w:rPr>
        <w:t xml:space="preserve">16</w:t>
      </w:r>
      <w:r>
        <w:rPr>
          <w:rStyle w:val="NormalTok"/>
        </w:rPr>
        <w:t xml:space="preserve">, </w:t>
      </w:r>
      <w:r>
        <w:rPr>
          <w:rStyle w:val="DecValTok"/>
        </w:rPr>
        <w:t xml:space="preserve">17</w:t>
      </w:r>
      <w:r>
        <w:rPr>
          <w:rStyle w:val="NormalTok"/>
        </w:rPr>
        <w:t xml:space="preserve">)</w:t>
      </w:r>
      <w:r>
        <w:br/>
      </w:r>
      <w:r>
        <w:rPr>
          <w:rStyle w:val="NormalTok"/>
        </w:rPr>
        <w:t xml:space="preserve">night_gap </w:t>
      </w:r>
      <w:r>
        <w:rPr>
          <w:rStyle w:val="OtherTok"/>
        </w:rPr>
        <w:t xml:space="preserve">&lt;-</w:t>
      </w:r>
      <w:r>
        <w:rPr>
          <w:rStyle w:val="NormalTok"/>
        </w:rPr>
        <w:t xml:space="preserve"> </w:t>
      </w:r>
      <w:r>
        <w:rPr>
          <w:rStyle w:val="FunctionTok"/>
        </w:rPr>
        <w:t xml:space="preserve">mean</w:t>
      </w:r>
      <w:r>
        <w:rPr>
          <w:rStyle w:val="NormalTok"/>
        </w:rPr>
        <w:t xml:space="preserve">(win</w:t>
      </w:r>
      <w:r>
        <w:rPr>
          <w:rStyle w:val="SpecialCharTok"/>
        </w:rPr>
        <w:t xml:space="preserve">$</w:t>
      </w:r>
      <w:r>
        <w:rPr>
          <w:rStyle w:val="NormalTok"/>
        </w:rPr>
        <w:t xml:space="preserve">s3_ffmc[night] </w:t>
      </w:r>
      <w:r>
        <w:rPr>
          <w:rStyle w:val="SpecialCharTok"/>
        </w:rPr>
        <w:t xml:space="preserve">-</w:t>
      </w:r>
      <w:r>
        <w:rPr>
          <w:rStyle w:val="NormalTok"/>
        </w:rPr>
        <w:t xml:space="preserve"> win</w:t>
      </w:r>
      <w:r>
        <w:rPr>
          <w:rStyle w:val="SpecialCharTok"/>
        </w:rPr>
        <w:t xml:space="preserve">$</w:t>
      </w:r>
      <w:r>
        <w:rPr>
          <w:rStyle w:val="NormalTok"/>
        </w:rPr>
        <w:t xml:space="preserve">s2_ffmc[night],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day_gap </w:t>
      </w:r>
      <w:r>
        <w:rPr>
          <w:rStyle w:val="OtherTok"/>
        </w:rPr>
        <w:t xml:space="preserve">&lt;-</w:t>
      </w:r>
      <w:r>
        <w:rPr>
          <w:rStyle w:val="NormalTok"/>
        </w:rPr>
        <w:t xml:space="preserve"> </w:t>
      </w:r>
      <w:r>
        <w:rPr>
          <w:rStyle w:val="FunctionTok"/>
        </w:rPr>
        <w:t xml:space="preserve">mean</w:t>
      </w:r>
      <w:r>
        <w:rPr>
          <w:rStyle w:val="NormalTok"/>
        </w:rPr>
        <w:t xml:space="preserve">(win</w:t>
      </w:r>
      <w:r>
        <w:rPr>
          <w:rStyle w:val="SpecialCharTok"/>
        </w:rPr>
        <w:t xml:space="preserve">$</w:t>
      </w:r>
      <w:r>
        <w:rPr>
          <w:rStyle w:val="NormalTok"/>
        </w:rPr>
        <w:t xml:space="preserve">s3_ffmc[day] </w:t>
      </w:r>
      <w:r>
        <w:rPr>
          <w:rStyle w:val="SpecialCharTok"/>
        </w:rPr>
        <w:t xml:space="preserve">-</w:t>
      </w:r>
      <w:r>
        <w:rPr>
          <w:rStyle w:val="NormalTok"/>
        </w:rPr>
        <w:t xml:space="preserve"> win</w:t>
      </w:r>
      <w:r>
        <w:rPr>
          <w:rStyle w:val="SpecialCharTok"/>
        </w:rPr>
        <w:t xml:space="preserve">$</w:t>
      </w:r>
      <w:r>
        <w:rPr>
          <w:rStyle w:val="NormalTok"/>
        </w:rPr>
        <w:t xml:space="preserve">s2_ffmc[day],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range_s3 </w:t>
      </w:r>
      <w:r>
        <w:rPr>
          <w:rStyle w:val="OtherTok"/>
        </w:rPr>
        <w:t xml:space="preserve">&lt;-</w:t>
      </w:r>
      <w:r>
        <w:rPr>
          <w:rStyle w:val="NormalTok"/>
        </w:rPr>
        <w:t xml:space="preserve"> </w:t>
      </w:r>
      <w:r>
        <w:rPr>
          <w:rStyle w:val="FunctionTok"/>
        </w:rPr>
        <w:t xml:space="preserve">mean</w:t>
      </w:r>
      <w:r>
        <w:rPr>
          <w:rStyle w:val="NormalTok"/>
        </w:rPr>
        <w:t xml:space="preserve">(</w:t>
      </w:r>
      <w:r>
        <w:rPr>
          <w:rStyle w:val="FunctionTok"/>
        </w:rPr>
        <w:t xml:space="preserve">tapply</w:t>
      </w:r>
      <w:r>
        <w:rPr>
          <w:rStyle w:val="NormalTok"/>
        </w:rPr>
        <w:t xml:space="preserve">(win</w:t>
      </w:r>
      <w:r>
        <w:rPr>
          <w:rStyle w:val="SpecialCharTok"/>
        </w:rPr>
        <w:t xml:space="preserve">$</w:t>
      </w:r>
      <w:r>
        <w:rPr>
          <w:rStyle w:val="NormalTok"/>
        </w:rPr>
        <w:t xml:space="preserve">s3_ffmc, win</w:t>
      </w:r>
      <w:r>
        <w:rPr>
          <w:rStyle w:val="SpecialCharTok"/>
        </w:rPr>
        <w:t xml:space="preserve">$</w:t>
      </w:r>
      <w:r>
        <w:rPr>
          <w:rStyle w:val="NormalTok"/>
        </w:rPr>
        <w:t xml:space="preserve">day, </w:t>
      </w:r>
      <w:r>
        <w:rPr>
          <w:rStyle w:val="ControlFlowTok"/>
        </w:rPr>
        <w:t xml:space="preserve">function</w:t>
      </w:r>
      <w:r>
        <w:rPr>
          <w:rStyle w:val="NormalTok"/>
        </w:rPr>
        <w:t xml:space="preserve">(v) </w:t>
      </w:r>
      <w:r>
        <w:rPr>
          <w:rStyle w:val="FunctionTok"/>
        </w:rPr>
        <w:t xml:space="preserve">diff</w:t>
      </w:r>
      <w:r>
        <w:rPr>
          <w:rStyle w:val="NormalTok"/>
        </w:rPr>
        <w:t xml:space="preserve">(</w:t>
      </w:r>
      <w:r>
        <w:rPr>
          <w:rStyle w:val="FunctionTok"/>
        </w:rPr>
        <w:t xml:space="preserve">range</w:t>
      </w:r>
      <w:r>
        <w:rPr>
          <w:rStyle w:val="NormalTok"/>
        </w:rPr>
        <w:t xml:space="preserve">(v))))</w:t>
      </w:r>
      <w:r>
        <w:br/>
      </w:r>
      <w:r>
        <w:rPr>
          <w:rStyle w:val="NormalTok"/>
        </w:rPr>
        <w:t xml:space="preserve">range_s2 </w:t>
      </w:r>
      <w:r>
        <w:rPr>
          <w:rStyle w:val="OtherTok"/>
        </w:rPr>
        <w:t xml:space="preserve">&lt;-</w:t>
      </w:r>
      <w:r>
        <w:rPr>
          <w:rStyle w:val="NormalTok"/>
        </w:rPr>
        <w:t xml:space="preserve"> </w:t>
      </w:r>
      <w:r>
        <w:rPr>
          <w:rStyle w:val="FunctionTok"/>
        </w:rPr>
        <w:t xml:space="preserve">mean</w:t>
      </w:r>
      <w:r>
        <w:rPr>
          <w:rStyle w:val="NormalTok"/>
        </w:rPr>
        <w:t xml:space="preserve">(</w:t>
      </w:r>
      <w:r>
        <w:rPr>
          <w:rStyle w:val="FunctionTok"/>
        </w:rPr>
        <w:t xml:space="preserve">tapply</w:t>
      </w:r>
      <w:r>
        <w:rPr>
          <w:rStyle w:val="NormalTok"/>
        </w:rPr>
        <w:t xml:space="preserve">(win</w:t>
      </w:r>
      <w:r>
        <w:rPr>
          <w:rStyle w:val="SpecialCharTok"/>
        </w:rPr>
        <w:t xml:space="preserve">$</w:t>
      </w:r>
      <w:r>
        <w:rPr>
          <w:rStyle w:val="NormalTok"/>
        </w:rPr>
        <w:t xml:space="preserve">s2_ffmc, win</w:t>
      </w:r>
      <w:r>
        <w:rPr>
          <w:rStyle w:val="SpecialCharTok"/>
        </w:rPr>
        <w:t xml:space="preserve">$</w:t>
      </w:r>
      <w:r>
        <w:rPr>
          <w:rStyle w:val="NormalTok"/>
        </w:rPr>
        <w:t xml:space="preserve">day, </w:t>
      </w:r>
      <w:r>
        <w:rPr>
          <w:rStyle w:val="ControlFlowTok"/>
        </w:rPr>
        <w:t xml:space="preserve">function</w:t>
      </w:r>
      <w:r>
        <w:rPr>
          <w:rStyle w:val="NormalTok"/>
        </w:rPr>
        <w:t xml:space="preserve">(v) </w:t>
      </w:r>
      <w:r>
        <w:rPr>
          <w:rStyle w:val="FunctionTok"/>
        </w:rPr>
        <w:t xml:space="preserve">diff</w:t>
      </w:r>
      <w:r>
        <w:rPr>
          <w:rStyle w:val="NormalTok"/>
        </w:rPr>
        <w:t xml:space="preserve">(</w:t>
      </w:r>
      <w:r>
        <w:rPr>
          <w:rStyle w:val="FunctionTok"/>
        </w:rPr>
        <w:t xml:space="preserve">range</w:t>
      </w:r>
      <w:r>
        <w:rPr>
          <w:rStyle w:val="NormalTok"/>
        </w:rPr>
        <w:t xml:space="preserve">(v))))</w:t>
      </w:r>
    </w:p>
    <w:p>
      <w:pPr>
        <w:pStyle w:val="FirstParagraph"/>
      </w:pPr>
      <w:hyperlink w:anchor="fig-mechanism">
        <w:r>
          <w:rPr>
            <w:rStyle w:val="Hyperlink"/>
          </w:rPr>
          <w:t xml:space="preserve">Figure 5</w:t>
        </w:r>
      </w:hyperlink>
      <w:r>
        <w:t xml:space="preserve"> </w:t>
      </w:r>
      <w:r>
        <w:t xml:space="preserve">shows what separated S2 from S3 on the same ten days. Both are FWI2025, both were given the same rain, and the only difference was whether the System received the observed hourly weather or reconstructed a standard diurnal curve from the 13:00 observation.</w:t>
      </w:r>
    </w:p>
    <w:p>
      <w:pPr>
        <w:pStyle w:val="BodyText"/>
      </w:pPr>
      <w:r>
        <w:t xml:space="preserve">The reconstruction was not a smoothed version of the observation but a different shape. Over these days it swung 6.6 code units between its daily minimum and maximum against 4.2 for the observed series, and the difference was concentrated overnight, in that the two ran 1.5 units apart in the mid-afternoon and 5.4 units apart before dawn. A standard curve anchored to one afternoon reading estimates the night, and it estimated it wetter than the nights actually were.</w:t>
      </w:r>
      <w:r>
        <w:t xml:space="preserve"> </w:t>
      </w:r>
      <w:hyperlink w:anchor="tbl-capability">
        <w:r>
          <w:rPr>
            <w:rStyle w:val="Hyperlink"/>
          </w:rPr>
          <w:t xml:space="preserve">Table 7</w:t>
        </w:r>
      </w:hyperlink>
      <w:r>
        <w:t xml:space="preserve"> </w:t>
      </w:r>
      <w:r>
        <w:t xml:space="preserve">gives the consequence in the two quantities only the hourly system produces at all.</w:t>
      </w:r>
    </w:p>
    <w:bookmarkEnd w:id="62"/>
    <w:bookmarkStart w:id="68" w:name="trends"/>
    <w:p>
      <w:pPr>
        <w:pStyle w:val="Heading2"/>
      </w:pPr>
      <w:r>
        <w:t xml:space="preserve">4.4 Trends</w:t>
      </w:r>
    </w:p>
    <w:p>
      <w:pPr>
        <w:pStyle w:val="SourceCode"/>
      </w:pPr>
      <w:r>
        <w:rPr>
          <w:rStyle w:val="CommentTok"/>
        </w:rPr>
        <w:t xml:space="preserve"># The metric family. Each entry is a column of the seasonal metric table, a</w:t>
      </w:r>
      <w:r>
        <w:br/>
      </w:r>
      <w:r>
        <w:rPr>
          <w:rStyle w:val="CommentTok"/>
        </w:rPr>
        <w:t xml:space="preserve"># label, and which thresholding scheme it belongs to. The family is declared</w:t>
      </w:r>
      <w:r>
        <w:br/>
      </w:r>
      <w:r>
        <w:rPr>
          <w:rStyle w:val="CommentTok"/>
        </w:rPr>
        <w:t xml:space="preserve"># here, once, and the false discovery rate correction is applied within it.</w:t>
      </w:r>
      <w:r>
        <w:br/>
      </w:r>
      <w:r>
        <w:rPr>
          <w:rStyle w:val="NormalTok"/>
        </w:rPr>
        <w:t xml:space="preserve">METRICS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"mean_fwi"</w:t>
      </w:r>
      <w:r>
        <w:rPr>
          <w:rStyle w:val="NormalTok"/>
        </w:rPr>
        <w:t xml:space="preserve">, </w:t>
      </w:r>
      <w:r>
        <w:rPr>
          <w:rStyle w:val="StringTok"/>
        </w:rPr>
        <w:t xml:space="preserve">"ssr"</w:t>
      </w:r>
      <w:r>
        <w:rPr>
          <w:rStyle w:val="NormalTok"/>
        </w:rPr>
        <w:t xml:space="preserve">, </w:t>
      </w:r>
      <w:r>
        <w:rPr>
          <w:rStyle w:val="StringTok"/>
        </w:rPr>
        <w:t xml:space="preserve">"peak_bui"</w:t>
      </w:r>
      <w:r>
        <w:rPr>
          <w:rStyle w:val="NormalTok"/>
        </w:rPr>
        <w:t xml:space="preserve">,</w:t>
      </w:r>
      <w:r>
        <w:br/>
      </w:r>
      <w:r>
        <w:rPr>
          <w:rStyle w:val="NormalTok"/>
        </w:rPr>
        <w:t xml:space="preserve">          </w:t>
      </w:r>
      <w:r>
        <w:rPr>
          <w:rStyle w:val="StringTok"/>
        </w:rPr>
        <w:t xml:space="preserve">"n_ffmc_ge91"</w:t>
      </w:r>
      <w:r>
        <w:rPr>
          <w:rStyle w:val="NormalTok"/>
        </w:rPr>
        <w:t xml:space="preserve">, </w:t>
      </w:r>
      <w:r>
        <w:rPr>
          <w:rStyle w:val="StringTok"/>
        </w:rPr>
        <w:t xml:space="preserve">"n_fwi_ge19"</w:t>
      </w:r>
      <w:r>
        <w:rPr>
          <w:rStyle w:val="NormalTok"/>
        </w:rPr>
        <w:t xml:space="preserve">, </w:t>
      </w:r>
      <w:r>
        <w:rPr>
          <w:rStyle w:val="StringTok"/>
        </w:rPr>
        <w:t xml:space="preserve">"n_fwi_ge30"</w:t>
      </w:r>
      <w:r>
        <w:rPr>
          <w:rStyle w:val="NormalTok"/>
        </w:rPr>
        <w:t xml:space="preserve">,</w:t>
      </w:r>
      <w:r>
        <w:br/>
      </w:r>
      <w:r>
        <w:rPr>
          <w:rStyle w:val="NormalTok"/>
        </w:rPr>
        <w:t xml:space="preserve">          </w:t>
      </w:r>
      <w:r>
        <w:rPr>
          <w:rStyle w:val="StringTok"/>
        </w:rPr>
        <w:t xml:space="preserve">"n_fwi_p90"</w:t>
      </w:r>
      <w:r>
        <w:rPr>
          <w:rStyle w:val="NormalTok"/>
        </w:rPr>
        <w:t xml:space="preserve">, </w:t>
      </w:r>
      <w:r>
        <w:rPr>
          <w:rStyle w:val="StringTok"/>
        </w:rPr>
        <w:t xml:space="preserve">"n_fwi_p95"</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c</w:t>
      </w:r>
      <w:r>
        <w:rPr>
          <w:rStyle w:val="NormalTok"/>
        </w:rPr>
        <w:t xml:space="preserve">(</w:t>
      </w:r>
      <w:r>
        <w:rPr>
          <w:rStyle w:val="StringTok"/>
        </w:rPr>
        <w:t xml:space="preserve">"Mean FWI"</w:t>
      </w:r>
      <w:r>
        <w:rPr>
          <w:rStyle w:val="NormalTok"/>
        </w:rPr>
        <w:t xml:space="preserve">, </w:t>
      </w:r>
      <w:r>
        <w:rPr>
          <w:rStyle w:val="StringTok"/>
        </w:rPr>
        <w:t xml:space="preserve">"Seasonal severity rating"</w:t>
      </w:r>
      <w:r>
        <w:rPr>
          <w:rStyle w:val="NormalTok"/>
        </w:rPr>
        <w:t xml:space="preserve">, </w:t>
      </w:r>
      <w:r>
        <w:rPr>
          <w:rStyle w:val="StringTok"/>
        </w:rPr>
        <w:t xml:space="preserve">"Peak BUI"</w:t>
      </w:r>
      <w:r>
        <w:rPr>
          <w:rStyle w:val="NormalTok"/>
        </w:rPr>
        <w:t xml:space="preserve">,</w:t>
      </w:r>
      <w:r>
        <w:br/>
      </w:r>
      <w:r>
        <w:rPr>
          <w:rStyle w:val="NormalTok"/>
        </w:rPr>
        <w:t xml:space="preserve">            </w:t>
      </w:r>
      <w:r>
        <w:rPr>
          <w:rStyle w:val="StringTok"/>
        </w:rPr>
        <w:t xml:space="preserve">"Days FFMC &gt;= 91"</w:t>
      </w:r>
      <w:r>
        <w:rPr>
          <w:rStyle w:val="NormalTok"/>
        </w:rPr>
        <w:t xml:space="preserve">, </w:t>
      </w:r>
      <w:r>
        <w:rPr>
          <w:rStyle w:val="StringTok"/>
        </w:rPr>
        <w:t xml:space="preserve">"Days FWI &gt;= 19"</w:t>
      </w:r>
      <w:r>
        <w:rPr>
          <w:rStyle w:val="NormalTok"/>
        </w:rPr>
        <w:t xml:space="preserve">, </w:t>
      </w:r>
      <w:r>
        <w:rPr>
          <w:rStyle w:val="StringTok"/>
        </w:rPr>
        <w:t xml:space="preserve">"Days FWI &gt;= 30"</w:t>
      </w:r>
      <w:r>
        <w:rPr>
          <w:rStyle w:val="NormalTok"/>
        </w:rPr>
        <w:t xml:space="preserve">,</w:t>
      </w:r>
      <w:r>
        <w:br/>
      </w:r>
      <w:r>
        <w:rPr>
          <w:rStyle w:val="NormalTok"/>
        </w:rPr>
        <w:t xml:space="preserve">            </w:t>
      </w:r>
      <w:r>
        <w:rPr>
          <w:rStyle w:val="StringTok"/>
        </w:rPr>
        <w:t xml:space="preserve">"Days above own 90th percentile"</w:t>
      </w:r>
      <w:r>
        <w:rPr>
          <w:rStyle w:val="NormalTok"/>
        </w:rPr>
        <w:t xml:space="preserve">, </w:t>
      </w:r>
      <w:r>
        <w:rPr>
          <w:rStyle w:val="StringTok"/>
        </w:rPr>
        <w:t xml:space="preserve">"Days above own 95th percentile"</w:t>
      </w:r>
      <w:r>
        <w:rPr>
          <w:rStyle w:val="NormalTok"/>
        </w:rPr>
        <w:t xml:space="preserve">),</w:t>
      </w:r>
      <w:r>
        <w:br/>
      </w:r>
      <w:r>
        <w:rPr>
          <w:rStyle w:val="NormalTok"/>
        </w:rPr>
        <w:t xml:space="preserve">  </w:t>
      </w:r>
      <w:r>
        <w:rPr>
          <w:rStyle w:val="AttributeTok"/>
        </w:rPr>
        <w:t xml:space="preserve">scheme =</w:t>
      </w:r>
      <w:r>
        <w:rPr>
          <w:rStyle w:val="NormalTok"/>
        </w:rPr>
        <w:t xml:space="preserve"> </w:t>
      </w:r>
      <w:r>
        <w:rPr>
          <w:rStyle w:val="FunctionTok"/>
        </w:rPr>
        <w:t xml:space="preserve">c</w:t>
      </w:r>
      <w:r>
        <w:rPr>
          <w:rStyle w:val="NormalTok"/>
        </w:rPr>
        <w:t xml:space="preserve">(</w:t>
      </w:r>
      <w:r>
        <w:rPr>
          <w:rStyle w:val="StringTok"/>
        </w:rPr>
        <w:t xml:space="preserve">"level"</w:t>
      </w:r>
      <w:r>
        <w:rPr>
          <w:rStyle w:val="NormalTok"/>
        </w:rPr>
        <w:t xml:space="preserve">, </w:t>
      </w:r>
      <w:r>
        <w:rPr>
          <w:rStyle w:val="StringTok"/>
        </w:rPr>
        <w:t xml:space="preserve">"level"</w:t>
      </w:r>
      <w:r>
        <w:rPr>
          <w:rStyle w:val="NormalTok"/>
        </w:rPr>
        <w:t xml:space="preserve">, </w:t>
      </w:r>
      <w:r>
        <w:rPr>
          <w:rStyle w:val="StringTok"/>
        </w:rPr>
        <w:t xml:space="preserve">"level"</w:t>
      </w:r>
      <w:r>
        <w:rPr>
          <w:rStyle w:val="NormalTok"/>
        </w:rPr>
        <w:t xml:space="preserve">,</w:t>
      </w:r>
      <w:r>
        <w:br/>
      </w:r>
      <w:r>
        <w:rPr>
          <w:rStyle w:val="NormalTok"/>
        </w:rPr>
        <w:t xml:space="preserve">             </w:t>
      </w:r>
      <w:r>
        <w:rPr>
          <w:rStyle w:val="StringTok"/>
        </w:rPr>
        <w:t xml:space="preserve">"absolute"</w:t>
      </w:r>
      <w:r>
        <w:rPr>
          <w:rStyle w:val="NormalTok"/>
        </w:rPr>
        <w:t xml:space="preserve">, </w:t>
      </w:r>
      <w:r>
        <w:rPr>
          <w:rStyle w:val="StringTok"/>
        </w:rPr>
        <w:t xml:space="preserve">"absolute"</w:t>
      </w:r>
      <w:r>
        <w:rPr>
          <w:rStyle w:val="NormalTok"/>
        </w:rPr>
        <w:t xml:space="preserve">, </w:t>
      </w:r>
      <w:r>
        <w:rPr>
          <w:rStyle w:val="StringTok"/>
        </w:rPr>
        <w:t xml:space="preserve">"absolute"</w:t>
      </w:r>
      <w:r>
        <w:rPr>
          <w:rStyle w:val="NormalTok"/>
        </w:rPr>
        <w:t xml:space="preserve">,</w:t>
      </w:r>
      <w:r>
        <w:br/>
      </w:r>
      <w:r>
        <w:rPr>
          <w:rStyle w:val="NormalTok"/>
        </w:rPr>
        <w:t xml:space="preserve">             </w:t>
      </w:r>
      <w:r>
        <w:rPr>
          <w:rStyle w:val="StringTok"/>
        </w:rPr>
        <w:t xml:space="preserve">"relative"</w:t>
      </w:r>
      <w:r>
        <w:rPr>
          <w:rStyle w:val="NormalTok"/>
        </w:rPr>
        <w:t xml:space="preserve">, </w:t>
      </w:r>
      <w:r>
        <w:rPr>
          <w:rStyle w:val="StringTok"/>
        </w:rPr>
        <w:t xml:space="preserve">"relative"</w:t>
      </w:r>
      <w:r>
        <w:rPr>
          <w:rStyle w:val="NormalTok"/>
        </w:rPr>
        <w:t xml:space="preserve">),</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br/>
      </w:r>
      <w:r>
        <w:rPr>
          <w:rStyle w:val="CommentTok"/>
        </w:rPr>
        <w:t xml:space="preserve"># Trends are estimated per station and per series, then combined, rather than on</w:t>
      </w:r>
      <w:r>
        <w:br/>
      </w:r>
      <w:r>
        <w:rPr>
          <w:rStyle w:val="CommentTok"/>
        </w:rPr>
        <w:t xml:space="preserve"># a basin average, because the set of reporting stations changes between seasons</w:t>
      </w:r>
      <w:r>
        <w:br/>
      </w:r>
      <w:r>
        <w:rPr>
          <w:rStyle w:val="CommentTok"/>
        </w:rPr>
        <w:t xml:space="preserve"># and a basin average would move when a station joins or leaves.</w:t>
      </w:r>
      <w:r>
        <w:br/>
      </w:r>
      <w:r>
        <w:rPr>
          <w:rStyle w:val="NormalTok"/>
        </w:rPr>
        <w:t xml:space="preserve">trend_rows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ControlFlowTok"/>
        </w:rPr>
        <w:t xml:space="preserve">for</w:t>
      </w:r>
      <w:r>
        <w:rPr>
          <w:rStyle w:val="NormalTok"/>
        </w:rPr>
        <w:t xml:space="preserve"> (s </w:t>
      </w:r>
      <w:r>
        <w:rPr>
          <w:rStyle w:val="ControlFlowTok"/>
        </w:rPr>
        <w:t xml:space="preserve">in</w:t>
      </w:r>
      <w:r>
        <w:rPr>
          <w:rStyle w:val="NormalTok"/>
        </w:rPr>
        <w:t xml:space="preserve"> </w:t>
      </w:r>
      <w:r>
        <w:rPr>
          <w:rStyle w:val="FunctionTok"/>
        </w:rPr>
        <w:t xml:space="preserve">names</w:t>
      </w:r>
      <w:r>
        <w:rPr>
          <w:rStyle w:val="NormalTok"/>
        </w:rPr>
        <w:t xml:space="preserve">(SERIES)) {</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seq_len</w:t>
      </w:r>
      <w:r>
        <w:rPr>
          <w:rStyle w:val="NormalTok"/>
        </w:rPr>
        <w:t xml:space="preserve">(</w:t>
      </w:r>
      <w:r>
        <w:rPr>
          <w:rStyle w:val="FunctionTok"/>
        </w:rPr>
        <w:t xml:space="preserve">nrow</w:t>
      </w:r>
      <w:r>
        <w:rPr>
          <w:rStyle w:val="NormalTok"/>
        </w:rPr>
        <w:t xml:space="preserve">(METRICS))) {</w:t>
      </w:r>
      <w:r>
        <w:br/>
      </w:r>
      <w:r>
        <w:rPr>
          <w:rStyle w:val="NormalTok"/>
        </w:rPr>
        <w:t xml:space="preserve">    m </w:t>
      </w:r>
      <w:r>
        <w:rPr>
          <w:rStyle w:val="OtherTok"/>
        </w:rPr>
        <w:t xml:space="preserve">&lt;-</w:t>
      </w:r>
      <w:r>
        <w:rPr>
          <w:rStyle w:val="NormalTok"/>
        </w:rPr>
        <w:t xml:space="preserve"> METRICS</w:t>
      </w:r>
      <w:r>
        <w:rPr>
          <w:rStyle w:val="SpecialCharTok"/>
        </w:rPr>
        <w:t xml:space="preserve">$</w:t>
      </w:r>
      <w:r>
        <w:rPr>
          <w:rStyle w:val="NormalTok"/>
        </w:rPr>
        <w:t xml:space="preserve">col[i]</w:t>
      </w:r>
      <w:r>
        <w:br/>
      </w:r>
      <w:r>
        <w:rPr>
          <w:rStyle w:val="NormalTok"/>
        </w:rPr>
        <w:t xml:space="preserve">    </w:t>
      </w:r>
      <w:r>
        <w:rPr>
          <w:rStyle w:val="ControlFlowTok"/>
        </w:rPr>
        <w:t xml:space="preserve">for</w:t>
      </w:r>
      <w:r>
        <w:rPr>
          <w:rStyle w:val="NormalTok"/>
        </w:rPr>
        <w:t xml:space="preserve"> (stn </w:t>
      </w:r>
      <w:r>
        <w:rPr>
          <w:rStyle w:val="ControlFlowTok"/>
        </w:rPr>
        <w:t xml:space="preserve">in</w:t>
      </w:r>
      <w:r>
        <w:rPr>
          <w:rStyle w:val="NormalTok"/>
        </w:rPr>
        <w:t xml:space="preserve"> </w:t>
      </w:r>
      <w:r>
        <w:rPr>
          <w:rStyle w:val="FunctionTok"/>
        </w:rPr>
        <w:t xml:space="preserve">unique</w:t>
      </w:r>
      <w:r>
        <w:rPr>
          <w:rStyle w:val="NormalTok"/>
        </w:rPr>
        <w:t xml:space="preserve">(metrics</w:t>
      </w:r>
      <w:r>
        <w:rPr>
          <w:rStyle w:val="SpecialCharTok"/>
        </w:rPr>
        <w:t xml:space="preserve">$</w:t>
      </w:r>
      <w:r>
        <w:rPr>
          <w:rStyle w:val="NormalTok"/>
        </w:rPr>
        <w:t xml:space="preserve">station_name)) {</w:t>
      </w:r>
      <w:r>
        <w:br/>
      </w:r>
      <w:r>
        <w:rPr>
          <w:rStyle w:val="NormalTok"/>
        </w:rPr>
        <w:t xml:space="preserve">      d </w:t>
      </w:r>
      <w:r>
        <w:rPr>
          <w:rStyle w:val="OtherTok"/>
        </w:rPr>
        <w:t xml:space="preserve">&lt;-</w:t>
      </w:r>
      <w:r>
        <w:rPr>
          <w:rStyle w:val="NormalTok"/>
        </w:rPr>
        <w:t xml:space="preserve"> metrics[metrics</w:t>
      </w:r>
      <w:r>
        <w:rPr>
          <w:rStyle w:val="SpecialCharTok"/>
        </w:rPr>
        <w:t xml:space="preserve">$</w:t>
      </w:r>
      <w:r>
        <w:rPr>
          <w:rStyle w:val="NormalTok"/>
        </w:rPr>
        <w:t xml:space="preserve">series </w:t>
      </w:r>
      <w:r>
        <w:rPr>
          <w:rStyle w:val="SpecialCharTok"/>
        </w:rPr>
        <w:t xml:space="preserve">==</w:t>
      </w:r>
      <w:r>
        <w:rPr>
          <w:rStyle w:val="NormalTok"/>
        </w:rPr>
        <w:t xml:space="preserve"> s </w:t>
      </w:r>
      <w:r>
        <w:rPr>
          <w:rStyle w:val="SpecialCharTok"/>
        </w:rPr>
        <w:t xml:space="preserve">&amp;</w:t>
      </w:r>
      <w:r>
        <w:rPr>
          <w:rStyle w:val="NormalTok"/>
        </w:rPr>
        <w:t xml:space="preserve"> metrics</w:t>
      </w:r>
      <w:r>
        <w:rPr>
          <w:rStyle w:val="SpecialCharTok"/>
        </w:rPr>
        <w:t xml:space="preserve">$</w:t>
      </w:r>
      <w:r>
        <w:rPr>
          <w:rStyle w:val="NormalTok"/>
        </w:rPr>
        <w:t xml:space="preserve">station_name </w:t>
      </w:r>
      <w:r>
        <w:rPr>
          <w:rStyle w:val="SpecialCharTok"/>
        </w:rPr>
        <w:t xml:space="preserve">==</w:t>
      </w:r>
      <w:r>
        <w:rPr>
          <w:rStyle w:val="NormalTok"/>
        </w:rPr>
        <w:t xml:space="preserve"> stn, ]</w:t>
      </w:r>
      <w:r>
        <w:br/>
      </w:r>
      <w:r>
        <w:rPr>
          <w:rStyle w:val="NormalTok"/>
        </w:rPr>
        <w:t xml:space="preserve">      d </w:t>
      </w:r>
      <w:r>
        <w:rPr>
          <w:rStyle w:val="OtherTok"/>
        </w:rPr>
        <w:t xml:space="preserve">&lt;-</w:t>
      </w:r>
      <w:r>
        <w:rPr>
          <w:rStyle w:val="NormalTok"/>
        </w:rPr>
        <w:t xml:space="preserve"> d[</w:t>
      </w:r>
      <w:r>
        <w:rPr>
          <w:rStyle w:val="FunctionTok"/>
        </w:rPr>
        <w:t xml:space="preserve">is.finite</w:t>
      </w:r>
      <w:r>
        <w:rPr>
          <w:rStyle w:val="NormalTok"/>
        </w:rPr>
        <w:t xml:space="preserve">(d[[m]]), ]</w:t>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(d) </w:t>
      </w:r>
      <w:r>
        <w:rPr>
          <w:rStyle w:val="SpecialCharTok"/>
        </w:rPr>
        <w:t xml:space="preserve">&lt;</w:t>
      </w:r>
      <w:r>
        <w:rPr>
          <w:rStyle w:val="NormalTok"/>
        </w:rPr>
        <w:t xml:space="preserve"> </w:t>
      </w:r>
      <w:r>
        <w:rPr>
          <w:rStyle w:val="DecValTok"/>
        </w:rPr>
        <w:t xml:space="preserve">15</w:t>
      </w:r>
      <w:r>
        <w:rPr>
          <w:rStyle w:val="NormalTok"/>
        </w:rPr>
        <w:t xml:space="preserve">) </w:t>
      </w:r>
      <w:r>
        <w:rPr>
          <w:rStyle w:val="ControlFlowTok"/>
        </w:rPr>
        <w:t xml:space="preserve">next</w:t>
      </w:r>
      <w:r>
        <w:br/>
      </w:r>
      <w:r>
        <w:rPr>
          <w:rStyle w:val="NormalTok"/>
        </w:rPr>
        <w:t xml:space="preserve">      tt </w:t>
      </w:r>
      <w:r>
        <w:rPr>
          <w:rStyle w:val="OtherTok"/>
        </w:rPr>
        <w:t xml:space="preserve">&lt;-</w:t>
      </w:r>
      <w:r>
        <w:rPr>
          <w:rStyle w:val="NormalTok"/>
        </w:rPr>
        <w:t xml:space="preserve"> </w:t>
      </w:r>
      <w:r>
        <w:rPr>
          <w:rStyle w:val="FunctionTok"/>
        </w:rPr>
        <w:t xml:space="preserve">trend_test</w:t>
      </w:r>
      <w:r>
        <w:rPr>
          <w:rStyle w:val="NormalTok"/>
        </w:rPr>
        <w:t xml:space="preserve">(d</w:t>
      </w:r>
      <w:r>
        <w:rPr>
          <w:rStyle w:val="SpecialCharTok"/>
        </w:rPr>
        <w:t xml:space="preserve">$</w:t>
      </w:r>
      <w:r>
        <w:rPr>
          <w:rStyle w:val="NormalTok"/>
        </w:rPr>
        <w:t xml:space="preserve">year, d[[m]])</w:t>
      </w:r>
      <w:r>
        <w:br/>
      </w:r>
      <w:r>
        <w:rPr>
          <w:rStyle w:val="NormalTok"/>
        </w:rPr>
        <w:t xml:space="preserve">      tt</w:t>
      </w:r>
      <w:r>
        <w:rPr>
          <w:rStyle w:val="SpecialCharTok"/>
        </w:rPr>
        <w:t xml:space="preserve">$</w:t>
      </w:r>
      <w:r>
        <w:rPr>
          <w:rStyle w:val="NormalTok"/>
        </w:rPr>
        <w:t xml:space="preserve">series </w:t>
      </w:r>
      <w:r>
        <w:rPr>
          <w:rStyle w:val="OtherTok"/>
        </w:rPr>
        <w:t xml:space="preserve">&lt;-</w:t>
      </w:r>
      <w:r>
        <w:rPr>
          <w:rStyle w:val="NormalTok"/>
        </w:rPr>
        <w:t xml:space="preserve"> s; tt</w:t>
      </w:r>
      <w:r>
        <w:rPr>
          <w:rStyle w:val="SpecialCharTok"/>
        </w:rPr>
        <w:t xml:space="preserve">$</w:t>
      </w:r>
      <w:r>
        <w:rPr>
          <w:rStyle w:val="NormalTok"/>
        </w:rPr>
        <w:t xml:space="preserve">metric </w:t>
      </w:r>
      <w:r>
        <w:rPr>
          <w:rStyle w:val="OtherTok"/>
        </w:rPr>
        <w:t xml:space="preserve">&lt;-</w:t>
      </w:r>
      <w:r>
        <w:rPr>
          <w:rStyle w:val="NormalTok"/>
        </w:rPr>
        <w:t xml:space="preserve"> m; tt</w:t>
      </w:r>
      <w:r>
        <w:rPr>
          <w:rStyle w:val="SpecialCharTok"/>
        </w:rPr>
        <w:t xml:space="preserve">$</w:t>
      </w:r>
      <w:r>
        <w:rPr>
          <w:rStyle w:val="NormalTok"/>
        </w:rPr>
        <w:t xml:space="preserve">station </w:t>
      </w:r>
      <w:r>
        <w:rPr>
          <w:rStyle w:val="OtherTok"/>
        </w:rPr>
        <w:t xml:space="preserve">&lt;-</w:t>
      </w:r>
      <w:r>
        <w:rPr>
          <w:rStyle w:val="NormalTok"/>
        </w:rPr>
        <w:t xml:space="preserve"> stn</w:t>
      </w:r>
      <w:r>
        <w:br/>
      </w:r>
      <w:r>
        <w:rPr>
          <w:rStyle w:val="NormalTok"/>
        </w:rPr>
        <w:t xml:space="preserve">      tt</w:t>
      </w:r>
      <w:r>
        <w:rPr>
          <w:rStyle w:val="SpecialCharTok"/>
        </w:rPr>
        <w:t xml:space="preserve">$</w:t>
      </w:r>
      <w:r>
        <w:rPr>
          <w:rStyle w:val="NormalTok"/>
        </w:rPr>
        <w:t xml:space="preserve">mdt </w:t>
      </w:r>
      <w:r>
        <w:rPr>
          <w:rStyle w:val="OtherTok"/>
        </w:rPr>
        <w:t xml:space="preserve">&lt;-</w:t>
      </w:r>
      <w:r>
        <w:rPr>
          <w:rStyle w:val="NormalTok"/>
        </w:rPr>
        <w:t xml:space="preserve"> </w:t>
      </w:r>
      <w:r>
        <w:rPr>
          <w:rStyle w:val="FunctionTok"/>
        </w:rPr>
        <w:t xml:space="preserve">minimum_detectable_trend</w:t>
      </w:r>
      <w:r>
        <w:rPr>
          <w:rStyle w:val="NormalTok"/>
        </w:rPr>
        <w:t xml:space="preserve">(d</w:t>
      </w:r>
      <w:r>
        <w:rPr>
          <w:rStyle w:val="SpecialCharTok"/>
        </w:rPr>
        <w:t xml:space="preserve">$</w:t>
      </w:r>
      <w:r>
        <w:rPr>
          <w:rStyle w:val="NormalTok"/>
        </w:rPr>
        <w:t xml:space="preserve">year, d[[m]])</w:t>
      </w:r>
      <w:r>
        <w:br/>
      </w:r>
      <w:r>
        <w:rPr>
          <w:rStyle w:val="NormalTok"/>
        </w:rPr>
        <w:t xml:space="preserve">      trend_rows[[</w:t>
      </w:r>
      <w:r>
        <w:rPr>
          <w:rStyle w:val="FunctionTok"/>
        </w:rPr>
        <w:t xml:space="preserve">length</w:t>
      </w:r>
      <w:r>
        <w:rPr>
          <w:rStyle w:val="NormalTok"/>
        </w:rPr>
        <w:t xml:space="preserve">(trend_rows) </w:t>
      </w:r>
      <w:r>
        <w:rPr>
          <w:rStyle w:val="SpecialCharTok"/>
        </w:rPr>
        <w:t xml:space="preserve">+</w:t>
      </w:r>
      <w:r>
        <w:rPr>
          <w:rStyle w:val="NormalTok"/>
        </w:rPr>
        <w:t xml:space="preserve"> </w:t>
      </w:r>
      <w:r>
        <w:rPr>
          <w:rStyle w:val="DecValTok"/>
        </w:rPr>
        <w:t xml:space="preserve">1</w:t>
      </w:r>
      <w:r>
        <w:rPr>
          <w:rStyle w:val="NormalTok"/>
        </w:rPr>
        <w:t xml:space="preserve">]] </w:t>
      </w:r>
      <w:r>
        <w:rPr>
          <w:rStyle w:val="OtherTok"/>
        </w:rPr>
        <w:t xml:space="preserve">&lt;-</w:t>
      </w:r>
      <w:r>
        <w:rPr>
          <w:rStyle w:val="NormalTok"/>
        </w:rPr>
        <w:t xml:space="preserve"> tt</w:t>
      </w:r>
      <w:r>
        <w:br/>
      </w:r>
      <w:r>
        <w:rPr>
          <w:rStyle w:val="NormalTok"/>
        </w:rPr>
        <w:t xml:space="preserve">    }</w:t>
      </w:r>
      <w:r>
        <w:br/>
      </w:r>
      <w:r>
        <w:rPr>
          <w:rStyle w:val="NormalTok"/>
        </w:rPr>
        <w:t xml:space="preserve">  }</w:t>
      </w:r>
      <w:r>
        <w:br/>
      </w:r>
      <w:r>
        <w:rPr>
          <w:rStyle w:val="NormalTok"/>
        </w:rPr>
        <w:t xml:space="preserve">}</w:t>
      </w:r>
      <w:r>
        <w:br/>
      </w:r>
      <w:r>
        <w:rPr>
          <w:rStyle w:val="NormalTok"/>
        </w:rPr>
        <w:t xml:space="preserve">trends </w:t>
      </w:r>
      <w:r>
        <w:rPr>
          <w:rStyle w:val="OtherTok"/>
        </w:rPr>
        <w:t xml:space="preserve">&lt;-</w:t>
      </w:r>
      <w:r>
        <w:rPr>
          <w:rStyle w:val="NormalTok"/>
        </w:rPr>
        <w:t xml:space="preserve"> </w:t>
      </w:r>
      <w:r>
        <w:rPr>
          <w:rStyle w:val="FunctionTok"/>
        </w:rPr>
        <w:t xml:space="preserve">do.call</w:t>
      </w:r>
      <w:r>
        <w:rPr>
          <w:rStyle w:val="NormalTok"/>
        </w:rPr>
        <w:t xml:space="preserve">(rbind, trend_rows)</w:t>
      </w:r>
      <w:r>
        <w:br/>
      </w:r>
      <w:r>
        <w:rPr>
          <w:rStyle w:val="ControlFlowTok"/>
        </w:rPr>
        <w:t xml:space="preserve">if</w:t>
      </w:r>
      <w:r>
        <w:rPr>
          <w:rStyle w:val="NormalTok"/>
        </w:rPr>
        <w:t xml:space="preserve"> (</w:t>
      </w:r>
      <w:r>
        <w:rPr>
          <w:rStyle w:val="FunctionTok"/>
        </w:rPr>
        <w:t xml:space="preserve">is.null</w:t>
      </w:r>
      <w:r>
        <w:rPr>
          <w:rStyle w:val="NormalTok"/>
        </w:rPr>
        <w:t xml:space="preserve">(trends) </w:t>
      </w:r>
      <w:r>
        <w:rPr>
          <w:rStyle w:val="SpecialCharTok"/>
        </w:rPr>
        <w:t xml:space="preserve">||</w:t>
      </w:r>
      <w:r>
        <w:rPr>
          <w:rStyle w:val="NormalTok"/>
        </w:rPr>
        <w:t xml:space="preserve"> </w:t>
      </w:r>
      <w:r>
        <w:rPr>
          <w:rStyle w:val="SpecialCharTok"/>
        </w:rPr>
        <w:t xml:space="preserve">!</w:t>
      </w:r>
      <w:r>
        <w:rPr>
          <w:rStyle w:val="FunctionTok"/>
        </w:rPr>
        <w:t xml:space="preserve">nrow</w:t>
      </w:r>
      <w:r>
        <w:rPr>
          <w:rStyle w:val="NormalTok"/>
        </w:rPr>
        <w:t xml:space="preserve">(trends))</w:t>
      </w:r>
      <w:r>
        <w:br/>
      </w:r>
      <w:r>
        <w:rPr>
          <w:rStyle w:val="NormalTok"/>
        </w:rPr>
        <w:t xml:space="preserve">  </w:t>
      </w:r>
      <w:r>
        <w:rPr>
          <w:rStyle w:val="FunctionTok"/>
        </w:rPr>
        <w:t xml:space="preserve">stop</w:t>
      </w:r>
      <w:r>
        <w:rPr>
          <w:rStyle w:val="NormalTok"/>
        </w:rPr>
        <w:t xml:space="preserve">(</w:t>
      </w:r>
      <w:r>
        <w:rPr>
          <w:rStyle w:val="StringTok"/>
        </w:rPr>
        <w:t xml:space="preserve">"No station has the 15 seasons the trend estimator requires. "</w:t>
      </w:r>
      <w:r>
        <w:rPr>
          <w:rStyle w:val="NormalTok"/>
        </w:rPr>
        <w:t xml:space="preserve">,</w:t>
      </w:r>
      <w:r>
        <w:br/>
      </w:r>
      <w:r>
        <w:rPr>
          <w:rStyle w:val="NormalTok"/>
        </w:rPr>
        <w:t xml:space="preserve">       </w:t>
      </w:r>
      <w:r>
        <w:rPr>
          <w:rStyle w:val="StringTok"/>
        </w:rPr>
        <w:t xml:space="preserve">"Kept station-seasons: "</w:t>
      </w:r>
      <w:r>
        <w:rPr>
          <w:rStyle w:val="NormalTok"/>
        </w:rPr>
        <w:t xml:space="preserve">, n_kept, </w:t>
      </w:r>
      <w:r>
        <w:rPr>
          <w:rStyle w:val="StringTok"/>
        </w:rPr>
        <w:t xml:space="preserve">" over "</w:t>
      </w:r>
      <w:r>
        <w:rPr>
          <w:rStyle w:val="NormalTok"/>
        </w:rPr>
        <w:t xml:space="preserve">, n_seasons, </w:t>
      </w:r>
      <w:r>
        <w:rPr>
          <w:rStyle w:val="StringTok"/>
        </w:rPr>
        <w:t xml:space="preserve">" seasons. "</w:t>
      </w:r>
      <w:r>
        <w:rPr>
          <w:rStyle w:val="NormalTok"/>
        </w:rPr>
        <w:t xml:space="preserve">,</w:t>
      </w:r>
      <w:r>
        <w:br/>
      </w:r>
      <w:r>
        <w:rPr>
          <w:rStyle w:val="NormalTok"/>
        </w:rPr>
        <w:t xml:space="preserve">       </w:t>
      </w:r>
      <w:r>
        <w:rPr>
          <w:rStyle w:val="StringTok"/>
        </w:rPr>
        <w:t xml:space="preserve">"Re-run 05.scripts/fetch_fire_weather.py and "</w:t>
      </w:r>
      <w:r>
        <w:rPr>
          <w:rStyle w:val="NormalTok"/>
        </w:rPr>
        <w:t xml:space="preserve">,</w:t>
      </w:r>
      <w:r>
        <w:br/>
      </w:r>
      <w:r>
        <w:rPr>
          <w:rStyle w:val="NormalTok"/>
        </w:rPr>
        <w:t xml:space="preserve">       </w:t>
      </w:r>
      <w:r>
        <w:rPr>
          <w:rStyle w:val="StringTok"/>
        </w:rPr>
        <w:t xml:space="preserve">"05.scripts/compute_fwi_series.py over the full archive."</w:t>
      </w:r>
      <w:r>
        <w:rPr>
          <w:rStyle w:val="NormalTok"/>
        </w:rPr>
        <w:t xml:space="preserve">)</w:t>
      </w:r>
      <w:r>
        <w:br/>
      </w:r>
      <w:r>
        <w:rPr>
          <w:rStyle w:val="CommentTok"/>
        </w:rPr>
        <w:t xml:space="preserve"># The family is the eight metrics within one series at one station.</w:t>
      </w:r>
      <w:r>
        <w:br/>
      </w:r>
      <w:r>
        <w:rPr>
          <w:rStyle w:val="NormalTok"/>
        </w:rPr>
        <w:t xml:space="preserve">trends</w:t>
      </w:r>
      <w:r>
        <w:rPr>
          <w:rStyle w:val="SpecialCharTok"/>
        </w:rPr>
        <w:t xml:space="preserve">$</w:t>
      </w:r>
      <w:r>
        <w:rPr>
          <w:rStyle w:val="NormalTok"/>
        </w:rPr>
        <w:t xml:space="preserve">q </w:t>
      </w:r>
      <w:r>
        <w:rPr>
          <w:rStyle w:val="OtherTok"/>
        </w:rPr>
        <w:t xml:space="preserve">&lt;-</w:t>
      </w:r>
      <w:r>
        <w:rPr>
          <w:rStyle w:val="NormalTok"/>
        </w:rPr>
        <w:t xml:space="preserve"> </w:t>
      </w:r>
      <w:r>
        <w:rPr>
          <w:rStyle w:val="FunctionTok"/>
        </w:rPr>
        <w:t xml:space="preserve">ave</w:t>
      </w:r>
      <w:r>
        <w:rPr>
          <w:rStyle w:val="NormalTok"/>
        </w:rPr>
        <w:t xml:space="preserve">(trends</w:t>
      </w:r>
      <w:r>
        <w:rPr>
          <w:rStyle w:val="SpecialCharTok"/>
        </w:rPr>
        <w:t xml:space="preserve">$</w:t>
      </w:r>
      <w:r>
        <w:rPr>
          <w:rStyle w:val="NormalTok"/>
        </w:rPr>
        <w:t xml:space="preserve">p_corrected,</w:t>
      </w:r>
      <w:r>
        <w:br/>
      </w:r>
      <w:r>
        <w:rPr>
          <w:rStyle w:val="NormalTok"/>
        </w:rPr>
        <w:t xml:space="preserve">                </w:t>
      </w:r>
      <w:r>
        <w:rPr>
          <w:rStyle w:val="FunctionTok"/>
        </w:rPr>
        <w:t xml:space="preserve">paste</w:t>
      </w:r>
      <w:r>
        <w:rPr>
          <w:rStyle w:val="NormalTok"/>
        </w:rPr>
        <w:t xml:space="preserve">(trends</w:t>
      </w:r>
      <w:r>
        <w:rPr>
          <w:rStyle w:val="SpecialCharTok"/>
        </w:rPr>
        <w:t xml:space="preserve">$</w:t>
      </w:r>
      <w:r>
        <w:rPr>
          <w:rStyle w:val="NormalTok"/>
        </w:rPr>
        <w:t xml:space="preserve">series, trends</w:t>
      </w:r>
      <w:r>
        <w:rPr>
          <w:rStyle w:val="SpecialCharTok"/>
        </w:rPr>
        <w:t xml:space="preserve">$</w:t>
      </w:r>
      <w:r>
        <w:rPr>
          <w:rStyle w:val="NormalTok"/>
        </w:rPr>
        <w:t xml:space="preserve">station), </w:t>
      </w:r>
      <w:r>
        <w:rPr>
          <w:rStyle w:val="AttributeTok"/>
        </w:rPr>
        <w:t xml:space="preserve">FUN =</w:t>
      </w:r>
      <w:r>
        <w:rPr>
          <w:rStyle w:val="NormalTok"/>
        </w:rPr>
        <w:t xml:space="preserve"> fdr)</w:t>
      </w:r>
      <w:r>
        <w:br/>
      </w:r>
      <w:r>
        <w:rPr>
          <w:rStyle w:val="FunctionTok"/>
        </w:rPr>
        <w:t xml:space="preserve">write.csv</w:t>
      </w:r>
      <w:r>
        <w:rPr>
          <w:rStyle w:val="NormalTok"/>
        </w:rPr>
        <w:t xml:space="preserve">(trends, </w:t>
      </w:r>
      <w:r>
        <w:rPr>
          <w:rStyle w:val="FunctionTok"/>
        </w:rPr>
        <w:t xml:space="preserve">file.path</w:t>
      </w:r>
      <w:r>
        <w:rPr>
          <w:rStyle w:val="NormalTok"/>
        </w:rPr>
        <w:t xml:space="preserve">(outputs, </w:t>
      </w:r>
      <w:r>
        <w:rPr>
          <w:rStyle w:val="StringTok"/>
        </w:rPr>
        <w:t xml:space="preserve">"trend-estimates.csv"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p>
      <w:pPr>
        <w:pStyle w:val="SourceCode"/>
      </w:pPr>
      <w:r>
        <w:rPr>
          <w:rStyle w:val="NormalTok"/>
        </w:rPr>
        <w:t xml:space="preserve">tr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w:t>
      </w:r>
      <w:r>
        <w:rPr>
          <w:rStyle w:val="FunctionTok"/>
        </w:rPr>
        <w:t xml:space="preserve">split</w:t>
      </w:r>
      <w:r>
        <w:rPr>
          <w:rStyle w:val="NormalTok"/>
        </w:rPr>
        <w:t xml:space="preserve">(trends, </w:t>
      </w:r>
      <w:r>
        <w:rPr>
          <w:rStyle w:val="FunctionTok"/>
        </w:rPr>
        <w:t xml:space="preserve">list</w:t>
      </w:r>
      <w:r>
        <w:rPr>
          <w:rStyle w:val="NormalTok"/>
        </w:rPr>
        <w:t xml:space="preserve">(trends</w:t>
      </w:r>
      <w:r>
        <w:rPr>
          <w:rStyle w:val="SpecialCharTok"/>
        </w:rPr>
        <w:t xml:space="preserve">$</w:t>
      </w:r>
      <w:r>
        <w:rPr>
          <w:rStyle w:val="NormalTok"/>
        </w:rPr>
        <w:t xml:space="preserve">series, trends</w:t>
      </w:r>
      <w:r>
        <w:rPr>
          <w:rStyle w:val="SpecialCharTok"/>
        </w:rPr>
        <w:t xml:space="preserve">$</w:t>
      </w:r>
      <w:r>
        <w:rPr>
          <w:rStyle w:val="NormalTok"/>
        </w:rPr>
        <w:t xml:space="preserve">metric),</w:t>
      </w:r>
      <w:r>
        <w:br/>
      </w:r>
      <w:r>
        <w:rPr>
          <w:rStyle w:val="NormalTok"/>
        </w:rPr>
        <w:t xml:space="preserve">                                  </w:t>
      </w:r>
      <w:r>
        <w:rPr>
          <w:rStyle w:val="AttributeTok"/>
        </w:rPr>
        <w:t xml:space="preserve">drop =</w:t>
      </w:r>
      <w:r>
        <w:rPr>
          <w:rStyle w:val="NormalTok"/>
        </w:rPr>
        <w:t xml:space="preserve"> </w:t>
      </w:r>
      <w:r>
        <w:rPr>
          <w:rStyle w:val="ConstantTok"/>
        </w:rPr>
        <w:t xml:space="preserve">TRUE</w:t>
      </w:r>
      <w:r>
        <w:rPr>
          <w:rStyle w:val="NormalTok"/>
        </w:rPr>
        <w:t xml:space="preserve">), </w:t>
      </w:r>
      <w:r>
        <w:rPr>
          <w:rStyle w:val="ControlFlowTok"/>
        </w:rPr>
        <w:t xml:space="preserve">function</w:t>
      </w:r>
      <w:r>
        <w:rPr>
          <w:rStyle w:val="NormalTok"/>
        </w:rPr>
        <w:t xml:space="preserve">(d) {</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Series =</w:t>
      </w:r>
      <w:r>
        <w:rPr>
          <w:rStyle w:val="NormalTok"/>
        </w:rPr>
        <w:t xml:space="preserve"> </w:t>
      </w:r>
      <w:r>
        <w:rPr>
          <w:rStyle w:val="FunctionTok"/>
        </w:rPr>
        <w:t xml:space="preserve">unname</w:t>
      </w:r>
      <w:r>
        <w:rPr>
          <w:rStyle w:val="NormalTok"/>
        </w:rPr>
        <w:t xml:space="preserve">(SERIES[d</w:t>
      </w:r>
      <w:r>
        <w:rPr>
          <w:rStyle w:val="SpecialCharTok"/>
        </w:rPr>
        <w:t xml:space="preserve">$</w:t>
      </w:r>
      <w:r>
        <w:rPr>
          <w:rStyle w:val="NormalTok"/>
        </w:rPr>
        <w:t xml:space="preserve">series[</w:t>
      </w:r>
      <w:r>
        <w:rPr>
          <w:rStyle w:val="DecValTok"/>
        </w:rPr>
        <w:t xml:space="preserve">1</w:t>
      </w:r>
      <w:r>
        <w:rPr>
          <w:rStyle w:val="NormalTok"/>
        </w:rPr>
        <w:t xml:space="preserve">]]),</w:t>
      </w:r>
      <w:r>
        <w:br/>
      </w:r>
      <w:r>
        <w:rPr>
          <w:rStyle w:val="NormalTok"/>
        </w:rPr>
        <w:t xml:space="preserve">    </w:t>
      </w:r>
      <w:r>
        <w:rPr>
          <w:rStyle w:val="AttributeTok"/>
        </w:rPr>
        <w:t xml:space="preserve">Metric =</w:t>
      </w:r>
      <w:r>
        <w:rPr>
          <w:rStyle w:val="NormalTok"/>
        </w:rPr>
        <w:t xml:space="preserve"> METRICS</w:t>
      </w:r>
      <w:r>
        <w:rPr>
          <w:rStyle w:val="SpecialCharTok"/>
        </w:rPr>
        <w:t xml:space="preserve">$</w:t>
      </w:r>
      <w:r>
        <w:rPr>
          <w:rStyle w:val="NormalTok"/>
        </w:rPr>
        <w:t xml:space="preserve">label[</w:t>
      </w:r>
      <w:r>
        <w:rPr>
          <w:rStyle w:val="FunctionTok"/>
        </w:rPr>
        <w:t xml:space="preserve">match</w:t>
      </w:r>
      <w:r>
        <w:rPr>
          <w:rStyle w:val="NormalTok"/>
        </w:rPr>
        <w:t xml:space="preserve">(d</w:t>
      </w:r>
      <w:r>
        <w:rPr>
          <w:rStyle w:val="SpecialCharTok"/>
        </w:rPr>
        <w:t xml:space="preserve">$</w:t>
      </w:r>
      <w:r>
        <w:rPr>
          <w:rStyle w:val="NormalTok"/>
        </w:rPr>
        <w:t xml:space="preserve">metric[</w:t>
      </w:r>
      <w:r>
        <w:rPr>
          <w:rStyle w:val="DecValTok"/>
        </w:rPr>
        <w:t xml:space="preserve">1</w:t>
      </w:r>
      <w:r>
        <w:rPr>
          <w:rStyle w:val="NormalTok"/>
        </w:rPr>
        <w:t xml:space="preserve">], METRICS</w:t>
      </w:r>
      <w:r>
        <w:rPr>
          <w:rStyle w:val="SpecialCharTok"/>
        </w:rPr>
        <w:t xml:space="preserve">$</w:t>
      </w:r>
      <w:r>
        <w:rPr>
          <w:rStyle w:val="NormalTok"/>
        </w:rPr>
        <w:t xml:space="preserve">col)],</w:t>
      </w:r>
      <w:r>
        <w:br/>
      </w:r>
      <w:r>
        <w:rPr>
          <w:rStyle w:val="NormalTok"/>
        </w:rPr>
        <w:t xml:space="preserve">    </w:t>
      </w:r>
      <w:r>
        <w:rPr>
          <w:rStyle w:val="AttributeTok"/>
        </w:rPr>
        <w:t xml:space="preserve">Stations =</w:t>
      </w:r>
      <w:r>
        <w:rPr>
          <w:rStyle w:val="NormalTok"/>
        </w:rPr>
        <w:t xml:space="preserve"> </w:t>
      </w:r>
      <w:r>
        <w:rPr>
          <w:rStyle w:val="FunctionTok"/>
        </w:rPr>
        <w:t xml:space="preserve">nrow</w:t>
      </w:r>
      <w:r>
        <w:rPr>
          <w:rStyle w:val="NormalTok"/>
        </w:rPr>
        <w:t xml:space="preserve">(d),</w:t>
      </w:r>
      <w:r>
        <w:br/>
      </w:r>
      <w:r>
        <w:rPr>
          <w:rStyle w:val="NormalTok"/>
        </w:rPr>
        <w:t xml:space="preserve">    </w:t>
      </w:r>
      <w:r>
        <w:rPr>
          <w:rStyle w:val="StringTok"/>
        </w:rPr>
        <w:t xml:space="preserve">`</w:t>
      </w:r>
      <w:r>
        <w:rPr>
          <w:rStyle w:val="AttributeTok"/>
        </w:rPr>
        <w:t xml:space="preserve">Median slope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median</w:t>
      </w:r>
      <w:r>
        <w:rPr>
          <w:rStyle w:val="NormalTok"/>
        </w:rPr>
        <w:t xml:space="preserve">(d</w:t>
      </w:r>
      <w:r>
        <w:rPr>
          <w:rStyle w:val="SpecialCharTok"/>
        </w:rPr>
        <w:t xml:space="preserve">$</w:t>
      </w:r>
      <w:r>
        <w:rPr>
          <w:rStyle w:val="NormalTok"/>
        </w:rPr>
        <w:t xml:space="preserve">slope,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w:t>
      </w:r>
      <w:r>
        <w:rPr>
          <w:rStyle w:val="AttributeTok"/>
        </w:rPr>
        <w:t xml:space="preserve">Slope range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"%.2f to %.2f"</w:t>
      </w:r>
      <w:r>
        <w:rPr>
          <w:rStyle w:val="NormalTok"/>
        </w:rPr>
        <w:t xml:space="preserve">, </w:t>
      </w:r>
      <w:r>
        <w:rPr>
          <w:rStyle w:val="FunctionTok"/>
        </w:rPr>
        <w:t xml:space="preserve">min</w:t>
      </w:r>
      <w:r>
        <w:rPr>
          <w:rStyle w:val="NormalTok"/>
        </w:rPr>
        <w:t xml:space="preserve">(d</w:t>
      </w:r>
      <w:r>
        <w:rPr>
          <w:rStyle w:val="SpecialCharTok"/>
        </w:rPr>
        <w:t xml:space="preserve">$</w:t>
      </w:r>
      <w:r>
        <w:rPr>
          <w:rStyle w:val="NormalTok"/>
        </w:rPr>
        <w:t xml:space="preserve">slope,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max</w:t>
      </w:r>
      <w:r>
        <w:rPr>
          <w:rStyle w:val="NormalTok"/>
        </w:rPr>
        <w:t xml:space="preserve">(d</w:t>
      </w:r>
      <w:r>
        <w:rPr>
          <w:rStyle w:val="SpecialCharTok"/>
        </w:rPr>
        <w:t xml:space="preserve">$</w:t>
      </w:r>
      <w:r>
        <w:rPr>
          <w:rStyle w:val="NormalTok"/>
        </w:rPr>
        <w:t xml:space="preserve">slope,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StringTok"/>
        </w:rPr>
        <w:t xml:space="preserve">`</w:t>
      </w:r>
      <w:r>
        <w:rPr>
          <w:rStyle w:val="AttributeTok"/>
        </w:rPr>
        <w:t xml:space="preserve">Stations q &lt; 0.05</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sum</w:t>
      </w:r>
      <w:r>
        <w:rPr>
          <w:rStyle w:val="NormalTok"/>
        </w:rPr>
        <w:t xml:space="preserve">(d</w:t>
      </w:r>
      <w:r>
        <w:rPr>
          <w:rStyle w:val="SpecialCharTok"/>
        </w:rPr>
        <w:t xml:space="preserve">$</w:t>
      </w:r>
      <w:r>
        <w:rPr>
          <w:rStyle w:val="NormalTok"/>
        </w:rPr>
        <w:t xml:space="preserve">q </w:t>
      </w:r>
      <w:r>
        <w:rPr>
          <w:rStyle w:val="SpecialCharTok"/>
        </w:rPr>
        <w:t xml:space="preserve">&lt;</w:t>
      </w:r>
      <w:r>
        <w:rPr>
          <w:rStyle w:val="NormalTok"/>
        </w:rPr>
        <w:t xml:space="preserve"> </w:t>
      </w:r>
      <w:r>
        <w:rPr>
          <w:rStyle w:val="FloatTok"/>
        </w:rPr>
        <w:t xml:space="preserve">0.05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StringTok"/>
        </w:rPr>
        <w:t xml:space="preserve">`</w:t>
      </w:r>
      <w:r>
        <w:rPr>
          <w:rStyle w:val="AttributeTok"/>
        </w:rPr>
        <w:t xml:space="preserve">Min detectable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median</w:t>
      </w:r>
      <w:r>
        <w:rPr>
          <w:rStyle w:val="NormalTok"/>
        </w:rPr>
        <w:t xml:space="preserve">(d</w:t>
      </w:r>
      <w:r>
        <w:rPr>
          <w:rStyle w:val="SpecialCharTok"/>
        </w:rPr>
        <w:t xml:space="preserve">$</w:t>
      </w:r>
      <w:r>
        <w:rPr>
          <w:rStyle w:val="NormalTok"/>
        </w:rPr>
        <w:t xml:space="preserve">mdt,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w:t>
      </w:r>
      <w:r>
        <w:br/>
      </w:r>
      <w:r>
        <w:rPr>
          <w:rStyle w:val="NormalTok"/>
        </w:rPr>
        <w:t xml:space="preserve">}))</w:t>
      </w:r>
      <w:r>
        <w:br/>
      </w:r>
      <w:r>
        <w:rPr>
          <w:rStyle w:val="NormalTok"/>
        </w:rPr>
        <w:t xml:space="preserve">tr </w:t>
      </w:r>
      <w:r>
        <w:rPr>
          <w:rStyle w:val="OtherTok"/>
        </w:rPr>
        <w:t xml:space="preserve">&lt;-</w:t>
      </w:r>
      <w:r>
        <w:rPr>
          <w:rStyle w:val="NormalTok"/>
        </w:rPr>
        <w:t xml:space="preserve"> tr[</w:t>
      </w:r>
      <w:r>
        <w:rPr>
          <w:rStyle w:val="FunctionTok"/>
        </w:rPr>
        <w:t xml:space="preserve">order</w:t>
      </w:r>
      <w:r>
        <w:rPr>
          <w:rStyle w:val="NormalTok"/>
        </w:rPr>
        <w:t xml:space="preserve">(</w:t>
      </w:r>
      <w:r>
        <w:rPr>
          <w:rStyle w:val="FunctionTok"/>
        </w:rPr>
        <w:t xml:space="preserve">match</w:t>
      </w:r>
      <w:r>
        <w:rPr>
          <w:rStyle w:val="NormalTok"/>
        </w:rPr>
        <w:t xml:space="preserve">(tr</w:t>
      </w:r>
      <w:r>
        <w:rPr>
          <w:rStyle w:val="SpecialCharTok"/>
        </w:rPr>
        <w:t xml:space="preserve">$</w:t>
      </w:r>
      <w:r>
        <w:rPr>
          <w:rStyle w:val="NormalTok"/>
        </w:rPr>
        <w:t xml:space="preserve">Metric, METRICS</w:t>
      </w:r>
      <w:r>
        <w:rPr>
          <w:rStyle w:val="SpecialCharTok"/>
        </w:rPr>
        <w:t xml:space="preserve">$</w:t>
      </w:r>
      <w:r>
        <w:rPr>
          <w:rStyle w:val="NormalTok"/>
        </w:rPr>
        <w:t xml:space="preserve">label), tr</w:t>
      </w:r>
      <w:r>
        <w:rPr>
          <w:rStyle w:val="SpecialCharTok"/>
        </w:rPr>
        <w:t xml:space="preserve">$</w:t>
      </w:r>
      <w:r>
        <w:rPr>
          <w:rStyle w:val="NormalTok"/>
        </w:rPr>
        <w:t xml:space="preserve">Series), ]</w:t>
      </w:r>
      <w:r>
        <w:br/>
      </w:r>
      <w:r>
        <w:rPr>
          <w:rStyle w:val="FunctionTok"/>
        </w:rPr>
        <w:t xml:space="preserve">rownames</w:t>
      </w:r>
      <w:r>
        <w:rPr>
          <w:rStyle w:val="NormalTok"/>
        </w:rPr>
        <w:t xml:space="preserve">(tr) </w:t>
      </w:r>
      <w:r>
        <w:rPr>
          <w:rStyle w:val="OtherTok"/>
        </w:rPr>
        <w:t xml:space="preserve">&lt;-</w:t>
      </w:r>
      <w:r>
        <w:rPr>
          <w:rStyle w:val="NormalTok"/>
        </w:rPr>
        <w:t xml:space="preserve"> </w:t>
      </w:r>
      <w:r>
        <w:rPr>
          <w:rStyle w:val="ConstantTok"/>
        </w:rPr>
        <w:t xml:space="preserve">NULL</w:t>
      </w:r>
      <w:r>
        <w:br/>
      </w:r>
      <w:r>
        <w:rPr>
          <w:rStyle w:val="FunctionTok"/>
        </w:rPr>
        <w:t xml:space="preserve">fmt_tbl</w:t>
      </w:r>
      <w:r>
        <w:rPr>
          <w:rStyle w:val="NormalTok"/>
        </w:rPr>
        <w:t xml:space="preserve">(tr)</w:t>
      </w:r>
    </w:p>
    <w:tbl>
      <w:tblPr>
        <w:tblStyle w:val="Table"/>
        <w:tblW w:type="pct" w:w="5000"/>
        <w:tblLayout w:type="fixed"/>
        <w:tblLook w:firstRow="0" w:lastRow="0" w:firstColumn="0" w:lastColumn="0" w:noHBand="0" w:noVBand="0" w:val="0000"/>
      </w:tblPr>
      <w:tblGrid>
        <w:gridCol w:w="7920"/>
      </w:tblGrid>
      <w:tr>
        <w:tc>
          <w:tcPr/>
          <w:bookmarkStart w:id="63" w:name="tbl-trends"/>
          <w:p>
            <w:pPr>
              <w:jc w:val="center"/>
            </w:pPr>
            <w:pPr>
              <w:jc w:val="start"/>
              <w:spacing w:before="200"/>
              <w:pStyle w:val="ImageCaption"/>
            </w:pPr>
            <w:r>
              <w:t xml:space="preserve">Table 8: Theil-Sen slopes per season for each seasonal metric under each series, pooled across stations as the median station slope, with the range across stations. Significance is Mann-Kendall with the Hamed and Rao variance correction; the count is of stations at which the false discovery rate adjusted p value falls below 0.05 within that station’s eight-metric family. The minimum detectable trend is the slope this record could resolve at 80 per cent power.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Series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Metric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Stations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Median slope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Slope range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Stations q &lt; 0.05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Min detectable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S1: FWI1987, 13:00 observation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Mean FWI</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0.176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0.07 to 0.37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S2: FWI2025, 13:00 observation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Mean FWI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0.09 to 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0.269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S3: FWI2025, hourly observation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Mean FWI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0.04 to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0.275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S1: FWI1987, 13:00 observation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Seasonal severity rating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13.376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7.29 to 28.06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22.329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S2: FWI2025, 13:00 observation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Seasonal severity rating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13.884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5.24 to 29.93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23.301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S3: FWI2025, hourly observation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Seasonal severity rating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14.817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7.17 to 29.85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23.332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S1: FWI1987, 13:00 observation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Peak BUI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0.78 to 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4.668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S2: FWI2025, 13:00 observation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Peak BUI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0.91 to 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5.371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S3: FWI2025, hourly observation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Peak BUI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1.32 to 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6.057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S1: FWI1987, 13:00 observation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Days FFMC &gt;= 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0.761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0.28 to 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0.981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S2: FWI2025, 13:00 observation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Days FFMC &gt;= 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0.715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0.33 to 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0.904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S3: FWI2025, hourly observation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Days FFMC &gt;= 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0.741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0.26 to 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0.899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S1: FWI1987, 13:00 observation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Days FWI &gt;= 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0.798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0.45 to 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1.378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S2: FWI2025, 13:00 observation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Days FWI &gt;= 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0.710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0.47 to 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1.365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S3: FWI2025, hourly observation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Days FWI &gt;= 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0.696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0.40 to 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1.304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S1: FWI1987, 13:00 observation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Days FWI &gt;= 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0.711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0.20 to 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1.147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S2: FWI2025, 13:00 observation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Days FWI &gt;= 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0.654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0.10 to 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1.138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S3: FWI2025, hourly observation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Days FWI &gt;= 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0.606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0.36 to 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1.119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S1: FWI1987, 13:00 observation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Days above own 90th percentile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0.337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0.17 to 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0.857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S2: FWI2025, 13:00 observation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Days above own 90th percentile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0.09 to 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0.740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S3: FWI2025, hourly observation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Days above own 90th percentile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0.16 to 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0.746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S1: FWI1987, 13:00 observation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Days above own 95th percentile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0.12 to 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0.605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S2: FWI2025, 13:00 observation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Days above own 95th percentile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0.11 to 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0.493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S3: FWI2025, hourly observation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Days above own 95th percentile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0.148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0.14 to 0.26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0.513</w:t>
                  </w:r>
                </w:p>
              </w:tc>
            </w:tr>
          </w:tbl>
          <w:bookmarkEnd w:id="63"/>
        </w:tc>
      </w:tr>
    </w:tbl>
    <w:p>
      <w:pPr>
        <w:pStyle w:val="SourceCode"/>
      </w:pPr>
      <w:r>
        <w:rPr>
          <w:rStyle w:val="NormalTok"/>
        </w:rPr>
        <w:t xml:space="preserve">show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"mean_fwi"</w:t>
      </w:r>
      <w:r>
        <w:rPr>
          <w:rStyle w:val="NormalTok"/>
        </w:rPr>
        <w:t xml:space="preserve">, </w:t>
      </w:r>
      <w:r>
        <w:rPr>
          <w:rStyle w:val="StringTok"/>
        </w:rPr>
        <w:t xml:space="preserve">"ssr"</w:t>
      </w:r>
      <w:r>
        <w:rPr>
          <w:rStyle w:val="NormalTok"/>
        </w:rPr>
        <w:t xml:space="preserve">, </w:t>
      </w:r>
      <w:r>
        <w:rPr>
          <w:rStyle w:val="StringTok"/>
        </w:rPr>
        <w:t xml:space="preserve">"n_ffmc_ge91"</w:t>
      </w:r>
      <w:r>
        <w:rPr>
          <w:rStyle w:val="NormalTok"/>
        </w:rPr>
        <w:t xml:space="preserve">, </w:t>
      </w:r>
      <w:r>
        <w:rPr>
          <w:rStyle w:val="StringTok"/>
        </w:rPr>
        <w:t xml:space="preserve">"n_fwi_ge19"</w:t>
      </w:r>
      <w:r>
        <w:rPr>
          <w:rStyle w:val="NormalTok"/>
        </w:rPr>
        <w:t xml:space="preserve">, </w:t>
      </w:r>
      <w:r>
        <w:rPr>
          <w:rStyle w:val="StringTok"/>
        </w:rPr>
        <w:t xml:space="preserve">"n_fwi_p90"</w:t>
      </w:r>
      <w:r>
        <w:rPr>
          <w:rStyle w:val="NormalTok"/>
        </w:rPr>
        <w:t xml:space="preserve">, </w:t>
      </w:r>
      <w:r>
        <w:rPr>
          <w:rStyle w:val="StringTok"/>
        </w:rPr>
        <w:t xml:space="preserve">"n_fwi_p95"</w:t>
      </w:r>
      <w:r>
        <w:rPr>
          <w:rStyle w:val="NormalTok"/>
        </w:rPr>
        <w:t xml:space="preserve">)</w:t>
      </w:r>
      <w:r>
        <w:br/>
      </w:r>
      <w:r>
        <w:rPr>
          <w:rStyle w:val="CommentTok"/>
        </w:rPr>
        <w:t xml:space="preserve"># Generous bottom margin and tightened axis title placement: at three rows on one</w:t>
      </w:r>
      <w:r>
        <w:br/>
      </w:r>
      <w:r>
        <w:rPr>
          <w:rStyle w:val="CommentTok"/>
        </w:rPr>
        <w:t xml:space="preserve"># page the default margin clips the x axis label against the panel below.</w:t>
      </w:r>
      <w:r>
        <w:br/>
      </w:r>
      <w:r>
        <w:rPr>
          <w:rStyle w:val="NormalTok"/>
        </w:rPr>
        <w:t xml:space="preserve">op </w:t>
      </w:r>
      <w:r>
        <w:rPr>
          <w:rStyle w:val="OtherTok"/>
        </w:rPr>
        <w:t xml:space="preserve">&lt;-</w:t>
      </w:r>
      <w:r>
        <w:rPr>
          <w:rStyle w:val="NormalTok"/>
        </w:rPr>
        <w:t xml:space="preserve"> </w:t>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2</w:t>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FloatTok"/>
        </w:rPr>
        <w:t xml:space="preserve">3.8</w:t>
      </w:r>
      <w:r>
        <w:rPr>
          <w:rStyle w:val="NormalTok"/>
        </w:rPr>
        <w:t xml:space="preserve">, </w:t>
      </w:r>
      <w:r>
        <w:rPr>
          <w:rStyle w:val="DecValTok"/>
        </w:rPr>
        <w:t xml:space="preserve">4</w:t>
      </w:r>
      <w:r>
        <w:rPr>
          <w:rStyle w:val="NormalTok"/>
        </w:rPr>
        <w:t xml:space="preserve">, </w:t>
      </w:r>
      <w:r>
        <w:rPr>
          <w:rStyle w:val="FloatTok"/>
        </w:rPr>
        <w:t xml:space="preserve">1.4</w:t>
      </w:r>
      <w:r>
        <w:rPr>
          <w:rStyle w:val="NormalTok"/>
        </w:rPr>
        <w:t xml:space="preserve">, </w:t>
      </w:r>
      <w:r>
        <w:rPr>
          <w:rStyle w:val="DecValTok"/>
        </w:rPr>
        <w:t xml:space="preserve">1</w:t>
      </w:r>
      <w:r>
        <w:rPr>
          <w:rStyle w:val="NormalTok"/>
        </w:rPr>
        <w:t xml:space="preserve">), </w:t>
      </w:r>
      <w:r>
        <w:rPr>
          <w:rStyle w:val="AttributeTok"/>
        </w:rPr>
        <w:t xml:space="preserve">mgp =</w:t>
      </w:r>
      <w:r>
        <w:rPr>
          <w:rStyle w:val="NormalTok"/>
        </w:rPr>
        <w:t xml:space="preserve"> </w:t>
      </w:r>
      <w:r>
        <w:rPr>
          <w:rStyle w:val="FunctionTok"/>
        </w:rPr>
        <w:t xml:space="preserve">c</w:t>
      </w:r>
      <w:r>
        <w:rPr>
          <w:rStyle w:val="NormalTok"/>
        </w:rPr>
        <w:t xml:space="preserve">(</w:t>
      </w:r>
      <w:r>
        <w:rPr>
          <w:rStyle w:val="FloatTok"/>
        </w:rPr>
        <w:t xml:space="preserve">2.4</w:t>
      </w:r>
      <w:r>
        <w:rPr>
          <w:rStyle w:val="NormalTok"/>
        </w:rPr>
        <w:t xml:space="preserve">, </w:t>
      </w:r>
      <w:r>
        <w:rPr>
          <w:rStyle w:val="FloatTok"/>
        </w:rPr>
        <w:t xml:space="preserve">0.7</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cex =</w:t>
      </w:r>
      <w:r>
        <w:rPr>
          <w:rStyle w:val="NormalTok"/>
        </w:rPr>
        <w:t xml:space="preserve"> </w:t>
      </w:r>
      <w:r>
        <w:rPr>
          <w:rStyle w:val="FloatTok"/>
        </w:rPr>
        <w:t xml:space="preserve">0.68</w:t>
      </w:r>
      <w:r>
        <w:rPr>
          <w:rStyle w:val="NormalTok"/>
        </w:rPr>
        <w:t xml:space="preserve">)</w:t>
      </w:r>
      <w:r>
        <w:br/>
      </w:r>
      <w:r>
        <w:rPr>
          <w:rStyle w:val="ControlFlowTok"/>
        </w:rPr>
        <w:t xml:space="preserve">for</w:t>
      </w:r>
      <w:r>
        <w:rPr>
          <w:rStyle w:val="NormalTok"/>
        </w:rPr>
        <w:t xml:space="preserve"> (m </w:t>
      </w:r>
      <w:r>
        <w:rPr>
          <w:rStyle w:val="ControlFlowTok"/>
        </w:rPr>
        <w:t xml:space="preserve">in</w:t>
      </w:r>
      <w:r>
        <w:rPr>
          <w:rStyle w:val="NormalTok"/>
        </w:rPr>
        <w:t xml:space="preserve"> show) {</w:t>
      </w:r>
      <w:r>
        <w:br/>
      </w:r>
      <w:r>
        <w:rPr>
          <w:rStyle w:val="NormalTok"/>
        </w:rPr>
        <w:t xml:space="preserve">  ylab </w:t>
      </w:r>
      <w:r>
        <w:rPr>
          <w:rStyle w:val="OtherTok"/>
        </w:rPr>
        <w:t xml:space="preserve">&lt;-</w:t>
      </w:r>
      <w:r>
        <w:rPr>
          <w:rStyle w:val="NormalTok"/>
        </w:rPr>
        <w:t xml:space="preserve"> METRICS</w:t>
      </w:r>
      <w:r>
        <w:rPr>
          <w:rStyle w:val="SpecialCharTok"/>
        </w:rPr>
        <w:t xml:space="preserve">$</w:t>
      </w:r>
      <w:r>
        <w:rPr>
          <w:rStyle w:val="NormalTok"/>
        </w:rPr>
        <w:t xml:space="preserve">label[</w:t>
      </w:r>
      <w:r>
        <w:rPr>
          <w:rStyle w:val="FunctionTok"/>
        </w:rPr>
        <w:t xml:space="preserve">match</w:t>
      </w:r>
      <w:r>
        <w:rPr>
          <w:rStyle w:val="NormalTok"/>
        </w:rPr>
        <w:t xml:space="preserve">(m, METRICS</w:t>
      </w:r>
      <w:r>
        <w:rPr>
          <w:rStyle w:val="SpecialCharTok"/>
        </w:rPr>
        <w:t xml:space="preserve">$</w:t>
      </w:r>
      <w:r>
        <w:rPr>
          <w:rStyle w:val="NormalTok"/>
        </w:rPr>
        <w:t xml:space="preserve">col)]</w:t>
      </w:r>
      <w:r>
        <w:br/>
      </w:r>
      <w:r>
        <w:rPr>
          <w:rStyle w:val="NormalTok"/>
        </w:rPr>
        <w:t xml:space="preserve">  rng </w:t>
      </w:r>
      <w:r>
        <w:rPr>
          <w:rStyle w:val="OtherTok"/>
        </w:rPr>
        <w:t xml:space="preserve">&lt;-</w:t>
      </w:r>
      <w:r>
        <w:rPr>
          <w:rStyle w:val="NormalTok"/>
        </w:rPr>
        <w:t xml:space="preserve"> </w:t>
      </w:r>
      <w:r>
        <w:rPr>
          <w:rStyle w:val="FunctionTok"/>
        </w:rPr>
        <w:t xml:space="preserve">range</w:t>
      </w:r>
      <w:r>
        <w:rPr>
          <w:rStyle w:val="NormalTok"/>
        </w:rPr>
        <w:t xml:space="preserve">(metrics[[m]],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plot</w:t>
      </w:r>
      <w:r>
        <w:rPr>
          <w:rStyle w:val="NormalTok"/>
        </w:rPr>
        <w:t xml:space="preserve">(</w:t>
      </w:r>
      <w:r>
        <w:rPr>
          <w:rStyle w:val="ConstantTok"/>
        </w:rPr>
        <w:t xml:space="preserve">NA</w:t>
      </w:r>
      <w:r>
        <w:rPr>
          <w:rStyle w:val="NormalTok"/>
        </w:rPr>
        <w:t xml:space="preserve">, </w:t>
      </w:r>
      <w:r>
        <w:rPr>
          <w:rStyle w:val="AttributeTok"/>
        </w:rPr>
        <w:t xml:space="preserve">xlim =</w:t>
      </w:r>
      <w:r>
        <w:rPr>
          <w:rStyle w:val="NormalTok"/>
        </w:rPr>
        <w:t xml:space="preserve"> </w:t>
      </w:r>
      <w:r>
        <w:rPr>
          <w:rStyle w:val="FunctionTok"/>
        </w:rPr>
        <w:t xml:space="preserve">range</w:t>
      </w:r>
      <w:r>
        <w:rPr>
          <w:rStyle w:val="NormalTok"/>
        </w:rPr>
        <w:t xml:space="preserve">(metrics</w:t>
      </w:r>
      <w:r>
        <w:rPr>
          <w:rStyle w:val="SpecialCharTok"/>
        </w:rPr>
        <w:t xml:space="preserve">$</w:t>
      </w:r>
      <w:r>
        <w:rPr>
          <w:rStyle w:val="NormalTok"/>
        </w:rPr>
        <w:t xml:space="preserve">year), </w:t>
      </w:r>
      <w:r>
        <w:rPr>
          <w:rStyle w:val="AttributeTok"/>
        </w:rPr>
        <w:t xml:space="preserve">ylim =</w:t>
      </w:r>
      <w:r>
        <w:rPr>
          <w:rStyle w:val="NormalTok"/>
        </w:rPr>
        <w:t xml:space="preserve"> rng, </w:t>
      </w:r>
      <w:r>
        <w:rPr>
          <w:rStyle w:val="AttributeTok"/>
        </w:rPr>
        <w:t xml:space="preserve">xlab =</w:t>
      </w:r>
      <w:r>
        <w:rPr>
          <w:rStyle w:val="NormalTok"/>
        </w:rPr>
        <w:t xml:space="preserve"> </w:t>
      </w:r>
      <w:r>
        <w:rPr>
          <w:rStyle w:val="StringTok"/>
        </w:rPr>
        <w:t xml:space="preserve">"Season"</w:t>
      </w:r>
      <w:r>
        <w:rPr>
          <w:rStyle w:val="NormalTok"/>
        </w:rPr>
        <w:t xml:space="preserve">, </w:t>
      </w:r>
      <w:r>
        <w:rPr>
          <w:rStyle w:val="AttributeTok"/>
        </w:rPr>
        <w:t xml:space="preserve">ylab =</w:t>
      </w:r>
      <w:r>
        <w:rPr>
          <w:rStyle w:val="NormalTok"/>
        </w:rPr>
        <w:t xml:space="preserve"> ylab,</w:t>
      </w:r>
      <w:r>
        <w:br/>
      </w:r>
      <w:r>
        <w:rPr>
          <w:rStyle w:val="NormalTok"/>
        </w:rPr>
        <w:t xml:space="preserve">       </w:t>
      </w:r>
      <w:r>
        <w:rPr>
          <w:rStyle w:val="AttributeTok"/>
        </w:rPr>
        <w:t xml:space="preserve">main =</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(s </w:t>
      </w:r>
      <w:r>
        <w:rPr>
          <w:rStyle w:val="ControlFlowTok"/>
        </w:rPr>
        <w:t xml:space="preserve">in</w:t>
      </w:r>
      <w:r>
        <w:rPr>
          <w:rStyle w:val="NormalTok"/>
        </w:rPr>
        <w:t xml:space="preserve"> </w:t>
      </w:r>
      <w:r>
        <w:rPr>
          <w:rStyle w:val="FunctionTok"/>
        </w:rPr>
        <w:t xml:space="preserve">names</w:t>
      </w:r>
      <w:r>
        <w:rPr>
          <w:rStyle w:val="NormalTok"/>
        </w:rPr>
        <w:t xml:space="preserve">(SERIES)) {</w:t>
      </w:r>
      <w:r>
        <w:br/>
      </w:r>
      <w:r>
        <w:rPr>
          <w:rStyle w:val="NormalTok"/>
        </w:rPr>
        <w:t xml:space="preserve">    d </w:t>
      </w:r>
      <w:r>
        <w:rPr>
          <w:rStyle w:val="OtherTok"/>
        </w:rPr>
        <w:t xml:space="preserve">&lt;-</w:t>
      </w:r>
      <w:r>
        <w:rPr>
          <w:rStyle w:val="NormalTok"/>
        </w:rPr>
        <w:t xml:space="preserve"> metrics[metrics</w:t>
      </w:r>
      <w:r>
        <w:rPr>
          <w:rStyle w:val="SpecialCharTok"/>
        </w:rPr>
        <w:t xml:space="preserve">$</w:t>
      </w:r>
      <w:r>
        <w:rPr>
          <w:rStyle w:val="NormalTok"/>
        </w:rPr>
        <w:t xml:space="preserve">series </w:t>
      </w:r>
      <w:r>
        <w:rPr>
          <w:rStyle w:val="SpecialCharTok"/>
        </w:rPr>
        <w:t xml:space="preserve">==</w:t>
      </w:r>
      <w:r>
        <w:rPr>
          <w:rStyle w:val="NormalTok"/>
        </w:rPr>
        <w:t xml:space="preserve"> s, ]</w:t>
      </w:r>
      <w:r>
        <w:br/>
      </w:r>
      <w:r>
        <w:rPr>
          <w:rStyle w:val="NormalTok"/>
        </w:rPr>
        <w:t xml:space="preserve">    a </w:t>
      </w:r>
      <w:r>
        <w:rPr>
          <w:rStyle w:val="OtherTok"/>
        </w:rPr>
        <w:t xml:space="preserve">&lt;-</w:t>
      </w:r>
      <w:r>
        <w:rPr>
          <w:rStyle w:val="NormalTok"/>
        </w:rPr>
        <w:t xml:space="preserve"> </w:t>
      </w:r>
      <w:r>
        <w:rPr>
          <w:rStyle w:val="FunctionTok"/>
        </w:rPr>
        <w:t xml:space="preserve">aggregate</w:t>
      </w:r>
      <w:r>
        <w:rPr>
          <w:rStyle w:val="NormalTok"/>
        </w:rPr>
        <w:t xml:space="preserve">(d[[m]], </w:t>
      </w:r>
      <w:r>
        <w:rPr>
          <w:rStyle w:val="FunctionTok"/>
        </w:rPr>
        <w:t xml:space="preserve">list</w:t>
      </w:r>
      <w:r>
        <w:rPr>
          <w:rStyle w:val="NormalTok"/>
        </w:rPr>
        <w:t xml:space="preserve">(</w:t>
      </w:r>
      <w:r>
        <w:rPr>
          <w:rStyle w:val="AttributeTok"/>
        </w:rPr>
        <w:t xml:space="preserve">year =</w:t>
      </w:r>
      <w:r>
        <w:rPr>
          <w:rStyle w:val="NormalTok"/>
        </w:rPr>
        <w:t xml:space="preserve"> d</w:t>
      </w:r>
      <w:r>
        <w:rPr>
          <w:rStyle w:val="SpecialCharTok"/>
        </w:rPr>
        <w:t xml:space="preserve">$</w:t>
      </w:r>
      <w:r>
        <w:rPr>
          <w:rStyle w:val="NormalTok"/>
        </w:rPr>
        <w:t xml:space="preserve">year), mean,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points</w:t>
      </w:r>
      <w:r>
        <w:rPr>
          <w:rStyle w:val="NormalTok"/>
        </w:rPr>
        <w:t xml:space="preserve">(a</w:t>
      </w:r>
      <w:r>
        <w:rPr>
          <w:rStyle w:val="SpecialCharTok"/>
        </w:rPr>
        <w:t xml:space="preserve">$</w:t>
      </w:r>
      <w:r>
        <w:rPr>
          <w:rStyle w:val="NormalTok"/>
        </w:rPr>
        <w:t xml:space="preserve">year, a</w:t>
      </w:r>
      <w:r>
        <w:rPr>
          <w:rStyle w:val="SpecialCharTok"/>
        </w:rPr>
        <w:t xml:space="preserve">$</w:t>
      </w:r>
      <w:r>
        <w:rPr>
          <w:rStyle w:val="NormalTok"/>
        </w:rPr>
        <w:t xml:space="preserve">x, </w:t>
      </w:r>
      <w:r>
        <w:rPr>
          <w:rStyle w:val="AttributeTok"/>
        </w:rPr>
        <w:t xml:space="preserve">col =</w:t>
      </w:r>
      <w:r>
        <w:rPr>
          <w:rStyle w:val="NormalTok"/>
        </w:rPr>
        <w:t xml:space="preserve"> cols[s],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cex =</w:t>
      </w:r>
      <w:r>
        <w:rPr>
          <w:rStyle w:val="NormalTok"/>
        </w:rPr>
        <w:t xml:space="preserve"> </w:t>
      </w:r>
      <w:r>
        <w:rPr>
          <w:rStyle w:val="FloatTok"/>
        </w:rPr>
        <w:t xml:space="preserve">0.6</w:t>
      </w:r>
      <w:r>
        <w:rPr>
          <w:rStyle w:val="NormalTok"/>
        </w:rPr>
        <w:t xml:space="preserve">)</w:t>
      </w:r>
      <w:r>
        <w:br/>
      </w:r>
      <w:r>
        <w:rPr>
          <w:rStyle w:val="NormalTok"/>
        </w:rPr>
        <w:t xml:space="preserve">    sl </w:t>
      </w:r>
      <w:r>
        <w:rPr>
          <w:rStyle w:val="OtherTok"/>
        </w:rPr>
        <w:t xml:space="preserve">&lt;-</w:t>
      </w:r>
      <w:r>
        <w:rPr>
          <w:rStyle w:val="NormalTok"/>
        </w:rPr>
        <w:t xml:space="preserve"> </w:t>
      </w:r>
      <w:r>
        <w:rPr>
          <w:rStyle w:val="FunctionTok"/>
        </w:rPr>
        <w:t xml:space="preserve">theil_sen</w:t>
      </w:r>
      <w:r>
        <w:rPr>
          <w:rStyle w:val="NormalTok"/>
        </w:rPr>
        <w:t xml:space="preserve">(a</w:t>
      </w:r>
      <w:r>
        <w:rPr>
          <w:rStyle w:val="SpecialCharTok"/>
        </w:rPr>
        <w:t xml:space="preserve">$</w:t>
      </w:r>
      <w:r>
        <w:rPr>
          <w:rStyle w:val="NormalTok"/>
        </w:rPr>
        <w:t xml:space="preserve">year, a</w:t>
      </w:r>
      <w:r>
        <w:rPr>
          <w:rStyle w:val="SpecialCharTok"/>
        </w:rPr>
        <w:t xml:space="preserve">$</w:t>
      </w:r>
      <w:r>
        <w:rPr>
          <w:rStyle w:val="NormalTok"/>
        </w:rPr>
        <w:t xml:space="preserve">x)</w:t>
      </w:r>
      <w:r>
        <w:br/>
      </w:r>
      <w:r>
        <w:rPr>
          <w:rStyle w:val="NormalTok"/>
        </w:rPr>
        <w:t xml:space="preserve">    ic </w:t>
      </w:r>
      <w:r>
        <w:rPr>
          <w:rStyle w:val="OtherTok"/>
        </w:rPr>
        <w:t xml:space="preserve">&lt;-</w:t>
      </w:r>
      <w:r>
        <w:rPr>
          <w:rStyle w:val="NormalTok"/>
        </w:rPr>
        <w:t xml:space="preserve"> </w:t>
      </w:r>
      <w:r>
        <w:rPr>
          <w:rStyle w:val="FunctionTok"/>
        </w:rPr>
        <w:t xml:space="preserve">median</w:t>
      </w:r>
      <w:r>
        <w:rPr>
          <w:rStyle w:val="NormalTok"/>
        </w:rPr>
        <w:t xml:space="preserve">(a</w:t>
      </w:r>
      <w:r>
        <w:rPr>
          <w:rStyle w:val="SpecialCharTok"/>
        </w:rPr>
        <w:t xml:space="preserve">$</w:t>
      </w:r>
      <w:r>
        <w:rPr>
          <w:rStyle w:val="NormalTok"/>
        </w:rPr>
        <w:t xml:space="preserve">x </w:t>
      </w:r>
      <w:r>
        <w:rPr>
          <w:rStyle w:val="SpecialCharTok"/>
        </w:rPr>
        <w:t xml:space="preserve">-</w:t>
      </w:r>
      <w:r>
        <w:rPr>
          <w:rStyle w:val="NormalTok"/>
        </w:rPr>
        <w:t xml:space="preserve"> sl </w:t>
      </w:r>
      <w:r>
        <w:rPr>
          <w:rStyle w:val="SpecialCharTok"/>
        </w:rPr>
        <w:t xml:space="preserve">*</w:t>
      </w:r>
      <w:r>
        <w:rPr>
          <w:rStyle w:val="NormalTok"/>
        </w:rPr>
        <w:t xml:space="preserve"> a</w:t>
      </w:r>
      <w:r>
        <w:rPr>
          <w:rStyle w:val="SpecialCharTok"/>
        </w:rPr>
        <w:t xml:space="preserve">$</w:t>
      </w:r>
      <w:r>
        <w:rPr>
          <w:rStyle w:val="NormalTok"/>
        </w:rPr>
        <w:t xml:space="preserve">year)</w:t>
      </w:r>
      <w:r>
        <w:br/>
      </w:r>
      <w:r>
        <w:rPr>
          <w:rStyle w:val="NormalTok"/>
        </w:rPr>
        <w:t xml:space="preserve">    </w:t>
      </w:r>
      <w:r>
        <w:rPr>
          <w:rStyle w:val="FunctionTok"/>
        </w:rPr>
        <w:t xml:space="preserve">abline</w:t>
      </w:r>
      <w:r>
        <w:rPr>
          <w:rStyle w:val="NormalTok"/>
        </w:rPr>
        <w:t xml:space="preserve">(</w:t>
      </w:r>
      <w:r>
        <w:rPr>
          <w:rStyle w:val="AttributeTok"/>
        </w:rPr>
        <w:t xml:space="preserve">a =</w:t>
      </w:r>
      <w:r>
        <w:rPr>
          <w:rStyle w:val="NormalTok"/>
        </w:rPr>
        <w:t xml:space="preserve"> ic, </w:t>
      </w:r>
      <w:r>
        <w:rPr>
          <w:rStyle w:val="AttributeTok"/>
        </w:rPr>
        <w:t xml:space="preserve">b =</w:t>
      </w:r>
      <w:r>
        <w:rPr>
          <w:rStyle w:val="NormalTok"/>
        </w:rPr>
        <w:t xml:space="preserve"> sl, </w:t>
      </w:r>
      <w:r>
        <w:rPr>
          <w:rStyle w:val="AttributeTok"/>
        </w:rPr>
        <w:t xml:space="preserve">col =</w:t>
      </w:r>
      <w:r>
        <w:rPr>
          <w:rStyle w:val="NormalTok"/>
        </w:rPr>
        <w:t xml:space="preserve"> cols[s], </w:t>
      </w:r>
      <w:r>
        <w:rPr>
          <w:rStyle w:val="AttributeTok"/>
        </w:rPr>
        <w:t xml:space="preserve">lwd =</w:t>
      </w:r>
      <w:r>
        <w:rPr>
          <w:rStyle w:val="NormalTok"/>
        </w:rPr>
        <w:t xml:space="preserve"> </w:t>
      </w:r>
      <w:r>
        <w:rPr>
          <w:rStyle w:val="FloatTok"/>
        </w:rPr>
        <w:t xml:space="preserve">1.6</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 </w:t>
      </w:r>
      <w:r>
        <w:rPr>
          <w:rStyle w:val="SpecialCharTok"/>
        </w:rPr>
        <w:t xml:space="preserve">==</w:t>
      </w:r>
      <w:r>
        <w:rPr>
          <w:rStyle w:val="NormalTok"/>
        </w:rPr>
        <w:t xml:space="preserve"> show[</w:t>
      </w:r>
      <w:r>
        <w:rPr>
          <w:rStyle w:val="DecValTok"/>
        </w:rPr>
        <w:t xml:space="preserve">1</w:t>
      </w:r>
      <w:r>
        <w:rPr>
          <w:rStyle w:val="NormalTok"/>
        </w:rPr>
        <w:t xml:space="preserve">])</w:t>
      </w:r>
      <w:r>
        <w:br/>
      </w:r>
      <w:r>
        <w:rPr>
          <w:rStyle w:val="NormalTok"/>
        </w:rPr>
        <w:t xml:space="preserve">    </w:t>
      </w:r>
      <w:r>
        <w:rPr>
          <w:rStyle w:val="FunctionTok"/>
        </w:rPr>
        <w:t xml:space="preserve">legend</w:t>
      </w:r>
      <w:r>
        <w:rPr>
          <w:rStyle w:val="NormalTok"/>
        </w:rPr>
        <w:t xml:space="preserve">(</w:t>
      </w:r>
      <w:r>
        <w:rPr>
          <w:rStyle w:val="StringTok"/>
        </w:rPr>
        <w:t xml:space="preserve">"topleft"</w:t>
      </w:r>
      <w:r>
        <w:rPr>
          <w:rStyle w:val="NormalTok"/>
        </w:rPr>
        <w:t xml:space="preserve">, </w:t>
      </w:r>
      <w:r>
        <w:rPr>
          <w:rStyle w:val="AttributeTok"/>
        </w:rPr>
        <w:t xml:space="preserve">legend =</w:t>
      </w:r>
      <w:r>
        <w:rPr>
          <w:rStyle w:val="NormalTok"/>
        </w:rPr>
        <w:t xml:space="preserve"> </w:t>
      </w:r>
      <w:r>
        <w:rPr>
          <w:rStyle w:val="FunctionTok"/>
        </w:rPr>
        <w:t xml:space="preserve">unname</w:t>
      </w:r>
      <w:r>
        <w:rPr>
          <w:rStyle w:val="NormalTok"/>
        </w:rPr>
        <w:t xml:space="preserve">(SERIES), </w:t>
      </w:r>
      <w:r>
        <w:rPr>
          <w:rStyle w:val="AttributeTok"/>
        </w:rPr>
        <w:t xml:space="preserve">col =</w:t>
      </w:r>
      <w:r>
        <w:rPr>
          <w:rStyle w:val="NormalTok"/>
        </w:rPr>
        <w:t xml:space="preserve"> cols, </w:t>
      </w:r>
      <w:r>
        <w:rPr>
          <w:rStyle w:val="AttributeTok"/>
        </w:rPr>
        <w:t xml:space="preserve">lwd =</w:t>
      </w:r>
      <w:r>
        <w:rPr>
          <w:rStyle w:val="NormalTok"/>
        </w:rPr>
        <w:t xml:space="preserve"> </w:t>
      </w:r>
      <w:r>
        <w:rPr>
          <w:rStyle w:val="FloatTok"/>
        </w:rPr>
        <w:t xml:space="preserve">1.6</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w:t>
      </w:r>
      <w:r>
        <w:br/>
      </w:r>
      <w:r>
        <w:rPr>
          <w:rStyle w:val="NormalTok"/>
        </w:rPr>
        <w:t xml:space="preserve">           </w:t>
      </w:r>
      <w:r>
        <w:rPr>
          <w:rStyle w:val="AttributeTok"/>
        </w:rPr>
        <w:t xml:space="preserve">cex =</w:t>
      </w:r>
      <w:r>
        <w:rPr>
          <w:rStyle w:val="NormalTok"/>
        </w:rPr>
        <w:t xml:space="preserve"> </w:t>
      </w:r>
      <w:r>
        <w:rPr>
          <w:rStyle w:val="FloatTok"/>
        </w:rPr>
        <w:t xml:space="preserve">0.7</w:t>
      </w:r>
      <w:r>
        <w:rPr>
          <w:rStyle w:val="NormalTok"/>
        </w:rPr>
        <w:t xml:space="preserve">)</w:t>
      </w:r>
      <w:r>
        <w:br/>
      </w:r>
      <w:r>
        <w:rPr>
          <w:rStyle w:val="NormalTok"/>
        </w:rPr>
        <w:t xml:space="preserve">}</w:t>
      </w:r>
      <w:r>
        <w:br/>
      </w:r>
      <w:r>
        <w:rPr>
          <w:rStyle w:val="FunctionTok"/>
        </w:rPr>
        <w:t xml:space="preserve">par</w:t>
      </w:r>
      <w:r>
        <w:rPr>
          <w:rStyle w:val="NormalTok"/>
        </w:rPr>
        <w:t xml:space="preserve">(op)</w:t>
      </w:r>
    </w:p>
    <w:tbl>
      <w:tblPr>
        <w:tblStyle w:val="Table"/>
        <w:tblW w:type="pct" w:w="5000"/>
        <w:tblLayout w:type="fixed"/>
        <w:tblLook w:firstRow="0" w:lastRow="0" w:firstColumn="0" w:lastColumn="0" w:noHBand="0" w:noVBand="0" w:val="0000"/>
      </w:tblPr>
      <w:tblGrid>
        <w:gridCol w:w="7920"/>
      </w:tblGrid>
      <w:tr>
        <w:tc>
          <w:tcPr/>
          <w:bookmarkStart w:id="67" w:name="fig-trends"/>
          <w:p>
            <w:pPr>
              <w:pStyle w:val="Compact"/>
              <w:jc w:val="center"/>
            </w:pPr>
            <w:r>
              <w:drawing>
                <wp:inline>
                  <wp:extent cx="5943600" cy="6400800"/>
                  <wp:effectExtent b="0" l="0" r="0" t="0"/>
                  <wp:docPr descr="" title="" id="65" name="Picture"/>
                  <a:graphic>
                    <a:graphicData uri="http://schemas.openxmlformats.org/drawingml/2006/picture">
                      <pic:pic>
                        <pic:nvPicPr>
                          <pic:cNvPr descr="../03.outputs/figures/mfig-fig-trends-1.png" id="66" name="Picture"/>
                          <pic:cNvPicPr>
                            <a:picLocks noChangeArrowheads="1" noChangeAspect="1"/>
                          </pic:cNvPicPr>
                        </pic:nvPicPr>
                        <pic:blipFill>
                          <a:blip r:embed="rId64"/>
                          <a:stretch>
                            <a:fillRect/>
                          </a:stretch>
                        </pic:blipFill>
                        <pic:spPr bwMode="auto">
                          <a:xfrm>
                            <a:off x="0" y="0"/>
                            <a:ext cx="5943600" cy="64008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Seasonal metrics by season under the three series, pooled across stations as the station mean, with the Theil-Sen line for each series. The absolute and relative extreme-day counts are the panels the second question turned on, under the prediction that the absolute counts separate between series and the relative counts do not.</w:t>
            </w:r>
          </w:p>
          <w:bookmarkEnd w:id="67"/>
        </w:tc>
      </w:tr>
    </w:tbl>
    <w:p>
      <w:pPr>
        <w:pStyle w:val="SourceCode"/>
      </w:pPr>
      <w:r>
        <w:rPr>
          <w:rStyle w:val="CommentTok"/>
        </w:rPr>
        <w:t xml:space="preserve"># The direction and strength of the trend picture, computed rather than eyeballed</w:t>
      </w:r>
      <w:r>
        <w:br/>
      </w:r>
      <w:r>
        <w:rPr>
          <w:rStyle w:val="CommentTok"/>
        </w:rPr>
        <w:t xml:space="preserve"># off the table, so the sentence below cannot say something the numbers do not.</w:t>
      </w:r>
      <w:r>
        <w:br/>
      </w:r>
      <w:r>
        <w:rPr>
          <w:rStyle w:val="NormalTok"/>
        </w:rPr>
        <w:t xml:space="preserve">tr_up </w:t>
      </w:r>
      <w:r>
        <w:rPr>
          <w:rStyle w:val="OtherTok"/>
        </w:rPr>
        <w:t xml:space="preserve">&lt;-</w:t>
      </w:r>
      <w:r>
        <w:rPr>
          <w:rStyle w:val="NormalTok"/>
        </w:rPr>
        <w:t xml:space="preserve"> </w:t>
      </w:r>
      <w:r>
        <w:rPr>
          <w:rStyle w:val="FunctionTok"/>
        </w:rPr>
        <w:t xml:space="preserve">sum</w:t>
      </w:r>
      <w:r>
        <w:rPr>
          <w:rStyle w:val="NormalTok"/>
        </w:rPr>
        <w:t xml:space="preserve">(trends</w:t>
      </w:r>
      <w:r>
        <w:rPr>
          <w:rStyle w:val="SpecialCharTok"/>
        </w:rPr>
        <w:t xml:space="preserve">$</w:t>
      </w:r>
      <w:r>
        <w:rPr>
          <w:rStyle w:val="NormalTok"/>
        </w:rPr>
        <w:t xml:space="preserve">slope </w:t>
      </w:r>
      <w:r>
        <w:rPr>
          <w:rStyle w:val="SpecialCharTok"/>
        </w:rPr>
        <w:t xml:space="preserve">&gt;</w:t>
      </w:r>
      <w:r>
        <w:rPr>
          <w:rStyle w:val="NormalTok"/>
        </w:rPr>
        <w:t xml:space="preserve"> </w:t>
      </w:r>
      <w:r>
        <w:rPr>
          <w:rStyle w:val="DecValTok"/>
        </w:rPr>
        <w:t xml:space="preserve">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tr_n </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is.finite</w:t>
      </w:r>
      <w:r>
        <w:rPr>
          <w:rStyle w:val="NormalTok"/>
        </w:rPr>
        <w:t xml:space="preserve">(trends</w:t>
      </w:r>
      <w:r>
        <w:rPr>
          <w:rStyle w:val="SpecialCharTok"/>
        </w:rPr>
        <w:t xml:space="preserve">$</w:t>
      </w:r>
      <w:r>
        <w:rPr>
          <w:rStyle w:val="NormalTok"/>
        </w:rPr>
        <w:t xml:space="preserve">slope))</w:t>
      </w:r>
      <w:r>
        <w:br/>
      </w:r>
      <w:r>
        <w:rPr>
          <w:rStyle w:val="NormalTok"/>
        </w:rPr>
        <w:t xml:space="preserve">tr_sig </w:t>
      </w:r>
      <w:r>
        <w:rPr>
          <w:rStyle w:val="OtherTok"/>
        </w:rPr>
        <w:t xml:space="preserve">&lt;-</w:t>
      </w:r>
      <w:r>
        <w:rPr>
          <w:rStyle w:val="NormalTok"/>
        </w:rPr>
        <w:t xml:space="preserve"> </w:t>
      </w:r>
      <w:r>
        <w:rPr>
          <w:rStyle w:val="FunctionTok"/>
        </w:rPr>
        <w:t xml:space="preserve">sum</w:t>
      </w:r>
      <w:r>
        <w:rPr>
          <w:rStyle w:val="NormalTok"/>
        </w:rPr>
        <w:t xml:space="preserve">(trends</w:t>
      </w:r>
      <w:r>
        <w:rPr>
          <w:rStyle w:val="SpecialCharTok"/>
        </w:rPr>
        <w:t xml:space="preserve">$</w:t>
      </w:r>
      <w:r>
        <w:rPr>
          <w:rStyle w:val="NormalTok"/>
        </w:rPr>
        <w:t xml:space="preserve">q </w:t>
      </w:r>
      <w:r>
        <w:rPr>
          <w:rStyle w:val="SpecialCharTok"/>
        </w:rPr>
        <w:t xml:space="preserve">&lt;</w:t>
      </w:r>
      <w:r>
        <w:rPr>
          <w:rStyle w:val="NormalTok"/>
        </w:rPr>
        <w:t xml:space="preserve"> </w:t>
      </w:r>
      <w:r>
        <w:rPr>
          <w:rStyle w:val="FloatTok"/>
        </w:rPr>
        <w:t xml:space="preserve">0.05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tr_sig_up </w:t>
      </w:r>
      <w:r>
        <w:rPr>
          <w:rStyle w:val="OtherTok"/>
        </w:rPr>
        <w:t xml:space="preserve">&lt;-</w:t>
      </w:r>
      <w:r>
        <w:rPr>
          <w:rStyle w:val="NormalTok"/>
        </w:rPr>
        <w:t xml:space="preserve"> </w:t>
      </w:r>
      <w:r>
        <w:rPr>
          <w:rStyle w:val="FunctionTok"/>
        </w:rPr>
        <w:t xml:space="preserve">sum</w:t>
      </w:r>
      <w:r>
        <w:rPr>
          <w:rStyle w:val="NormalTok"/>
        </w:rPr>
        <w:t xml:space="preserve">(trends</w:t>
      </w:r>
      <w:r>
        <w:rPr>
          <w:rStyle w:val="SpecialCharTok"/>
        </w:rPr>
        <w:t xml:space="preserve">$</w:t>
      </w:r>
      <w:r>
        <w:rPr>
          <w:rStyle w:val="NormalTok"/>
        </w:rPr>
        <w:t xml:space="preserve">q </w:t>
      </w:r>
      <w:r>
        <w:rPr>
          <w:rStyle w:val="SpecialCharTok"/>
        </w:rPr>
        <w:t xml:space="preserve">&lt;</w:t>
      </w:r>
      <w:r>
        <w:rPr>
          <w:rStyle w:val="NormalTok"/>
        </w:rPr>
        <w:t xml:space="preserve"> </w:t>
      </w:r>
      <w:r>
        <w:rPr>
          <w:rStyle w:val="FloatTok"/>
        </w:rPr>
        <w:t xml:space="preserve">0.05</w:t>
      </w:r>
      <w:r>
        <w:rPr>
          <w:rStyle w:val="NormalTok"/>
        </w:rPr>
        <w:t xml:space="preserve"> </w:t>
      </w:r>
      <w:r>
        <w:rPr>
          <w:rStyle w:val="SpecialCharTok"/>
        </w:rPr>
        <w:t xml:space="preserve">&amp;</w:t>
      </w:r>
      <w:r>
        <w:rPr>
          <w:rStyle w:val="NormalTok"/>
        </w:rPr>
        <w:t xml:space="preserve"> trends</w:t>
      </w:r>
      <w:r>
        <w:rPr>
          <w:rStyle w:val="SpecialCharTok"/>
        </w:rPr>
        <w:t xml:space="preserve">$</w:t>
      </w:r>
      <w:r>
        <w:rPr>
          <w:rStyle w:val="NormalTok"/>
        </w:rPr>
        <w:t xml:space="preserve">slope </w:t>
      </w:r>
      <w:r>
        <w:rPr>
          <w:rStyle w:val="SpecialCharTok"/>
        </w:rPr>
        <w:t xml:space="preserve">&gt;</w:t>
      </w:r>
      <w:r>
        <w:rPr>
          <w:rStyle w:val="NormalTok"/>
        </w:rPr>
        <w:t xml:space="preserve"> </w:t>
      </w:r>
      <w:r>
        <w:rPr>
          <w:rStyle w:val="DecValTok"/>
        </w:rPr>
        <w:t xml:space="preserve">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CommentTok"/>
        </w:rPr>
        <w:t xml:space="preserve"># What the autocorrelation correction cost, in tests that would otherwise pass.</w:t>
      </w:r>
      <w:r>
        <w:br/>
      </w:r>
      <w:r>
        <w:rPr>
          <w:rStyle w:val="NormalTok"/>
        </w:rPr>
        <w:t xml:space="preserve">would_pass </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p.adjust</w:t>
      </w:r>
      <w:r>
        <w:rPr>
          <w:rStyle w:val="NormalTok"/>
        </w:rPr>
        <w:t xml:space="preserve">(trends</w:t>
      </w:r>
      <w:r>
        <w:rPr>
          <w:rStyle w:val="SpecialCharTok"/>
        </w:rPr>
        <w:t xml:space="preserve">$</w:t>
      </w:r>
      <w:r>
        <w:rPr>
          <w:rStyle w:val="NormalTok"/>
        </w:rPr>
        <w:t xml:space="preserve">p_uncorrected, </w:t>
      </w:r>
      <w:r>
        <w:rPr>
          <w:rStyle w:val="StringTok"/>
        </w:rPr>
        <w:t xml:space="preserve">"BH"</w:t>
      </w:r>
      <w:r>
        <w:rPr>
          <w:rStyle w:val="NormalTok"/>
        </w:rPr>
        <w:t xml:space="preserve">) </w:t>
      </w:r>
      <w:r>
        <w:rPr>
          <w:rStyle w:val="SpecialCharTok"/>
        </w:rPr>
        <w:t xml:space="preserve">&lt;</w:t>
      </w:r>
      <w:r>
        <w:rPr>
          <w:rStyle w:val="NormalTok"/>
        </w:rPr>
        <w:t xml:space="preserve"> </w:t>
      </w:r>
      <w:r>
        <w:rPr>
          <w:rStyle w:val="FloatTok"/>
        </w:rPr>
        <w:t xml:space="preserve">0.05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infl </w:t>
      </w:r>
      <w:r>
        <w:rPr>
          <w:rStyle w:val="OtherTok"/>
        </w:rPr>
        <w:t xml:space="preserve">&lt;-</w:t>
      </w:r>
      <w:r>
        <w:rPr>
          <w:rStyle w:val="NormalTok"/>
        </w:rPr>
        <w:t xml:space="preserve"> </w:t>
      </w:r>
      <w:r>
        <w:rPr>
          <w:rStyle w:val="FunctionTok"/>
        </w:rPr>
        <w:t xml:space="preserve">median</w:t>
      </w:r>
      <w:r>
        <w:rPr>
          <w:rStyle w:val="NormalTok"/>
        </w:rPr>
        <w:t xml:space="preserve">(trends</w:t>
      </w:r>
      <w:r>
        <w:rPr>
          <w:rStyle w:val="SpecialCharTok"/>
        </w:rPr>
        <w:t xml:space="preserve">$</w:t>
      </w:r>
      <w:r>
        <w:rPr>
          <w:rStyle w:val="NormalTok"/>
        </w:rPr>
        <w:t xml:space="preserve">n_over_nstar,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CommentTok"/>
        </w:rPr>
        <w:t xml:space="preserve"># The two extremes among the extreme-day counts, which share the unit days per</w:t>
      </w:r>
      <w:r>
        <w:br/>
      </w:r>
      <w:r>
        <w:rPr>
          <w:rStyle w:val="CommentTok"/>
        </w:rPr>
        <w:t xml:space="preserve"># season, so that the paragraph names its highest and lowest cases rather than</w:t>
      </w:r>
      <w:r>
        <w:br/>
      </w:r>
      <w:r>
        <w:rPr>
          <w:rStyle w:val="CommentTok"/>
        </w:rPr>
        <w:t xml:space="preserve"># reporting only a count of how many passed.</w:t>
      </w:r>
      <w:r>
        <w:br/>
      </w:r>
      <w:r>
        <w:rPr>
          <w:rStyle w:val="NormalTok"/>
        </w:rPr>
        <w:t xml:space="preserve">day_tr </w:t>
      </w:r>
      <w:r>
        <w:rPr>
          <w:rStyle w:val="OtherTok"/>
        </w:rPr>
        <w:t xml:space="preserve">&lt;-</w:t>
      </w:r>
      <w:r>
        <w:rPr>
          <w:rStyle w:val="NormalTok"/>
        </w:rPr>
        <w:t xml:space="preserve"> trends[trends</w:t>
      </w:r>
      <w:r>
        <w:rPr>
          <w:rStyle w:val="SpecialCharTok"/>
        </w:rPr>
        <w:t xml:space="preserve">$</w:t>
      </w:r>
      <w:r>
        <w:rPr>
          <w:rStyle w:val="NormalTok"/>
        </w:rPr>
        <w:t xml:space="preserve">metric </w:t>
      </w:r>
      <w:r>
        <w:rPr>
          <w:rStyle w:val="SpecialCharTok"/>
        </w:rPr>
        <w:t xml:space="preserve">%in%</w:t>
      </w:r>
      <w:r>
        <w:rPr>
          <w:rStyle w:val="NormalTok"/>
        </w:rPr>
        <w:t xml:space="preserve"> METRICS</w:t>
      </w:r>
      <w:r>
        <w:rPr>
          <w:rStyle w:val="SpecialCharTok"/>
        </w:rPr>
        <w:t xml:space="preserve">$</w:t>
      </w:r>
      <w:r>
        <w:rPr>
          <w:rStyle w:val="NormalTok"/>
        </w:rPr>
        <w:t xml:space="preserve">col[METRICS</w:t>
      </w:r>
      <w:r>
        <w:rPr>
          <w:rStyle w:val="SpecialCharTok"/>
        </w:rPr>
        <w:t xml:space="preserve">$</w:t>
      </w:r>
      <w:r>
        <w:rPr>
          <w:rStyle w:val="NormalTok"/>
        </w:rPr>
        <w:t xml:space="preserve">scheme </w:t>
      </w:r>
      <w:r>
        <w:rPr>
          <w:rStyle w:val="SpecialCharTok"/>
        </w:rPr>
        <w:t xml:space="preserve">!=</w:t>
      </w:r>
      <w:r>
        <w:rPr>
          <w:rStyle w:val="NormalTok"/>
        </w:rPr>
        <w:t xml:space="preserve"> </w:t>
      </w:r>
      <w:r>
        <w:rPr>
          <w:rStyle w:val="StringTok"/>
        </w:rPr>
        <w:t xml:space="preserve">"level"</w:t>
      </w:r>
      <w:r>
        <w:rPr>
          <w:rStyle w:val="NormalTok"/>
        </w:rPr>
        <w:t xml:space="preserve">], ]</w:t>
      </w:r>
      <w:r>
        <w:br/>
      </w:r>
      <w:r>
        <w:rPr>
          <w:rStyle w:val="NormalTok"/>
        </w:rPr>
        <w:t xml:space="preserve">hi </w:t>
      </w:r>
      <w:r>
        <w:rPr>
          <w:rStyle w:val="OtherTok"/>
        </w:rPr>
        <w:t xml:space="preserve">&lt;-</w:t>
      </w:r>
      <w:r>
        <w:rPr>
          <w:rStyle w:val="NormalTok"/>
        </w:rPr>
        <w:t xml:space="preserve"> day_tr[</w:t>
      </w:r>
      <w:r>
        <w:rPr>
          <w:rStyle w:val="FunctionTok"/>
        </w:rPr>
        <w:t xml:space="preserve">which.max</w:t>
      </w:r>
      <w:r>
        <w:rPr>
          <w:rStyle w:val="NormalTok"/>
        </w:rPr>
        <w:t xml:space="preserve">(day_tr</w:t>
      </w:r>
      <w:r>
        <w:rPr>
          <w:rStyle w:val="SpecialCharTok"/>
        </w:rPr>
        <w:t xml:space="preserve">$</w:t>
      </w:r>
      <w:r>
        <w:rPr>
          <w:rStyle w:val="NormalTok"/>
        </w:rPr>
        <w:t xml:space="preserve">slope), ]</w:t>
      </w:r>
      <w:r>
        <w:br/>
      </w:r>
      <w:r>
        <w:rPr>
          <w:rStyle w:val="NormalTok"/>
        </w:rPr>
        <w:t xml:space="preserve">lo </w:t>
      </w:r>
      <w:r>
        <w:rPr>
          <w:rStyle w:val="OtherTok"/>
        </w:rPr>
        <w:t xml:space="preserve">&lt;-</w:t>
      </w:r>
      <w:r>
        <w:rPr>
          <w:rStyle w:val="NormalTok"/>
        </w:rPr>
        <w:t xml:space="preserve"> day_tr[</w:t>
      </w:r>
      <w:r>
        <w:rPr>
          <w:rStyle w:val="FunctionTok"/>
        </w:rPr>
        <w:t xml:space="preserve">which.min</w:t>
      </w:r>
      <w:r>
        <w:rPr>
          <w:rStyle w:val="NormalTok"/>
        </w:rPr>
        <w:t xml:space="preserve">(day_tr</w:t>
      </w:r>
      <w:r>
        <w:rPr>
          <w:rStyle w:val="SpecialCharTok"/>
        </w:rPr>
        <w:t xml:space="preserve">$</w:t>
      </w:r>
      <w:r>
        <w:rPr>
          <w:rStyle w:val="NormalTok"/>
        </w:rPr>
        <w:t xml:space="preserve">slope), ]</w:t>
      </w:r>
      <w:r>
        <w:br/>
      </w:r>
      <w:r>
        <w:rPr>
          <w:rStyle w:val="NormalTok"/>
        </w:rPr>
        <w:t xml:space="preserve">name_case </w:t>
      </w:r>
      <w:r>
        <w:rPr>
          <w:rStyle w:val="OtherTok"/>
        </w:rPr>
        <w:t xml:space="preserve">&lt;-</w:t>
      </w:r>
      <w:r>
        <w:rPr>
          <w:rStyle w:val="NormalTok"/>
        </w:rPr>
        <w:t xml:space="preserve"> </w:t>
      </w:r>
      <w:r>
        <w:rPr>
          <w:rStyle w:val="ControlFlowTok"/>
        </w:rPr>
        <w:t xml:space="preserve">function</w:t>
      </w:r>
      <w:r>
        <w:rPr>
          <w:rStyle w:val="NormalTok"/>
        </w:rPr>
        <w:t xml:space="preserve">(r) </w:t>
      </w:r>
      <w:r>
        <w:rPr>
          <w:rStyle w:val="FunctionTok"/>
        </w:rPr>
        <w:t xml:space="preserve">sprintf</w:t>
      </w:r>
      <w:r>
        <w:rPr>
          <w:rStyle w:val="NormalTok"/>
        </w:rPr>
        <w:t xml:space="preserve">(</w:t>
      </w:r>
      <w:r>
        <w:rPr>
          <w:rStyle w:val="StringTok"/>
        </w:rPr>
        <w:t xml:space="preserve">"%s under %s at %s (%+.2f days per season, q = %s)"</w:t>
      </w:r>
      <w:r>
        <w:rPr>
          <w:rStyle w:val="NormalTok"/>
        </w:rPr>
        <w:t xml:space="preserve">,</w:t>
      </w:r>
      <w:r>
        <w:br/>
      </w:r>
      <w:r>
        <w:rPr>
          <w:rStyle w:val="NormalTok"/>
        </w:rPr>
        <w:t xml:space="preserve">  METRICS</w:t>
      </w:r>
      <w:r>
        <w:rPr>
          <w:rStyle w:val="SpecialCharTok"/>
        </w:rPr>
        <w:t xml:space="preserve">$</w:t>
      </w:r>
      <w:r>
        <w:rPr>
          <w:rStyle w:val="NormalTok"/>
        </w:rPr>
        <w:t xml:space="preserve">label[</w:t>
      </w:r>
      <w:r>
        <w:rPr>
          <w:rStyle w:val="FunctionTok"/>
        </w:rPr>
        <w:t xml:space="preserve">match</w:t>
      </w:r>
      <w:r>
        <w:rPr>
          <w:rStyle w:val="NormalTok"/>
        </w:rPr>
        <w:t xml:space="preserve">(r</w:t>
      </w:r>
      <w:r>
        <w:rPr>
          <w:rStyle w:val="SpecialCharTok"/>
        </w:rPr>
        <w:t xml:space="preserve">$</w:t>
      </w:r>
      <w:r>
        <w:rPr>
          <w:rStyle w:val="NormalTok"/>
        </w:rPr>
        <w:t xml:space="preserve">metric, METRICS</w:t>
      </w:r>
      <w:r>
        <w:rPr>
          <w:rStyle w:val="SpecialCharTok"/>
        </w:rPr>
        <w:t xml:space="preserve">$</w:t>
      </w:r>
      <w:r>
        <w:rPr>
          <w:rStyle w:val="NormalTok"/>
        </w:rPr>
        <w:t xml:space="preserve">col)], </w:t>
      </w:r>
      <w:r>
        <w:rPr>
          <w:rStyle w:val="FunctionTok"/>
        </w:rPr>
        <w:t xml:space="preserve">unname</w:t>
      </w:r>
      <w:r>
        <w:rPr>
          <w:rStyle w:val="NormalTok"/>
        </w:rPr>
        <w:t xml:space="preserve">(SERIES_PROSE[r</w:t>
      </w:r>
      <w:r>
        <w:rPr>
          <w:rStyle w:val="SpecialCharTok"/>
        </w:rPr>
        <w:t xml:space="preserve">$</w:t>
      </w:r>
      <w:r>
        <w:rPr>
          <w:rStyle w:val="NormalTok"/>
        </w:rPr>
        <w:t xml:space="preserve">series]),</w:t>
      </w:r>
      <w:r>
        <w:br/>
      </w:r>
      <w:r>
        <w:rPr>
          <w:rStyle w:val="NormalTok"/>
        </w:rPr>
        <w:t xml:space="preserve">  </w:t>
      </w:r>
      <w:r>
        <w:rPr>
          <w:rStyle w:val="FunctionTok"/>
        </w:rPr>
        <w:t xml:space="preserve">station_prose</w:t>
      </w:r>
      <w:r>
        <w:rPr>
          <w:rStyle w:val="NormalTok"/>
        </w:rPr>
        <w:t xml:space="preserve">(r</w:t>
      </w:r>
      <w:r>
        <w:rPr>
          <w:rStyle w:val="SpecialCharTok"/>
        </w:rPr>
        <w:t xml:space="preserve">$</w:t>
      </w:r>
      <w:r>
        <w:rPr>
          <w:rStyle w:val="NormalTok"/>
        </w:rPr>
        <w:t xml:space="preserve">station),</w:t>
      </w:r>
      <w:r>
        <w:br/>
      </w:r>
      <w:r>
        <w:rPr>
          <w:rStyle w:val="NormalTok"/>
        </w:rPr>
        <w:t xml:space="preserve">  r</w:t>
      </w:r>
      <w:r>
        <w:rPr>
          <w:rStyle w:val="SpecialCharTok"/>
        </w:rPr>
        <w:t xml:space="preserve">$</w:t>
      </w:r>
      <w:r>
        <w:rPr>
          <w:rStyle w:val="NormalTok"/>
        </w:rPr>
        <w:t xml:space="preserve">slope, </w:t>
      </w:r>
      <w:r>
        <w:rPr>
          <w:rStyle w:val="FunctionTok"/>
        </w:rPr>
        <w:t xml:space="preserve">ifelse</w:t>
      </w:r>
      <w:r>
        <w:rPr>
          <w:rStyle w:val="NormalTok"/>
        </w:rPr>
        <w:t xml:space="preserve">(r</w:t>
      </w:r>
      <w:r>
        <w:rPr>
          <w:rStyle w:val="SpecialCharTok"/>
        </w:rPr>
        <w:t xml:space="preserve">$</w:t>
      </w:r>
      <w:r>
        <w:rPr>
          <w:rStyle w:val="NormalTok"/>
        </w:rPr>
        <w:t xml:space="preserve">q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tringTok"/>
        </w:rPr>
        <w:t xml:space="preserve">"&lt; 0.001"</w:t>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r</w:t>
      </w:r>
      <w:r>
        <w:rPr>
          <w:rStyle w:val="SpecialCharTok"/>
        </w:rPr>
        <w:t xml:space="preserve">$</w:t>
      </w:r>
      <w:r>
        <w:rPr>
          <w:rStyle w:val="NormalTok"/>
        </w:rPr>
        <w:t xml:space="preserve">q)))</w:t>
      </w:r>
    </w:p>
    <w:p>
      <w:pPr>
        <w:pStyle w:val="FirstParagraph"/>
      </w:pPr>
      <w:r>
        <w:t xml:space="preserve">Of the 96 station, series and metric combinations in</w:t>
      </w:r>
      <w:r>
        <w:t xml:space="preserve"> </w:t>
      </w:r>
      <w:hyperlink w:anchor="tbl-trends">
        <w:r>
          <w:rPr>
            <w:rStyle w:val="Hyperlink"/>
          </w:rPr>
          <w:t xml:space="preserve">Table 8</w:t>
        </w:r>
      </w:hyperlink>
      <w:r>
        <w:t xml:space="preserve">, 96 had a positive Theil-Sen slope. After the Hamed and Rao correction for serial correlation and the false discovery rate correction within each station’s eight-metric family, 26 remained below a q value of 0.05, 26 of them positive. The serial correlation correction mattered, because the median ratio of nominal to effective sample size was 1.00, and 13 combinations would have passed the same false discovery threshold had the uncorrected variance been used. Among the extreme-day counts, which share the unit days per season, the steepest rise was in Days FWI &gt;= 19 under FWI2025 on the 13:00 observation at Fintry (+1.70 days per season, q = 0.006) and the shallowest rise in Days above own 90th percentile under FWI2025 on the 13:00 observation at Brenda Mines (+0.09 days per season, q = 0.770).</w:t>
      </w:r>
    </w:p>
    <w:p>
      <w:pPr>
        <w:pStyle w:val="BodyText"/>
      </w:pPr>
      <w:r>
        <w:t xml:space="preserve">Two cautions belong with that count. The number of stations with enough seasons to carry a trend was 4, because a station needed 15 usable seasons and this network did not give many of them, and for most metrics the observed change over the window was smaller than the change this record could have resolved, which is set out quantitatively in</w:t>
      </w:r>
      <w:r>
        <w:t xml:space="preserve"> </w:t>
      </w:r>
      <w:hyperlink w:anchor="sec-discussion">
        <w:r>
          <w:rPr>
            <w:rStyle w:val="Hyperlink"/>
          </w:rPr>
          <w:t xml:space="preserve">Section 5</w:t>
        </w:r>
      </w:hyperlink>
      <w:r>
        <w:t xml:space="preserve">. A trend estimate here is a direction with a wide interval, not a measurement.</w:t>
      </w:r>
    </w:p>
    <w:p>
      <w:pPr>
        <w:pStyle w:val="BodyText"/>
      </w:pPr>
      <w:hyperlink w:anchor="fig-trends">
        <w:r>
          <w:rPr>
            <w:rStyle w:val="Hyperlink"/>
          </w:rPr>
          <w:t xml:space="preserve">Figure 6</w:t>
        </w:r>
      </w:hyperlink>
      <w:r>
        <w:t xml:space="preserve"> </w:t>
      </w:r>
      <w:r>
        <w:t xml:space="preserve">puts the three series side by side. The panels that bear on the second question are the two absolute-threshold counts against the two relative-threshold counts, because that contrast, and not the overall direction, is what the second question turned on.</w:t>
      </w:r>
    </w:p>
    <w:bookmarkEnd w:id="68"/>
    <w:bookmarkStart w:id="74" w:name="version-dependence"/>
    <w:p>
      <w:pPr>
        <w:pStyle w:val="Heading2"/>
      </w:pPr>
      <w:r>
        <w:t xml:space="preserve">4.5 Version Dependence</w:t>
      </w:r>
    </w:p>
    <w:p>
      <w:pPr>
        <w:pStyle w:val="SourceCode"/>
      </w:pPr>
      <w:r>
        <w:rPr>
          <w:rStyle w:val="NormalTok"/>
        </w:rPr>
        <w:t xml:space="preserve">CONTRASTS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"s1"</w:t>
      </w:r>
      <w:r>
        <w:rPr>
          <w:rStyle w:val="NormalTok"/>
        </w:rPr>
        <w:t xml:space="preserve">, </w:t>
      </w:r>
      <w:r>
        <w:rPr>
          <w:rStyle w:val="StringTok"/>
        </w:rPr>
        <w:t xml:space="preserve">"s2"</w:t>
      </w:r>
      <w:r>
        <w:rPr>
          <w:rStyle w:val="NormalTok"/>
        </w:rPr>
        <w:t xml:space="preserve">, </w:t>
      </w:r>
      <w:r>
        <w:rPr>
          <w:rStyle w:val="StringTok"/>
        </w:rPr>
        <w:t xml:space="preserve">"Version change, input held at 13:00"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"s2"</w:t>
      </w:r>
      <w:r>
        <w:rPr>
          <w:rStyle w:val="NormalTok"/>
        </w:rPr>
        <w:t xml:space="preserve">, </w:t>
      </w:r>
      <w:r>
        <w:rPr>
          <w:rStyle w:val="StringTok"/>
        </w:rPr>
        <w:t xml:space="preserve">"s3"</w:t>
      </w:r>
      <w:r>
        <w:rPr>
          <w:rStyle w:val="NormalTok"/>
        </w:rPr>
        <w:t xml:space="preserve">, </w:t>
      </w:r>
      <w:r>
        <w:rPr>
          <w:rStyle w:val="StringTok"/>
        </w:rPr>
        <w:t xml:space="preserve">"Input resolution change, version held at FWI2025"</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"s1"</w:t>
      </w:r>
      <w:r>
        <w:rPr>
          <w:rStyle w:val="NormalTok"/>
        </w:rPr>
        <w:t xml:space="preserve">, </w:t>
      </w:r>
      <w:r>
        <w:rPr>
          <w:rStyle w:val="StringTok"/>
        </w:rPr>
        <w:t xml:space="preserve">"s3"</w:t>
      </w:r>
      <w:r>
        <w:rPr>
          <w:rStyle w:val="NormalTok"/>
        </w:rPr>
        <w:t xml:space="preserve">, </w:t>
      </w:r>
      <w:r>
        <w:rPr>
          <w:rStyle w:val="StringTok"/>
        </w:rPr>
        <w:t xml:space="preserve">"Operational migration, both changes"</w:t>
      </w:r>
      <w:r>
        <w:rPr>
          <w:rStyle w:val="NormalTok"/>
        </w:rPr>
        <w:t xml:space="preserve">)</w:t>
      </w:r>
      <w:r>
        <w:br/>
      </w:r>
      <w:r>
        <w:rPr>
          <w:rStyle w:val="NormalTok"/>
        </w:rPr>
        <w:t xml:space="preserve">)</w:t>
      </w:r>
      <w:r>
        <w:br/>
      </w:r>
      <w:r>
        <w:br/>
      </w:r>
      <w:r>
        <w:rPr>
          <w:rStyle w:val="NormalTok"/>
        </w:rPr>
        <w:t xml:space="preserve">diff_rows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ControlFlowTok"/>
        </w:rPr>
        <w:t xml:space="preserve">for</w:t>
      </w:r>
      <w:r>
        <w:rPr>
          <w:rStyle w:val="NormalTok"/>
        </w:rPr>
        <w:t xml:space="preserve"> (cn </w:t>
      </w:r>
      <w:r>
        <w:rPr>
          <w:rStyle w:val="ControlFlowTok"/>
        </w:rPr>
        <w:t xml:space="preserve">in</w:t>
      </w:r>
      <w:r>
        <w:rPr>
          <w:rStyle w:val="NormalTok"/>
        </w:rPr>
        <w:t xml:space="preserve"> CONTRASTS) {</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seq_len</w:t>
      </w:r>
      <w:r>
        <w:rPr>
          <w:rStyle w:val="NormalTok"/>
        </w:rPr>
        <w:t xml:space="preserve">(</w:t>
      </w:r>
      <w:r>
        <w:rPr>
          <w:rStyle w:val="FunctionTok"/>
        </w:rPr>
        <w:t xml:space="preserve">nrow</w:t>
      </w:r>
      <w:r>
        <w:rPr>
          <w:rStyle w:val="NormalTok"/>
        </w:rPr>
        <w:t xml:space="preserve">(METRICS))) {</w:t>
      </w:r>
      <w:r>
        <w:br/>
      </w:r>
      <w:r>
        <w:rPr>
          <w:rStyle w:val="NormalTok"/>
        </w:rPr>
        <w:t xml:space="preserve">    m </w:t>
      </w:r>
      <w:r>
        <w:rPr>
          <w:rStyle w:val="OtherTok"/>
        </w:rPr>
        <w:t xml:space="preserve">&lt;-</w:t>
      </w:r>
      <w:r>
        <w:rPr>
          <w:rStyle w:val="NormalTok"/>
        </w:rPr>
        <w:t xml:space="preserve"> METRICS</w:t>
      </w:r>
      <w:r>
        <w:rPr>
          <w:rStyle w:val="SpecialCharTok"/>
        </w:rPr>
        <w:t xml:space="preserve">$</w:t>
      </w:r>
      <w:r>
        <w:rPr>
          <w:rStyle w:val="NormalTok"/>
        </w:rPr>
        <w:t xml:space="preserve">col[i]</w:t>
      </w:r>
      <w:r>
        <w:br/>
      </w:r>
      <w:r>
        <w:rPr>
          <w:rStyle w:val="NormalTok"/>
        </w:rPr>
        <w:t xml:space="preserve">    </w:t>
      </w:r>
      <w:r>
        <w:rPr>
          <w:rStyle w:val="ControlFlowTok"/>
        </w:rPr>
        <w:t xml:space="preserve">for</w:t>
      </w:r>
      <w:r>
        <w:rPr>
          <w:rStyle w:val="NormalTok"/>
        </w:rPr>
        <w:t xml:space="preserve"> (stn </w:t>
      </w:r>
      <w:r>
        <w:rPr>
          <w:rStyle w:val="ControlFlowTok"/>
        </w:rPr>
        <w:t xml:space="preserve">in</w:t>
      </w:r>
      <w:r>
        <w:rPr>
          <w:rStyle w:val="NormalTok"/>
        </w:rPr>
        <w:t xml:space="preserve"> </w:t>
      </w:r>
      <w:r>
        <w:rPr>
          <w:rStyle w:val="FunctionTok"/>
        </w:rPr>
        <w:t xml:space="preserve">unique</w:t>
      </w:r>
      <w:r>
        <w:rPr>
          <w:rStyle w:val="NormalTok"/>
        </w:rPr>
        <w:t xml:space="preserve">(metrics</w:t>
      </w:r>
      <w:r>
        <w:rPr>
          <w:rStyle w:val="SpecialCharTok"/>
        </w:rPr>
        <w:t xml:space="preserve">$</w:t>
      </w:r>
      <w:r>
        <w:rPr>
          <w:rStyle w:val="NormalTok"/>
        </w:rPr>
        <w:t xml:space="preserve">station_name)) {</w:t>
      </w:r>
      <w:r>
        <w:br/>
      </w:r>
      <w:r>
        <w:rPr>
          <w:rStyle w:val="NormalTok"/>
        </w:rPr>
        <w:t xml:space="preserve">      a </w:t>
      </w:r>
      <w:r>
        <w:rPr>
          <w:rStyle w:val="OtherTok"/>
        </w:rPr>
        <w:t xml:space="preserve">&lt;-</w:t>
      </w:r>
      <w:r>
        <w:rPr>
          <w:rStyle w:val="NormalTok"/>
        </w:rPr>
        <w:t xml:space="preserve"> metrics[metrics</w:t>
      </w:r>
      <w:r>
        <w:rPr>
          <w:rStyle w:val="SpecialCharTok"/>
        </w:rPr>
        <w:t xml:space="preserve">$</w:t>
      </w:r>
      <w:r>
        <w:rPr>
          <w:rStyle w:val="NormalTok"/>
        </w:rPr>
        <w:t xml:space="preserve">series </w:t>
      </w:r>
      <w:r>
        <w:rPr>
          <w:rStyle w:val="SpecialCharTok"/>
        </w:rPr>
        <w:t xml:space="preserve">==</w:t>
      </w:r>
      <w:r>
        <w:rPr>
          <w:rStyle w:val="NormalTok"/>
        </w:rPr>
        <w:t xml:space="preserve"> cn[</w:t>
      </w:r>
      <w:r>
        <w:rPr>
          <w:rStyle w:val="DecValTok"/>
        </w:rPr>
        <w:t xml:space="preserve">1</w:t>
      </w:r>
      <w:r>
        <w:rPr>
          <w:rStyle w:val="NormalTok"/>
        </w:rPr>
        <w:t xml:space="preserve">] </w:t>
      </w:r>
      <w:r>
        <w:rPr>
          <w:rStyle w:val="SpecialCharTok"/>
        </w:rPr>
        <w:t xml:space="preserve">&amp;</w:t>
      </w:r>
      <w:r>
        <w:rPr>
          <w:rStyle w:val="NormalTok"/>
        </w:rPr>
        <w:t xml:space="preserve"> metrics</w:t>
      </w:r>
      <w:r>
        <w:rPr>
          <w:rStyle w:val="SpecialCharTok"/>
        </w:rPr>
        <w:t xml:space="preserve">$</w:t>
      </w:r>
      <w:r>
        <w:rPr>
          <w:rStyle w:val="NormalTok"/>
        </w:rPr>
        <w:t xml:space="preserve">station_name </w:t>
      </w:r>
      <w:r>
        <w:rPr>
          <w:rStyle w:val="SpecialCharTok"/>
        </w:rPr>
        <w:t xml:space="preserve">==</w:t>
      </w:r>
      <w:r>
        <w:rPr>
          <w:rStyle w:val="NormalTok"/>
        </w:rPr>
        <w:t xml:space="preserve"> stn,</w:t>
      </w:r>
      <w:r>
        <w:br/>
      </w:r>
      <w:r>
        <w:rPr>
          <w:rStyle w:val="NormalTok"/>
        </w:rPr>
        <w:t xml:space="preserve">                   </w:t>
      </w:r>
      <w:r>
        <w:rPr>
          <w:rStyle w:val="FunctionTok"/>
        </w:rPr>
        <w:t xml:space="preserve">c</w:t>
      </w:r>
      <w:r>
        <w:rPr>
          <w:rStyle w:val="NormalTok"/>
        </w:rPr>
        <w:t xml:space="preserve">(</w:t>
      </w:r>
      <w:r>
        <w:rPr>
          <w:rStyle w:val="StringTok"/>
        </w:rPr>
        <w:t xml:space="preserve">"year"</w:t>
      </w:r>
      <w:r>
        <w:rPr>
          <w:rStyle w:val="NormalTok"/>
        </w:rPr>
        <w:t xml:space="preserve">, m)]</w:t>
      </w:r>
      <w:r>
        <w:br/>
      </w:r>
      <w:r>
        <w:rPr>
          <w:rStyle w:val="NormalTok"/>
        </w:rPr>
        <w:t xml:space="preserve">      b </w:t>
      </w:r>
      <w:r>
        <w:rPr>
          <w:rStyle w:val="OtherTok"/>
        </w:rPr>
        <w:t xml:space="preserve">&lt;-</w:t>
      </w:r>
      <w:r>
        <w:rPr>
          <w:rStyle w:val="NormalTok"/>
        </w:rPr>
        <w:t xml:space="preserve"> metrics[metrics</w:t>
      </w:r>
      <w:r>
        <w:rPr>
          <w:rStyle w:val="SpecialCharTok"/>
        </w:rPr>
        <w:t xml:space="preserve">$</w:t>
      </w:r>
      <w:r>
        <w:rPr>
          <w:rStyle w:val="NormalTok"/>
        </w:rPr>
        <w:t xml:space="preserve">series </w:t>
      </w:r>
      <w:r>
        <w:rPr>
          <w:rStyle w:val="SpecialCharTok"/>
        </w:rPr>
        <w:t xml:space="preserve">==</w:t>
      </w:r>
      <w:r>
        <w:rPr>
          <w:rStyle w:val="NormalTok"/>
        </w:rPr>
        <w:t xml:space="preserve"> cn[</w:t>
      </w:r>
      <w:r>
        <w:rPr>
          <w:rStyle w:val="DecValTok"/>
        </w:rPr>
        <w:t xml:space="preserve">2</w:t>
      </w:r>
      <w:r>
        <w:rPr>
          <w:rStyle w:val="NormalTok"/>
        </w:rPr>
        <w:t xml:space="preserve">] </w:t>
      </w:r>
      <w:r>
        <w:rPr>
          <w:rStyle w:val="SpecialCharTok"/>
        </w:rPr>
        <w:t xml:space="preserve">&amp;</w:t>
      </w:r>
      <w:r>
        <w:rPr>
          <w:rStyle w:val="NormalTok"/>
        </w:rPr>
        <w:t xml:space="preserve"> metrics</w:t>
      </w:r>
      <w:r>
        <w:rPr>
          <w:rStyle w:val="SpecialCharTok"/>
        </w:rPr>
        <w:t xml:space="preserve">$</w:t>
      </w:r>
      <w:r>
        <w:rPr>
          <w:rStyle w:val="NormalTok"/>
        </w:rPr>
        <w:t xml:space="preserve">station_name </w:t>
      </w:r>
      <w:r>
        <w:rPr>
          <w:rStyle w:val="SpecialCharTok"/>
        </w:rPr>
        <w:t xml:space="preserve">==</w:t>
      </w:r>
      <w:r>
        <w:rPr>
          <w:rStyle w:val="NormalTok"/>
        </w:rPr>
        <w:t xml:space="preserve"> stn,</w:t>
      </w:r>
      <w:r>
        <w:br/>
      </w:r>
      <w:r>
        <w:rPr>
          <w:rStyle w:val="NormalTok"/>
        </w:rPr>
        <w:t xml:space="preserve">                   </w:t>
      </w:r>
      <w:r>
        <w:rPr>
          <w:rStyle w:val="FunctionTok"/>
        </w:rPr>
        <w:t xml:space="preserve">c</w:t>
      </w:r>
      <w:r>
        <w:rPr>
          <w:rStyle w:val="NormalTok"/>
        </w:rPr>
        <w:t xml:space="preserve">(</w:t>
      </w:r>
      <w:r>
        <w:rPr>
          <w:rStyle w:val="StringTok"/>
        </w:rPr>
        <w:t xml:space="preserve">"year"</w:t>
      </w:r>
      <w:r>
        <w:rPr>
          <w:rStyle w:val="NormalTok"/>
        </w:rPr>
        <w:t xml:space="preserve">, m)]</w:t>
      </w:r>
      <w:r>
        <w:br/>
      </w:r>
      <w:r>
        <w:rPr>
          <w:rStyle w:val="NormalTok"/>
        </w:rPr>
        <w:t xml:space="preserve">      w </w:t>
      </w:r>
      <w:r>
        <w:rPr>
          <w:rStyle w:val="OtherTok"/>
        </w:rPr>
        <w:t xml:space="preserve">&lt;-</w:t>
      </w:r>
      <w:r>
        <w:rPr>
          <w:rStyle w:val="NormalTok"/>
        </w:rPr>
        <w:t xml:space="preserve"> </w:t>
      </w:r>
      <w:r>
        <w:rPr>
          <w:rStyle w:val="FunctionTok"/>
        </w:rPr>
        <w:t xml:space="preserve">merge</w:t>
      </w:r>
      <w:r>
        <w:rPr>
          <w:rStyle w:val="NormalTok"/>
        </w:rPr>
        <w:t xml:space="preserve">(a, b, </w:t>
      </w:r>
      <w:r>
        <w:rPr>
          <w:rStyle w:val="AttributeTok"/>
        </w:rPr>
        <w:t xml:space="preserve">by =</w:t>
      </w:r>
      <w:r>
        <w:rPr>
          <w:rStyle w:val="NormalTok"/>
        </w:rPr>
        <w:t xml:space="preserve"> </w:t>
      </w:r>
      <w:r>
        <w:rPr>
          <w:rStyle w:val="StringTok"/>
        </w:rPr>
        <w:t xml:space="preserve">"year"</w:t>
      </w:r>
      <w:r>
        <w:rPr>
          <w:rStyle w:val="NormalTok"/>
        </w:rPr>
        <w:t xml:space="preserve">, </w:t>
      </w:r>
      <w:r>
        <w:rPr>
          <w:rStyle w:val="AttributeTok"/>
        </w:rPr>
        <w:t xml:space="preserve">suffixes =</w:t>
      </w:r>
      <w:r>
        <w:rPr>
          <w:rStyle w:val="NormalTok"/>
        </w:rPr>
        <w:t xml:space="preserve"> </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w:t>
      </w:r>
      <w:r>
        <w:br/>
      </w:r>
      <w:r>
        <w:rPr>
          <w:rStyle w:val="NormalTok"/>
        </w:rPr>
        <w:t xml:space="preserve">      </w:t>
      </w:r>
      <w:r>
        <w:rPr>
          <w:rStyle w:val="FunctionTok"/>
        </w:rPr>
        <w:t xml:space="preserve">names</w:t>
      </w:r>
      <w:r>
        <w:rPr>
          <w:rStyle w:val="NormalTok"/>
        </w:rPr>
        <w:t xml:space="preserve">(w)[</w:t>
      </w:r>
      <w:r>
        <w:rPr>
          <w:rStyle w:val="DecValTok"/>
        </w:rPr>
        <w:t xml:space="preserve">2</w:t>
      </w:r>
      <w:r>
        <w:rPr>
          <w:rStyle w:val="SpecialCharTok"/>
        </w:rPr>
        <w:t xml:space="preserve">:</w:t>
      </w:r>
      <w:r>
        <w:rPr>
          <w:rStyle w:val="DecValTok"/>
        </w:rPr>
        <w:t xml:space="preserve">3</w:t>
      </w:r>
      <w:r>
        <w:rPr>
          <w:rStyle w:val="NormalTok"/>
        </w:rPr>
        <w:t xml:space="preserv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(w) </w:t>
      </w:r>
      <w:r>
        <w:rPr>
          <w:rStyle w:val="SpecialCharTok"/>
        </w:rPr>
        <w:t xml:space="preserve">&lt;</w:t>
      </w:r>
      <w:r>
        <w:rPr>
          <w:rStyle w:val="NormalTok"/>
        </w:rPr>
        <w:t xml:space="preserve"> </w:t>
      </w:r>
      <w:r>
        <w:rPr>
          <w:rStyle w:val="DecValTok"/>
        </w:rPr>
        <w:t xml:space="preserve">15</w:t>
      </w:r>
      <w:r>
        <w:rPr>
          <w:rStyle w:val="NormalTok"/>
        </w:rPr>
        <w:t xml:space="preserve">) </w:t>
      </w:r>
      <w:r>
        <w:rPr>
          <w:rStyle w:val="ControlFlowTok"/>
        </w:rPr>
        <w:t xml:space="preserve">next</w:t>
      </w:r>
      <w:r>
        <w:br/>
      </w:r>
      <w:r>
        <w:rPr>
          <w:rStyle w:val="NormalTok"/>
        </w:rPr>
        <w:t xml:space="preserve">      sd_ </w:t>
      </w:r>
      <w:r>
        <w:rPr>
          <w:rStyle w:val="OtherTok"/>
        </w:rPr>
        <w:t xml:space="preserve">&lt;-</w:t>
      </w:r>
      <w:r>
        <w:rPr>
          <w:rStyle w:val="NormalTok"/>
        </w:rPr>
        <w:t xml:space="preserve"> </w:t>
      </w:r>
      <w:r>
        <w:rPr>
          <w:rStyle w:val="FunctionTok"/>
        </w:rPr>
        <w:t xml:space="preserve">slope_difference</w:t>
      </w:r>
      <w:r>
        <w:rPr>
          <w:rStyle w:val="NormalTok"/>
        </w:rPr>
        <w:t xml:space="preserve">(w)</w:t>
      </w:r>
      <w:r>
        <w:br/>
      </w:r>
      <w:r>
        <w:rPr>
          <w:rStyle w:val="NormalTok"/>
        </w:rPr>
        <w:t xml:space="preserve">      sd_</w:t>
      </w:r>
      <w:r>
        <w:rPr>
          <w:rStyle w:val="SpecialCharTok"/>
        </w:rPr>
        <w:t xml:space="preserve">$</w:t>
      </w:r>
      <w:r>
        <w:rPr>
          <w:rStyle w:val="NormalTok"/>
        </w:rPr>
        <w:t xml:space="preserve">contrast </w:t>
      </w:r>
      <w:r>
        <w:rPr>
          <w:rStyle w:val="OtherTok"/>
        </w:rPr>
        <w:t xml:space="preserve">&lt;-</w:t>
      </w:r>
      <w:r>
        <w:rPr>
          <w:rStyle w:val="NormalTok"/>
        </w:rPr>
        <w:t xml:space="preserve"> cn[</w:t>
      </w:r>
      <w:r>
        <w:rPr>
          <w:rStyle w:val="DecValTok"/>
        </w:rPr>
        <w:t xml:space="preserve">3</w:t>
      </w:r>
      <w:r>
        <w:rPr>
          <w:rStyle w:val="NormalTok"/>
        </w:rPr>
        <w:t xml:space="preserve">]; sd_</w:t>
      </w:r>
      <w:r>
        <w:rPr>
          <w:rStyle w:val="SpecialCharTok"/>
        </w:rPr>
        <w:t xml:space="preserve">$</w:t>
      </w:r>
      <w:r>
        <w:rPr>
          <w:rStyle w:val="NormalTok"/>
        </w:rPr>
        <w:t xml:space="preserve">metric </w:t>
      </w:r>
      <w:r>
        <w:rPr>
          <w:rStyle w:val="OtherTok"/>
        </w:rPr>
        <w:t xml:space="preserve">&lt;-</w:t>
      </w:r>
      <w:r>
        <w:rPr>
          <w:rStyle w:val="NormalTok"/>
        </w:rPr>
        <w:t xml:space="preserve"> m; sd_</w:t>
      </w:r>
      <w:r>
        <w:rPr>
          <w:rStyle w:val="SpecialCharTok"/>
        </w:rPr>
        <w:t xml:space="preserve">$</w:t>
      </w:r>
      <w:r>
        <w:rPr>
          <w:rStyle w:val="NormalTok"/>
        </w:rPr>
        <w:t xml:space="preserve">station </w:t>
      </w:r>
      <w:r>
        <w:rPr>
          <w:rStyle w:val="OtherTok"/>
        </w:rPr>
        <w:t xml:space="preserve">&lt;-</w:t>
      </w:r>
      <w:r>
        <w:rPr>
          <w:rStyle w:val="NormalTok"/>
        </w:rPr>
        <w:t xml:space="preserve"> stn</w:t>
      </w:r>
      <w:r>
        <w:br/>
      </w:r>
      <w:r>
        <w:rPr>
          <w:rStyle w:val="NormalTok"/>
        </w:rPr>
        <w:t xml:space="preserve">      sd_</w:t>
      </w:r>
      <w:r>
        <w:rPr>
          <w:rStyle w:val="SpecialCharTok"/>
        </w:rPr>
        <w:t xml:space="preserve">$</w:t>
      </w:r>
      <w:r>
        <w:rPr>
          <w:rStyle w:val="NormalTok"/>
        </w:rPr>
        <w:t xml:space="preserve">scheme </w:t>
      </w:r>
      <w:r>
        <w:rPr>
          <w:rStyle w:val="OtherTok"/>
        </w:rPr>
        <w:t xml:space="preserve">&lt;-</w:t>
      </w:r>
      <w:r>
        <w:rPr>
          <w:rStyle w:val="NormalTok"/>
        </w:rPr>
        <w:t xml:space="preserve"> METRICS</w:t>
      </w:r>
      <w:r>
        <w:rPr>
          <w:rStyle w:val="SpecialCharTok"/>
        </w:rPr>
        <w:t xml:space="preserve">$</w:t>
      </w:r>
      <w:r>
        <w:rPr>
          <w:rStyle w:val="NormalTok"/>
        </w:rPr>
        <w:t xml:space="preserve">scheme[i]</w:t>
      </w:r>
      <w:r>
        <w:br/>
      </w:r>
      <w:r>
        <w:rPr>
          <w:rStyle w:val="NormalTok"/>
        </w:rPr>
        <w:t xml:space="preserve">      diff_rows[[</w:t>
      </w:r>
      <w:r>
        <w:rPr>
          <w:rStyle w:val="FunctionTok"/>
        </w:rPr>
        <w:t xml:space="preserve">length</w:t>
      </w:r>
      <w:r>
        <w:rPr>
          <w:rStyle w:val="NormalTok"/>
        </w:rPr>
        <w:t xml:space="preserve">(diff_rows) </w:t>
      </w:r>
      <w:r>
        <w:rPr>
          <w:rStyle w:val="SpecialCharTok"/>
        </w:rPr>
        <w:t xml:space="preserve">+</w:t>
      </w:r>
      <w:r>
        <w:rPr>
          <w:rStyle w:val="NormalTok"/>
        </w:rPr>
        <w:t xml:space="preserve"> </w:t>
      </w:r>
      <w:r>
        <w:rPr>
          <w:rStyle w:val="DecValTok"/>
        </w:rPr>
        <w:t xml:space="preserve">1</w:t>
      </w:r>
      <w:r>
        <w:rPr>
          <w:rStyle w:val="NormalTok"/>
        </w:rPr>
        <w:t xml:space="preserve">]] </w:t>
      </w:r>
      <w:r>
        <w:rPr>
          <w:rStyle w:val="OtherTok"/>
        </w:rPr>
        <w:t xml:space="preserve">&lt;-</w:t>
      </w:r>
      <w:r>
        <w:rPr>
          <w:rStyle w:val="NormalTok"/>
        </w:rPr>
        <w:t xml:space="preserve"> sd_</w:t>
      </w:r>
      <w:r>
        <w:br/>
      </w:r>
      <w:r>
        <w:rPr>
          <w:rStyle w:val="NormalTok"/>
        </w:rPr>
        <w:t xml:space="preserve">    }</w:t>
      </w:r>
      <w:r>
        <w:br/>
      </w:r>
      <w:r>
        <w:rPr>
          <w:rStyle w:val="NormalTok"/>
        </w:rPr>
        <w:t xml:space="preserve">  }</w:t>
      </w:r>
      <w:r>
        <w:br/>
      </w:r>
      <w:r>
        <w:rPr>
          <w:rStyle w:val="NormalTok"/>
        </w:rPr>
        <w:t xml:space="preserve">}</w:t>
      </w:r>
      <w:r>
        <w:br/>
      </w:r>
      <w:r>
        <w:rPr>
          <w:rStyle w:val="NormalTok"/>
        </w:rPr>
        <w:t xml:space="preserve">sdiff </w:t>
      </w:r>
      <w:r>
        <w:rPr>
          <w:rStyle w:val="OtherTok"/>
        </w:rPr>
        <w:t xml:space="preserve">&lt;-</w:t>
      </w:r>
      <w:r>
        <w:rPr>
          <w:rStyle w:val="NormalTok"/>
        </w:rPr>
        <w:t xml:space="preserve"> </w:t>
      </w:r>
      <w:r>
        <w:rPr>
          <w:rStyle w:val="FunctionTok"/>
        </w:rPr>
        <w:t xml:space="preserve">do.call</w:t>
      </w:r>
      <w:r>
        <w:rPr>
          <w:rStyle w:val="NormalTok"/>
        </w:rPr>
        <w:t xml:space="preserve">(rbind, diff_rows)</w:t>
      </w:r>
      <w:r>
        <w:br/>
      </w:r>
      <w:r>
        <w:rPr>
          <w:rStyle w:val="ControlFlowTok"/>
        </w:rPr>
        <w:t xml:space="preserve">if</w:t>
      </w:r>
      <w:r>
        <w:rPr>
          <w:rStyle w:val="NormalTok"/>
        </w:rPr>
        <w:t xml:space="preserve"> (</w:t>
      </w:r>
      <w:r>
        <w:rPr>
          <w:rStyle w:val="FunctionTok"/>
        </w:rPr>
        <w:t xml:space="preserve">is.null</w:t>
      </w:r>
      <w:r>
        <w:rPr>
          <w:rStyle w:val="NormalTok"/>
        </w:rPr>
        <w:t xml:space="preserve">(sdiff) </w:t>
      </w:r>
      <w:r>
        <w:rPr>
          <w:rStyle w:val="SpecialCharTok"/>
        </w:rPr>
        <w:t xml:space="preserve">||</w:t>
      </w:r>
      <w:r>
        <w:rPr>
          <w:rStyle w:val="NormalTok"/>
        </w:rPr>
        <w:t xml:space="preserve"> </w:t>
      </w:r>
      <w:r>
        <w:rPr>
          <w:rStyle w:val="SpecialCharTok"/>
        </w:rPr>
        <w:t xml:space="preserve">!</w:t>
      </w:r>
      <w:r>
        <w:rPr>
          <w:rStyle w:val="FunctionTok"/>
        </w:rPr>
        <w:t xml:space="preserve">nrow</w:t>
      </w:r>
      <w:r>
        <w:rPr>
          <w:rStyle w:val="NormalTok"/>
        </w:rPr>
        <w:t xml:space="preserve">(sdiff))</w:t>
      </w:r>
      <w:r>
        <w:br/>
      </w:r>
      <w:r>
        <w:rPr>
          <w:rStyle w:val="NormalTok"/>
        </w:rPr>
        <w:t xml:space="preserve">  </w:t>
      </w:r>
      <w:r>
        <w:rPr>
          <w:rStyle w:val="FunctionTok"/>
        </w:rPr>
        <w:t xml:space="preserve">stop</w:t>
      </w:r>
      <w:r>
        <w:rPr>
          <w:rStyle w:val="NormalTok"/>
        </w:rPr>
        <w:t xml:space="preserve">(</w:t>
      </w:r>
      <w:r>
        <w:rPr>
          <w:rStyle w:val="StringTok"/>
        </w:rPr>
        <w:t xml:space="preserve">"No station-series pair has the 15 paired seasons the bootstrap requires."</w:t>
      </w:r>
      <w:r>
        <w:rPr>
          <w:rStyle w:val="NormalTok"/>
        </w:rPr>
        <w:t xml:space="preserve">)</w:t>
      </w:r>
      <w:r>
        <w:br/>
      </w:r>
      <w:r>
        <w:rPr>
          <w:rStyle w:val="CommentTok"/>
        </w:rPr>
        <w:t xml:space="preserve"># The family here is the eight metrics within one contrast at one station: one</w:t>
      </w:r>
      <w:r>
        <w:br/>
      </w:r>
      <w:r>
        <w:rPr>
          <w:rStyle w:val="CommentTok"/>
        </w:rPr>
        <w:t xml:space="preserve"># station's answer to one of the three questions the design asks.</w:t>
      </w:r>
      <w:r>
        <w:br/>
      </w:r>
      <w:r>
        <w:rPr>
          <w:rStyle w:val="NormalTok"/>
        </w:rPr>
        <w:t xml:space="preserve">sdiff</w:t>
      </w:r>
      <w:r>
        <w:rPr>
          <w:rStyle w:val="SpecialCharTok"/>
        </w:rPr>
        <w:t xml:space="preserve">$</w:t>
      </w:r>
      <w:r>
        <w:rPr>
          <w:rStyle w:val="NormalTok"/>
        </w:rPr>
        <w:t xml:space="preserve">q </w:t>
      </w:r>
      <w:r>
        <w:rPr>
          <w:rStyle w:val="OtherTok"/>
        </w:rPr>
        <w:t xml:space="preserve">&lt;-</w:t>
      </w:r>
      <w:r>
        <w:rPr>
          <w:rStyle w:val="NormalTok"/>
        </w:rPr>
        <w:t xml:space="preserve"> </w:t>
      </w:r>
      <w:r>
        <w:rPr>
          <w:rStyle w:val="FunctionTok"/>
        </w:rPr>
        <w:t xml:space="preserve">ave</w:t>
      </w:r>
      <w:r>
        <w:rPr>
          <w:rStyle w:val="NormalTok"/>
        </w:rPr>
        <w:t xml:space="preserve">(sdiff</w:t>
      </w:r>
      <w:r>
        <w:rPr>
          <w:rStyle w:val="SpecialCharTok"/>
        </w:rPr>
        <w:t xml:space="preserve">$</w:t>
      </w:r>
      <w:r>
        <w:rPr>
          <w:rStyle w:val="NormalTok"/>
        </w:rPr>
        <w:t xml:space="preserve">p_two_sided, </w:t>
      </w:r>
      <w:r>
        <w:rPr>
          <w:rStyle w:val="FunctionTok"/>
        </w:rPr>
        <w:t xml:space="preserve">paste</w:t>
      </w:r>
      <w:r>
        <w:rPr>
          <w:rStyle w:val="NormalTok"/>
        </w:rPr>
        <w:t xml:space="preserve">(sdiff</w:t>
      </w:r>
      <w:r>
        <w:rPr>
          <w:rStyle w:val="SpecialCharTok"/>
        </w:rPr>
        <w:t xml:space="preserve">$</w:t>
      </w:r>
      <w:r>
        <w:rPr>
          <w:rStyle w:val="NormalTok"/>
        </w:rPr>
        <w:t xml:space="preserve">contrast, sdiff</w:t>
      </w:r>
      <w:r>
        <w:rPr>
          <w:rStyle w:val="SpecialCharTok"/>
        </w:rPr>
        <w:t xml:space="preserve">$</w:t>
      </w:r>
      <w:r>
        <w:rPr>
          <w:rStyle w:val="NormalTok"/>
        </w:rPr>
        <w:t xml:space="preserve">station), </w:t>
      </w:r>
      <w:r>
        <w:rPr>
          <w:rStyle w:val="AttributeTok"/>
        </w:rPr>
        <w:t xml:space="preserve">FUN =</w:t>
      </w:r>
      <w:r>
        <w:rPr>
          <w:rStyle w:val="NormalTok"/>
        </w:rPr>
        <w:t xml:space="preserve"> fdr)</w:t>
      </w:r>
      <w:r>
        <w:br/>
      </w:r>
      <w:r>
        <w:rPr>
          <w:rStyle w:val="FunctionTok"/>
        </w:rPr>
        <w:t xml:space="preserve">write.csv</w:t>
      </w:r>
      <w:r>
        <w:rPr>
          <w:rStyle w:val="NormalTok"/>
        </w:rPr>
        <w:t xml:space="preserve">(sdiff, </w:t>
      </w:r>
      <w:r>
        <w:rPr>
          <w:rStyle w:val="FunctionTok"/>
        </w:rPr>
        <w:t xml:space="preserve">file.path</w:t>
      </w:r>
      <w:r>
        <w:rPr>
          <w:rStyle w:val="NormalTok"/>
        </w:rPr>
        <w:t xml:space="preserve">(outputs, </w:t>
      </w:r>
      <w:r>
        <w:rPr>
          <w:rStyle w:val="StringTok"/>
        </w:rPr>
        <w:t xml:space="preserve">"slope-differences.csv"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p>
      <w:pPr>
        <w:pStyle w:val="SourceCode"/>
      </w:pPr>
      <w:r>
        <w:rPr>
          <w:rStyle w:val="NormalTok"/>
        </w:rPr>
        <w:t xml:space="preserve">sd_tab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w:t>
      </w:r>
      <w:r>
        <w:br/>
      </w:r>
      <w:r>
        <w:rPr>
          <w:rStyle w:val="NormalTok"/>
        </w:rPr>
        <w:t xml:space="preserve">  </w:t>
      </w:r>
      <w:r>
        <w:rPr>
          <w:rStyle w:val="FunctionTok"/>
        </w:rPr>
        <w:t xml:space="preserve">split</w:t>
      </w:r>
      <w:r>
        <w:rPr>
          <w:rStyle w:val="NormalTok"/>
        </w:rPr>
        <w:t xml:space="preserve">(sdiff, </w:t>
      </w:r>
      <w:r>
        <w:rPr>
          <w:rStyle w:val="FunctionTok"/>
        </w:rPr>
        <w:t xml:space="preserve">list</w:t>
      </w:r>
      <w:r>
        <w:rPr>
          <w:rStyle w:val="NormalTok"/>
        </w:rPr>
        <w:t xml:space="preserve">(sdiff</w:t>
      </w:r>
      <w:r>
        <w:rPr>
          <w:rStyle w:val="SpecialCharTok"/>
        </w:rPr>
        <w:t xml:space="preserve">$</w:t>
      </w:r>
      <w:r>
        <w:rPr>
          <w:rStyle w:val="NormalTok"/>
        </w:rPr>
        <w:t xml:space="preserve">contrast, sdiff</w:t>
      </w:r>
      <w:r>
        <w:rPr>
          <w:rStyle w:val="SpecialCharTok"/>
        </w:rPr>
        <w:t xml:space="preserve">$</w:t>
      </w:r>
      <w:r>
        <w:rPr>
          <w:rStyle w:val="NormalTok"/>
        </w:rPr>
        <w:t xml:space="preserve">metric), </w:t>
      </w:r>
      <w:r>
        <w:rPr>
          <w:rStyle w:val="AttributeTok"/>
        </w:rPr>
        <w:t xml:space="preserve">drop =</w:t>
      </w:r>
      <w:r>
        <w:rPr>
          <w:rStyle w:val="NormalTok"/>
        </w:rPr>
        <w:t xml:space="preserve"> </w:t>
      </w:r>
      <w:r>
        <w:rPr>
          <w:rStyle w:val="ConstantTok"/>
        </w:rPr>
        <w:t xml:space="preserve">TRUE</w:t>
      </w:r>
      <w:r>
        <w:rPr>
          <w:rStyle w:val="NormalTok"/>
        </w:rPr>
        <w:t xml:space="preserve">), </w:t>
      </w:r>
      <w:r>
        <w:rPr>
          <w:rStyle w:val="ControlFlowTok"/>
        </w:rPr>
        <w:t xml:space="preserve">function</w:t>
      </w:r>
      <w:r>
        <w:rPr>
          <w:rStyle w:val="NormalTok"/>
        </w:rPr>
        <w:t xml:space="preserve">(d) {</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Contrast =</w:t>
      </w:r>
      <w:r>
        <w:rPr>
          <w:rStyle w:val="NormalTok"/>
        </w:rPr>
        <w:t xml:space="preserve"> d</w:t>
      </w:r>
      <w:r>
        <w:rPr>
          <w:rStyle w:val="SpecialCharTok"/>
        </w:rPr>
        <w:t xml:space="preserve">$</w:t>
      </w:r>
      <w:r>
        <w:rPr>
          <w:rStyle w:val="NormalTok"/>
        </w:rPr>
        <w:t xml:space="preserve">contrast[</w:t>
      </w:r>
      <w:r>
        <w:rPr>
          <w:rStyle w:val="DecValTok"/>
        </w:rPr>
        <w:t xml:space="preserve">1</w:t>
      </w:r>
      <w:r>
        <w:rPr>
          <w:rStyle w:val="NormalTok"/>
        </w:rPr>
        <w:t xml:space="preserve">],</w:t>
      </w:r>
      <w:r>
        <w:br/>
      </w:r>
      <w:r>
        <w:rPr>
          <w:rStyle w:val="NormalTok"/>
        </w:rPr>
        <w:t xml:space="preserve">      </w:t>
      </w:r>
      <w:r>
        <w:rPr>
          <w:rStyle w:val="AttributeTok"/>
        </w:rPr>
        <w:t xml:space="preserve">Scheme =</w:t>
      </w:r>
      <w:r>
        <w:rPr>
          <w:rStyle w:val="NormalTok"/>
        </w:rPr>
        <w:t xml:space="preserve"> d</w:t>
      </w:r>
      <w:r>
        <w:rPr>
          <w:rStyle w:val="SpecialCharTok"/>
        </w:rPr>
        <w:t xml:space="preserve">$</w:t>
      </w:r>
      <w:r>
        <w:rPr>
          <w:rStyle w:val="NormalTok"/>
        </w:rPr>
        <w:t xml:space="preserve">scheme[</w:t>
      </w:r>
      <w:r>
        <w:rPr>
          <w:rStyle w:val="DecValTok"/>
        </w:rPr>
        <w:t xml:space="preserve">1</w:t>
      </w:r>
      <w:r>
        <w:rPr>
          <w:rStyle w:val="NormalTok"/>
        </w:rPr>
        <w:t xml:space="preserve">],</w:t>
      </w:r>
      <w:r>
        <w:br/>
      </w:r>
      <w:r>
        <w:rPr>
          <w:rStyle w:val="NormalTok"/>
        </w:rPr>
        <w:t xml:space="preserve">      </w:t>
      </w:r>
      <w:r>
        <w:rPr>
          <w:rStyle w:val="AttributeTok"/>
        </w:rPr>
        <w:t xml:space="preserve">Metric =</w:t>
      </w:r>
      <w:r>
        <w:rPr>
          <w:rStyle w:val="NormalTok"/>
        </w:rPr>
        <w:t xml:space="preserve"> METRICS</w:t>
      </w:r>
      <w:r>
        <w:rPr>
          <w:rStyle w:val="SpecialCharTok"/>
        </w:rPr>
        <w:t xml:space="preserve">$</w:t>
      </w:r>
      <w:r>
        <w:rPr>
          <w:rStyle w:val="NormalTok"/>
        </w:rPr>
        <w:t xml:space="preserve">label[</w:t>
      </w:r>
      <w:r>
        <w:rPr>
          <w:rStyle w:val="FunctionTok"/>
        </w:rPr>
        <w:t xml:space="preserve">match</w:t>
      </w:r>
      <w:r>
        <w:rPr>
          <w:rStyle w:val="NormalTok"/>
        </w:rPr>
        <w:t xml:space="preserve">(d</w:t>
      </w:r>
      <w:r>
        <w:rPr>
          <w:rStyle w:val="SpecialCharTok"/>
        </w:rPr>
        <w:t xml:space="preserve">$</w:t>
      </w:r>
      <w:r>
        <w:rPr>
          <w:rStyle w:val="NormalTok"/>
        </w:rPr>
        <w:t xml:space="preserve">metric[</w:t>
      </w:r>
      <w:r>
        <w:rPr>
          <w:rStyle w:val="DecValTok"/>
        </w:rPr>
        <w:t xml:space="preserve">1</w:t>
      </w:r>
      <w:r>
        <w:rPr>
          <w:rStyle w:val="NormalTok"/>
        </w:rPr>
        <w:t xml:space="preserve">], METRICS</w:t>
      </w:r>
      <w:r>
        <w:rPr>
          <w:rStyle w:val="SpecialCharTok"/>
        </w:rPr>
        <w:t xml:space="preserve">$</w:t>
      </w:r>
      <w:r>
        <w:rPr>
          <w:rStyle w:val="NormalTok"/>
        </w:rPr>
        <w:t xml:space="preserve">col)],</w:t>
      </w:r>
      <w:r>
        <w:br/>
      </w:r>
      <w:r>
        <w:rPr>
          <w:rStyle w:val="NormalTok"/>
        </w:rPr>
        <w:t xml:space="preserve">      </w:t>
      </w:r>
      <w:r>
        <w:rPr>
          <w:rStyle w:val="AttributeTok"/>
        </w:rPr>
        <w:t xml:space="preserve">Stations =</w:t>
      </w:r>
      <w:r>
        <w:rPr>
          <w:rStyle w:val="NormalTok"/>
        </w:rPr>
        <w:t xml:space="preserve"> </w:t>
      </w:r>
      <w:r>
        <w:rPr>
          <w:rStyle w:val="FunctionTok"/>
        </w:rPr>
        <w:t xml:space="preserve">nrow</w:t>
      </w:r>
      <w:r>
        <w:rPr>
          <w:rStyle w:val="NormalTok"/>
        </w:rPr>
        <w:t xml:space="preserve">(d),</w:t>
      </w:r>
      <w:r>
        <w:br/>
      </w:r>
      <w:r>
        <w:rPr>
          <w:rStyle w:val="NormalTok"/>
        </w:rPr>
        <w:t xml:space="preserve">      </w:t>
      </w:r>
      <w:r>
        <w:rPr>
          <w:rStyle w:val="StringTok"/>
        </w:rPr>
        <w:t xml:space="preserve">`</w:t>
      </w:r>
      <w:r>
        <w:rPr>
          <w:rStyle w:val="AttributeTok"/>
        </w:rPr>
        <w:t xml:space="preserve">Median difference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median</w:t>
      </w:r>
      <w:r>
        <w:rPr>
          <w:rStyle w:val="NormalTok"/>
        </w:rPr>
        <w:t xml:space="preserve">(d</w:t>
      </w:r>
      <w:r>
        <w:rPr>
          <w:rStyle w:val="SpecialCharTok"/>
        </w:rPr>
        <w:t xml:space="preserve">$</w:t>
      </w:r>
      <w:r>
        <w:rPr>
          <w:rStyle w:val="NormalTok"/>
        </w:rPr>
        <w:t xml:space="preserve">difference,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w:t>
      </w:r>
      <w:r>
        <w:rPr>
          <w:rStyle w:val="AttributeTok"/>
        </w:rPr>
        <w:t xml:space="preserve">Stations excluding zero</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sum</w:t>
      </w:r>
      <w:r>
        <w:rPr>
          <w:rStyle w:val="NormalTok"/>
        </w:rPr>
        <w:t xml:space="preserve">(d</w:t>
      </w:r>
      <w:r>
        <w:rPr>
          <w:rStyle w:val="SpecialCharTok"/>
        </w:rPr>
        <w:t xml:space="preserve">$</w:t>
      </w:r>
      <w:r>
        <w:rPr>
          <w:rStyle w:val="NormalTok"/>
        </w:rPr>
        <w:t xml:space="preserve">lower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d</w:t>
      </w:r>
      <w:r>
        <w:rPr>
          <w:rStyle w:val="SpecialCharTok"/>
        </w:rPr>
        <w:t xml:space="preserve">$</w:t>
      </w:r>
      <w:r>
        <w:rPr>
          <w:rStyle w:val="NormalTok"/>
        </w:rPr>
        <w:t xml:space="preserve">upper </w:t>
      </w:r>
      <w:r>
        <w:rPr>
          <w:rStyle w:val="SpecialCharTok"/>
        </w:rPr>
        <w:t xml:space="preserve">&lt;</w:t>
      </w:r>
      <w:r>
        <w:rPr>
          <w:rStyle w:val="NormalTok"/>
        </w:rPr>
        <w:t xml:space="preserve"> </w:t>
      </w:r>
      <w:r>
        <w:rPr>
          <w:rStyle w:val="DecValTok"/>
        </w:rPr>
        <w:t xml:space="preserve">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StringTok"/>
        </w:rPr>
        <w:t xml:space="preserve">`</w:t>
      </w:r>
      <w:r>
        <w:rPr>
          <w:rStyle w:val="AttributeTok"/>
        </w:rPr>
        <w:t xml:space="preserve">Stations q &lt; 0.05</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sum</w:t>
      </w:r>
      <w:r>
        <w:rPr>
          <w:rStyle w:val="NormalTok"/>
        </w:rPr>
        <w:t xml:space="preserve">(d</w:t>
      </w:r>
      <w:r>
        <w:rPr>
          <w:rStyle w:val="SpecialCharTok"/>
        </w:rPr>
        <w:t xml:space="preserve">$</w:t>
      </w:r>
      <w:r>
        <w:rPr>
          <w:rStyle w:val="NormalTok"/>
        </w:rPr>
        <w:t xml:space="preserve">q </w:t>
      </w:r>
      <w:r>
        <w:rPr>
          <w:rStyle w:val="SpecialCharTok"/>
        </w:rPr>
        <w:t xml:space="preserve">&lt;</w:t>
      </w:r>
      <w:r>
        <w:rPr>
          <w:rStyle w:val="NormalTok"/>
        </w:rPr>
        <w:t xml:space="preserve"> </w:t>
      </w:r>
      <w:r>
        <w:rPr>
          <w:rStyle w:val="FloatTok"/>
        </w:rPr>
        <w:t xml:space="preserve">0.05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w:t>
      </w:r>
      <w:r>
        <w:br/>
      </w:r>
      <w:r>
        <w:rPr>
          <w:rStyle w:val="NormalTok"/>
        </w:rPr>
        <w:t xml:space="preserve">  }))</w:t>
      </w:r>
      <w:r>
        <w:br/>
      </w:r>
      <w:r>
        <w:rPr>
          <w:rStyle w:val="NormalTok"/>
        </w:rPr>
        <w:t xml:space="preserve">sd_tab </w:t>
      </w:r>
      <w:r>
        <w:rPr>
          <w:rStyle w:val="OtherTok"/>
        </w:rPr>
        <w:t xml:space="preserve">&lt;-</w:t>
      </w:r>
      <w:r>
        <w:rPr>
          <w:rStyle w:val="NormalTok"/>
        </w:rPr>
        <w:t xml:space="preserve"> sd_tab[</w:t>
      </w:r>
      <w:r>
        <w:rPr>
          <w:rStyle w:val="FunctionTok"/>
        </w:rPr>
        <w:t xml:space="preserve">order</w:t>
      </w:r>
      <w:r>
        <w:rPr>
          <w:rStyle w:val="NormalTok"/>
        </w:rPr>
        <w:t xml:space="preserve">(</w:t>
      </w:r>
      <w:r>
        <w:rPr>
          <w:rStyle w:val="FunctionTok"/>
        </w:rPr>
        <w:t xml:space="preserve">match</w:t>
      </w:r>
      <w:r>
        <w:rPr>
          <w:rStyle w:val="NormalTok"/>
        </w:rPr>
        <w:t xml:space="preserve">(sd_tab</w:t>
      </w:r>
      <w:r>
        <w:rPr>
          <w:rStyle w:val="SpecialCharTok"/>
        </w:rPr>
        <w:t xml:space="preserve">$</w:t>
      </w:r>
      <w:r>
        <w:rPr>
          <w:rStyle w:val="NormalTok"/>
        </w:rPr>
        <w:t xml:space="preserve">Contrast, </w:t>
      </w:r>
      <w:r>
        <w:rPr>
          <w:rStyle w:val="FunctionTok"/>
        </w:rPr>
        <w:t xml:space="preserve">vapply</w:t>
      </w:r>
      <w:r>
        <w:rPr>
          <w:rStyle w:val="NormalTok"/>
        </w:rPr>
        <w:t xml:space="preserve">(CONTRASTS, </w:t>
      </w:r>
      <w:r>
        <w:rPr>
          <w:rStyle w:val="StringTok"/>
        </w:rPr>
        <w:t xml:space="preserve">`</w:t>
      </w:r>
      <w:r>
        <w:rPr>
          <w:rStyle w:val="Attribut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match</w:t>
      </w:r>
      <w:r>
        <w:rPr>
          <w:rStyle w:val="NormalTok"/>
        </w:rPr>
        <w:t xml:space="preserve">(sd_tab</w:t>
      </w:r>
      <w:r>
        <w:rPr>
          <w:rStyle w:val="SpecialCharTok"/>
        </w:rPr>
        <w:t xml:space="preserve">$</w:t>
      </w:r>
      <w:r>
        <w:rPr>
          <w:rStyle w:val="NormalTok"/>
        </w:rPr>
        <w:t xml:space="preserve">Metric, METRICS</w:t>
      </w:r>
      <w:r>
        <w:rPr>
          <w:rStyle w:val="SpecialCharTok"/>
        </w:rPr>
        <w:t xml:space="preserve">$</w:t>
      </w:r>
      <w:r>
        <w:rPr>
          <w:rStyle w:val="NormalTok"/>
        </w:rPr>
        <w:t xml:space="preserve">label)), ]</w:t>
      </w:r>
      <w:r>
        <w:br/>
      </w:r>
      <w:r>
        <w:rPr>
          <w:rStyle w:val="FunctionTok"/>
        </w:rPr>
        <w:t xml:space="preserve">rownames</w:t>
      </w:r>
      <w:r>
        <w:rPr>
          <w:rStyle w:val="NormalTok"/>
        </w:rPr>
        <w:t xml:space="preserve">(sd_tab) </w:t>
      </w:r>
      <w:r>
        <w:rPr>
          <w:rStyle w:val="OtherTok"/>
        </w:rPr>
        <w:t xml:space="preserve">&lt;-</w:t>
      </w:r>
      <w:r>
        <w:rPr>
          <w:rStyle w:val="NormalTok"/>
        </w:rPr>
        <w:t xml:space="preserve"> </w:t>
      </w:r>
      <w:r>
        <w:rPr>
          <w:rStyle w:val="ConstantTok"/>
        </w:rPr>
        <w:t xml:space="preserve">NULL</w:t>
      </w:r>
      <w:r>
        <w:br/>
      </w:r>
      <w:r>
        <w:rPr>
          <w:rStyle w:val="FunctionTok"/>
        </w:rPr>
        <w:t xml:space="preserve">fmt_tbl</w:t>
      </w:r>
      <w:r>
        <w:rPr>
          <w:rStyle w:val="NormalTok"/>
        </w:rPr>
        <w:t xml:space="preserve">(sd_tab)</w:t>
      </w:r>
    </w:p>
    <w:tbl>
      <w:tblPr>
        <w:tblStyle w:val="Table"/>
        <w:tblW w:type="pct" w:w="5000"/>
        <w:tblLayout w:type="fixed"/>
        <w:tblLook w:firstRow="0" w:lastRow="0" w:firstColumn="0" w:lastColumn="0" w:noHBand="0" w:noVBand="0" w:val="0000"/>
      </w:tblPr>
      <w:tblGrid>
        <w:gridCol w:w="7920"/>
      </w:tblGrid>
      <w:tr>
        <w:tc>
          <w:tcPr/>
          <w:bookmarkStart w:id="69" w:name="tbl-slopediff"/>
          <w:p>
            <w:pPr>
              <w:jc w:val="center"/>
            </w:pPr>
            <w:pPr>
              <w:jc w:val="start"/>
              <w:spacing w:before="200"/>
              <w:pStyle w:val="ImageCaption"/>
            </w:pPr>
            <w:r>
              <w:t xml:space="preserve">Table 9: Difference in Theil-Sen slope between series, by metric and contrast, pooled across stations as the median. Intervals are paired moving-block bootstrap percentile intervals over 4,000 resamples of blocks of consecutive seasons, which preserves both the dependence between series that share a weather record and the serial correlation within each. Stations excluding zero counts the stations whose own interval does not contain zero; the last column applies the Benjamini and Hochberg correction within each station’s eight-metric family for that contrast.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Scheme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Metric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Stations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Median difference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Stations excluding zero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Stations q &lt; 0.05</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Version change, input held at 13:00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level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Mean FWI</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Version change, input held at 13:00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level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Seasonal severity rating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Version change, input held at 13:00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level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Peak BUI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Version change, input held at 13:00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absolute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Days FFMC &gt;= 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Version change, input held at 13:00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absolute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Days FWI &gt;= 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Version change, input held at 13:00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absolute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Days FWI &gt;= 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Version change, input held at 13:00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relative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Days above own 90th percentile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Version change, input held at 13:00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relative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Days above own 95th percentile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Input resolution change, version held at FWI2025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level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Mean FWI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Input resolution change, version held at FWI2025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level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Seasonal severity rating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0.923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Input resolution change, version held at FWI2025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level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Peak BUI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Input resolution change, version held at FWI2025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absolute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Days FFMC &gt;= 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Input resolution change, version held at FWI2025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absolute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Days FWI &gt;= 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Input resolution change, version held at FWI2025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absolute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Days FWI &gt;= 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Input resolution change, version held at FWI2025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relative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Days above own 90th percentile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Input resolution change, version held at FWI2025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relative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Days above own 95th percentile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Operational migration, both changes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level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Mean FWI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Operational migration, both changes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level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Seasonal severity rating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Operational migration, both changes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level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Peak BUI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Operational migration, both changes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absolute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Days FFMC &gt;= 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Operational migration, both changes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absolute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Days FWI &gt;= 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Operational migration, both changes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absolute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Days FWI &gt;= 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Operational migration, both changes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relative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Days above own 90th percentile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Operational migration, both changes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relative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Days above own 95th percentile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r>
          </w:tbl>
          <w:bookmarkEnd w:id="69"/>
        </w:tc>
      </w:tr>
    </w:tbl>
    <w:p>
      <w:pPr>
        <w:pStyle w:val="SourceCode"/>
      </w:pPr>
      <w:r>
        <w:rPr>
          <w:rStyle w:val="CommentTok"/>
        </w:rPr>
        <w:t xml:space="preserve"># Only the metrics measured in days per season are drawn, so one x axis means the</w:t>
      </w:r>
      <w:r>
        <w:br/>
      </w:r>
      <w:r>
        <w:rPr>
          <w:rStyle w:val="CommentTok"/>
        </w:rPr>
        <w:t xml:space="preserve"># same thing everywhere on the figure. A common range across the three panels</w:t>
      </w:r>
      <w:r>
        <w:br/>
      </w:r>
      <w:r>
        <w:rPr>
          <w:rStyle w:val="CommentTok"/>
        </w:rPr>
        <w:t xml:space="preserve"># keeps the contrasts comparable, and the labels are drawn once on the left.</w:t>
      </w:r>
      <w:r>
        <w:br/>
      </w:r>
      <w:r>
        <w:rPr>
          <w:rStyle w:val="NormalTok"/>
        </w:rPr>
        <w:t xml:space="preserve">DAY_METRICS </w:t>
      </w:r>
      <w:r>
        <w:rPr>
          <w:rStyle w:val="OtherTok"/>
        </w:rPr>
        <w:t xml:space="preserve">&lt;-</w:t>
      </w:r>
      <w:r>
        <w:rPr>
          <w:rStyle w:val="NormalTok"/>
        </w:rPr>
        <w:t xml:space="preserve"> METRICS</w:t>
      </w:r>
      <w:r>
        <w:rPr>
          <w:rStyle w:val="SpecialCharTok"/>
        </w:rPr>
        <w:t xml:space="preserve">$</w:t>
      </w:r>
      <w:r>
        <w:rPr>
          <w:rStyle w:val="NormalTok"/>
        </w:rPr>
        <w:t xml:space="preserve">col[METRICS</w:t>
      </w:r>
      <w:r>
        <w:rPr>
          <w:rStyle w:val="SpecialCharTok"/>
        </w:rPr>
        <w:t xml:space="preserve">$</w:t>
      </w:r>
      <w:r>
        <w:rPr>
          <w:rStyle w:val="NormalTok"/>
        </w:rPr>
        <w:t xml:space="preserve">scheme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"absolute"</w:t>
      </w:r>
      <w:r>
        <w:rPr>
          <w:rStyle w:val="NormalTok"/>
        </w:rPr>
        <w:t xml:space="preserve">, </w:t>
      </w:r>
      <w:r>
        <w:rPr>
          <w:rStyle w:val="StringTok"/>
        </w:rPr>
        <w:t xml:space="preserve">"relative"</w:t>
      </w:r>
      <w:r>
        <w:rPr>
          <w:rStyle w:val="NormalTok"/>
        </w:rPr>
        <w:t xml:space="preserve">)]</w:t>
      </w:r>
      <w:r>
        <w:br/>
      </w:r>
      <w:r>
        <w:rPr>
          <w:rStyle w:val="NormalTok"/>
        </w:rPr>
        <w:t xml:space="preserve">sd_plot </w:t>
      </w:r>
      <w:r>
        <w:rPr>
          <w:rStyle w:val="OtherTok"/>
        </w:rPr>
        <w:t xml:space="preserve">&lt;-</w:t>
      </w:r>
      <w:r>
        <w:rPr>
          <w:rStyle w:val="NormalTok"/>
        </w:rPr>
        <w:t xml:space="preserve"> sdiff[sdiff</w:t>
      </w:r>
      <w:r>
        <w:rPr>
          <w:rStyle w:val="SpecialCharTok"/>
        </w:rPr>
        <w:t xml:space="preserve">$</w:t>
      </w:r>
      <w:r>
        <w:rPr>
          <w:rStyle w:val="NormalTok"/>
        </w:rPr>
        <w:t xml:space="preserve">metric </w:t>
      </w:r>
      <w:r>
        <w:rPr>
          <w:rStyle w:val="SpecialCharTok"/>
        </w:rPr>
        <w:t xml:space="preserve">%in%</w:t>
      </w:r>
      <w:r>
        <w:rPr>
          <w:rStyle w:val="NormalTok"/>
        </w:rPr>
        <w:t xml:space="preserve"> DAY_METRICS, ]</w:t>
      </w:r>
      <w:r>
        <w:br/>
      </w:r>
      <w:r>
        <w:rPr>
          <w:rStyle w:val="NormalTok"/>
        </w:rPr>
        <w:t xml:space="preserve">sd_plot</w:t>
      </w:r>
      <w:r>
        <w:rPr>
          <w:rStyle w:val="SpecialCharTok"/>
        </w:rPr>
        <w:t xml:space="preserve">$</w:t>
      </w:r>
      <w:r>
        <w:rPr>
          <w:rStyle w:val="NormalTok"/>
        </w:rPr>
        <w:t xml:space="preserve">mi </w:t>
      </w:r>
      <w:r>
        <w:rPr>
          <w:rStyle w:val="OtherTok"/>
        </w:rPr>
        <w:t xml:space="preserve">&lt;-</w:t>
      </w:r>
      <w:r>
        <w:rPr>
          <w:rStyle w:val="NormalTok"/>
        </w:rPr>
        <w:t xml:space="preserve"> </w:t>
      </w:r>
      <w:r>
        <w:rPr>
          <w:rStyle w:val="FunctionTok"/>
        </w:rPr>
        <w:t xml:space="preserve">match</w:t>
      </w:r>
      <w:r>
        <w:rPr>
          <w:rStyle w:val="NormalTok"/>
        </w:rPr>
        <w:t xml:space="preserve">(sd_plot</w:t>
      </w:r>
      <w:r>
        <w:rPr>
          <w:rStyle w:val="SpecialCharTok"/>
        </w:rPr>
        <w:t xml:space="preserve">$</w:t>
      </w:r>
      <w:r>
        <w:rPr>
          <w:rStyle w:val="NormalTok"/>
        </w:rPr>
        <w:t xml:space="preserve">metric, METRICS</w:t>
      </w:r>
      <w:r>
        <w:rPr>
          <w:rStyle w:val="SpecialCharTok"/>
        </w:rPr>
        <w:t xml:space="preserve">$</w:t>
      </w:r>
      <w:r>
        <w:rPr>
          <w:rStyle w:val="NormalTok"/>
        </w:rPr>
        <w:t xml:space="preserve">col)</w:t>
      </w:r>
      <w:r>
        <w:br/>
      </w:r>
      <w:r>
        <w:rPr>
          <w:rStyle w:val="NormalTok"/>
        </w:rPr>
        <w:t xml:space="preserve">xr </w:t>
      </w:r>
      <w:r>
        <w:rPr>
          <w:rStyle w:val="OtherTok"/>
        </w:rPr>
        <w:t xml:space="preserve">&lt;-</w:t>
      </w:r>
      <w:r>
        <w:rPr>
          <w:rStyle w:val="NormalTok"/>
        </w:rPr>
        <w:t xml:space="preserve"> </w:t>
      </w:r>
      <w:r>
        <w:rPr>
          <w:rStyle w:val="FunctionTok"/>
        </w:rPr>
        <w:t xml:space="preserve">range</w:t>
      </w:r>
      <w:r>
        <w:rPr>
          <w:rStyle w:val="NormalTok"/>
        </w:rPr>
        <w:t xml:space="preserve">(</w:t>
      </w:r>
      <w:r>
        <w:rPr>
          <w:rStyle w:val="FunctionTok"/>
        </w:rPr>
        <w:t xml:space="preserve">c</w:t>
      </w:r>
      <w:r>
        <w:rPr>
          <w:rStyle w:val="NormalTok"/>
        </w:rPr>
        <w:t xml:space="preserve">(sd_plot</w:t>
      </w:r>
      <w:r>
        <w:rPr>
          <w:rStyle w:val="SpecialCharTok"/>
        </w:rPr>
        <w:t xml:space="preserve">$</w:t>
      </w:r>
      <w:r>
        <w:rPr>
          <w:rStyle w:val="NormalTok"/>
        </w:rPr>
        <w:t xml:space="preserve">lower, sd_plot</w:t>
      </w:r>
      <w:r>
        <w:rPr>
          <w:rStyle w:val="SpecialCharTok"/>
        </w:rPr>
        <w:t xml:space="preserve">$</w:t>
      </w:r>
      <w:r>
        <w:rPr>
          <w:rStyle w:val="NormalTok"/>
        </w:rPr>
        <w:t xml:space="preserve">upper, </w:t>
      </w:r>
      <w:r>
        <w:rPr>
          <w:rStyle w:val="DecValTok"/>
        </w:rPr>
        <w:t xml:space="preserve">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NormalTok"/>
        </w:rPr>
        <w:t xml:space="preserve">op </w:t>
      </w:r>
      <w:r>
        <w:rPr>
          <w:rStyle w:val="OtherTok"/>
        </w:rPr>
        <w:t xml:space="preserve">&lt;-</w:t>
      </w:r>
      <w:r>
        <w:rPr>
          <w:rStyle w:val="NormalTok"/>
        </w:rPr>
        <w:t xml:space="preserve"> </w:t>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 </w:t>
      </w:r>
      <w:r>
        <w:rPr>
          <w:rStyle w:val="AttributeTok"/>
        </w:rPr>
        <w:t xml:space="preserve">oma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12.5</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AttributeTok"/>
        </w:rPr>
        <w:t xml:space="preserve">mgp =</w:t>
      </w:r>
      <w:r>
        <w:rPr>
          <w:rStyle w:val="NormalTok"/>
        </w:rPr>
        <w:t xml:space="preserve"> </w:t>
      </w:r>
      <w:r>
        <w:rPr>
          <w:rStyle w:val="FunctionTok"/>
        </w:rPr>
        <w:t xml:space="preserve">c</w:t>
      </w:r>
      <w:r>
        <w:rPr>
          <w:rStyle w:val="NormalTok"/>
        </w:rPr>
        <w:t xml:space="preserve">(</w:t>
      </w:r>
      <w:r>
        <w:rPr>
          <w:rStyle w:val="FloatTok"/>
        </w:rPr>
        <w:t xml:space="preserve">2.2</w:t>
      </w:r>
      <w:r>
        <w:rPr>
          <w:rStyle w:val="NormalTok"/>
        </w:rPr>
        <w:t xml:space="preserve">, </w:t>
      </w:r>
      <w:r>
        <w:rPr>
          <w:rStyle w:val="FloatTok"/>
        </w:rPr>
        <w:t xml:space="preserve">0.6</w:t>
      </w:r>
      <w:r>
        <w:rPr>
          <w:rStyle w:val="NormalTok"/>
        </w:rPr>
        <w:t xml:space="preserve">, </w:t>
      </w:r>
      <w:r>
        <w:rPr>
          <w:rStyle w:val="DecValTok"/>
        </w:rPr>
        <w:t xml:space="preserve">0</w:t>
      </w:r>
      <w:r>
        <w:rPr>
          <w:rStyle w:val="NormalTok"/>
        </w:rPr>
        <w:t xml:space="preserve">), </w:t>
      </w:r>
      <w:r>
        <w:rPr>
          <w:rStyle w:val="AttributeTok"/>
        </w:rPr>
        <w:t xml:space="preserve">cex =</w:t>
      </w:r>
      <w:r>
        <w:rPr>
          <w:rStyle w:val="NormalTok"/>
        </w:rPr>
        <w:t xml:space="preserve"> </w:t>
      </w:r>
      <w:r>
        <w:rPr>
          <w:rStyle w:val="FloatTok"/>
        </w:rPr>
        <w:t xml:space="preserve">0.62</w:t>
      </w:r>
      <w:r>
        <w:rPr>
          <w:rStyle w:val="NormalTok"/>
        </w:rPr>
        <w:t xml:space="preserve">)</w:t>
      </w:r>
      <w:r>
        <w:br/>
      </w:r>
      <w:r>
        <w:rPr>
          <w:rStyle w:val="ControlFlowTok"/>
        </w:rPr>
        <w:t xml:space="preserve">for</w:t>
      </w:r>
      <w:r>
        <w:rPr>
          <w:rStyle w:val="NormalTok"/>
        </w:rPr>
        <w:t xml:space="preserve"> (k </w:t>
      </w:r>
      <w:r>
        <w:rPr>
          <w:rStyle w:val="ControlFlowTok"/>
        </w:rPr>
        <w:t xml:space="preserve">in</w:t>
      </w:r>
      <w:r>
        <w:rPr>
          <w:rStyle w:val="NormalTok"/>
        </w:rPr>
        <w:t xml:space="preserve"> </w:t>
      </w:r>
      <w:r>
        <w:rPr>
          <w:rStyle w:val="FunctionTok"/>
        </w:rPr>
        <w:t xml:space="preserve">seq_along</w:t>
      </w:r>
      <w:r>
        <w:rPr>
          <w:rStyle w:val="NormalTok"/>
        </w:rPr>
        <w:t xml:space="preserve">(CONTRASTS)) {</w:t>
      </w:r>
      <w:r>
        <w:br/>
      </w:r>
      <w:r>
        <w:rPr>
          <w:rStyle w:val="NormalTok"/>
        </w:rPr>
        <w:t xml:space="preserve">  cn </w:t>
      </w:r>
      <w:r>
        <w:rPr>
          <w:rStyle w:val="OtherTok"/>
        </w:rPr>
        <w:t xml:space="preserve">&lt;-</w:t>
      </w:r>
      <w:r>
        <w:rPr>
          <w:rStyle w:val="NormalTok"/>
        </w:rPr>
        <w:t xml:space="preserve"> CONTRASTS[[k]]</w:t>
      </w:r>
      <w:r>
        <w:br/>
      </w:r>
      <w:r>
        <w:rPr>
          <w:rStyle w:val="NormalTok"/>
        </w:rPr>
        <w:t xml:space="preserve">  d </w:t>
      </w:r>
      <w:r>
        <w:rPr>
          <w:rStyle w:val="OtherTok"/>
        </w:rPr>
        <w:t xml:space="preserve">&lt;-</w:t>
      </w:r>
      <w:r>
        <w:rPr>
          <w:rStyle w:val="NormalTok"/>
        </w:rPr>
        <w:t xml:space="preserve"> sd_plot[sd_plot</w:t>
      </w:r>
      <w:r>
        <w:rPr>
          <w:rStyle w:val="SpecialCharTok"/>
        </w:rPr>
        <w:t xml:space="preserve">$</w:t>
      </w:r>
      <w:r>
        <w:rPr>
          <w:rStyle w:val="NormalTok"/>
        </w:rPr>
        <w:t xml:space="preserve">contrast </w:t>
      </w:r>
      <w:r>
        <w:rPr>
          <w:rStyle w:val="SpecialCharTok"/>
        </w:rPr>
        <w:t xml:space="preserve">==</w:t>
      </w:r>
      <w:r>
        <w:rPr>
          <w:rStyle w:val="NormalTok"/>
        </w:rPr>
        <w:t xml:space="preserve"> cn[</w:t>
      </w:r>
      <w:r>
        <w:rPr>
          <w:rStyle w:val="DecValTok"/>
        </w:rPr>
        <w:t xml:space="preserve">3</w:t>
      </w:r>
      <w:r>
        <w:rPr>
          <w:rStyle w:val="NormalTok"/>
        </w:rPr>
        <w:t xml:space="preserve">], ]</w:t>
      </w:r>
      <w:r>
        <w:br/>
      </w:r>
      <w:r>
        <w:rPr>
          <w:rStyle w:val="NormalTok"/>
        </w:rPr>
        <w:t xml:space="preserve">  </w:t>
      </w:r>
      <w:r>
        <w:rPr>
          <w:rStyle w:val="FunctionTok"/>
        </w:rPr>
        <w:t xml:space="preserve">par</w:t>
      </w:r>
      <w:r>
        <w:rPr>
          <w:rStyle w:val="NormalTok"/>
        </w:rPr>
        <w:t xml:space="preserve">(</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4</w:t>
      </w:r>
      <w:r>
        <w:rPr>
          <w:rStyle w:val="NormalTok"/>
        </w:rPr>
        <w:t xml:space="preserve">, </w:t>
      </w:r>
      <w:r>
        <w:rPr>
          <w:rStyle w:val="FloatTok"/>
        </w:rPr>
        <w:t xml:space="preserve">0.6</w:t>
      </w:r>
      <w:r>
        <w:rPr>
          <w:rStyle w:val="NormalTok"/>
        </w:rPr>
        <w:t xml:space="preserve">, </w:t>
      </w:r>
      <w:r>
        <w:rPr>
          <w:rStyle w:val="FloatTok"/>
        </w:rPr>
        <w:t xml:space="preserve">3.4</w:t>
      </w:r>
      <w:r>
        <w:rPr>
          <w:rStyle w:val="NormalTok"/>
        </w:rPr>
        <w:t xml:space="preserve">, </w:t>
      </w:r>
      <w:r>
        <w:rPr>
          <w:rStyle w:val="FloatTok"/>
        </w:rPr>
        <w:t xml:space="preserve">0.6</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nrow</w:t>
      </w:r>
      <w:r>
        <w:rPr>
          <w:rStyle w:val="NormalTok"/>
        </w:rPr>
        <w:t xml:space="preserve">(d)) { </w:t>
      </w:r>
      <w:r>
        <w:rPr>
          <w:rStyle w:val="FunctionTok"/>
        </w:rPr>
        <w:t xml:space="preserve">plot.new</w:t>
      </w:r>
      <w:r>
        <w:rPr>
          <w:rStyle w:val="NormalTok"/>
        </w:rPr>
        <w:t xml:space="preserve">(); </w:t>
      </w:r>
      <w:r>
        <w:rPr>
          <w:rStyle w:val="ControlFlowTok"/>
        </w:rPr>
        <w:t xml:space="preserve">next</w:t>
      </w:r>
      <w:r>
        <w:rPr>
          <w:rStyle w:val="NormalTok"/>
        </w:rPr>
        <w:t xml:space="preserve"> }</w:t>
      </w:r>
      <w:r>
        <w:br/>
      </w:r>
      <w:r>
        <w:rPr>
          <w:rStyle w:val="NormalTok"/>
        </w:rPr>
        <w:t xml:space="preserve">  d </w:t>
      </w:r>
      <w:r>
        <w:rPr>
          <w:rStyle w:val="OtherTok"/>
        </w:rPr>
        <w:t xml:space="preserve">&lt;-</w:t>
      </w:r>
      <w:r>
        <w:rPr>
          <w:rStyle w:val="NormalTok"/>
        </w:rPr>
        <w:t xml:space="preserve"> d[</w:t>
      </w:r>
      <w:r>
        <w:rPr>
          <w:rStyle w:val="FunctionTok"/>
        </w:rPr>
        <w:t xml:space="preserve">order</w:t>
      </w:r>
      <w:r>
        <w:rPr>
          <w:rStyle w:val="NormalTok"/>
        </w:rPr>
        <w:t xml:space="preserve">(d</w:t>
      </w:r>
      <w:r>
        <w:rPr>
          <w:rStyle w:val="SpecialCharTok"/>
        </w:rPr>
        <w:t xml:space="preserve">$</w:t>
      </w:r>
      <w:r>
        <w:rPr>
          <w:rStyle w:val="NormalTok"/>
        </w:rPr>
        <w:t xml:space="preserve">mi, d</w:t>
      </w:r>
      <w:r>
        <w:rPr>
          <w:rStyle w:val="SpecialCharTok"/>
        </w:rPr>
        <w:t xml:space="preserve">$</w:t>
      </w:r>
      <w:r>
        <w:rPr>
          <w:rStyle w:val="NormalTok"/>
        </w:rPr>
        <w:t xml:space="preserve">station), ]</w:t>
      </w:r>
      <w:r>
        <w:br/>
      </w:r>
      <w:r>
        <w:rPr>
          <w:rStyle w:val="NormalTok"/>
        </w:rPr>
        <w:t xml:space="preserve">  y </w:t>
      </w:r>
      <w:r>
        <w:rPr>
          <w:rStyle w:val="OtherTok"/>
        </w:rPr>
        <w:t xml:space="preserve">&lt;-</w:t>
      </w:r>
      <w:r>
        <w:rPr>
          <w:rStyle w:val="NormalTok"/>
        </w:rPr>
        <w:t xml:space="preserve"> </w:t>
      </w:r>
      <w:r>
        <w:rPr>
          <w:rStyle w:val="FunctionTok"/>
        </w:rPr>
        <w:t xml:space="preserve">seq_len</w:t>
      </w:r>
      <w:r>
        <w:rPr>
          <w:rStyle w:val="NormalTok"/>
        </w:rPr>
        <w:t xml:space="preserve">(</w:t>
      </w:r>
      <w:r>
        <w:rPr>
          <w:rStyle w:val="FunctionTok"/>
        </w:rPr>
        <w:t xml:space="preserve">nrow</w:t>
      </w:r>
      <w:r>
        <w:rPr>
          <w:rStyle w:val="NormalTok"/>
        </w:rPr>
        <w:t xml:space="preserve">(d))</w:t>
      </w:r>
      <w:r>
        <w:br/>
      </w:r>
      <w:r>
        <w:rPr>
          <w:rStyle w:val="NormalTok"/>
        </w:rPr>
        <w:t xml:space="preserve">  </w:t>
      </w:r>
      <w:r>
        <w:rPr>
          <w:rStyle w:val="FunctionTok"/>
        </w:rPr>
        <w:t xml:space="preserve">plot</w:t>
      </w:r>
      <w:r>
        <w:rPr>
          <w:rStyle w:val="NormalTok"/>
        </w:rPr>
        <w:t xml:space="preserve">(</w:t>
      </w:r>
      <w:r>
        <w:rPr>
          <w:rStyle w:val="ConstantTok"/>
        </w:rPr>
        <w:t xml:space="preserve">NA</w:t>
      </w:r>
      <w:r>
        <w:rPr>
          <w:rStyle w:val="NormalTok"/>
        </w:rPr>
        <w:t xml:space="preserve">, </w:t>
      </w:r>
      <w:r>
        <w:rPr>
          <w:rStyle w:val="AttributeTok"/>
        </w:rPr>
        <w:t xml:space="preserve">xlim =</w:t>
      </w:r>
      <w:r>
        <w:rPr>
          <w:rStyle w:val="NormalTok"/>
        </w:rPr>
        <w:t xml:space="preserve"> xr, </w:t>
      </w:r>
      <w:r>
        <w:rPr>
          <w:rStyle w:val="AttributeTok"/>
        </w:rPr>
        <w:t xml:space="preserve">ylim =</w:t>
      </w:r>
      <w:r>
        <w:rPr>
          <w:rStyle w:val="NormalTok"/>
        </w:rPr>
        <w:t xml:space="preserve"> </w:t>
      </w:r>
      <w:r>
        <w:rPr>
          <w:rStyle w:val="FunctionTok"/>
        </w:rPr>
        <w:t xml:space="preserve">c</w:t>
      </w:r>
      <w:r>
        <w:rPr>
          <w:rStyle w:val="NormalTok"/>
        </w:rPr>
        <w:t xml:space="preserve">(</w:t>
      </w:r>
      <w:r>
        <w:rPr>
          <w:rStyle w:val="FloatTok"/>
        </w:rPr>
        <w:t xml:space="preserve">0.5</w:t>
      </w:r>
      <w:r>
        <w:rPr>
          <w:rStyle w:val="NormalTok"/>
        </w:rPr>
        <w:t xml:space="preserve">, </w:t>
      </w:r>
      <w:r>
        <w:rPr>
          <w:rStyle w:val="FunctionTok"/>
        </w:rPr>
        <w:t xml:space="preserve">max</w:t>
      </w:r>
      <w:r>
        <w:rPr>
          <w:rStyle w:val="NormalTok"/>
        </w:rPr>
        <w:t xml:space="preserve">(y) </w:t>
      </w:r>
      <w:r>
        <w:rPr>
          <w:rStyle w:val="SpecialCharTok"/>
        </w:rPr>
        <w:t xml:space="preserve">+</w:t>
      </w:r>
      <w:r>
        <w:rPr>
          <w:rStyle w:val="NormalTok"/>
        </w:rPr>
        <w:t xml:space="preserve"> </w:t>
      </w:r>
      <w:r>
        <w:rPr>
          <w:rStyle w:val="FloatTok"/>
        </w:rPr>
        <w:t xml:space="preserve">0.5</w:t>
      </w:r>
      <w:r>
        <w:rPr>
          <w:rStyle w:val="NormalTok"/>
        </w:rPr>
        <w:t xml:space="preserve">), </w:t>
      </w:r>
      <w:r>
        <w:rPr>
          <w:rStyle w:val="AttributeTok"/>
        </w:rPr>
        <w:t xml:space="preserve">yaxt =</w:t>
      </w:r>
      <w:r>
        <w:rPr>
          <w:rStyle w:val="NormalTok"/>
        </w:rPr>
        <w:t xml:space="preserve"> </w:t>
      </w:r>
      <w:r>
        <w:rPr>
          <w:rStyle w:val="StringTok"/>
        </w:rPr>
        <w:t xml:space="preserve">"n"</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"Slope difference, days per season"</w:t>
      </w:r>
      <w:r>
        <w:rPr>
          <w:rStyle w:val="NormalTok"/>
        </w:rPr>
        <w:t xml:space="preserve">, </w:t>
      </w:r>
      <w:r>
        <w:rPr>
          <w:rStyle w:val="AttributeTok"/>
        </w:rPr>
        <w:t xml:space="preserve">ylab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FunctionTok"/>
        </w:rPr>
        <w:t xml:space="preserve">paste</w:t>
      </w:r>
      <w:r>
        <w:rPr>
          <w:rStyle w:val="NormalTok"/>
        </w:rPr>
        <w:t xml:space="preserve">(</w:t>
      </w:r>
      <w:r>
        <w:rPr>
          <w:rStyle w:val="FunctionTok"/>
        </w:rPr>
        <w:t xml:space="preserve">strwrap</w:t>
      </w:r>
      <w:r>
        <w:rPr>
          <w:rStyle w:val="NormalTok"/>
        </w:rPr>
        <w:t xml:space="preserve">(cn[</w:t>
      </w:r>
      <w:r>
        <w:rPr>
          <w:rStyle w:val="DecValTok"/>
        </w:rPr>
        <w:t xml:space="preserve">3</w:t>
      </w:r>
      <w:r>
        <w:rPr>
          <w:rStyle w:val="NormalTok"/>
        </w:rPr>
        <w:t xml:space="preserve">], </w:t>
      </w:r>
      <w:r>
        <w:rPr>
          <w:rStyle w:val="DecValTok"/>
        </w:rPr>
        <w:t xml:space="preserve">24</w:t>
      </w:r>
      <w:r>
        <w:rPr>
          <w:rStyle w:val="NormalTok"/>
        </w:rPr>
        <w:t xml:space="preserve">), </w:t>
      </w:r>
      <w:r>
        <w:rPr>
          <w:rStyle w:val="AttributeTok"/>
        </w:rPr>
        <w:t xml:space="preserve">collapse =</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 </w:t>
      </w:r>
      <w:r>
        <w:rPr>
          <w:rStyle w:val="AttributeTok"/>
        </w:rPr>
        <w:t xml:space="preserve">cex.main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FunctionTok"/>
        </w:rPr>
        <w:t xml:space="preserve">abline</w:t>
      </w:r>
      <w:r>
        <w:rPr>
          <w:rStyle w:val="NormalTok"/>
        </w:rPr>
        <w:t xml:space="preserve">(</w:t>
      </w:r>
      <w:r>
        <w:rPr>
          <w:rStyle w:val="AttributeTok"/>
        </w:rPr>
        <w:t xml:space="preserve">v =</w:t>
      </w:r>
      <w:r>
        <w:rPr>
          <w:rStyle w:val="NormalTok"/>
        </w:rPr>
        <w:t xml:space="preserve"> </w:t>
      </w:r>
      <w:r>
        <w:rPr>
          <w:rStyle w:val="DecValTok"/>
        </w:rPr>
        <w:t xml:space="preserve">0</w:t>
      </w:r>
      <w:r>
        <w:rPr>
          <w:rStyle w:val="NormalTok"/>
        </w:rPr>
        <w:t xml:space="preserve">, </w:t>
      </w:r>
      <w:r>
        <w:rPr>
          <w:rStyle w:val="AttributeTok"/>
        </w:rPr>
        <w:t xml:space="preserve">col =</w:t>
      </w:r>
      <w:r>
        <w:rPr>
          <w:rStyle w:val="NormalTok"/>
        </w:rPr>
        <w:t xml:space="preserve"> </w:t>
      </w:r>
      <w:r>
        <w:rPr>
          <w:rStyle w:val="StringTok"/>
        </w:rPr>
        <w:t xml:space="preserve">"grey50"</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segments</w:t>
      </w:r>
      <w:r>
        <w:rPr>
          <w:rStyle w:val="NormalTok"/>
        </w:rPr>
        <w:t xml:space="preserve">(d</w:t>
      </w:r>
      <w:r>
        <w:rPr>
          <w:rStyle w:val="SpecialCharTok"/>
        </w:rPr>
        <w:t xml:space="preserve">$</w:t>
      </w:r>
      <w:r>
        <w:rPr>
          <w:rStyle w:val="NormalTok"/>
        </w:rPr>
        <w:t xml:space="preserve">lower, y, d</w:t>
      </w:r>
      <w:r>
        <w:rPr>
          <w:rStyle w:val="SpecialCharTok"/>
        </w:rPr>
        <w:t xml:space="preserve">$</w:t>
      </w:r>
      <w:r>
        <w:rPr>
          <w:rStyle w:val="NormalTok"/>
        </w:rPr>
        <w:t xml:space="preserve">upper, y, </w:t>
      </w:r>
      <w:r>
        <w:rPr>
          <w:rStyle w:val="AttributeTok"/>
        </w:rPr>
        <w:t xml:space="preserve">col =</w:t>
      </w:r>
      <w:r>
        <w:rPr>
          <w:rStyle w:val="NormalTok"/>
        </w:rPr>
        <w:t xml:space="preserve"> </w:t>
      </w:r>
      <w:r>
        <w:rPr>
          <w:rStyle w:val="StringTok"/>
        </w:rPr>
        <w:t xml:space="preserve">"grey35"</w:t>
      </w:r>
      <w:r>
        <w:rPr>
          <w:rStyle w:val="NormalTok"/>
        </w:rPr>
        <w:t xml:space="preserve">)</w:t>
      </w:r>
      <w:r>
        <w:br/>
      </w:r>
      <w:r>
        <w:rPr>
          <w:rStyle w:val="NormalTok"/>
        </w:rPr>
        <w:t xml:space="preserve">  </w:t>
      </w:r>
      <w:r>
        <w:rPr>
          <w:rStyle w:val="FunctionTok"/>
        </w:rPr>
        <w:t xml:space="preserve">points</w:t>
      </w:r>
      <w:r>
        <w:rPr>
          <w:rStyle w:val="NormalTok"/>
        </w:rPr>
        <w:t xml:space="preserve">(d</w:t>
      </w:r>
      <w:r>
        <w:rPr>
          <w:rStyle w:val="SpecialCharTok"/>
        </w:rPr>
        <w:t xml:space="preserve">$</w:t>
      </w:r>
      <w:r>
        <w:rPr>
          <w:rStyle w:val="NormalTok"/>
        </w:rPr>
        <w:t xml:space="preserve">difference, y,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cex =</w:t>
      </w:r>
      <w:r>
        <w:rPr>
          <w:rStyle w:val="NormalTok"/>
        </w:rPr>
        <w:t xml:space="preserve"> </w:t>
      </w:r>
      <w:r>
        <w:rPr>
          <w:rStyle w:val="FloatTok"/>
        </w:rPr>
        <w:t xml:space="preserve">0.8</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ifelse</w:t>
      </w:r>
      <w:r>
        <w:rPr>
          <w:rStyle w:val="NormalTok"/>
        </w:rPr>
        <w:t xml:space="preserve">(d</w:t>
      </w:r>
      <w:r>
        <w:rPr>
          <w:rStyle w:val="SpecialCharTok"/>
        </w:rPr>
        <w:t xml:space="preserve">$</w:t>
      </w:r>
      <w:r>
        <w:rPr>
          <w:rStyle w:val="NormalTok"/>
        </w:rPr>
        <w:t xml:space="preserve">scheme </w:t>
      </w:r>
      <w:r>
        <w:rPr>
          <w:rStyle w:val="SpecialCharTok"/>
        </w:rPr>
        <w:t xml:space="preserve">==</w:t>
      </w:r>
      <w:r>
        <w:rPr>
          <w:rStyle w:val="NormalTok"/>
        </w:rPr>
        <w:t xml:space="preserve"> </w:t>
      </w:r>
      <w:r>
        <w:rPr>
          <w:rStyle w:val="StringTok"/>
        </w:rPr>
        <w:t xml:space="preserve">"absolute"</w:t>
      </w:r>
      <w:r>
        <w:rPr>
          <w:rStyle w:val="NormalTok"/>
        </w:rPr>
        <w:t xml:space="preserve">, </w:t>
      </w:r>
      <w:r>
        <w:rPr>
          <w:rStyle w:val="StringTok"/>
        </w:rPr>
        <w:t xml:space="preserve">"#943126"</w:t>
      </w:r>
      <w:r>
        <w:rPr>
          <w:rStyle w:val="NormalTok"/>
        </w:rPr>
        <w:t xml:space="preserve">, </w:t>
      </w:r>
      <w:r>
        <w:rPr>
          <w:rStyle w:val="StringTok"/>
        </w:rPr>
        <w:t xml:space="preserve">"#1B4F72"</w:t>
      </w:r>
      <w:r>
        <w:rPr>
          <w:rStyle w:val="NormalTok"/>
        </w:rPr>
        <w:t xml:space="preserve">))</w:t>
      </w:r>
      <w:r>
        <w:br/>
      </w:r>
      <w:r>
        <w:rPr>
          <w:rStyle w:val="NormalTok"/>
        </w:rPr>
        <w:t xml:space="preserve">  </w:t>
      </w:r>
      <w:r>
        <w:rPr>
          <w:rStyle w:val="ControlFlowTok"/>
        </w:rPr>
        <w:t xml:space="preserve">if</w:t>
      </w:r>
      <w:r>
        <w:rPr>
          <w:rStyle w:val="NormalTok"/>
        </w:rPr>
        <w:t xml:space="preserve"> (k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axis</w:t>
      </w:r>
      <w:r>
        <w:rPr>
          <w:rStyle w:val="NormalTok"/>
        </w:rPr>
        <w:t xml:space="preserve">(</w:t>
      </w:r>
      <w:r>
        <w:rPr>
          <w:rStyle w:val="DecValTok"/>
        </w:rPr>
        <w:t xml:space="preserve">2</w:t>
      </w:r>
      <w:r>
        <w:rPr>
          <w:rStyle w:val="NormalTok"/>
        </w:rPr>
        <w:t xml:space="preserve">, </w:t>
      </w:r>
      <w:r>
        <w:rPr>
          <w:rStyle w:val="AttributeTok"/>
        </w:rPr>
        <w:t xml:space="preserve">at =</w:t>
      </w:r>
      <w:r>
        <w:rPr>
          <w:rStyle w:val="NormalTok"/>
        </w:rPr>
        <w:t xml:space="preserve"> y, </w:t>
      </w:r>
      <w:r>
        <w:rPr>
          <w:rStyle w:val="AttributeTok"/>
        </w:rPr>
        <w:t xml:space="preserve">labels =</w:t>
      </w:r>
      <w:r>
        <w:rPr>
          <w:rStyle w:val="NormalTok"/>
        </w:rPr>
        <w:t xml:space="preserve"> </w:t>
      </w:r>
      <w:r>
        <w:rPr>
          <w:rStyle w:val="FunctionTok"/>
        </w:rPr>
        <w:t xml:space="preserve">paste0</w:t>
      </w:r>
      <w:r>
        <w:rPr>
          <w:rStyle w:val="NormalTok"/>
        </w:rPr>
        <w:t xml:space="preserve">(METRICS</w:t>
      </w:r>
      <w:r>
        <w:rPr>
          <w:rStyle w:val="SpecialCharTok"/>
        </w:rPr>
        <w:t xml:space="preserve">$</w:t>
      </w:r>
      <w:r>
        <w:rPr>
          <w:rStyle w:val="NormalTok"/>
        </w:rPr>
        <w:t xml:space="preserve">label[d</w:t>
      </w:r>
      <w:r>
        <w:rPr>
          <w:rStyle w:val="SpecialCharTok"/>
        </w:rPr>
        <w:t xml:space="preserve">$</w:t>
      </w:r>
      <w:r>
        <w:rPr>
          <w:rStyle w:val="NormalTok"/>
        </w:rPr>
        <w:t xml:space="preserve">mi], </w:t>
      </w:r>
      <w:r>
        <w:rPr>
          <w:rStyle w:val="StringTok"/>
        </w:rPr>
        <w:t xml:space="preserve">", "</w:t>
      </w:r>
      <w:r>
        <w:rPr>
          <w:rStyle w:val="NormalTok"/>
        </w:rPr>
        <w:t xml:space="preserve">, d</w:t>
      </w:r>
      <w:r>
        <w:rPr>
          <w:rStyle w:val="SpecialCharTok"/>
        </w:rPr>
        <w:t xml:space="preserve">$</w:t>
      </w:r>
      <w:r>
        <w:rPr>
          <w:rStyle w:val="NormalTok"/>
        </w:rPr>
        <w:t xml:space="preserve">station),</w:t>
      </w:r>
      <w:r>
        <w:br/>
      </w:r>
      <w:r>
        <w:rPr>
          <w:rStyle w:val="NormalTok"/>
        </w:rPr>
        <w:t xml:space="preserve">         </w:t>
      </w:r>
      <w:r>
        <w:rPr>
          <w:rStyle w:val="AttributeTok"/>
        </w:rPr>
        <w:t xml:space="preserve">las =</w:t>
      </w:r>
      <w:r>
        <w:rPr>
          <w:rStyle w:val="NormalTok"/>
        </w:rPr>
        <w:t xml:space="preserve"> </w:t>
      </w:r>
      <w:r>
        <w:rPr>
          <w:rStyle w:val="DecValTok"/>
        </w:rPr>
        <w:t xml:space="preserve">1</w:t>
      </w:r>
      <w:r>
        <w:rPr>
          <w:rStyle w:val="NormalTok"/>
        </w:rPr>
        <w:t xml:space="preserve">, </w:t>
      </w:r>
      <w:r>
        <w:rPr>
          <w:rStyle w:val="AttributeTok"/>
        </w:rPr>
        <w:t xml:space="preserve">cex.axis =</w:t>
      </w:r>
      <w:r>
        <w:rPr>
          <w:rStyle w:val="NormalTok"/>
        </w:rPr>
        <w:t xml:space="preserve"> </w:t>
      </w:r>
      <w:r>
        <w:rPr>
          <w:rStyle w:val="FloatTok"/>
        </w:rPr>
        <w:t xml:space="preserve">0.7</w:t>
      </w:r>
      <w:r>
        <w:rPr>
          <w:rStyle w:val="NormalTok"/>
        </w:rPr>
        <w:t xml:space="preserve">, </w:t>
      </w:r>
      <w:r>
        <w:rPr>
          <w:rStyle w:val="AttributeTok"/>
        </w:rPr>
        <w:t xml:space="preserve">tick =</w:t>
      </w:r>
      <w:r>
        <w:rPr>
          <w:rStyle w:val="NormalTok"/>
        </w:rPr>
        <w:t xml:space="preserve"> </w:t>
      </w:r>
      <w:r>
        <w:rPr>
          <w:rStyle w:val="ConstantTok"/>
        </w:rPr>
        <w:t xml:space="preserve">FALSE</w:t>
      </w:r>
      <w:r>
        <w:rPr>
          <w:rStyle w:val="NormalTok"/>
        </w:rPr>
        <w:t xml:space="preserve">, </w:t>
      </w:r>
      <w:r>
        <w:rPr>
          <w:rStyle w:val="AttributeTok"/>
        </w:rPr>
        <w:t xml:space="preserve">line =</w:t>
      </w:r>
      <w:r>
        <w:rPr>
          <w:rStyle w:val="NormalTok"/>
        </w:rPr>
        <w:t xml:space="preserve"> </w:t>
      </w:r>
      <w:r>
        <w:rPr>
          <w:rStyle w:val="SpecialCharTok"/>
        </w:rPr>
        <w:t xml:space="preserve">-</w:t>
      </w:r>
      <w:r>
        <w:rPr>
          <w:rStyle w:val="FloatTok"/>
        </w:rPr>
        <w:t xml:space="preserve">0.3</w:t>
      </w:r>
      <w:r>
        <w:rPr>
          <w:rStyle w:val="NormalTok"/>
        </w:rPr>
        <w:t xml:space="preserve">, </w:t>
      </w:r>
      <w:r>
        <w:rPr>
          <w:rStyle w:val="AttributeTok"/>
        </w:rPr>
        <w:t xml:space="preserve">outer =</w:t>
      </w:r>
      <w:r>
        <w:rPr>
          <w:rStyle w:val="NormalTok"/>
        </w:rPr>
        <w:t xml:space="preserve"> </w:t>
      </w:r>
      <w:r>
        <w:rPr>
          <w:rStyle w:val="ConstantTok"/>
        </w:rPr>
        <w:t xml:space="preserve">TRUE</w:t>
      </w:r>
      <w:r>
        <w:rPr>
          <w:rStyle w:val="NormalTok"/>
        </w:rPr>
        <w:t xml:space="preserve">)</w:t>
      </w:r>
      <w:r>
        <w:br/>
      </w:r>
      <w:r>
        <w:rPr>
          <w:rStyle w:val="NormalTok"/>
        </w:rPr>
        <w:t xml:space="preserve">}</w:t>
      </w:r>
      <w:r>
        <w:br/>
      </w:r>
      <w:r>
        <w:rPr>
          <w:rStyle w:val="FunctionTok"/>
        </w:rPr>
        <w:t xml:space="preserve">par</w:t>
      </w:r>
      <w:r>
        <w:rPr>
          <w:rStyle w:val="NormalTok"/>
        </w:rPr>
        <w:t xml:space="preserve">(op)</w:t>
      </w:r>
    </w:p>
    <w:tbl>
      <w:tblPr>
        <w:tblStyle w:val="Table"/>
        <w:tblW w:type="pct" w:w="5000"/>
        <w:tblLayout w:type="fixed"/>
        <w:tblLook w:firstRow="0" w:lastRow="0" w:firstColumn="0" w:lastColumn="0" w:noHBand="0" w:noVBand="0" w:val="0000"/>
      </w:tblPr>
      <w:tblGrid>
        <w:gridCol w:w="7920"/>
      </w:tblGrid>
      <w:tr>
        <w:tc>
          <w:tcPr/>
          <w:bookmarkStart w:id="73" w:name="fig-slopediff"/>
          <w:p>
            <w:pPr>
              <w:pStyle w:val="Compact"/>
              <w:jc w:val="center"/>
            </w:pPr>
            <w:r>
              <w:drawing>
                <wp:inline>
                  <wp:extent cx="5943600" cy="4206240"/>
                  <wp:effectExtent b="0" l="0" r="0" t="0"/>
                  <wp:docPr descr="" title="" id="71" name="Picture"/>
                  <a:graphic>
                    <a:graphicData uri="http://schemas.openxmlformats.org/drawingml/2006/picture">
                      <pic:pic>
                        <pic:nvPicPr>
                          <pic:cNvPr descr="../03.outputs/figures/mfig-fig-slopediff-1.png" id="72" name="Picture"/>
                          <pic:cNvPicPr>
                            <a:picLocks noChangeArrowheads="1" noChangeAspect="1"/>
                          </pic:cNvPicPr>
                        </pic:nvPicPr>
                        <pic:blipFill>
                          <a:blip r:embed="rId70"/>
                          <a:stretch>
                            <a:fillRect/>
                          </a:stretch>
                        </pic:blipFill>
                        <pic:spPr bwMode="auto">
                          <a:xfrm>
                            <a:off x="0" y="0"/>
                            <a:ext cx="5943600" cy="4206240"/>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Difference in Theil-Sen slope between series for the five extreme-day counts, which all measure days per season and therefore share one axis. Points are station estimates, bars are paired moving-block bootstrap 95 per cent intervals over 4,000 resamples of blocks of consecutive seasons. Red marks the three absolute thresholds and blue the two thresholds internal to each series. The prediction under test is that the red points separate from zero and the blue ones do not. The three level metrics are omitted from this figure because the seasonal severity rating is measured on a scale two orders of magnitude larger and would compress everything else to a point; they are in the preceding table.</w:t>
            </w:r>
          </w:p>
          <w:bookmarkEnd w:id="73"/>
        </w:tc>
      </w:tr>
    </w:tbl>
    <w:p>
      <w:pPr>
        <w:pStyle w:val="SourceCode"/>
      </w:pPr>
      <w:r>
        <w:rPr>
          <w:rStyle w:val="CommentTok"/>
        </w:rPr>
        <w:t xml:space="preserve"># The hypothesis has a specific shape: absolute-threshold counts should separate</w:t>
      </w:r>
      <w:r>
        <w:br/>
      </w:r>
      <w:r>
        <w:rPr>
          <w:rStyle w:val="CommentTok"/>
        </w:rPr>
        <w:t xml:space="preserve"># between series and relative-threshold counts should not. That shape is scored</w:t>
      </w:r>
      <w:r>
        <w:br/>
      </w:r>
      <w:r>
        <w:rPr>
          <w:rStyle w:val="CommentTok"/>
        </w:rPr>
        <w:t xml:space="preserve"># here as two rates, so the sentence below reports what the numbers show rather</w:t>
      </w:r>
      <w:r>
        <w:br/>
      </w:r>
      <w:r>
        <w:rPr>
          <w:rStyle w:val="CommentTok"/>
        </w:rPr>
        <w:t xml:space="preserve"># than what the hypothesis predicted.</w:t>
      </w:r>
      <w:r>
        <w:br/>
      </w:r>
      <w:r>
        <w:rPr>
          <w:rStyle w:val="NormalTok"/>
        </w:rPr>
        <w:t xml:space="preserve">score </w:t>
      </w:r>
      <w:r>
        <w:rPr>
          <w:rStyle w:val="OtherTok"/>
        </w:rPr>
        <w:t xml:space="preserve">&lt;-</w:t>
      </w:r>
      <w:r>
        <w:rPr>
          <w:rStyle w:val="NormalTok"/>
        </w:rPr>
        <w:t xml:space="preserve"> </w:t>
      </w:r>
      <w:r>
        <w:rPr>
          <w:rStyle w:val="ControlFlowTok"/>
        </w:rPr>
        <w:t xml:space="preserve">function</w:t>
      </w:r>
      <w:r>
        <w:rPr>
          <w:rStyle w:val="NormalTok"/>
        </w:rPr>
        <w:t xml:space="preserve">(contrast, scheme) {</w:t>
      </w:r>
      <w:r>
        <w:br/>
      </w:r>
      <w:r>
        <w:rPr>
          <w:rStyle w:val="NormalTok"/>
        </w:rPr>
        <w:t xml:space="preserve">  d </w:t>
      </w:r>
      <w:r>
        <w:rPr>
          <w:rStyle w:val="OtherTok"/>
        </w:rPr>
        <w:t xml:space="preserve">&lt;-</w:t>
      </w:r>
      <w:r>
        <w:rPr>
          <w:rStyle w:val="NormalTok"/>
        </w:rPr>
        <w:t xml:space="preserve"> sdiff[sdiff</w:t>
      </w:r>
      <w:r>
        <w:rPr>
          <w:rStyle w:val="SpecialCharTok"/>
        </w:rPr>
        <w:t xml:space="preserve">$</w:t>
      </w:r>
      <w:r>
        <w:rPr>
          <w:rStyle w:val="NormalTok"/>
        </w:rPr>
        <w:t xml:space="preserve">contrast </w:t>
      </w:r>
      <w:r>
        <w:rPr>
          <w:rStyle w:val="SpecialCharTok"/>
        </w:rPr>
        <w:t xml:space="preserve">==</w:t>
      </w:r>
      <w:r>
        <w:rPr>
          <w:rStyle w:val="NormalTok"/>
        </w:rPr>
        <w:t xml:space="preserve"> contrast </w:t>
      </w:r>
      <w:r>
        <w:rPr>
          <w:rStyle w:val="SpecialCharTok"/>
        </w:rPr>
        <w:t xml:space="preserve">&amp;</w:t>
      </w:r>
      <w:r>
        <w:rPr>
          <w:rStyle w:val="NormalTok"/>
        </w:rPr>
        <w:t xml:space="preserve"> sdiff</w:t>
      </w:r>
      <w:r>
        <w:rPr>
          <w:rStyle w:val="SpecialCharTok"/>
        </w:rPr>
        <w:t xml:space="preserve">$</w:t>
      </w:r>
      <w:r>
        <w:rPr>
          <w:rStyle w:val="NormalTok"/>
        </w:rPr>
        <w:t xml:space="preserve">scheme </w:t>
      </w:r>
      <w:r>
        <w:rPr>
          <w:rStyle w:val="SpecialCharTok"/>
        </w:rPr>
        <w:t xml:space="preserve">==</w:t>
      </w:r>
      <w:r>
        <w:rPr>
          <w:rStyle w:val="NormalTok"/>
        </w:rPr>
        <w:t xml:space="preserve"> scheme,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nrow</w:t>
      </w:r>
      <w:r>
        <w:rPr>
          <w:rStyle w:val="NormalTok"/>
        </w:rPr>
        <w:t xml:space="preserve">(d)) </w:t>
      </w:r>
      <w:r>
        <w:rPr>
          <w:rStyle w:val="FunctionTok"/>
        </w:rPr>
        <w:t xml:space="preserve">return</w:t>
      </w:r>
      <w:r>
        <w:rPr>
          <w:rStyle w:val="NormalTok"/>
        </w:rPr>
        <w:t xml:space="preserve">(</w:t>
      </w:r>
      <w:r>
        <w:rPr>
          <w:rStyle w:val="FunctionTok"/>
        </w:rPr>
        <w:t xml:space="preserve">c</w:t>
      </w:r>
      <w:r>
        <w:rPr>
          <w:rStyle w:val="NormalTok"/>
        </w:rPr>
        <w:t xml:space="preserve">(</w:t>
      </w:r>
      <w:r>
        <w:rPr>
          <w:rStyle w:val="AttributeTok"/>
        </w:rPr>
        <w:t xml:space="preserve">n =</w:t>
      </w:r>
      <w:r>
        <w:rPr>
          <w:rStyle w:val="NormalTok"/>
        </w:rPr>
        <w:t xml:space="preserve"> </w:t>
      </w:r>
      <w:r>
        <w:rPr>
          <w:rStyle w:val="DecValTok"/>
        </w:rPr>
        <w:t xml:space="preserve">0</w:t>
      </w:r>
      <w:r>
        <w:rPr>
          <w:rStyle w:val="NormalTok"/>
        </w:rPr>
        <w:t xml:space="preserve">, </w:t>
      </w:r>
      <w:r>
        <w:rPr>
          <w:rStyle w:val="AttributeTok"/>
        </w:rPr>
        <w:t xml:space="preserve">sig =</w:t>
      </w:r>
      <w:r>
        <w:rPr>
          <w:rStyle w:val="NormalTok"/>
        </w:rPr>
        <w:t xml:space="preserve"> </w:t>
      </w:r>
      <w:r>
        <w:rPr>
          <w:rStyle w:val="DecValTok"/>
        </w:rPr>
        <w:t xml:space="preserve">0</w:t>
      </w:r>
      <w:r>
        <w:rPr>
          <w:rStyle w:val="NormalTok"/>
        </w:rPr>
        <w:t xml:space="preserve">, </w:t>
      </w:r>
      <w:r>
        <w:rPr>
          <w:rStyle w:val="AttributeTok"/>
        </w:rPr>
        <w:t xml:space="preserve">rate =</w:t>
      </w:r>
      <w:r>
        <w:rPr>
          <w:rStyle w:val="NormalTok"/>
        </w:rPr>
        <w:t xml:space="preserve"> </w:t>
      </w:r>
      <w:r>
        <w:rPr>
          <w:rStyle w:val="ConstantTok"/>
        </w:rPr>
        <w:t xml:space="preserve">NA_real_</w:t>
      </w:r>
      <w:r>
        <w:rPr>
          <w:rStyle w:val="NormalTok"/>
        </w:rPr>
        <w:t xml:space="preserve">, </w:t>
      </w:r>
      <w:r>
        <w:rPr>
          <w:rStyle w:val="AttributeTok"/>
        </w:rPr>
        <w:t xml:space="preserve">med =</w:t>
      </w:r>
      <w:r>
        <w:rPr>
          <w:rStyle w:val="NormalTok"/>
        </w:rPr>
        <w:t xml:space="preserve"> </w:t>
      </w:r>
      <w:r>
        <w:rPr>
          <w:rStyle w:val="ConstantTok"/>
        </w:rPr>
        <w:t xml:space="preserve">NA_real_</w:t>
      </w:r>
      <w:r>
        <w:rPr>
          <w:rStyle w:val="NormalTok"/>
        </w:rPr>
        <w:t xml:space="preserve">))</w:t>
      </w:r>
      <w:r>
        <w:br/>
      </w:r>
      <w:r>
        <w:rPr>
          <w:rStyle w:val="NormalTok"/>
        </w:rPr>
        <w:t xml:space="preserve">  sig </w:t>
      </w:r>
      <w:r>
        <w:rPr>
          <w:rStyle w:val="OtherTok"/>
        </w:rPr>
        <w:t xml:space="preserve">&lt;-</w:t>
      </w:r>
      <w:r>
        <w:rPr>
          <w:rStyle w:val="NormalTok"/>
        </w:rPr>
        <w:t xml:space="preserve"> </w:t>
      </w:r>
      <w:r>
        <w:rPr>
          <w:rStyle w:val="FunctionTok"/>
        </w:rPr>
        <w:t xml:space="preserve">sum</w:t>
      </w:r>
      <w:r>
        <w:rPr>
          <w:rStyle w:val="NormalTok"/>
        </w:rPr>
        <w:t xml:space="preserve">(d</w:t>
      </w:r>
      <w:r>
        <w:rPr>
          <w:rStyle w:val="SpecialCharTok"/>
        </w:rPr>
        <w:t xml:space="preserve">$</w:t>
      </w:r>
      <w:r>
        <w:rPr>
          <w:rStyle w:val="NormalTok"/>
        </w:rPr>
        <w:t xml:space="preserve">q </w:t>
      </w:r>
      <w:r>
        <w:rPr>
          <w:rStyle w:val="SpecialCharTok"/>
        </w:rPr>
        <w:t xml:space="preserve">&lt;</w:t>
      </w:r>
      <w:r>
        <w:rPr>
          <w:rStyle w:val="NormalTok"/>
        </w:rPr>
        <w:t xml:space="preserve"> </w:t>
      </w:r>
      <w:r>
        <w:rPr>
          <w:rStyle w:val="FloatTok"/>
        </w:rPr>
        <w:t xml:space="preserve">0.05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AttributeTok"/>
        </w:rPr>
        <w:t xml:space="preserve">n =</w:t>
      </w:r>
      <w:r>
        <w:rPr>
          <w:rStyle w:val="NormalTok"/>
        </w:rPr>
        <w:t xml:space="preserve"> </w:t>
      </w:r>
      <w:r>
        <w:rPr>
          <w:rStyle w:val="FunctionTok"/>
        </w:rPr>
        <w:t xml:space="preserve">nrow</w:t>
      </w:r>
      <w:r>
        <w:rPr>
          <w:rStyle w:val="NormalTok"/>
        </w:rPr>
        <w:t xml:space="preserve">(d), </w:t>
      </w:r>
      <w:r>
        <w:rPr>
          <w:rStyle w:val="AttributeTok"/>
        </w:rPr>
        <w:t xml:space="preserve">sig =</w:t>
      </w:r>
      <w:r>
        <w:rPr>
          <w:rStyle w:val="NormalTok"/>
        </w:rPr>
        <w:t xml:space="preserve"> sig, </w:t>
      </w:r>
      <w:r>
        <w:rPr>
          <w:rStyle w:val="AttributeTok"/>
        </w:rPr>
        <w:t xml:space="preserve">rate =</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sig </w:t>
      </w:r>
      <w:r>
        <w:rPr>
          <w:rStyle w:val="SpecialCharTok"/>
        </w:rPr>
        <w:t xml:space="preserve">/</w:t>
      </w:r>
      <w:r>
        <w:rPr>
          <w:rStyle w:val="NormalTok"/>
        </w:rPr>
        <w:t xml:space="preserve"> </w:t>
      </w:r>
      <w:r>
        <w:rPr>
          <w:rStyle w:val="FunctionTok"/>
        </w:rPr>
        <w:t xml:space="preserve">nrow</w:t>
      </w:r>
      <w:r>
        <w:rPr>
          <w:rStyle w:val="NormalTok"/>
        </w:rPr>
        <w:t xml:space="preserve">(d),</w:t>
      </w:r>
      <w:r>
        <w:br/>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(d</w:t>
      </w:r>
      <w:r>
        <w:rPr>
          <w:rStyle w:val="SpecialCharTok"/>
        </w:rPr>
        <w:t xml:space="preserve">$</w:t>
      </w:r>
      <w:r>
        <w:rPr>
          <w:rStyle w:val="NormalTok"/>
        </w:rPr>
        <w:t xml:space="preserve">difference,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r>
        <w:br/>
      </w:r>
      <w:r>
        <w:rPr>
          <w:rStyle w:val="NormalTok"/>
        </w:rPr>
        <w:t xml:space="preserve">ver_label </w:t>
      </w:r>
      <w:r>
        <w:rPr>
          <w:rStyle w:val="OtherTok"/>
        </w:rPr>
        <w:t xml:space="preserve">&lt;-</w:t>
      </w:r>
      <w:r>
        <w:rPr>
          <w:rStyle w:val="NormalTok"/>
        </w:rPr>
        <w:t xml:space="preserve"> CONTRASTS[[</w:t>
      </w:r>
      <w:r>
        <w:rPr>
          <w:rStyle w:val="DecValTok"/>
        </w:rPr>
        <w:t xml:space="preserve">1</w:t>
      </w:r>
      <w:r>
        <w:rPr>
          <w:rStyle w:val="NormalTok"/>
        </w:rPr>
        <w:t xml:space="preserve">]][</w:t>
      </w:r>
      <w:r>
        <w:rPr>
          <w:rStyle w:val="DecValTok"/>
        </w:rPr>
        <w:t xml:space="preserve">3</w:t>
      </w:r>
      <w:r>
        <w:rPr>
          <w:rStyle w:val="NormalTok"/>
        </w:rPr>
        <w:t xml:space="preserve">]</w:t>
      </w:r>
      <w:r>
        <w:br/>
      </w:r>
      <w:r>
        <w:rPr>
          <w:rStyle w:val="NormalTok"/>
        </w:rPr>
        <w:t xml:space="preserve">inp_label </w:t>
      </w:r>
      <w:r>
        <w:rPr>
          <w:rStyle w:val="OtherTok"/>
        </w:rPr>
        <w:t xml:space="preserve">&lt;-</w:t>
      </w:r>
      <w:r>
        <w:rPr>
          <w:rStyle w:val="NormalTok"/>
        </w:rPr>
        <w:t xml:space="preserve"> CONTRASTS[[</w:t>
      </w:r>
      <w:r>
        <w:rPr>
          <w:rStyle w:val="DecValTok"/>
        </w:rPr>
        <w:t xml:space="preserve">2</w:t>
      </w:r>
      <w:r>
        <w:rPr>
          <w:rStyle w:val="NormalTok"/>
        </w:rPr>
        <w:t xml:space="preserve">]][</w:t>
      </w:r>
      <w:r>
        <w:rPr>
          <w:rStyle w:val="DecValTok"/>
        </w:rPr>
        <w:t xml:space="preserve">3</w:t>
      </w:r>
      <w:r>
        <w:rPr>
          <w:rStyle w:val="NormalTok"/>
        </w:rPr>
        <w:t xml:space="preserve">]</w:t>
      </w:r>
      <w:r>
        <w:br/>
      </w:r>
      <w:r>
        <w:rPr>
          <w:rStyle w:val="NormalTok"/>
        </w:rPr>
        <w:t xml:space="preserve">mig_label </w:t>
      </w:r>
      <w:r>
        <w:rPr>
          <w:rStyle w:val="OtherTok"/>
        </w:rPr>
        <w:t xml:space="preserve">&lt;-</w:t>
      </w:r>
      <w:r>
        <w:rPr>
          <w:rStyle w:val="NormalTok"/>
        </w:rPr>
        <w:t xml:space="preserve"> CONTRASTS[[</w:t>
      </w:r>
      <w:r>
        <w:rPr>
          <w:rStyle w:val="DecValTok"/>
        </w:rPr>
        <w:t xml:space="preserve">3</w:t>
      </w:r>
      <w:r>
        <w:rPr>
          <w:rStyle w:val="NormalTok"/>
        </w:rPr>
        <w:t xml:space="preserve">]][</w:t>
      </w:r>
      <w:r>
        <w:rPr>
          <w:rStyle w:val="DecValTok"/>
        </w:rPr>
        <w:t xml:space="preserve">3</w:t>
      </w:r>
      <w:r>
        <w:rPr>
          <w:rStyle w:val="NormalTok"/>
        </w:rPr>
        <w:t xml:space="preserve">]</w:t>
      </w:r>
      <w:r>
        <w:br/>
      </w:r>
      <w:r>
        <w:rPr>
          <w:rStyle w:val="NormalTok"/>
        </w:rPr>
        <w:t xml:space="preserve">sc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StringTok"/>
        </w:rPr>
        <w:t xml:space="preserve">`</w:t>
      </w:r>
      <w:r>
        <w:rPr>
          <w:rStyle w:val="AttributeTok"/>
        </w:rPr>
        <w:t xml:space="preserve">version, absolute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score</w:t>
      </w:r>
      <w:r>
        <w:rPr>
          <w:rStyle w:val="NormalTok"/>
        </w:rPr>
        <w:t xml:space="preserve">(ver_label, </w:t>
      </w:r>
      <w:r>
        <w:rPr>
          <w:rStyle w:val="StringTok"/>
        </w:rPr>
        <w:t xml:space="preserve">"absolute"</w:t>
      </w:r>
      <w:r>
        <w:rPr>
          <w:rStyle w:val="NormalTok"/>
        </w:rPr>
        <w:t xml:space="preserve">),</w:t>
      </w:r>
      <w:r>
        <w:br/>
      </w:r>
      <w:r>
        <w:rPr>
          <w:rStyle w:val="NormalTok"/>
        </w:rPr>
        <w:t xml:space="preserve">  </w:t>
      </w:r>
      <w:r>
        <w:rPr>
          <w:rStyle w:val="StringTok"/>
        </w:rPr>
        <w:t xml:space="preserve">`</w:t>
      </w:r>
      <w:r>
        <w:rPr>
          <w:rStyle w:val="AttributeTok"/>
        </w:rPr>
        <w:t xml:space="preserve">version, relative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score</w:t>
      </w:r>
      <w:r>
        <w:rPr>
          <w:rStyle w:val="NormalTok"/>
        </w:rPr>
        <w:t xml:space="preserve">(ver_label, </w:t>
      </w:r>
      <w:r>
        <w:rPr>
          <w:rStyle w:val="StringTok"/>
        </w:rPr>
        <w:t xml:space="preserve">"relative"</w:t>
      </w:r>
      <w:r>
        <w:rPr>
          <w:rStyle w:val="NormalTok"/>
        </w:rPr>
        <w:t xml:space="preserve">),</w:t>
      </w:r>
      <w:r>
        <w:br/>
      </w:r>
      <w:r>
        <w:rPr>
          <w:rStyle w:val="NormalTok"/>
        </w:rPr>
        <w:t xml:space="preserve">  </w:t>
      </w:r>
      <w:r>
        <w:rPr>
          <w:rStyle w:val="StringTok"/>
        </w:rPr>
        <w:t xml:space="preserve">`</w:t>
      </w:r>
      <w:r>
        <w:rPr>
          <w:rStyle w:val="AttributeTok"/>
        </w:rPr>
        <w:t xml:space="preserve">input, absolute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score</w:t>
      </w:r>
      <w:r>
        <w:rPr>
          <w:rStyle w:val="NormalTok"/>
        </w:rPr>
        <w:t xml:space="preserve">(inp_label, </w:t>
      </w:r>
      <w:r>
        <w:rPr>
          <w:rStyle w:val="StringTok"/>
        </w:rPr>
        <w:t xml:space="preserve">"absolute"</w:t>
      </w:r>
      <w:r>
        <w:rPr>
          <w:rStyle w:val="NormalTok"/>
        </w:rPr>
        <w:t xml:space="preserve">),</w:t>
      </w:r>
      <w:r>
        <w:br/>
      </w:r>
      <w:r>
        <w:rPr>
          <w:rStyle w:val="NormalTok"/>
        </w:rPr>
        <w:t xml:space="preserve">  </w:t>
      </w:r>
      <w:r>
        <w:rPr>
          <w:rStyle w:val="StringTok"/>
        </w:rPr>
        <w:t xml:space="preserve">`</w:t>
      </w:r>
      <w:r>
        <w:rPr>
          <w:rStyle w:val="AttributeTok"/>
        </w:rPr>
        <w:t xml:space="preserve">input, relative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score</w:t>
      </w:r>
      <w:r>
        <w:rPr>
          <w:rStyle w:val="NormalTok"/>
        </w:rPr>
        <w:t xml:space="preserve">(inp_label, </w:t>
      </w:r>
      <w:r>
        <w:rPr>
          <w:rStyle w:val="StringTok"/>
        </w:rPr>
        <w:t xml:space="preserve">"relative"</w:t>
      </w:r>
      <w:r>
        <w:rPr>
          <w:rStyle w:val="NormalTok"/>
        </w:rPr>
        <w:t xml:space="preserve">),</w:t>
      </w:r>
      <w:r>
        <w:br/>
      </w:r>
      <w:r>
        <w:rPr>
          <w:rStyle w:val="NormalTok"/>
        </w:rPr>
        <w:t xml:space="preserve">  </w:t>
      </w:r>
      <w:r>
        <w:rPr>
          <w:rStyle w:val="StringTok"/>
        </w:rPr>
        <w:t xml:space="preserve">`</w:t>
      </w:r>
      <w:r>
        <w:rPr>
          <w:rStyle w:val="AttributeTok"/>
        </w:rPr>
        <w:t xml:space="preserve">migration, absolute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score</w:t>
      </w:r>
      <w:r>
        <w:rPr>
          <w:rStyle w:val="NormalTok"/>
        </w:rPr>
        <w:t xml:space="preserve">(mig_label, </w:t>
      </w:r>
      <w:r>
        <w:rPr>
          <w:rStyle w:val="StringTok"/>
        </w:rPr>
        <w:t xml:space="preserve">"absolute"</w:t>
      </w:r>
      <w:r>
        <w:rPr>
          <w:rStyle w:val="NormalTok"/>
        </w:rPr>
        <w:t xml:space="preserve">),</w:t>
      </w:r>
      <w:r>
        <w:br/>
      </w:r>
      <w:r>
        <w:rPr>
          <w:rStyle w:val="NormalTok"/>
        </w:rPr>
        <w:t xml:space="preserve">  </w:t>
      </w:r>
      <w:r>
        <w:rPr>
          <w:rStyle w:val="StringTok"/>
        </w:rPr>
        <w:t xml:space="preserve">`</w:t>
      </w:r>
      <w:r>
        <w:rPr>
          <w:rStyle w:val="AttributeTok"/>
        </w:rPr>
        <w:t xml:space="preserve">migration, relative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score</w:t>
      </w:r>
      <w:r>
        <w:rPr>
          <w:rStyle w:val="NormalTok"/>
        </w:rPr>
        <w:t xml:space="preserve">(mig_label, </w:t>
      </w:r>
      <w:r>
        <w:rPr>
          <w:rStyle w:val="StringTok"/>
        </w:rPr>
        <w:t xml:space="preserve">"relative"</w:t>
      </w:r>
      <w:r>
        <w:rPr>
          <w:rStyle w:val="NormalTok"/>
        </w:rPr>
        <w:t xml:space="preserve">))</w:t>
      </w:r>
      <w:r>
        <w:br/>
      </w:r>
      <w:r>
        <w:rPr>
          <w:rStyle w:val="NormalTok"/>
        </w:rPr>
        <w:t xml:space="preserve">sc </w:t>
      </w:r>
      <w:r>
        <w:rPr>
          <w:rStyle w:val="OtherTok"/>
        </w:rPr>
        <w:t xml:space="preserve">&lt;-</w:t>
      </w:r>
      <w:r>
        <w:rPr>
          <w:rStyle w:val="NormalTok"/>
        </w:rPr>
        <w:t xml:space="preserve"> </w:t>
      </w:r>
      <w:r>
        <w:rPr>
          <w:rStyle w:val="FunctionTok"/>
        </w:rPr>
        <w:t xml:space="preserve">as.data.frame</w:t>
      </w:r>
      <w:r>
        <w:rPr>
          <w:rStyle w:val="NormalTok"/>
        </w:rPr>
        <w:t xml:space="preserve">(sc)</w:t>
      </w:r>
      <w:r>
        <w:br/>
      </w:r>
      <w:r>
        <w:rPr>
          <w:rStyle w:val="FunctionTok"/>
        </w:rPr>
        <w:t xml:space="preserve">write.csv</w:t>
      </w:r>
      <w:r>
        <w:rPr>
          <w:rStyle w:val="NormalTok"/>
        </w:rPr>
        <w:t xml:space="preserve">(sc, </w:t>
      </w:r>
      <w:r>
        <w:rPr>
          <w:rStyle w:val="FunctionTok"/>
        </w:rPr>
        <w:t xml:space="preserve">file.path</w:t>
      </w:r>
      <w:r>
        <w:rPr>
          <w:rStyle w:val="NormalTok"/>
        </w:rPr>
        <w:t xml:space="preserve">(outputs, </w:t>
      </w:r>
      <w:r>
        <w:rPr>
          <w:rStyle w:val="StringTok"/>
        </w:rPr>
        <w:t xml:space="preserve">"hypothesis-scoring.csv"</w:t>
      </w:r>
      <w:r>
        <w:rPr>
          <w:rStyle w:val="NormalTok"/>
        </w:rPr>
        <w:t xml:space="preserve">))</w:t>
      </w:r>
      <w:r>
        <w:br/>
      </w:r>
      <w:r>
        <w:br/>
      </w:r>
      <w:r>
        <w:rPr>
          <w:rStyle w:val="CommentTok"/>
        </w:rPr>
        <w:t xml:space="preserve"># The resolution of the difference test, so that a null is readable. The half</w:t>
      </w:r>
      <w:r>
        <w:br/>
      </w:r>
      <w:r>
        <w:rPr>
          <w:rStyle w:val="CommentTok"/>
        </w:rPr>
        <w:t xml:space="preserve"># width of the bootstrap interval is the smallest difference this record could</w:t>
      </w:r>
      <w:r>
        <w:br/>
      </w:r>
      <w:r>
        <w:rPr>
          <w:rStyle w:val="CommentTok"/>
        </w:rPr>
        <w:t xml:space="preserve"># have separated from zero at each station and metric.</w:t>
      </w:r>
      <w:r>
        <w:br/>
      </w:r>
      <w:r>
        <w:rPr>
          <w:rStyle w:val="NormalTok"/>
        </w:rPr>
        <w:t xml:space="preserve">sdiff</w:t>
      </w:r>
      <w:r>
        <w:rPr>
          <w:rStyle w:val="SpecialCharTok"/>
        </w:rPr>
        <w:t xml:space="preserve">$</w:t>
      </w:r>
      <w:r>
        <w:rPr>
          <w:rStyle w:val="NormalTok"/>
        </w:rPr>
        <w:t xml:space="preserve">halfwidth </w:t>
      </w:r>
      <w:r>
        <w:rPr>
          <w:rStyle w:val="OtherTok"/>
        </w:rPr>
        <w:t xml:space="preserve">&lt;-</w:t>
      </w:r>
      <w:r>
        <w:rPr>
          <w:rStyle w:val="NormalTok"/>
        </w:rPr>
        <w:t xml:space="preserve"> (sdiff</w:t>
      </w:r>
      <w:r>
        <w:rPr>
          <w:rStyle w:val="SpecialCharTok"/>
        </w:rPr>
        <w:t xml:space="preserve">$</w:t>
      </w:r>
      <w:r>
        <w:rPr>
          <w:rStyle w:val="NormalTok"/>
        </w:rPr>
        <w:t xml:space="preserve">upper </w:t>
      </w:r>
      <w:r>
        <w:rPr>
          <w:rStyle w:val="SpecialCharTok"/>
        </w:rPr>
        <w:t xml:space="preserve">-</w:t>
      </w:r>
      <w:r>
        <w:rPr>
          <w:rStyle w:val="NormalTok"/>
        </w:rPr>
        <w:t xml:space="preserve"> sdiff</w:t>
      </w:r>
      <w:r>
        <w:rPr>
          <w:rStyle w:val="SpecialCharTok"/>
        </w:rPr>
        <w:t xml:space="preserve">$</w:t>
      </w:r>
      <w:r>
        <w:rPr>
          <w:rStyle w:val="NormalTok"/>
        </w:rPr>
        <w:t xml:space="preserve">lower) </w:t>
      </w:r>
      <w:r>
        <w:rPr>
          <w:rStyle w:val="SpecialCharTok"/>
        </w:rPr>
        <w:t xml:space="preserve">/</w:t>
      </w:r>
      <w:r>
        <w:rPr>
          <w:rStyle w:val="NormalTok"/>
        </w:rPr>
        <w:t xml:space="preserve"> </w:t>
      </w:r>
      <w:r>
        <w:rPr>
          <w:rStyle w:val="DecValTok"/>
        </w:rPr>
        <w:t xml:space="preserve">2</w:t>
      </w:r>
      <w:r>
        <w:br/>
      </w:r>
      <w:r>
        <w:rPr>
          <w:rStyle w:val="NormalTok"/>
        </w:rPr>
        <w:t xml:space="preserve">res_abs </w:t>
      </w:r>
      <w:r>
        <w:rPr>
          <w:rStyle w:val="OtherTok"/>
        </w:rPr>
        <w:t xml:space="preserve">&lt;-</w:t>
      </w:r>
      <w:r>
        <w:rPr>
          <w:rStyle w:val="NormalTok"/>
        </w:rPr>
        <w:t xml:space="preserve"> </w:t>
      </w:r>
      <w:r>
        <w:rPr>
          <w:rStyle w:val="FunctionTok"/>
        </w:rPr>
        <w:t xml:space="preserve">median</w:t>
      </w:r>
      <w:r>
        <w:rPr>
          <w:rStyle w:val="NormalTok"/>
        </w:rPr>
        <w:t xml:space="preserve">(sdiff</w:t>
      </w:r>
      <w:r>
        <w:rPr>
          <w:rStyle w:val="SpecialCharTok"/>
        </w:rPr>
        <w:t xml:space="preserve">$</w:t>
      </w:r>
      <w:r>
        <w:rPr>
          <w:rStyle w:val="NormalTok"/>
        </w:rPr>
        <w:t xml:space="preserve">halfwidth[sdiff</w:t>
      </w:r>
      <w:r>
        <w:rPr>
          <w:rStyle w:val="SpecialCharTok"/>
        </w:rPr>
        <w:t xml:space="preserve">$</w:t>
      </w:r>
      <w:r>
        <w:rPr>
          <w:rStyle w:val="NormalTok"/>
        </w:rPr>
        <w:t xml:space="preserve">scheme </w:t>
      </w:r>
      <w:r>
        <w:rPr>
          <w:rStyle w:val="SpecialCharTok"/>
        </w:rPr>
        <w:t xml:space="preserve">==</w:t>
      </w:r>
      <w:r>
        <w:rPr>
          <w:rStyle w:val="NormalTok"/>
        </w:rPr>
        <w:t xml:space="preserve"> </w:t>
      </w:r>
      <w:r>
        <w:rPr>
          <w:rStyle w:val="StringTok"/>
        </w:rPr>
        <w:t xml:space="preserve">"absolute"</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res_rel </w:t>
      </w:r>
      <w:r>
        <w:rPr>
          <w:rStyle w:val="OtherTok"/>
        </w:rPr>
        <w:t xml:space="preserve">&lt;-</w:t>
      </w:r>
      <w:r>
        <w:rPr>
          <w:rStyle w:val="NormalTok"/>
        </w:rPr>
        <w:t xml:space="preserve"> </w:t>
      </w:r>
      <w:r>
        <w:rPr>
          <w:rStyle w:val="FunctionTok"/>
        </w:rPr>
        <w:t xml:space="preserve">median</w:t>
      </w:r>
      <w:r>
        <w:rPr>
          <w:rStyle w:val="NormalTok"/>
        </w:rPr>
        <w:t xml:space="preserve">(sdiff</w:t>
      </w:r>
      <w:r>
        <w:rPr>
          <w:rStyle w:val="SpecialCharTok"/>
        </w:rPr>
        <w:t xml:space="preserve">$</w:t>
      </w:r>
      <w:r>
        <w:rPr>
          <w:rStyle w:val="NormalTok"/>
        </w:rPr>
        <w:t xml:space="preserve">halfwidth[sdiff</w:t>
      </w:r>
      <w:r>
        <w:rPr>
          <w:rStyle w:val="SpecialCharTok"/>
        </w:rPr>
        <w:t xml:space="preserve">$</w:t>
      </w:r>
      <w:r>
        <w:rPr>
          <w:rStyle w:val="NormalTok"/>
        </w:rPr>
        <w:t xml:space="preserve">scheme </w:t>
      </w:r>
      <w:r>
        <w:rPr>
          <w:rStyle w:val="SpecialCharTok"/>
        </w:rPr>
        <w:t xml:space="preserve">==</w:t>
      </w:r>
      <w:r>
        <w:rPr>
          <w:rStyle w:val="NormalTok"/>
        </w:rPr>
        <w:t xml:space="preserve"> </w:t>
      </w:r>
      <w:r>
        <w:rPr>
          <w:rStyle w:val="StringTok"/>
        </w:rPr>
        <w:t xml:space="preserve">"relative"</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n_any_sig </w:t>
      </w:r>
      <w:r>
        <w:rPr>
          <w:rStyle w:val="OtherTok"/>
        </w:rPr>
        <w:t xml:space="preserve">&lt;-</w:t>
      </w:r>
      <w:r>
        <w:rPr>
          <w:rStyle w:val="NormalTok"/>
        </w:rPr>
        <w:t xml:space="preserve"> </w:t>
      </w:r>
      <w:r>
        <w:rPr>
          <w:rStyle w:val="FunctionTok"/>
        </w:rPr>
        <w:t xml:space="preserve">sum</w:t>
      </w:r>
      <w:r>
        <w:rPr>
          <w:rStyle w:val="NormalTok"/>
        </w:rPr>
        <w:t xml:space="preserve">(sdiff</w:t>
      </w:r>
      <w:r>
        <w:rPr>
          <w:rStyle w:val="SpecialCharTok"/>
        </w:rPr>
        <w:t xml:space="preserve">$</w:t>
      </w:r>
      <w:r>
        <w:rPr>
          <w:rStyle w:val="NormalTok"/>
        </w:rPr>
        <w:t xml:space="preserve">q </w:t>
      </w:r>
      <w:r>
        <w:rPr>
          <w:rStyle w:val="SpecialCharTok"/>
        </w:rPr>
        <w:t xml:space="preserve">&lt;</w:t>
      </w:r>
      <w:r>
        <w:rPr>
          <w:rStyle w:val="NormalTok"/>
        </w:rPr>
        <w:t xml:space="preserve"> </w:t>
      </w:r>
      <w:r>
        <w:rPr>
          <w:rStyle w:val="FloatTok"/>
        </w:rPr>
        <w:t xml:space="preserve">0.05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NormalTok"/>
        </w:rPr>
        <w:t xml:space="preserve">verdict </w:t>
      </w:r>
      <w:r>
        <w:rPr>
          <w:rStyle w:val="OtherTok"/>
        </w:rPr>
        <w:t xml:space="preserve">&lt;-</w:t>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is.finite</w:t>
      </w:r>
      <w:r>
        <w:rPr>
          <w:rStyle w:val="NormalTok"/>
        </w:rPr>
        <w:t xml:space="preserve">(sc[</w:t>
      </w:r>
      <w:r>
        <w:rPr>
          <w:rStyle w:val="StringTok"/>
        </w:rPr>
        <w:t xml:space="preserve">"migration, absolute"</w:t>
      </w:r>
      <w:r>
        <w:rPr>
          <w:rStyle w:val="NormalTok"/>
        </w:rPr>
        <w:t xml:space="preserve">, </w:t>
      </w:r>
      <w:r>
        <w:rPr>
          <w:rStyle w:val="StringTok"/>
        </w:rPr>
        <w:t xml:space="preserve">"rate"</w:t>
      </w:r>
      <w:r>
        <w:rPr>
          <w:rStyle w:val="NormalTok"/>
        </w:rPr>
        <w:t xml:space="preserve">])) {</w:t>
      </w:r>
      <w:r>
        <w:br/>
      </w:r>
      <w:r>
        <w:rPr>
          <w:rStyle w:val="NormalTok"/>
        </w:rPr>
        <w:t xml:space="preserve">  </w:t>
      </w:r>
      <w:r>
        <w:rPr>
          <w:rStyle w:val="StringTok"/>
        </w:rPr>
        <w:t xml:space="preserve">"could not be scored"</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(sc[</w:t>
      </w:r>
      <w:r>
        <w:rPr>
          <w:rStyle w:val="StringTok"/>
        </w:rPr>
        <w:t xml:space="preserve">"migration, absolute"</w:t>
      </w:r>
      <w:r>
        <w:rPr>
          <w:rStyle w:val="NormalTok"/>
        </w:rPr>
        <w:t xml:space="preserve">, </w:t>
      </w:r>
      <w:r>
        <w:rPr>
          <w:rStyle w:val="StringTok"/>
        </w:rPr>
        <w:t xml:space="preserve">"rate"</w:t>
      </w:r>
      <w:r>
        <w:rPr>
          <w:rStyle w:val="NormalTok"/>
        </w:rPr>
        <w:t xml:space="preserve">] </w:t>
      </w:r>
      <w:r>
        <w:rPr>
          <w:rStyle w:val="SpecialCharTok"/>
        </w:rPr>
        <w:t xml:space="preserve">&gt;</w:t>
      </w:r>
      <w:r>
        <w:rPr>
          <w:rStyle w:val="NormalTok"/>
        </w:rPr>
        <w:t xml:space="preserve"> sc[</w:t>
      </w:r>
      <w:r>
        <w:rPr>
          <w:rStyle w:val="StringTok"/>
        </w:rPr>
        <w:t xml:space="preserve">"migration, relative"</w:t>
      </w:r>
      <w:r>
        <w:rPr>
          <w:rStyle w:val="NormalTok"/>
        </w:rPr>
        <w:t xml:space="preserve">, </w:t>
      </w:r>
      <w:r>
        <w:rPr>
          <w:rStyle w:val="StringTok"/>
        </w:rPr>
        <w:t xml:space="preserve">"rate"</w:t>
      </w:r>
      <w:r>
        <w:rPr>
          <w:rStyle w:val="NormalTok"/>
        </w:rPr>
        <w:t xml:space="preserve">]) {</w:t>
      </w:r>
      <w:r>
        <w:br/>
      </w:r>
      <w:r>
        <w:rPr>
          <w:rStyle w:val="NormalTok"/>
        </w:rPr>
        <w:t xml:space="preserve">  </w:t>
      </w:r>
      <w:r>
        <w:rPr>
          <w:rStyle w:val="StringTok"/>
        </w:rPr>
        <w:t xml:space="preserve">"in the direction the mechanism predicts"</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(sc[</w:t>
      </w:r>
      <w:r>
        <w:rPr>
          <w:rStyle w:val="StringTok"/>
        </w:rPr>
        <w:t xml:space="preserve">"migration, absolute"</w:t>
      </w:r>
      <w:r>
        <w:rPr>
          <w:rStyle w:val="NormalTok"/>
        </w:rPr>
        <w:t xml:space="preserve">, </w:t>
      </w:r>
      <w:r>
        <w:rPr>
          <w:rStyle w:val="StringTok"/>
        </w:rPr>
        <w:t xml:space="preserve">"rate"</w:t>
      </w:r>
      <w:r>
        <w:rPr>
          <w:rStyle w:val="NormalTok"/>
        </w:rPr>
        <w:t xml:space="preserve">] </w:t>
      </w:r>
      <w:r>
        <w:rPr>
          <w:rStyle w:val="SpecialCharTok"/>
        </w:rPr>
        <w:t xml:space="preserve">&lt;</w:t>
      </w:r>
      <w:r>
        <w:rPr>
          <w:rStyle w:val="NormalTok"/>
        </w:rPr>
        <w:t xml:space="preserve"> sc[</w:t>
      </w:r>
      <w:r>
        <w:rPr>
          <w:rStyle w:val="StringTok"/>
        </w:rPr>
        <w:t xml:space="preserve">"migration, relative"</w:t>
      </w:r>
      <w:r>
        <w:rPr>
          <w:rStyle w:val="NormalTok"/>
        </w:rPr>
        <w:t xml:space="preserve">, </w:t>
      </w:r>
      <w:r>
        <w:rPr>
          <w:rStyle w:val="StringTok"/>
        </w:rPr>
        <w:t xml:space="preserve">"rate"</w:t>
      </w:r>
      <w:r>
        <w:rPr>
          <w:rStyle w:val="NormalTok"/>
        </w:rPr>
        <w:t xml:space="preserve">]) {</w:t>
      </w:r>
      <w:r>
        <w:br/>
      </w:r>
      <w:r>
        <w:rPr>
          <w:rStyle w:val="NormalTok"/>
        </w:rPr>
        <w:t xml:space="preserve">  </w:t>
      </w:r>
      <w:r>
        <w:rPr>
          <w:rStyle w:val="StringTok"/>
        </w:rPr>
        <w:t xml:space="preserve">"in the opposite direction to the one the mechanism predicts"</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StringTok"/>
        </w:rPr>
        <w:t xml:space="preserve">"with no difference between the two thresholding schemes"</w:t>
      </w:r>
      <w:r>
        <w:br/>
      </w:r>
      <w:r>
        <w:rPr>
          <w:rStyle w:val="NormalTok"/>
        </w:rPr>
        <w:t xml:space="preserve">}</w:t>
      </w:r>
    </w:p>
    <w:p>
      <w:pPr>
        <w:pStyle w:val="FirstParagraph"/>
      </w:pPr>
      <w:hyperlink w:anchor="tbl-slopediff">
        <w:r>
          <w:rPr>
            <w:rStyle w:val="Hyperlink"/>
          </w:rPr>
          <w:t xml:space="preserve">Table 9</w:t>
        </w:r>
      </w:hyperlink>
      <w:r>
        <w:t xml:space="preserve"> </w:t>
      </w:r>
      <w:r>
        <w:t xml:space="preserve">and</w:t>
      </w:r>
      <w:r>
        <w:t xml:space="preserve"> </w:t>
      </w:r>
      <w:hyperlink w:anchor="fig-slopediff">
        <w:r>
          <w:rPr>
            <w:rStyle w:val="Hyperlink"/>
          </w:rPr>
          <w:t xml:space="preserve">Figure 7</w:t>
        </w:r>
      </w:hyperlink>
      <w:r>
        <w:t xml:space="preserve"> </w:t>
      </w:r>
      <w:r>
        <w:t xml:space="preserve">decompose the difference. The prediction under test was that absolute-threshold counts would separate between series while relative-threshold counts would not, because the version change was expected to widen the tail without moving the level. Scored on the migration contrast, the one an agency faces, the absolute-threshold metrics gave a difference excluding zero at 0 per cent of station-metric combinations against 0 per cent for the relative-threshold metrics. That was with no difference between the two thresholding schemes.</w:t>
      </w:r>
    </w:p>
    <w:p>
      <w:pPr>
        <w:pStyle w:val="BodyText"/>
      </w:pPr>
      <w:r>
        <w:t xml:space="preserve">Where the rates were zero the statement is about resolution and not about the System. Across all 96 station, metric and contrast combinations, 0 gave a slope difference whose corrected interval excluded zero. The median half width of those intervals was 0.494 days per season for the absolute-threshold metrics and 0.327 for the relative ones, which over the 34 season window is 16.8 and 11.1 days respectively. A difference in trend smaller than that would not have been separated from zero here, and the level differences reported above were considerably larger than the trend differences, which is the substantive point, because the version change moved where the distribution sits far more than it moved how fast it is moving.</w:t>
      </w:r>
    </w:p>
    <w:p>
      <w:pPr>
        <w:pStyle w:val="BodyText"/>
      </w:pPr>
      <w:r>
        <w:t xml:space="preserve">Splitting the migration into its two halves, the version change alone gave 0 per cent of absolute-metric differences excluding zero and the input resolution change alone gave 0 per cent. The median differences are -0.044 and -0.038 per season respectively, against -0.092 for the two together, which is the additivity the design predicted if the two changes do not interact.</w:t>
      </w:r>
    </w:p>
    <w:bookmarkEnd w:id="74"/>
    <w:bookmarkStart w:id="76" w:name="summary-hour-sensitivity"/>
    <w:p>
      <w:pPr>
        <w:pStyle w:val="Heading2"/>
      </w:pPr>
      <w:r>
        <w:t xml:space="preserve">4.6 Summary Hour Sensitivity</w:t>
      </w:r>
    </w:p>
    <w:p>
      <w:pPr>
        <w:pStyle w:val="SourceCode"/>
      </w:pPr>
      <w:r>
        <w:rPr>
          <w:rStyle w:val="NormalTok"/>
        </w:rPr>
        <w:t xml:space="preserve">sens_cols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"n_ffmc_ge91"</w:t>
      </w:r>
      <w:r>
        <w:rPr>
          <w:rStyle w:val="NormalTok"/>
        </w:rPr>
        <w:t xml:space="preserve">, </w:t>
      </w:r>
      <w:r>
        <w:rPr>
          <w:rStyle w:val="StringTok"/>
        </w:rPr>
        <w:t xml:space="preserve">"n_ffmc_max_ge91"</w:t>
      </w:r>
      <w:r>
        <w:rPr>
          <w:rStyle w:val="NormalTok"/>
        </w:rPr>
        <w:t xml:space="preserve">, </w:t>
      </w:r>
      <w:r>
        <w:rPr>
          <w:rStyle w:val="StringTok"/>
        </w:rPr>
        <w:t xml:space="preserve">"n_fwi_ge19"</w:t>
      </w:r>
      <w:r>
        <w:rPr>
          <w:rStyle w:val="NormalTok"/>
        </w:rPr>
        <w:t xml:space="preserve">, </w:t>
      </w:r>
      <w:r>
        <w:rPr>
          <w:rStyle w:val="StringTok"/>
        </w:rPr>
        <w:t xml:space="preserve">"n_fwi_max_ge19"</w:t>
      </w:r>
      <w:r>
        <w:rPr>
          <w:rStyle w:val="NormalTok"/>
        </w:rPr>
        <w:t xml:space="preserve">)</w:t>
      </w:r>
      <w:r>
        <w:br/>
      </w:r>
      <w:r>
        <w:rPr>
          <w:rStyle w:val="NormalTok"/>
        </w:rPr>
        <w:t xml:space="preserve">have </w:t>
      </w:r>
      <w:r>
        <w:rPr>
          <w:rStyle w:val="OtherTok"/>
        </w:rPr>
        <w:t xml:space="preserve">&lt;-</w:t>
      </w:r>
      <w:r>
        <w:rPr>
          <w:rStyle w:val="NormalTok"/>
        </w:rPr>
        <w:t xml:space="preserve"> sens_cols </w:t>
      </w:r>
      <w:r>
        <w:rPr>
          <w:rStyle w:val="SpecialCharTok"/>
        </w:rPr>
        <w:t xml:space="preserve">%in%</w:t>
      </w:r>
      <w:r>
        <w:rPr>
          <w:rStyle w:val="NormalTok"/>
        </w:rPr>
        <w:t xml:space="preserve"> </w:t>
      </w:r>
      <w:r>
        <w:rPr>
          <w:rStyle w:val="FunctionTok"/>
        </w:rPr>
        <w:t xml:space="preserve">names</w:t>
      </w:r>
      <w:r>
        <w:rPr>
          <w:rStyle w:val="NormalTok"/>
        </w:rPr>
        <w:t xml:space="preserve">(metrics)</w:t>
      </w:r>
      <w:r>
        <w:br/>
      </w:r>
      <w:r>
        <w:rPr>
          <w:rStyle w:val="ControlFlowTok"/>
        </w:rPr>
        <w:t xml:space="preserve">if</w:t>
      </w:r>
      <w:r>
        <w:rPr>
          <w:rStyle w:val="NormalTok"/>
        </w:rPr>
        <w:t xml:space="preserve"> (</w:t>
      </w:r>
      <w:r>
        <w:rPr>
          <w:rStyle w:val="FunctionTok"/>
        </w:rPr>
        <w:t xml:space="preserve">all</w:t>
      </w:r>
      <w:r>
        <w:rPr>
          <w:rStyle w:val="NormalTok"/>
        </w:rPr>
        <w:t xml:space="preserve">(have)) {</w:t>
      </w:r>
      <w:r>
        <w:br/>
      </w:r>
      <w:r>
        <w:rPr>
          <w:rStyle w:val="NormalTok"/>
        </w:rPr>
        <w:t xml:space="preserve">  sens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w:t>
      </w:r>
      <w:r>
        <w:rPr>
          <w:rStyle w:val="FunctionTok"/>
        </w:rPr>
        <w:t xml:space="preserve">split</w:t>
      </w:r>
      <w:r>
        <w:rPr>
          <w:rStyle w:val="NormalTok"/>
        </w:rPr>
        <w:t xml:space="preserve">(metrics, metrics</w:t>
      </w:r>
      <w:r>
        <w:rPr>
          <w:rStyle w:val="SpecialCharTok"/>
        </w:rPr>
        <w:t xml:space="preserve">$</w:t>
      </w:r>
      <w:r>
        <w:rPr>
          <w:rStyle w:val="NormalTok"/>
        </w:rPr>
        <w:t xml:space="preserve">series), </w:t>
      </w:r>
      <w:r>
        <w:rPr>
          <w:rStyle w:val="ControlFlowTok"/>
        </w:rPr>
        <w:t xml:space="preserve">function</w:t>
      </w:r>
      <w:r>
        <w:rPr>
          <w:rStyle w:val="NormalTok"/>
        </w:rPr>
        <w:t xml:space="preserve">(d) </w:t>
      </w:r>
      <w:r>
        <w:rPr>
          <w:rStyle w:val="FunctionTok"/>
        </w:rPr>
        <w:t xml:space="preserve">data.frame</w:t>
      </w:r>
      <w:r>
        <w:rPr>
          <w:rStyle w:val="NormalTok"/>
        </w:rPr>
        <w:t xml:space="preserve">(</w:t>
      </w:r>
      <w:r>
        <w:br/>
      </w:r>
      <w:r>
        <w:rPr>
          <w:rStyle w:val="NormalTok"/>
        </w:rPr>
        <w:t xml:space="preserve">    </w:t>
      </w:r>
      <w:r>
        <w:rPr>
          <w:rStyle w:val="AttributeTok"/>
        </w:rPr>
        <w:t xml:space="preserve">Series =</w:t>
      </w:r>
      <w:r>
        <w:rPr>
          <w:rStyle w:val="NormalTok"/>
        </w:rPr>
        <w:t xml:space="preserve"> </w:t>
      </w:r>
      <w:r>
        <w:rPr>
          <w:rStyle w:val="FunctionTok"/>
        </w:rPr>
        <w:t xml:space="preserve">unname</w:t>
      </w:r>
      <w:r>
        <w:rPr>
          <w:rStyle w:val="NormalTok"/>
        </w:rPr>
        <w:t xml:space="preserve">(SERIES[d</w:t>
      </w:r>
      <w:r>
        <w:rPr>
          <w:rStyle w:val="SpecialCharTok"/>
        </w:rPr>
        <w:t xml:space="preserve">$</w:t>
      </w:r>
      <w:r>
        <w:rPr>
          <w:rStyle w:val="NormalTok"/>
        </w:rPr>
        <w:t xml:space="preserve">series[</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Days FFMC &gt;= 91, fixed hour</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(d</w:t>
      </w:r>
      <w:r>
        <w:rPr>
          <w:rStyle w:val="SpecialCharTok"/>
        </w:rPr>
        <w:t xml:space="preserve">$</w:t>
      </w:r>
      <w:r>
        <w:rPr>
          <w:rStyle w:val="NormalTok"/>
        </w:rPr>
        <w:t xml:space="preserve">n_ffmc_ge91,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Days FFMC &gt;= 91, daily maximum</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(d</w:t>
      </w:r>
      <w:r>
        <w:rPr>
          <w:rStyle w:val="SpecialCharTok"/>
        </w:rPr>
        <w:t xml:space="preserve">$</w:t>
      </w:r>
      <w:r>
        <w:rPr>
          <w:rStyle w:val="NormalTok"/>
        </w:rPr>
        <w:t xml:space="preserve">n_ffmc_max_ge91,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Days FWI &gt;= 19, fixed hour</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(d</w:t>
      </w:r>
      <w:r>
        <w:rPr>
          <w:rStyle w:val="SpecialCharTok"/>
        </w:rPr>
        <w:t xml:space="preserve">$</w:t>
      </w:r>
      <w:r>
        <w:rPr>
          <w:rStyle w:val="NormalTok"/>
        </w:rPr>
        <w:t xml:space="preserve">n_fwi_ge19,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w:t>
      </w:r>
      <w:r>
        <w:rPr>
          <w:rStyle w:val="AttributeTok"/>
        </w:rPr>
        <w:t xml:space="preserve">Days FWI &gt;= 19, daily maximum</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(d</w:t>
      </w:r>
      <w:r>
        <w:rPr>
          <w:rStyle w:val="SpecialCharTok"/>
        </w:rPr>
        <w:t xml:space="preserve">$</w:t>
      </w:r>
      <w:r>
        <w:rPr>
          <w:rStyle w:val="NormalTok"/>
        </w:rPr>
        <w:t xml:space="preserve">n_fwi_max_ge19,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rownames</w:t>
      </w:r>
      <w:r>
        <w:rPr>
          <w:rStyle w:val="NormalTok"/>
        </w:rPr>
        <w:t xml:space="preserve">(sens) </w:t>
      </w:r>
      <w:r>
        <w:rPr>
          <w:rStyle w:val="OtherTok"/>
        </w:rPr>
        <w:t xml:space="preserve">&lt;-</w:t>
      </w:r>
      <w:r>
        <w:rPr>
          <w:rStyle w:val="NormalTok"/>
        </w:rPr>
        <w:t xml:space="preserve"> </w:t>
      </w:r>
      <w:r>
        <w:rPr>
          <w:rStyle w:val="ConstantTok"/>
        </w:rPr>
        <w:t xml:space="preserve">NULL</w:t>
      </w:r>
      <w:r>
        <w:br/>
      </w:r>
      <w:r>
        <w:rPr>
          <w:rStyle w:val="NormalTok"/>
        </w:rPr>
        <w:t xml:space="preserve">  </w:t>
      </w:r>
      <w:r>
        <w:rPr>
          <w:rStyle w:val="FunctionTok"/>
        </w:rPr>
        <w:t xml:space="preserve">fmt_tbl</w:t>
      </w:r>
      <w:r>
        <w:rPr>
          <w:rStyle w:val="NormalTok"/>
        </w:rPr>
        <w:t xml:space="preserve">(sens)</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stop</w:t>
      </w:r>
      <w:r>
        <w:rPr>
          <w:rStyle w:val="NormalTok"/>
        </w:rPr>
        <w:t xml:space="preserve">(</w:t>
      </w:r>
      <w:r>
        <w:rPr>
          <w:rStyle w:val="StringTok"/>
        </w:rPr>
        <w:t xml:space="preserve">"seasonal-metrics.csv carries no daily maximum columns; re-run build_seasonal_metrics.py"</w:t>
      </w:r>
      <w:r>
        <w:rPr>
          <w:rStyle w:val="NormalTok"/>
        </w:rPr>
        <w:t xml:space="preserve">)</w:t>
      </w:r>
      <w:r>
        <w:br/>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75" w:name="tbl-sensitivity"/>
          <w:p>
            <w:pPr>
              <w:jc w:val="center"/>
            </w:pPr>
            <w:pPr>
              <w:jc w:val="start"/>
              <w:spacing w:before="200"/>
              <w:pStyle w:val="ImageCaption"/>
            </w:pPr>
            <w:r>
              <w:t xml:space="preserve">Table 10: Sensitivity of the absolute extreme-day counts to how an hourly series is reduced to a daily value. The fixed hour is 16:00 Local Standard Time, 17:00 local daylight time. The daily maximum takes the largest of the 24 hourly values, which must be at least as large and is reported only to bound the effect of the choice. FWI1987 produces one value per day and so appears once.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Series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Days FFMC &gt;= 91, fixed hour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Days FFMC &gt;= 91, daily maximum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Days FWI &gt;= 19, fixed hour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Days FWI &gt;= 19, daily maximum</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S1: FWI1987, 13:00 observation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57.2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78.1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S2: FWI2025, 13:00 observation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86.5</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S3: FWI2025, hourly observation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72.7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77.8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92.7</w:t>
                  </w:r>
                </w:p>
              </w:tc>
            </w:tr>
          </w:tbl>
          <w:bookmarkEnd w:id="75"/>
        </w:tc>
      </w:tr>
    </w:tbl>
    <w:p>
      <w:pPr>
        <w:pStyle w:val="BodyText"/>
      </w:pPr>
      <w:hyperlink w:anchor="tbl-sensitivity">
        <w:r>
          <w:rPr>
            <w:rStyle w:val="Hyperlink"/>
          </w:rPr>
          <w:t xml:space="preserve">Table 10</w:t>
        </w:r>
      </w:hyperlink>
      <w:r>
        <w:t xml:space="preserve"> </w:t>
      </w:r>
      <w:r>
        <w:t xml:space="preserve">bounds the effect of the summary rule. Taking the daily maximum of 24 hourly values instead of one fixed hour raised every count in the two FWI2025 series and could not lower any of them, which is why it was not the primary, since part of that rise is the order statistic and not the System.</w:t>
      </w:r>
    </w:p>
    <w:bookmarkEnd w:id="76"/>
    <w:bookmarkStart w:id="83" w:name="ignition-skill"/>
    <w:p>
      <w:pPr>
        <w:pStyle w:val="Heading2"/>
      </w:pPr>
      <w:r>
        <w:t xml:space="preserve">4.7 Ignition Skill</w:t>
      </w:r>
    </w:p>
    <w:p>
      <w:pPr>
        <w:pStyle w:val="SourceCode"/>
      </w:pPr>
      <w:r>
        <w:rPr>
          <w:rStyle w:val="NormalTok"/>
        </w:rPr>
        <w:t xml:space="preserve">mod_dat </w:t>
      </w:r>
      <w:r>
        <w:rPr>
          <w:rStyle w:val="OtherTok"/>
        </w:rPr>
        <w:t xml:space="preserve">&lt;-</w:t>
      </w:r>
      <w:r>
        <w:rPr>
          <w:rStyle w:val="NormalTok"/>
        </w:rPr>
        <w:t xml:space="preserve"> </w:t>
      </w:r>
      <w:r>
        <w:rPr>
          <w:rStyle w:val="FunctionTok"/>
        </w:rPr>
        <w:t xml:space="preserve">merge</w:t>
      </w:r>
      <w:r>
        <w:rPr>
          <w:rStyle w:val="NormalTok"/>
        </w:rPr>
        <w:t xml:space="preserve">(basin, ign_daily,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"date"</w:t>
      </w:r>
      <w:r>
        <w:rPr>
          <w:rStyle w:val="NormalTok"/>
        </w:rPr>
        <w:t xml:space="preserve">, </w:t>
      </w:r>
      <w:r>
        <w:rPr>
          <w:rStyle w:val="StringTok"/>
        </w:rPr>
        <w:t xml:space="preserve">"year"</w:t>
      </w:r>
      <w:r>
        <w:rPr>
          <w:rStyle w:val="NormalTok"/>
        </w:rPr>
        <w:t xml:space="preserve">, </w:t>
      </w:r>
      <w:r>
        <w:rPr>
          <w:rStyle w:val="StringTok"/>
        </w:rPr>
        <w:t xml:space="preserve">"doy"</w:t>
      </w:r>
      <w:r>
        <w:rPr>
          <w:rStyle w:val="NormalTok"/>
        </w:rPr>
        <w:t xml:space="preserve">))</w:t>
      </w:r>
      <w:r>
        <w:br/>
      </w:r>
      <w:r>
        <w:rPr>
          <w:rStyle w:val="NormalTok"/>
        </w:rPr>
        <w:t xml:space="preserve">mod_dat </w:t>
      </w:r>
      <w:r>
        <w:rPr>
          <w:rStyle w:val="OtherTok"/>
        </w:rPr>
        <w:t xml:space="preserve">&lt;-</w:t>
      </w:r>
      <w:r>
        <w:rPr>
          <w:rStyle w:val="NormalTok"/>
        </w:rPr>
        <w:t xml:space="preserve"> mod_dat[</w:t>
      </w:r>
      <w:r>
        <w:rPr>
          <w:rStyle w:val="FunctionTok"/>
        </w:rPr>
        <w:t xml:space="preserve">format</w:t>
      </w:r>
      <w:r>
        <w:rPr>
          <w:rStyle w:val="NormalTok"/>
        </w:rPr>
        <w:t xml:space="preserve">(mod_dat</w:t>
      </w:r>
      <w:r>
        <w:rPr>
          <w:rStyle w:val="SpecialCharTok"/>
        </w:rPr>
        <w:t xml:space="preserve">$</w:t>
      </w:r>
      <w:r>
        <w:rPr>
          <w:rStyle w:val="NormalTok"/>
        </w:rPr>
        <w:t xml:space="preserve">date, </w:t>
      </w:r>
      <w:r>
        <w:rPr>
          <w:rStyle w:val="StringTok"/>
        </w:rPr>
        <w:t xml:space="preserve">"%m"</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"05"</w:t>
      </w:r>
      <w:r>
        <w:rPr>
          <w:rStyle w:val="NormalTok"/>
        </w:rPr>
        <w:t xml:space="preserve">, </w:t>
      </w:r>
      <w:r>
        <w:rPr>
          <w:rStyle w:val="StringTok"/>
        </w:rPr>
        <w:t xml:space="preserve">"06"</w:t>
      </w:r>
      <w:r>
        <w:rPr>
          <w:rStyle w:val="NormalTok"/>
        </w:rPr>
        <w:t xml:space="preserve">, </w:t>
      </w:r>
      <w:r>
        <w:rPr>
          <w:rStyle w:val="StringTok"/>
        </w:rPr>
        <w:t xml:space="preserve">"07"</w:t>
      </w:r>
      <w:r>
        <w:rPr>
          <w:rStyle w:val="NormalTok"/>
        </w:rPr>
        <w:t xml:space="preserve">, </w:t>
      </w:r>
      <w:r>
        <w:rPr>
          <w:rStyle w:val="StringTok"/>
        </w:rPr>
        <w:t xml:space="preserve">"08"</w:t>
      </w:r>
      <w:r>
        <w:rPr>
          <w:rStyle w:val="NormalTok"/>
        </w:rPr>
        <w:t xml:space="preserve">, </w:t>
      </w:r>
      <w:r>
        <w:rPr>
          <w:rStyle w:val="StringTok"/>
        </w:rPr>
        <w:t xml:space="preserve">"09"</w:t>
      </w:r>
      <w:r>
        <w:rPr>
          <w:rStyle w:val="NormalTok"/>
        </w:rPr>
        <w:t xml:space="preserve">), ]</w:t>
      </w:r>
      <w:r>
        <w:br/>
      </w:r>
      <w:r>
        <w:br/>
      </w:r>
      <w:r>
        <w:rPr>
          <w:rStyle w:val="NormalTok"/>
        </w:rPr>
        <w:t xml:space="preserve">SKILL_RESPONSES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"n_lightning_all"</w:t>
      </w:r>
      <w:r>
        <w:rPr>
          <w:rStyle w:val="NormalTok"/>
        </w:rPr>
        <w:t xml:space="preserve">, </w:t>
      </w:r>
      <w:r>
        <w:rPr>
          <w:rStyle w:val="StringTok"/>
        </w:rPr>
        <w:t xml:space="preserve">"n_total_all"</w:t>
      </w:r>
      <w:r>
        <w:rPr>
          <w:rStyle w:val="NormalTok"/>
        </w:rPr>
        <w:t xml:space="preserve">)</w:t>
      </w:r>
      <w:r>
        <w:br/>
      </w:r>
      <w:r>
        <w:br/>
      </w:r>
      <w:r>
        <w:rPr>
          <w:rStyle w:val="NormalTok"/>
        </w:rPr>
        <w:t xml:space="preserve">RESPONSES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n_lightning_all =</w:t>
      </w:r>
      <w:r>
        <w:rPr>
          <w:rStyle w:val="NormalTok"/>
        </w:rPr>
        <w:t xml:space="preserve"> </w:t>
      </w:r>
      <w:r>
        <w:rPr>
          <w:rStyle w:val="StringTok"/>
        </w:rPr>
        <w:t xml:space="preserve">"Lightning, no size limit"</w:t>
      </w:r>
      <w:r>
        <w:rPr>
          <w:rStyle w:val="NormalTok"/>
        </w:rPr>
        <w:t xml:space="preserve">,</w:t>
      </w:r>
      <w:r>
        <w:br/>
      </w:r>
      <w:r>
        <w:rPr>
          <w:rStyle w:val="NormalTok"/>
        </w:rPr>
        <w:t xml:space="preserve">               </w:t>
      </w:r>
      <w:r>
        <w:rPr>
          <w:rStyle w:val="AttributeTok"/>
        </w:rPr>
        <w:t xml:space="preserve">n_person_all =</w:t>
      </w:r>
      <w:r>
        <w:rPr>
          <w:rStyle w:val="NormalTok"/>
        </w:rPr>
        <w:t xml:space="preserve"> </w:t>
      </w:r>
      <w:r>
        <w:rPr>
          <w:rStyle w:val="StringTok"/>
        </w:rPr>
        <w:t xml:space="preserve">"Person, no size limit"</w:t>
      </w:r>
      <w:r>
        <w:rPr>
          <w:rStyle w:val="NormalTok"/>
        </w:rPr>
        <w:t xml:space="preserve">,</w:t>
      </w:r>
      <w:r>
        <w:br/>
      </w:r>
      <w:r>
        <w:rPr>
          <w:rStyle w:val="NormalTok"/>
        </w:rPr>
        <w:t xml:space="preserve">               </w:t>
      </w:r>
      <w:r>
        <w:rPr>
          <w:rStyle w:val="AttributeTok"/>
        </w:rPr>
        <w:t xml:space="preserve">n_total_all =</w:t>
      </w:r>
      <w:r>
        <w:rPr>
          <w:rStyle w:val="NormalTok"/>
        </w:rPr>
        <w:t xml:space="preserve"> </w:t>
      </w:r>
      <w:r>
        <w:rPr>
          <w:rStyle w:val="StringTok"/>
        </w:rPr>
        <w:t xml:space="preserve">"All causes, no size limit"</w:t>
      </w:r>
      <w:r>
        <w:rPr>
          <w:rStyle w:val="NormalTok"/>
        </w:rPr>
        <w:t xml:space="preserve">,</w:t>
      </w:r>
      <w:r>
        <w:br/>
      </w:r>
      <w:r>
        <w:rPr>
          <w:rStyle w:val="NormalTok"/>
        </w:rPr>
        <w:t xml:space="preserve">               </w:t>
      </w:r>
      <w:r>
        <w:rPr>
          <w:rStyle w:val="AttributeTok"/>
        </w:rPr>
        <w:t xml:space="preserve">n_total_ge1ha =</w:t>
      </w:r>
      <w:r>
        <w:rPr>
          <w:rStyle w:val="NormalTok"/>
        </w:rPr>
        <w:t xml:space="preserve"> </w:t>
      </w:r>
      <w:r>
        <w:rPr>
          <w:rStyle w:val="StringTok"/>
        </w:rPr>
        <w:t xml:space="preserve">"All causes, at least 1 ha"</w:t>
      </w:r>
      <w:r>
        <w:rPr>
          <w:rStyle w:val="NormalTok"/>
        </w:rPr>
        <w:t xml:space="preserve">,</w:t>
      </w:r>
      <w:r>
        <w:br/>
      </w:r>
      <w:r>
        <w:rPr>
          <w:rStyle w:val="NormalTok"/>
        </w:rPr>
        <w:t xml:space="preserve">               </w:t>
      </w:r>
      <w:r>
        <w:rPr>
          <w:rStyle w:val="AttributeTok"/>
        </w:rPr>
        <w:t xml:space="preserve">n_total_ge4ha =</w:t>
      </w:r>
      <w:r>
        <w:rPr>
          <w:rStyle w:val="NormalTok"/>
        </w:rPr>
        <w:t xml:space="preserve"> </w:t>
      </w:r>
      <w:r>
        <w:rPr>
          <w:rStyle w:val="StringTok"/>
        </w:rPr>
        <w:t xml:space="preserve">"All causes, at least 4 ha"</w:t>
      </w:r>
      <w:r>
        <w:rPr>
          <w:rStyle w:val="NormalTok"/>
        </w:rPr>
        <w:t xml:space="preserve">)</w:t>
      </w:r>
      <w:r>
        <w:br/>
      </w:r>
      <w:r>
        <w:br/>
      </w:r>
      <w:r>
        <w:rPr>
          <w:rStyle w:val="NormalTok"/>
        </w:rPr>
        <w:t xml:space="preserve">ign_rows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ControlFlowTok"/>
        </w:rPr>
        <w:t xml:space="preserve">for</w:t>
      </w:r>
      <w:r>
        <w:rPr>
          <w:rStyle w:val="NormalTok"/>
        </w:rPr>
        <w:t xml:space="preserve"> (r </w:t>
      </w:r>
      <w:r>
        <w:rPr>
          <w:rStyle w:val="ControlFlowTok"/>
        </w:rPr>
        <w:t xml:space="preserve">in</w:t>
      </w:r>
      <w:r>
        <w:rPr>
          <w:rStyle w:val="NormalTok"/>
        </w:rPr>
        <w:t xml:space="preserve"> </w:t>
      </w:r>
      <w:r>
        <w:rPr>
          <w:rStyle w:val="FunctionTok"/>
        </w:rPr>
        <w:t xml:space="preserve">names</w:t>
      </w:r>
      <w:r>
        <w:rPr>
          <w:rStyle w:val="NormalTok"/>
        </w:rPr>
        <w:t xml:space="preserve">(RESPONSES)) {</w:t>
      </w:r>
      <w:r>
        <w:br/>
      </w:r>
      <w:r>
        <w:rPr>
          <w:rStyle w:val="NormalTok"/>
        </w:rPr>
        <w:t xml:space="preserve">  </w:t>
      </w:r>
      <w:r>
        <w:rPr>
          <w:rStyle w:val="ControlFlowTok"/>
        </w:rPr>
        <w:t xml:space="preserve">for</w:t>
      </w:r>
      <w:r>
        <w:rPr>
          <w:rStyle w:val="NormalTok"/>
        </w:rPr>
        <w:t xml:space="preserve"> (s </w:t>
      </w:r>
      <w:r>
        <w:rPr>
          <w:rStyle w:val="ControlFlowTok"/>
        </w:rPr>
        <w:t xml:space="preserve">in</w:t>
      </w:r>
      <w:r>
        <w:rPr>
          <w:rStyle w:val="NormalTok"/>
        </w:rPr>
        <w:t xml:space="preserve"> </w:t>
      </w:r>
      <w:r>
        <w:rPr>
          <w:rStyle w:val="FunctionTok"/>
        </w:rPr>
        <w:t xml:space="preserve">names</w:t>
      </w:r>
      <w:r>
        <w:rPr>
          <w:rStyle w:val="NormalTok"/>
        </w:rPr>
        <w:t xml:space="preserve">(SERIES)) {</w:t>
      </w:r>
      <w:r>
        <w:br/>
      </w:r>
      <w:r>
        <w:rPr>
          <w:rStyle w:val="NormalTok"/>
        </w:rPr>
        <w:t xml:space="preserve">    dcol </w:t>
      </w:r>
      <w:r>
        <w:rPr>
          <w:rStyle w:val="OtherTok"/>
        </w:rPr>
        <w:t xml:space="preserve">&lt;-</w:t>
      </w:r>
      <w:r>
        <w:rPr>
          <w:rStyle w:val="NormalTok"/>
        </w:rPr>
        <w:t xml:space="preserve"> </w:t>
      </w:r>
      <w:r>
        <w:rPr>
          <w:rStyle w:val="FunctionTok"/>
        </w:rPr>
        <w:t xml:space="preserve">paste0</w:t>
      </w:r>
      <w:r>
        <w:rPr>
          <w:rStyle w:val="NormalTok"/>
        </w:rPr>
        <w:t xml:space="preserve">(s, </w:t>
      </w:r>
      <w:r>
        <w:rPr>
          <w:rStyle w:val="StringTok"/>
        </w:rPr>
        <w:t xml:space="preserve">"_fwi"</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dcol </w:t>
      </w:r>
      <w:r>
        <w:rPr>
          <w:rStyle w:val="SpecialCharTok"/>
        </w:rPr>
        <w:t xml:space="preserve">%in%</w:t>
      </w:r>
      <w:r>
        <w:rPr>
          <w:rStyle w:val="NormalTok"/>
        </w:rPr>
        <w:t xml:space="preserve"> </w:t>
      </w:r>
      <w:r>
        <w:rPr>
          <w:rStyle w:val="FunctionTok"/>
        </w:rPr>
        <w:t xml:space="preserve">names</w:t>
      </w:r>
      <w:r>
        <w:rPr>
          <w:rStyle w:val="NormalTok"/>
        </w:rPr>
        <w:t xml:space="preserve">(mod_dat)) </w:t>
      </w:r>
      <w:r>
        <w:rPr>
          <w:rStyle w:val="ControlFlowTok"/>
        </w:rPr>
        <w:t xml:space="preserve">next</w:t>
      </w:r>
      <w:r>
        <w:br/>
      </w:r>
      <w:r>
        <w:rPr>
          <w:rStyle w:val="NormalTok"/>
        </w:rPr>
        <w:t xml:space="preserve">    m </w:t>
      </w:r>
      <w:r>
        <w:rPr>
          <w:rStyle w:val="OtherTok"/>
        </w:rPr>
        <w:t xml:space="preserve">&lt;-</w:t>
      </w:r>
      <w:r>
        <w:rPr>
          <w:rStyle w:val="NormalTok"/>
        </w:rPr>
        <w:t xml:space="preserve"> </w:t>
      </w:r>
      <w:r>
        <w:rPr>
          <w:rStyle w:val="FunctionTok"/>
        </w:rPr>
        <w:t xml:space="preserve">tryCatch</w:t>
      </w:r>
      <w:r>
        <w:rPr>
          <w:rStyle w:val="NormalTok"/>
        </w:rPr>
        <w:t xml:space="preserve">(</w:t>
      </w:r>
      <w:r>
        <w:rPr>
          <w:rStyle w:val="FunctionTok"/>
        </w:rPr>
        <w:t xml:space="preserve">ignition_model</w:t>
      </w:r>
      <w:r>
        <w:rPr>
          <w:rStyle w:val="NormalTok"/>
        </w:rPr>
        <w:t xml:space="preserve">(mod_dat, r, dcol, </w:t>
      </w:r>
      <w:r>
        <w:rPr>
          <w:rStyle w:val="AttributeTok"/>
        </w:rPr>
        <w:t xml:space="preserve">extra =</w:t>
      </w:r>
      <w:r>
        <w:rPr>
          <w:rStyle w:val="NormalTok"/>
        </w:rPr>
        <w:t xml:space="preserve"> </w:t>
      </w:r>
      <w:r>
        <w:rPr>
          <w:rStyle w:val="StringTok"/>
        </w:rPr>
        <w:t xml:space="preserve">"n_stations"</w:t>
      </w:r>
      <w:r>
        <w:rPr>
          <w:rStyle w:val="NormalTok"/>
        </w:rPr>
        <w:t xml:space="preserve">),</w:t>
      </w:r>
      <w:r>
        <w:br/>
      </w:r>
      <w:r>
        <w:rPr>
          <w:rStyle w:val="NormalTok"/>
        </w:rPr>
        <w:t xml:space="preserve">                  </w:t>
      </w:r>
      <w:r>
        <w:rPr>
          <w:rStyle w:val="AttributeTok"/>
        </w:rPr>
        <w:t xml:space="preserve">error =</w:t>
      </w:r>
      <w:r>
        <w:rPr>
          <w:rStyle w:val="NormalTok"/>
        </w:rPr>
        <w:t xml:space="preserve"> </w:t>
      </w:r>
      <w:r>
        <w:rPr>
          <w:rStyle w:val="ControlFlowTok"/>
        </w:rPr>
        <w:t xml:space="preserve">function</w:t>
      </w:r>
      <w:r>
        <w:rPr>
          <w:rStyle w:val="NormalTok"/>
        </w:rPr>
        <w:t xml:space="preserve">(e) </w:t>
      </w:r>
      <w:r>
        <w:rPr>
          <w:rStyle w:val="ConstantTok"/>
        </w:rPr>
        <w:t xml:space="preserve">NULL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is.null</w:t>
      </w:r>
      <w:r>
        <w:rPr>
          <w:rStyle w:val="NormalTok"/>
        </w:rPr>
        <w:t xml:space="preserve">(m)) </w:t>
      </w:r>
      <w:r>
        <w:rPr>
          <w:rStyle w:val="ControlFlowTok"/>
        </w:rPr>
        <w:t xml:space="preserve">next</w:t>
      </w:r>
      <w:r>
        <w:br/>
      </w:r>
      <w:r>
        <w:rPr>
          <w:rStyle w:val="NormalTok"/>
        </w:rPr>
        <w:t xml:space="preserve">    </w:t>
      </w:r>
      <w:r>
        <w:rPr>
          <w:rStyle w:val="CommentTok"/>
        </w:rPr>
        <w:t xml:space="preserve"># Held-out skill is computed only for the two responses the comparison</w:t>
      </w:r>
      <w:r>
        <w:br/>
      </w:r>
      <w:r>
        <w:rPr>
          <w:rStyle w:val="NormalTok"/>
        </w:rPr>
        <w:t xml:space="preserve">    </w:t>
      </w:r>
      <w:r>
        <w:rPr>
          <w:rStyle w:val="CommentTok"/>
        </w:rPr>
        <w:t xml:space="preserve"># between series is read from. It refits the model once per season, so</w:t>
      </w:r>
      <w:r>
        <w:br/>
      </w:r>
      <w:r>
        <w:rPr>
          <w:rStyle w:val="NormalTok"/>
        </w:rPr>
        <w:t xml:space="preserve">    </w:t>
      </w:r>
      <w:r>
        <w:rPr>
          <w:rStyle w:val="CommentTok"/>
        </w:rPr>
        <w:t xml:space="preserve"># running it on all five responses costs several hundred fits for numbers</w:t>
      </w:r>
      <w:r>
        <w:br/>
      </w:r>
      <w:r>
        <w:rPr>
          <w:rStyle w:val="NormalTok"/>
        </w:rPr>
        <w:t xml:space="preserve">    </w:t>
      </w:r>
      <w:r>
        <w:rPr>
          <w:rStyle w:val="CommentTok"/>
        </w:rPr>
        <w:t xml:space="preserve"># the text does not use, and the cost is reported rather than hidden.</w:t>
      </w:r>
      <w:r>
        <w:br/>
      </w:r>
      <w:r>
        <w:rPr>
          <w:rStyle w:val="NormalTok"/>
        </w:rPr>
        <w:t xml:space="preserve">    sk </w:t>
      </w:r>
      <w:r>
        <w:rPr>
          <w:rStyle w:val="OtherTok"/>
        </w:rPr>
        <w:t xml:space="preserve">&lt;-</w:t>
      </w:r>
      <w:r>
        <w:rPr>
          <w:rStyle w:val="NormalTok"/>
        </w:rPr>
        <w:t xml:space="preserve"> </w:t>
      </w:r>
      <w:r>
        <w:rPr>
          <w:rStyle w:val="ControlFlowTok"/>
        </w:rPr>
        <w:t xml:space="preserve">if</w:t>
      </w:r>
      <w:r>
        <w:rPr>
          <w:rStyle w:val="NormalTok"/>
        </w:rPr>
        <w:t xml:space="preserve"> (r </w:t>
      </w:r>
      <w:r>
        <w:rPr>
          <w:rStyle w:val="SpecialCharTok"/>
        </w:rPr>
        <w:t xml:space="preserve">%in%</w:t>
      </w:r>
      <w:r>
        <w:rPr>
          <w:rStyle w:val="NormalTok"/>
        </w:rPr>
        <w:t xml:space="preserve"> SKILL_RESPONSES)</w:t>
      </w:r>
      <w:r>
        <w:br/>
      </w:r>
      <w:r>
        <w:rPr>
          <w:rStyle w:val="NormalTok"/>
        </w:rPr>
        <w:t xml:space="preserve">      </w:t>
      </w:r>
      <w:r>
        <w:rPr>
          <w:rStyle w:val="FunctionTok"/>
        </w:rPr>
        <w:t xml:space="preserve">tryCatch</w:t>
      </w:r>
      <w:r>
        <w:rPr>
          <w:rStyle w:val="NormalTok"/>
        </w:rPr>
        <w:t xml:space="preserve">(</w:t>
      </w:r>
      <w:r>
        <w:rPr>
          <w:rStyle w:val="FunctionTok"/>
        </w:rPr>
        <w:t xml:space="preserve">loso_skill</w:t>
      </w:r>
      <w:r>
        <w:rPr>
          <w:rStyle w:val="NormalTok"/>
        </w:rPr>
        <w:t xml:space="preserve">(mod_dat, r, dcol), </w:t>
      </w:r>
      <w:r>
        <w:rPr>
          <w:rStyle w:val="AttributeTok"/>
        </w:rPr>
        <w:t xml:space="preserve">error =</w:t>
      </w:r>
      <w:r>
        <w:rPr>
          <w:rStyle w:val="NormalTok"/>
        </w:rPr>
        <w:t xml:space="preserve"> </w:t>
      </w:r>
      <w:r>
        <w:rPr>
          <w:rStyle w:val="ControlFlowTok"/>
        </w:rPr>
        <w:t xml:space="preserve">function</w:t>
      </w:r>
      <w:r>
        <w:rPr>
          <w:rStyle w:val="NormalTok"/>
        </w:rPr>
        <w:t xml:space="preserve">(e) </w:t>
      </w:r>
      <w:r>
        <w:rPr>
          <w:rStyle w:val="ConstantTok"/>
        </w:rPr>
        <w:t xml:space="preserve">NULL</w:t>
      </w:r>
      <w:r>
        <w:rPr>
          <w:rStyle w:val="NormalTok"/>
        </w:rPr>
        <w:t xml:space="preserve">) </w:t>
      </w:r>
      <w:r>
        <w:rPr>
          <w:rStyle w:val="ControlFlowTok"/>
        </w:rPr>
        <w:t xml:space="preserve">else</w:t>
      </w:r>
      <w:r>
        <w:rPr>
          <w:rStyle w:val="NormalTok"/>
        </w:rPr>
        <w:t xml:space="preserve"> </w:t>
      </w:r>
      <w:r>
        <w:rPr>
          <w:rStyle w:val="ConstantTok"/>
        </w:rPr>
        <w:t xml:space="preserve">NULL</w:t>
      </w:r>
      <w:r>
        <w:br/>
      </w:r>
      <w:r>
        <w:rPr>
          <w:rStyle w:val="NormalTok"/>
        </w:rPr>
        <w:t xml:space="preserve">    </w:t>
      </w:r>
      <w:r>
        <w:rPr>
          <w:rStyle w:val="CommentTok"/>
        </w:rPr>
        <w:t xml:space="preserve"># Wald interval on the danger coefficient rather than a profile likelihood</w:t>
      </w:r>
      <w:r>
        <w:br/>
      </w:r>
      <w:r>
        <w:rPr>
          <w:rStyle w:val="NormalTok"/>
        </w:rPr>
        <w:t xml:space="preserve">    </w:t>
      </w:r>
      <w:r>
        <w:rPr>
          <w:rStyle w:val="CommentTok"/>
        </w:rPr>
        <w:t xml:space="preserve"># one. Profiling a negative binomial with a factor per season means refitting</w:t>
      </w:r>
      <w:r>
        <w:br/>
      </w:r>
      <w:r>
        <w:rPr>
          <w:rStyle w:val="NormalTok"/>
        </w:rPr>
        <w:t xml:space="preserve">    </w:t>
      </w:r>
      <w:r>
        <w:rPr>
          <w:rStyle w:val="CommentTok"/>
        </w:rPr>
        <w:t xml:space="preserve"># once per grid point per model, which dominated the render, and the two</w:t>
      </w:r>
      <w:r>
        <w:br/>
      </w:r>
      <w:r>
        <w:rPr>
          <w:rStyle w:val="NormalTok"/>
        </w:rPr>
        <w:t xml:space="preserve">    </w:t>
      </w:r>
      <w:r>
        <w:rPr>
          <w:rStyle w:val="CommentTok"/>
        </w:rPr>
        <w:t xml:space="preserve"># agree closely at this sample size. The interval is reported as Wald.</w:t>
      </w:r>
      <w:r>
        <w:br/>
      </w:r>
      <w:r>
        <w:rPr>
          <w:rStyle w:val="NormalTok"/>
        </w:rPr>
        <w:t xml:space="preserve">    se </w:t>
      </w:r>
      <w:r>
        <w:rPr>
          <w:rStyle w:val="OtherTok"/>
        </w:rPr>
        <w:t xml:space="preserve">&lt;-</w:t>
      </w:r>
      <w:r>
        <w:rPr>
          <w:rStyle w:val="NormalTok"/>
        </w:rPr>
        <w:t xml:space="preserve"> </w:t>
      </w:r>
      <w:r>
        <w:rPr>
          <w:rStyle w:val="FunctionTok"/>
        </w:rPr>
        <w:t xml:space="preserve">summary</w:t>
      </w:r>
      <w:r>
        <w:rPr>
          <w:rStyle w:val="NormalTok"/>
        </w:rPr>
        <w:t xml:space="preserve">(m)</w:t>
      </w:r>
      <w:r>
        <w:rPr>
          <w:rStyle w:val="SpecialCharTok"/>
        </w:rPr>
        <w:t xml:space="preserve">$</w:t>
      </w:r>
      <w:r>
        <w:rPr>
          <w:rStyle w:val="NormalTok"/>
        </w:rPr>
        <w:t xml:space="preserve">coefficients[</w:t>
      </w:r>
      <w:r>
        <w:rPr>
          <w:rStyle w:val="StringTok"/>
        </w:rPr>
        <w:t xml:space="preserve">".x"</w:t>
      </w:r>
      <w:r>
        <w:rPr>
          <w:rStyle w:val="NormalTok"/>
        </w:rPr>
        <w:t xml:space="preserve">, </w:t>
      </w:r>
      <w:r>
        <w:rPr>
          <w:rStyle w:val="DecValTok"/>
        </w:rPr>
        <w:t xml:space="preserve">2</w:t>
      </w:r>
      <w:r>
        <w:rPr>
          <w:rStyle w:val="NormalTok"/>
        </w:rPr>
        <w:t xml:space="preserve">]</w:t>
      </w:r>
      <w:r>
        <w:br/>
      </w:r>
      <w:r>
        <w:rPr>
          <w:rStyle w:val="NormalTok"/>
        </w:rPr>
        <w:t xml:space="preserve">    ci </w:t>
      </w:r>
      <w:r>
        <w:rPr>
          <w:rStyle w:val="OtherTok"/>
        </w:rPr>
        <w:t xml:space="preserve">&lt;-</w:t>
      </w:r>
      <w:r>
        <w:rPr>
          <w:rStyle w:val="NormalTok"/>
        </w:rPr>
        <w:t xml:space="preserve"> </w:t>
      </w:r>
      <w:r>
        <w:rPr>
          <w:rStyle w:val="FunctionTok"/>
        </w:rPr>
        <w:t xml:space="preserve">coef</w:t>
      </w:r>
      <w:r>
        <w:rPr>
          <w:rStyle w:val="NormalTok"/>
        </w:rPr>
        <w:t xml:space="preserve">(m)[</w:t>
      </w:r>
      <w:r>
        <w:rPr>
          <w:rStyle w:val="StringTok"/>
        </w:rPr>
        <w:t xml:space="preserve">".x"</w:t>
      </w:r>
      <w:r>
        <w:rPr>
          <w:rStyle w:val="NormalTok"/>
        </w:rPr>
        <w:t xml:space="preserve">] </w:t>
      </w:r>
      <w:r>
        <w:rPr>
          <w:rStyle w:val="SpecialCharTok"/>
        </w:rPr>
        <w:t xml:space="preserve">+</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qnorm</w:t>
      </w:r>
      <w:r>
        <w:rPr>
          <w:rStyle w:val="NormalTok"/>
        </w:rPr>
        <w:t xml:space="preserve">(</w:t>
      </w:r>
      <w:r>
        <w:rPr>
          <w:rStyle w:val="FloatTok"/>
        </w:rPr>
        <w:t xml:space="preserve">0.975</w:t>
      </w:r>
      <w:r>
        <w:rPr>
          <w:rStyle w:val="NormalTok"/>
        </w:rPr>
        <w:t xml:space="preserve">) </w:t>
      </w:r>
      <w:r>
        <w:rPr>
          <w:rStyle w:val="SpecialCharTok"/>
        </w:rPr>
        <w:t xml:space="preserve">*</w:t>
      </w:r>
      <w:r>
        <w:rPr>
          <w:rStyle w:val="NormalTok"/>
        </w:rPr>
        <w:t xml:space="preserve"> se</w:t>
      </w:r>
      <w:r>
        <w:br/>
      </w:r>
      <w:r>
        <w:rPr>
          <w:rStyle w:val="NormalTok"/>
        </w:rPr>
        <w:t xml:space="preserve">    ign_rows[[</w:t>
      </w:r>
      <w:r>
        <w:rPr>
          <w:rStyle w:val="FunctionTok"/>
        </w:rPr>
        <w:t xml:space="preserve">length</w:t>
      </w:r>
      <w:r>
        <w:rPr>
          <w:rStyle w:val="NormalTok"/>
        </w:rPr>
        <w:t xml:space="preserve">(ign_rows) </w:t>
      </w:r>
      <w:r>
        <w:rPr>
          <w:rStyle w:val="SpecialCharTok"/>
        </w:rPr>
        <w:t xml:space="preserve">+</w:t>
      </w:r>
      <w:r>
        <w:rPr>
          <w:rStyle w:val="NormalTok"/>
        </w:rPr>
        <w:t xml:space="preserve"> </w:t>
      </w:r>
      <w:r>
        <w:rPr>
          <w:rStyle w:val="DecValTok"/>
        </w:rPr>
        <w:t xml:space="preserve">1</w:t>
      </w:r>
      <w:r>
        <w:rPr>
          <w:rStyle w:val="NormalTok"/>
        </w:rPr>
        <w:t xml:space="preserv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response =</w:t>
      </w:r>
      <w:r>
        <w:rPr>
          <w:rStyle w:val="NormalTok"/>
        </w:rPr>
        <w:t xml:space="preserve"> r, </w:t>
      </w:r>
      <w:r>
        <w:rPr>
          <w:rStyle w:val="AttributeTok"/>
        </w:rPr>
        <w:t xml:space="preserve">series =</w:t>
      </w:r>
      <w:r>
        <w:rPr>
          <w:rStyle w:val="NormalTok"/>
        </w:rPr>
        <w:t xml:space="preserve"> s,</w:t>
      </w:r>
      <w:r>
        <w:br/>
      </w:r>
      <w:r>
        <w:rPr>
          <w:rStyle w:val="NormalTok"/>
        </w:rPr>
        <w:t xml:space="preserve">      </w:t>
      </w:r>
      <w:r>
        <w:rPr>
          <w:rStyle w:val="AttributeTok"/>
        </w:rPr>
        <w:t xml:space="preserve">coef =</w:t>
      </w:r>
      <w:r>
        <w:rPr>
          <w:rStyle w:val="NormalTok"/>
        </w:rPr>
        <w:t xml:space="preserve"> </w:t>
      </w:r>
      <w:r>
        <w:rPr>
          <w:rStyle w:val="FunctionTok"/>
        </w:rPr>
        <w:t xml:space="preserve">unname</w:t>
      </w:r>
      <w:r>
        <w:rPr>
          <w:rStyle w:val="NormalTok"/>
        </w:rPr>
        <w:t xml:space="preserve">(</w:t>
      </w:r>
      <w:r>
        <w:rPr>
          <w:rStyle w:val="FunctionTok"/>
        </w:rPr>
        <w:t xml:space="preserve">coef</w:t>
      </w:r>
      <w:r>
        <w:rPr>
          <w:rStyle w:val="NormalTok"/>
        </w:rPr>
        <w:t xml:space="preserve">(m)[</w:t>
      </w:r>
      <w:r>
        <w:rPr>
          <w:rStyle w:val="StringTok"/>
        </w:rPr>
        <w:t xml:space="preserve">".x"</w:t>
      </w:r>
      <w:r>
        <w:rPr>
          <w:rStyle w:val="NormalTok"/>
        </w:rPr>
        <w:t xml:space="preserve">]),</w:t>
      </w:r>
      <w:r>
        <w:br/>
      </w:r>
      <w:r>
        <w:rPr>
          <w:rStyle w:val="NormalTok"/>
        </w:rPr>
        <w:t xml:space="preserve">      </w:t>
      </w:r>
      <w:r>
        <w:rPr>
          <w:rStyle w:val="AttributeTok"/>
        </w:rPr>
        <w:t xml:space="preserve">lower =</w:t>
      </w:r>
      <w:r>
        <w:rPr>
          <w:rStyle w:val="NormalTok"/>
        </w:rPr>
        <w:t xml:space="preserve"> ci[</w:t>
      </w:r>
      <w:r>
        <w:rPr>
          <w:rStyle w:val="DecValTok"/>
        </w:rPr>
        <w:t xml:space="preserve">1</w:t>
      </w:r>
      <w:r>
        <w:rPr>
          <w:rStyle w:val="NormalTok"/>
        </w:rPr>
        <w:t xml:space="preserve">], </w:t>
      </w:r>
      <w:r>
        <w:rPr>
          <w:rStyle w:val="AttributeTok"/>
        </w:rPr>
        <w:t xml:space="preserve">upper =</w:t>
      </w:r>
      <w:r>
        <w:rPr>
          <w:rStyle w:val="NormalTok"/>
        </w:rPr>
        <w:t xml:space="preserve"> ci[</w:t>
      </w:r>
      <w:r>
        <w:rPr>
          <w:rStyle w:val="DecValTok"/>
        </w:rPr>
        <w:t xml:space="preserve">2</w:t>
      </w:r>
      <w:r>
        <w:rPr>
          <w:rStyle w:val="NormalTok"/>
        </w:rPr>
        <w:t xml:space="preserve">],</w:t>
      </w:r>
      <w:r>
        <w:br/>
      </w:r>
      <w:r>
        <w:rPr>
          <w:rStyle w:val="NormalTok"/>
        </w:rPr>
        <w:t xml:space="preserve">      </w:t>
      </w:r>
      <w:r>
        <w:rPr>
          <w:rStyle w:val="AttributeTok"/>
        </w:rPr>
        <w:t xml:space="preserve">p =</w:t>
      </w:r>
      <w:r>
        <w:rPr>
          <w:rStyle w:val="NormalTok"/>
        </w:rPr>
        <w:t xml:space="preserve"> </w:t>
      </w:r>
      <w:r>
        <w:rPr>
          <w:rStyle w:val="FunctionTok"/>
        </w:rPr>
        <w:t xml:space="preserve">summary</w:t>
      </w:r>
      <w:r>
        <w:rPr>
          <w:rStyle w:val="NormalTok"/>
        </w:rPr>
        <w:t xml:space="preserve">(m)</w:t>
      </w:r>
      <w:r>
        <w:rPr>
          <w:rStyle w:val="SpecialCharTok"/>
        </w:rPr>
        <w:t xml:space="preserve">$</w:t>
      </w:r>
      <w:r>
        <w:rPr>
          <w:rStyle w:val="NormalTok"/>
        </w:rPr>
        <w:t xml:space="preserve">coefficients[</w:t>
      </w:r>
      <w:r>
        <w:rPr>
          <w:rStyle w:val="StringTok"/>
        </w:rPr>
        <w:t xml:space="preserve">".x"</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theta =</w:t>
      </w:r>
      <w:r>
        <w:rPr>
          <w:rStyle w:val="NormalTok"/>
        </w:rPr>
        <w:t xml:space="preserve"> m</w:t>
      </w:r>
      <w:r>
        <w:rPr>
          <w:rStyle w:val="SpecialCharTok"/>
        </w:rPr>
        <w:t xml:space="preserve">$</w:t>
      </w:r>
      <w:r>
        <w:rPr>
          <w:rStyle w:val="NormalTok"/>
        </w:rPr>
        <w:t xml:space="preserve">theta,</w:t>
      </w:r>
      <w:r>
        <w:br/>
      </w:r>
      <w:r>
        <w:rPr>
          <w:rStyle w:val="NormalTok"/>
        </w:rPr>
        <w:t xml:space="preserve">      </w:t>
      </w:r>
      <w:r>
        <w:rPr>
          <w:rStyle w:val="AttributeTok"/>
        </w:rPr>
        <w:t xml:space="preserve">loso_loglik =</w:t>
      </w:r>
      <w:r>
        <w:rPr>
          <w:rStyle w:val="NormalTok"/>
        </w:rPr>
        <w:t xml:space="preserve"> </w:t>
      </w:r>
      <w:r>
        <w:rPr>
          <w:rStyle w:val="ControlFlowTok"/>
        </w:rPr>
        <w:t xml:space="preserve">if</w:t>
      </w:r>
      <w:r>
        <w:rPr>
          <w:rStyle w:val="NormalTok"/>
        </w:rPr>
        <w:t xml:space="preserve"> (</w:t>
      </w:r>
      <w:r>
        <w:rPr>
          <w:rStyle w:val="FunctionTok"/>
        </w:rPr>
        <w:t xml:space="preserve">is.null</w:t>
      </w:r>
      <w:r>
        <w:rPr>
          <w:rStyle w:val="NormalTok"/>
        </w:rPr>
        <w:t xml:space="preserve">(sk)) </w:t>
      </w:r>
      <w:r>
        <w:rPr>
          <w:rStyle w:val="ConstantTok"/>
        </w:rPr>
        <w:t xml:space="preserve">NA_real_</w:t>
      </w:r>
      <w:r>
        <w:rPr>
          <w:rStyle w:val="NormalTok"/>
        </w:rPr>
        <w:t xml:space="preserve"> </w:t>
      </w:r>
      <w:r>
        <w:rPr>
          <w:rStyle w:val="ControlFlowTok"/>
        </w:rPr>
        <w:t xml:space="preserve">else</w:t>
      </w:r>
      <w:r>
        <w:rPr>
          <w:rStyle w:val="NormalTok"/>
        </w:rPr>
        <w:t xml:space="preserve"> sk</w:t>
      </w:r>
      <w:r>
        <w:rPr>
          <w:rStyle w:val="SpecialCharTok"/>
        </w:rPr>
        <w:t xml:space="preserve">$</w:t>
      </w:r>
      <w:r>
        <w:rPr>
          <w:rStyle w:val="NormalTok"/>
        </w:rPr>
        <w:t xml:space="preserve">mean_loglik,</w:t>
      </w:r>
      <w:r>
        <w:br/>
      </w:r>
      <w:r>
        <w:rPr>
          <w:rStyle w:val="NormalTok"/>
        </w:rPr>
        <w:t xml:space="preserve">      </w:t>
      </w:r>
      <w:r>
        <w:rPr>
          <w:rStyle w:val="AttributeTok"/>
        </w:rPr>
        <w:t xml:space="preserve">n_days =</w:t>
      </w:r>
      <w:r>
        <w:rPr>
          <w:rStyle w:val="NormalTok"/>
        </w:rPr>
        <w:t xml:space="preserve"> </w:t>
      </w:r>
      <w:r>
        <w:rPr>
          <w:rStyle w:val="FunctionTok"/>
        </w:rPr>
        <w:t xml:space="preserve">nrow</w:t>
      </w:r>
      <w:r>
        <w:rPr>
          <w:rStyle w:val="NormalTok"/>
        </w:rPr>
        <w:t xml:space="preserve">(mod_dat))</w:t>
      </w:r>
      <w:r>
        <w:br/>
      </w:r>
      <w:r>
        <w:rPr>
          <w:rStyle w:val="NormalTok"/>
        </w:rPr>
        <w:t xml:space="preserve">  }</w:t>
      </w:r>
      <w:r>
        <w:br/>
      </w:r>
      <w:r>
        <w:rPr>
          <w:rStyle w:val="NormalTok"/>
        </w:rPr>
        <w:t xml:space="preserve">}</w:t>
      </w:r>
      <w:r>
        <w:br/>
      </w:r>
      <w:r>
        <w:rPr>
          <w:rStyle w:val="NormalTok"/>
        </w:rPr>
        <w:t xml:space="preserve">ign_res </w:t>
      </w:r>
      <w:r>
        <w:rPr>
          <w:rStyle w:val="OtherTok"/>
        </w:rPr>
        <w:t xml:space="preserve">&lt;-</w:t>
      </w:r>
      <w:r>
        <w:rPr>
          <w:rStyle w:val="NormalTok"/>
        </w:rPr>
        <w:t xml:space="preserve"> </w:t>
      </w:r>
      <w:r>
        <w:rPr>
          <w:rStyle w:val="FunctionTok"/>
        </w:rPr>
        <w:t xml:space="preserve">do.call</w:t>
      </w:r>
      <w:r>
        <w:rPr>
          <w:rStyle w:val="NormalTok"/>
        </w:rPr>
        <w:t xml:space="preserve">(rbind, ign_rows)</w:t>
      </w:r>
      <w:r>
        <w:br/>
      </w:r>
      <w:r>
        <w:rPr>
          <w:rStyle w:val="FunctionTok"/>
        </w:rPr>
        <w:t xml:space="preserve">write.csv</w:t>
      </w:r>
      <w:r>
        <w:rPr>
          <w:rStyle w:val="NormalTok"/>
        </w:rPr>
        <w:t xml:space="preserve">(ign_res, </w:t>
      </w:r>
      <w:r>
        <w:rPr>
          <w:rStyle w:val="FunctionTok"/>
        </w:rPr>
        <w:t xml:space="preserve">file.path</w:t>
      </w:r>
      <w:r>
        <w:rPr>
          <w:rStyle w:val="NormalTok"/>
        </w:rPr>
        <w:t xml:space="preserve">(outputs, </w:t>
      </w:r>
      <w:r>
        <w:rPr>
          <w:rStyle w:val="StringTok"/>
        </w:rPr>
        <w:t xml:space="preserve">"ignition-models.csv"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p>
      <w:pPr>
        <w:pStyle w:val="SourceCode"/>
      </w:pPr>
      <w:r>
        <w:rPr>
          <w:rStyle w:val="NormalTok"/>
        </w:rPr>
        <w:t xml:space="preserve">it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Response =</w:t>
      </w:r>
      <w:r>
        <w:rPr>
          <w:rStyle w:val="NormalTok"/>
        </w:rPr>
        <w:t xml:space="preserve"> </w:t>
      </w:r>
      <w:r>
        <w:rPr>
          <w:rStyle w:val="FunctionTok"/>
        </w:rPr>
        <w:t xml:space="preserve">unname</w:t>
      </w:r>
      <w:r>
        <w:rPr>
          <w:rStyle w:val="NormalTok"/>
        </w:rPr>
        <w:t xml:space="preserve">(RESPONSES[ign_res</w:t>
      </w:r>
      <w:r>
        <w:rPr>
          <w:rStyle w:val="SpecialCharTok"/>
        </w:rPr>
        <w:t xml:space="preserve">$</w:t>
      </w:r>
      <w:r>
        <w:rPr>
          <w:rStyle w:val="NormalTok"/>
        </w:rPr>
        <w:t xml:space="preserve">response]),</w:t>
      </w:r>
      <w:r>
        <w:br/>
      </w:r>
      <w:r>
        <w:rPr>
          <w:rStyle w:val="NormalTok"/>
        </w:rPr>
        <w:t xml:space="preserve">  </w:t>
      </w:r>
      <w:r>
        <w:rPr>
          <w:rStyle w:val="AttributeTok"/>
        </w:rPr>
        <w:t xml:space="preserve">Series =</w:t>
      </w:r>
      <w:r>
        <w:rPr>
          <w:rStyle w:val="NormalTok"/>
        </w:rPr>
        <w:t xml:space="preserve"> </w:t>
      </w:r>
      <w:r>
        <w:rPr>
          <w:rStyle w:val="FunctionTok"/>
        </w:rPr>
        <w:t xml:space="preserve">unname</w:t>
      </w:r>
      <w:r>
        <w:rPr>
          <w:rStyle w:val="NormalTok"/>
        </w:rPr>
        <w:t xml:space="preserve">(SERIES[ign_res</w:t>
      </w:r>
      <w:r>
        <w:rPr>
          <w:rStyle w:val="SpecialCharTok"/>
        </w:rPr>
        <w:t xml:space="preserve">$</w:t>
      </w:r>
      <w:r>
        <w:rPr>
          <w:rStyle w:val="NormalTok"/>
        </w:rPr>
        <w:t xml:space="preserve">series]),</w:t>
      </w:r>
      <w:r>
        <w:br/>
      </w:r>
      <w:r>
        <w:rPr>
          <w:rStyle w:val="NormalTok"/>
        </w:rPr>
        <w:t xml:space="preserve">  </w:t>
      </w:r>
      <w:r>
        <w:rPr>
          <w:rStyle w:val="StringTok"/>
        </w:rPr>
        <w:t xml:space="preserve">`</w:t>
      </w:r>
      <w:r>
        <w:rPr>
          <w:rStyle w:val="AttributeTok"/>
        </w:rPr>
        <w:t xml:space="preserve">Coefficient</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(ign_res</w:t>
      </w:r>
      <w:r>
        <w:rPr>
          <w:rStyle w:val="SpecialCharTok"/>
        </w:rPr>
        <w:t xml:space="preserve">$</w:t>
      </w:r>
      <w:r>
        <w:rPr>
          <w:rStyle w:val="NormalTok"/>
        </w:rPr>
        <w:t xml:space="preserve">coef, </w:t>
      </w:r>
      <w:r>
        <w:rPr>
          <w:rStyle w:val="DecValTok"/>
        </w:rPr>
        <w:t xml:space="preserve">4</w:t>
      </w:r>
      <w:r>
        <w:rPr>
          <w:rStyle w:val="NormalTok"/>
        </w:rPr>
        <w:t xml:space="preserve">),</w:t>
      </w:r>
      <w:r>
        <w:br/>
      </w:r>
      <w:r>
        <w:rPr>
          <w:rStyle w:val="NormalTok"/>
        </w:rPr>
        <w:t xml:space="preserve">  </w:t>
      </w:r>
      <w:r>
        <w:rPr>
          <w:rStyle w:val="StringTok"/>
        </w:rPr>
        <w:t xml:space="preserve">`</w:t>
      </w:r>
      <w:r>
        <w:rPr>
          <w:rStyle w:val="AttributeTok"/>
        </w:rPr>
        <w:t xml:space="preserve">95% Wald interval</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"%.4f to %.4f"</w:t>
      </w:r>
      <w:r>
        <w:rPr>
          <w:rStyle w:val="NormalTok"/>
        </w:rPr>
        <w:t xml:space="preserve">, ign_res</w:t>
      </w:r>
      <w:r>
        <w:rPr>
          <w:rStyle w:val="SpecialCharTok"/>
        </w:rPr>
        <w:t xml:space="preserve">$</w:t>
      </w:r>
      <w:r>
        <w:rPr>
          <w:rStyle w:val="NormalTok"/>
        </w:rPr>
        <w:t xml:space="preserve">lower, ign_res</w:t>
      </w:r>
      <w:r>
        <w:rPr>
          <w:rStyle w:val="SpecialCharTok"/>
        </w:rPr>
        <w:t xml:space="preserve">$</w:t>
      </w:r>
      <w:r>
        <w:rPr>
          <w:rStyle w:val="NormalTok"/>
        </w:rPr>
        <w:t xml:space="preserve">upper),</w:t>
      </w:r>
      <w:r>
        <w:br/>
      </w:r>
      <w:r>
        <w:rPr>
          <w:rStyle w:val="NormalTok"/>
        </w:rPr>
        <w:t xml:space="preserve">  </w:t>
      </w:r>
      <w:r>
        <w:rPr>
          <w:rStyle w:val="StringTok"/>
        </w:rPr>
        <w:t xml:space="preserve">`</w:t>
      </w:r>
      <w:r>
        <w:rPr>
          <w:rStyle w:val="AttributeTok"/>
        </w:rPr>
        <w:t xml:space="preserve">Rate ratio per 10 FWI</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exp</w:t>
      </w:r>
      <w:r>
        <w:rPr>
          <w:rStyle w:val="NormalTok"/>
        </w:rPr>
        <w:t xml:space="preserve">(</w:t>
      </w:r>
      <w:r>
        <w:rPr>
          <w:rStyle w:val="DecValTok"/>
        </w:rPr>
        <w:t xml:space="preserve">10</w:t>
      </w:r>
      <w:r>
        <w:rPr>
          <w:rStyle w:val="NormalTok"/>
        </w:rPr>
        <w:t xml:space="preserve"> </w:t>
      </w:r>
      <w:r>
        <w:rPr>
          <w:rStyle w:val="SpecialCharTok"/>
        </w:rPr>
        <w:t xml:space="preserve">*</w:t>
      </w:r>
      <w:r>
        <w:rPr>
          <w:rStyle w:val="NormalTok"/>
        </w:rPr>
        <w:t xml:space="preserve"> ign_res</w:t>
      </w:r>
      <w:r>
        <w:rPr>
          <w:rStyle w:val="SpecialCharTok"/>
        </w:rPr>
        <w:t xml:space="preserve">$</w:t>
      </w:r>
      <w:r>
        <w:rPr>
          <w:rStyle w:val="NormalTok"/>
        </w:rPr>
        <w:t xml:space="preserve">coef), </w:t>
      </w:r>
      <w:r>
        <w:rPr>
          <w:rStyle w:val="DecValTok"/>
        </w:rPr>
        <w:t xml:space="preserve">2</w:t>
      </w:r>
      <w:r>
        <w:rPr>
          <w:rStyle w:val="NormalTok"/>
        </w:rPr>
        <w:t xml:space="preserve">),</w:t>
      </w:r>
      <w:r>
        <w:br/>
      </w:r>
      <w:r>
        <w:rPr>
          <w:rStyle w:val="NormalTok"/>
        </w:rPr>
        <w:t xml:space="preserve">  </w:t>
      </w:r>
      <w:r>
        <w:rPr>
          <w:rStyle w:val="StringTok"/>
        </w:rPr>
        <w:t xml:space="preserve">`</w:t>
      </w:r>
      <w:r>
        <w:rPr>
          <w:rStyle w:val="AttributeTok"/>
        </w:rPr>
        <w:t xml:space="preserve">Held-out log likelihood</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(ign_res</w:t>
      </w:r>
      <w:r>
        <w:rPr>
          <w:rStyle w:val="SpecialCharTok"/>
        </w:rPr>
        <w:t xml:space="preserve">$</w:t>
      </w:r>
      <w:r>
        <w:rPr>
          <w:rStyle w:val="NormalTok"/>
        </w:rPr>
        <w:t xml:space="preserve">loso_loglik, </w:t>
      </w:r>
      <w:r>
        <w:rPr>
          <w:rStyle w:val="DecValTok"/>
        </w:rPr>
        <w:t xml:space="preserve">4</w:t>
      </w:r>
      <w:r>
        <w:rPr>
          <w:rStyle w:val="NormalTok"/>
        </w:rPr>
        <w:t xml:space="preserve">),</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w:t>
      </w:r>
      <w:r>
        <w:br/>
      </w:r>
      <w:r>
        <w:rPr>
          <w:rStyle w:val="NormalTok"/>
        </w:rPr>
        <w:t xml:space="preserve">it </w:t>
      </w:r>
      <w:r>
        <w:rPr>
          <w:rStyle w:val="OtherTok"/>
        </w:rPr>
        <w:t xml:space="preserve">&lt;-</w:t>
      </w:r>
      <w:r>
        <w:rPr>
          <w:rStyle w:val="NormalTok"/>
        </w:rPr>
        <w:t xml:space="preserve"> it[</w:t>
      </w:r>
      <w:r>
        <w:rPr>
          <w:rStyle w:val="FunctionTok"/>
        </w:rPr>
        <w:t xml:space="preserve">order</w:t>
      </w:r>
      <w:r>
        <w:rPr>
          <w:rStyle w:val="NormalTok"/>
        </w:rPr>
        <w:t xml:space="preserve">(</w:t>
      </w:r>
      <w:r>
        <w:rPr>
          <w:rStyle w:val="FunctionTok"/>
        </w:rPr>
        <w:t xml:space="preserve">match</w:t>
      </w:r>
      <w:r>
        <w:rPr>
          <w:rStyle w:val="NormalTok"/>
        </w:rPr>
        <w:t xml:space="preserve">(it</w:t>
      </w:r>
      <w:r>
        <w:rPr>
          <w:rStyle w:val="SpecialCharTok"/>
        </w:rPr>
        <w:t xml:space="preserve">$</w:t>
      </w:r>
      <w:r>
        <w:rPr>
          <w:rStyle w:val="NormalTok"/>
        </w:rPr>
        <w:t xml:space="preserve">Response, </w:t>
      </w:r>
      <w:r>
        <w:rPr>
          <w:rStyle w:val="FunctionTok"/>
        </w:rPr>
        <w:t xml:space="preserve">unname</w:t>
      </w:r>
      <w:r>
        <w:rPr>
          <w:rStyle w:val="NormalTok"/>
        </w:rPr>
        <w:t xml:space="preserve">(RESPONSES)), it</w:t>
      </w:r>
      <w:r>
        <w:rPr>
          <w:rStyle w:val="SpecialCharTok"/>
        </w:rPr>
        <w:t xml:space="preserve">$</w:t>
      </w:r>
      <w:r>
        <w:rPr>
          <w:rStyle w:val="NormalTok"/>
        </w:rPr>
        <w:t xml:space="preserve">Series), ]</w:t>
      </w:r>
      <w:r>
        <w:br/>
      </w:r>
      <w:r>
        <w:rPr>
          <w:rStyle w:val="FunctionTok"/>
        </w:rPr>
        <w:t xml:space="preserve">rownames</w:t>
      </w:r>
      <w:r>
        <w:rPr>
          <w:rStyle w:val="NormalTok"/>
        </w:rPr>
        <w:t xml:space="preserve">(it) </w:t>
      </w:r>
      <w:r>
        <w:rPr>
          <w:rStyle w:val="OtherTok"/>
        </w:rPr>
        <w:t xml:space="preserve">&lt;-</w:t>
      </w:r>
      <w:r>
        <w:rPr>
          <w:rStyle w:val="NormalTok"/>
        </w:rPr>
        <w:t xml:space="preserve"> </w:t>
      </w:r>
      <w:r>
        <w:rPr>
          <w:rStyle w:val="ConstantTok"/>
        </w:rPr>
        <w:t xml:space="preserve">NULL</w:t>
      </w:r>
      <w:r>
        <w:br/>
      </w:r>
      <w:r>
        <w:rPr>
          <w:rStyle w:val="FunctionTok"/>
        </w:rPr>
        <w:t xml:space="preserve">fmt_tbl</w:t>
      </w:r>
      <w:r>
        <w:rPr>
          <w:rStyle w:val="NormalTok"/>
        </w:rPr>
        <w:t xml:space="preserve">(it)</w:t>
      </w:r>
    </w:p>
    <w:tbl>
      <w:tblPr>
        <w:tblStyle w:val="Table"/>
        <w:tblW w:type="pct" w:w="5000"/>
        <w:tblLayout w:type="fixed"/>
        <w:tblLook w:firstRow="0" w:lastRow="0" w:firstColumn="0" w:lastColumn="0" w:noHBand="0" w:noVBand="0" w:val="0000"/>
      </w:tblPr>
      <w:tblGrid>
        <w:gridCol w:w="7920"/>
      </w:tblGrid>
      <w:tr>
        <w:tc>
          <w:tcPr/>
          <w:bookmarkStart w:id="77" w:name="tbl-ignition"/>
          <w:p>
            <w:pPr>
              <w:jc w:val="center"/>
            </w:pPr>
            <w:pPr>
              <w:jc w:val="start"/>
              <w:spacing w:before="200"/>
              <w:pStyle w:val="ImageCaption"/>
            </w:pPr>
            <w:r>
              <w:t xml:space="preserve">Table 11: Negative binomial models of daily ignition counts on daily basin Fire Weather Index, over the 1 May to 30 September window, with season as a fixed effect, two annual harmonics in day of year, and the number of contributing stations. The coefficient is the log change in expected count per unit of Fire Weather Index, identified from within-season variation only. Held-out log likelihood is the mean per day under leave-one-season-out refitting; larger is better, and the comparison between series rather than its absolute value is the quantity of interest. It is computed for the lightning and all-cause responses only, because those are the two the text compares and each refits the model once per season.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Response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Series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Coefficient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95% Wald interval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Rate ratio per 10 FWI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Held-out log likelihood</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Lightning, no size limit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S1: FWI1987, 13:00 observation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0.0161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0.0052 to 0.0269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1.17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-0.4201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Lightning, no size limit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S2: FWI2025, 13:00 observation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-0.0005 to 0.0225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-0.4206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Lightning, no size limit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S3: FWI2025, hourly observation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-0.0003 to 0.0200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-0.4206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Person, no size limit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S1: FWI1987, 13:00 observation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0.0421 to 0.0539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Person, no size limit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S2: FWI2025, 13:00 observation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0.0489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0.0428 to 0.0550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Person, no size limit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S3: FWI2025, hourly observation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0.0412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0.0360 to 0.0465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All causes, no size limit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S1: FWI1987, 13:00 observation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0.0289 to 0.0375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-1.1637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All causes, no size limit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S2: FWI2025, 13:00 observation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0.0283 to 0.0374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-1.1664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All causes, no size limit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S3: FWI2025, hourly observation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0.0287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0.0247 to 0.0327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-1.1672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All causes, at least 1 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S1: FWI1987, 13:00 observation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0.0706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0.0585 to 0.0827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All causes, at least 1 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S2: FWI2025, 13:00 observation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0.0702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0.0582 to 0.0823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All causes, at least 1 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S3: FWI2025, hourly observation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0.0670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0.0568 to 0.0772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All causes, at least 4 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S1: FWI1987, 13:00 observation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0.0846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0.0673 to 0.1018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All causes, at least 4 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S2: FWI2025, 13:00 observation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0.0826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0.0660 to 0.0992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All causes, at least 4 ha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S3: FWI2025, hourly observation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0.0845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0.0706 to 0.0984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r>
          </w:tbl>
          <w:bookmarkEnd w:id="77"/>
        </w:tc>
      </w:tr>
    </w:tbl>
    <w:p>
      <w:pPr>
        <w:pStyle w:val="SourceCode"/>
      </w:pPr>
      <w:r>
        <w:rPr>
          <w:rStyle w:val="NormalTok"/>
        </w:rPr>
        <w:t xml:space="preserve">best </w:t>
      </w:r>
      <w:r>
        <w:rPr>
          <w:rStyle w:val="OtherTok"/>
        </w:rPr>
        <w:t xml:space="preserve">&lt;-</w:t>
      </w:r>
      <w:r>
        <w:rPr>
          <w:rStyle w:val="NormalTok"/>
        </w:rPr>
        <w:t xml:space="preserve"> ign_res[ign_res</w:t>
      </w:r>
      <w:r>
        <w:rPr>
          <w:rStyle w:val="SpecialCharTok"/>
        </w:rPr>
        <w:t xml:space="preserve">$</w:t>
      </w:r>
      <w:r>
        <w:rPr>
          <w:rStyle w:val="NormalTok"/>
        </w:rPr>
        <w:t xml:space="preserve">response </w:t>
      </w:r>
      <w:r>
        <w:rPr>
          <w:rStyle w:val="SpecialCharTok"/>
        </w:rPr>
        <w:t xml:space="preserve">==</w:t>
      </w:r>
      <w:r>
        <w:rPr>
          <w:rStyle w:val="NormalTok"/>
        </w:rPr>
        <w:t xml:space="preserve"> </w:t>
      </w:r>
      <w:r>
        <w:rPr>
          <w:rStyle w:val="StringTok"/>
        </w:rPr>
        <w:t xml:space="preserve">"n_lightning_all"</w:t>
      </w:r>
      <w:r>
        <w:rPr>
          <w:rStyle w:val="NormalTok"/>
        </w:rPr>
        <w:t xml:space="preserve">, ]</w:t>
      </w:r>
      <w:r>
        <w:br/>
      </w:r>
      <w:r>
        <w:rPr>
          <w:rStyle w:val="NormalTok"/>
        </w:rPr>
        <w:t xml:space="preserve">best </w:t>
      </w:r>
      <w:r>
        <w:rPr>
          <w:rStyle w:val="OtherTok"/>
        </w:rPr>
        <w:t xml:space="preserve">&lt;-</w:t>
      </w:r>
      <w:r>
        <w:rPr>
          <w:rStyle w:val="NormalTok"/>
        </w:rPr>
        <w:t xml:space="preserve"> best[</w:t>
      </w:r>
      <w:r>
        <w:rPr>
          <w:rStyle w:val="FunctionTok"/>
        </w:rPr>
        <w:t xml:space="preserve">order</w:t>
      </w:r>
      <w:r>
        <w:rPr>
          <w:rStyle w:val="NormalTok"/>
        </w:rPr>
        <w:t xml:space="preserve">(</w:t>
      </w:r>
      <w:r>
        <w:rPr>
          <w:rStyle w:val="SpecialCharTok"/>
        </w:rPr>
        <w:t xml:space="preserve">-</w:t>
      </w:r>
      <w:r>
        <w:rPr>
          <w:rStyle w:val="NormalTok"/>
        </w:rPr>
        <w:t xml:space="preserve">best</w:t>
      </w:r>
      <w:r>
        <w:rPr>
          <w:rStyle w:val="SpecialCharTok"/>
        </w:rPr>
        <w:t xml:space="preserve">$</w:t>
      </w:r>
      <w:r>
        <w:rPr>
          <w:rStyle w:val="NormalTok"/>
        </w:rPr>
        <w:t xml:space="preserve">loso_loglik), ]</w:t>
      </w:r>
      <w:r>
        <w:br/>
      </w:r>
      <w:r>
        <w:rPr>
          <w:rStyle w:val="NormalTok"/>
        </w:rPr>
        <w:t xml:space="preserve">skill_gap </w:t>
      </w:r>
      <w:r>
        <w:rPr>
          <w:rStyle w:val="OtherTok"/>
        </w:rPr>
        <w:t xml:space="preserve">&lt;-</w:t>
      </w:r>
      <w:r>
        <w:rPr>
          <w:rStyle w:val="NormalTok"/>
        </w:rPr>
        <w:t xml:space="preserve"> </w:t>
      </w:r>
      <w:r>
        <w:rPr>
          <w:rStyle w:val="FunctionTok"/>
        </w:rPr>
        <w:t xml:space="preserve">diff</w:t>
      </w:r>
      <w:r>
        <w:rPr>
          <w:rStyle w:val="NormalTok"/>
        </w:rPr>
        <w:t xml:space="preserve">(</w:t>
      </w:r>
      <w:r>
        <w:rPr>
          <w:rStyle w:val="FunctionTok"/>
        </w:rPr>
        <w:t xml:space="preserve">range</w:t>
      </w:r>
      <w:r>
        <w:rPr>
          <w:rStyle w:val="NormalTok"/>
        </w:rPr>
        <w:t xml:space="preserve">(best</w:t>
      </w:r>
      <w:r>
        <w:rPr>
          <w:rStyle w:val="SpecialCharTok"/>
        </w:rPr>
        <w:t xml:space="preserve">$</w:t>
      </w:r>
      <w:r>
        <w:rPr>
          <w:rStyle w:val="NormalTok"/>
        </w:rPr>
        <w:t xml:space="preserve">loso_loglik))</w:t>
      </w:r>
      <w:r>
        <w:br/>
      </w:r>
      <w:r>
        <w:br/>
      </w:r>
      <w:r>
        <w:rPr>
          <w:rStyle w:val="CommentTok"/>
        </w:rPr>
        <w:t xml:space="preserve"># Does the danger term survive at every size threshold, and does it separate the</w:t>
      </w:r>
      <w:r>
        <w:br/>
      </w:r>
      <w:r>
        <w:rPr>
          <w:rStyle w:val="CommentTok"/>
        </w:rPr>
        <w:t xml:space="preserve"># lightning series from the person-caused control? The control matters: human</w:t>
      </w:r>
      <w:r>
        <w:br/>
      </w:r>
      <w:r>
        <w:rPr>
          <w:rStyle w:val="CommentTok"/>
        </w:rPr>
        <w:t xml:space="preserve"># ignition tracks population and access, so a danger signal appearing equally in</w:t>
      </w:r>
      <w:r>
        <w:br/>
      </w:r>
      <w:r>
        <w:rPr>
          <w:rStyle w:val="CommentTok"/>
        </w:rPr>
        <w:t xml:space="preserve"># both would point to a shared confounder rather than to fuel moisture.</w:t>
      </w:r>
      <w:r>
        <w:br/>
      </w:r>
      <w:r>
        <w:rPr>
          <w:rStyle w:val="NormalTok"/>
        </w:rPr>
        <w:t xml:space="preserve">sig_by_response </w:t>
      </w:r>
      <w:r>
        <w:rPr>
          <w:rStyle w:val="OtherTok"/>
        </w:rPr>
        <w:t xml:space="preserve">&lt;-</w:t>
      </w:r>
      <w:r>
        <w:rPr>
          <w:rStyle w:val="NormalTok"/>
        </w:rPr>
        <w:t xml:space="preserve"> </w:t>
      </w:r>
      <w:r>
        <w:rPr>
          <w:rStyle w:val="FunctionTok"/>
        </w:rPr>
        <w:t xml:space="preserve">tapply</w:t>
      </w:r>
      <w:r>
        <w:rPr>
          <w:rStyle w:val="NormalTok"/>
        </w:rPr>
        <w:t xml:space="preserve">(ign_res</w:t>
      </w:r>
      <w:r>
        <w:rPr>
          <w:rStyle w:val="SpecialCharTok"/>
        </w:rPr>
        <w:t xml:space="preserve">$</w:t>
      </w:r>
      <w:r>
        <w:rPr>
          <w:rStyle w:val="NormalTok"/>
        </w:rPr>
        <w:t xml:space="preserve">p, ign_res</w:t>
      </w:r>
      <w:r>
        <w:rPr>
          <w:rStyle w:val="SpecialCharTok"/>
        </w:rPr>
        <w:t xml:space="preserve">$</w:t>
      </w:r>
      <w:r>
        <w:rPr>
          <w:rStyle w:val="NormalTok"/>
        </w:rPr>
        <w:t xml:space="preserve">response, </w:t>
      </w:r>
      <w:r>
        <w:rPr>
          <w:rStyle w:val="ControlFlowTok"/>
        </w:rPr>
        <w:t xml:space="preserve">function</w:t>
      </w:r>
      <w:r>
        <w:rPr>
          <w:rStyle w:val="NormalTok"/>
        </w:rPr>
        <w:t xml:space="preserve">(p) </w:t>
      </w:r>
      <w:r>
        <w:rPr>
          <w:rStyle w:val="FunctionTok"/>
        </w:rPr>
        <w:t xml:space="preserve">sum</w:t>
      </w:r>
      <w:r>
        <w:rPr>
          <w:rStyle w:val="NormalTok"/>
        </w:rPr>
        <w:t xml:space="preserve">(p </w:t>
      </w:r>
      <w:r>
        <w:rPr>
          <w:rStyle w:val="SpecialCharTok"/>
        </w:rPr>
        <w:t xml:space="preserve">&lt;</w:t>
      </w:r>
      <w:r>
        <w:rPr>
          <w:rStyle w:val="NormalTok"/>
        </w:rPr>
        <w:t xml:space="preserve"> </w:t>
      </w:r>
      <w:r>
        <w:rPr>
          <w:rStyle w:val="FloatTok"/>
        </w:rPr>
        <w:t xml:space="preserve">0.05</w:t>
      </w:r>
      <w:r>
        <w:rPr>
          <w:rStyle w:val="NormalTok"/>
        </w:rPr>
        <w:t xml:space="preserve">))</w:t>
      </w:r>
      <w:r>
        <w:br/>
      </w:r>
      <w:r>
        <w:rPr>
          <w:rStyle w:val="NormalTok"/>
        </w:rPr>
        <w:t xml:space="preserve">rr </w:t>
      </w:r>
      <w:r>
        <w:rPr>
          <w:rStyle w:val="OtherTok"/>
        </w:rPr>
        <w:t xml:space="preserve">&lt;-</w:t>
      </w:r>
      <w:r>
        <w:rPr>
          <w:rStyle w:val="NormalTok"/>
        </w:rPr>
        <w:t xml:space="preserve"> </w:t>
      </w:r>
      <w:r>
        <w:rPr>
          <w:rStyle w:val="ControlFlowTok"/>
        </w:rPr>
        <w:t xml:space="preserve">function</w:t>
      </w:r>
      <w:r>
        <w:rPr>
          <w:rStyle w:val="NormalTok"/>
        </w:rPr>
        <w:t xml:space="preserve">(resp, s) {</w:t>
      </w:r>
      <w:r>
        <w:br/>
      </w:r>
      <w:r>
        <w:rPr>
          <w:rStyle w:val="NormalTok"/>
        </w:rPr>
        <w:t xml:space="preserve">  v </w:t>
      </w:r>
      <w:r>
        <w:rPr>
          <w:rStyle w:val="OtherTok"/>
        </w:rPr>
        <w:t xml:space="preserve">&lt;-</w:t>
      </w:r>
      <w:r>
        <w:rPr>
          <w:rStyle w:val="NormalTok"/>
        </w:rPr>
        <w:t xml:space="preserve"> ign_res</w:t>
      </w:r>
      <w:r>
        <w:rPr>
          <w:rStyle w:val="SpecialCharTok"/>
        </w:rPr>
        <w:t xml:space="preserve">$</w:t>
      </w:r>
      <w:r>
        <w:rPr>
          <w:rStyle w:val="NormalTok"/>
        </w:rPr>
        <w:t xml:space="preserve">coef[ign_res</w:t>
      </w:r>
      <w:r>
        <w:rPr>
          <w:rStyle w:val="SpecialCharTok"/>
        </w:rPr>
        <w:t xml:space="preserve">$</w:t>
      </w:r>
      <w:r>
        <w:rPr>
          <w:rStyle w:val="NormalTok"/>
        </w:rPr>
        <w:t xml:space="preserve">response </w:t>
      </w:r>
      <w:r>
        <w:rPr>
          <w:rStyle w:val="SpecialCharTok"/>
        </w:rPr>
        <w:t xml:space="preserve">==</w:t>
      </w:r>
      <w:r>
        <w:rPr>
          <w:rStyle w:val="NormalTok"/>
        </w:rPr>
        <w:t xml:space="preserve"> resp </w:t>
      </w:r>
      <w:r>
        <w:rPr>
          <w:rStyle w:val="SpecialCharTok"/>
        </w:rPr>
        <w:t xml:space="preserve">&amp;</w:t>
      </w:r>
      <w:r>
        <w:rPr>
          <w:rStyle w:val="NormalTok"/>
        </w:rPr>
        <w:t xml:space="preserve"> ign_res</w:t>
      </w:r>
      <w:r>
        <w:rPr>
          <w:rStyle w:val="SpecialCharTok"/>
        </w:rPr>
        <w:t xml:space="preserve">$</w:t>
      </w:r>
      <w:r>
        <w:rPr>
          <w:rStyle w:val="NormalTok"/>
        </w:rPr>
        <w:t xml:space="preserve">series </w:t>
      </w:r>
      <w:r>
        <w:rPr>
          <w:rStyle w:val="SpecialCharTok"/>
        </w:rPr>
        <w:t xml:space="preserve">==</w:t>
      </w:r>
      <w:r>
        <w:rPr>
          <w:rStyle w:val="NormalTok"/>
        </w:rPr>
        <w:t xml:space="preserve"> s]</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length</w:t>
      </w:r>
      <w:r>
        <w:rPr>
          <w:rStyle w:val="NormalTok"/>
        </w:rPr>
        <w:t xml:space="preserve">(v)) </w:t>
      </w:r>
      <w:r>
        <w:rPr>
          <w:rStyle w:val="ConstantTok"/>
        </w:rPr>
        <w:t xml:space="preserve">NA_real_</w:t>
      </w:r>
      <w:r>
        <w:rPr>
          <w:rStyle w:val="NormalTok"/>
        </w:rPr>
        <w:t xml:space="preserve"> </w:t>
      </w:r>
      <w:r>
        <w:rPr>
          <w:rStyle w:val="ControlFlowTok"/>
        </w:rPr>
        <w:t xml:space="preserve">else</w:t>
      </w:r>
      <w:r>
        <w:rPr>
          <w:rStyle w:val="NormalTok"/>
        </w:rPr>
        <w:t xml:space="preserve"> </w:t>
      </w:r>
      <w:r>
        <w:rPr>
          <w:rStyle w:val="FunctionTok"/>
        </w:rPr>
        <w:t xml:space="preserve">exp</w:t>
      </w:r>
      <w:r>
        <w:rPr>
          <w:rStyle w:val="NormalTok"/>
        </w:rPr>
        <w:t xml:space="preserve">(</w:t>
      </w:r>
      <w:r>
        <w:rPr>
          <w:rStyle w:val="DecValTok"/>
        </w:rPr>
        <w:t xml:space="preserve">10</w:t>
      </w:r>
      <w:r>
        <w:rPr>
          <w:rStyle w:val="NormalTok"/>
        </w:rPr>
        <w:t xml:space="preserve"> </w:t>
      </w:r>
      <w:r>
        <w:rPr>
          <w:rStyle w:val="SpecialCharTok"/>
        </w:rPr>
        <w:t xml:space="preserve">*</w:t>
      </w:r>
      <w:r>
        <w:rPr>
          <w:rStyle w:val="NormalTok"/>
        </w:rPr>
        <w:t xml:space="preserve"> v)</w:t>
      </w:r>
      <w:r>
        <w:br/>
      </w:r>
      <w:r>
        <w:rPr>
          <w:rStyle w:val="NormalTok"/>
        </w:rPr>
        <w:t xml:space="preserve">}</w:t>
      </w:r>
      <w:r>
        <w:br/>
      </w:r>
      <w:r>
        <w:rPr>
          <w:rStyle w:val="NormalTok"/>
        </w:rPr>
        <w:t xml:space="preserve">rr_light </w:t>
      </w:r>
      <w:r>
        <w:rPr>
          <w:rStyle w:val="OtherTok"/>
        </w:rPr>
        <w:t xml:space="preserve">&lt;-</w:t>
      </w:r>
      <w:r>
        <w:rPr>
          <w:rStyle w:val="NormalTok"/>
        </w:rPr>
        <w:t xml:space="preserve"> </w:t>
      </w:r>
      <w:r>
        <w:rPr>
          <w:rStyle w:val="FunctionTok"/>
        </w:rPr>
        <w:t xml:space="preserve">rr</w:t>
      </w:r>
      <w:r>
        <w:rPr>
          <w:rStyle w:val="NormalTok"/>
        </w:rPr>
        <w:t xml:space="preserve">(</w:t>
      </w:r>
      <w:r>
        <w:rPr>
          <w:rStyle w:val="StringTok"/>
        </w:rPr>
        <w:t xml:space="preserve">"n_lightning_all"</w:t>
      </w:r>
      <w:r>
        <w:rPr>
          <w:rStyle w:val="NormalTok"/>
        </w:rPr>
        <w:t xml:space="preserve">, </w:t>
      </w:r>
      <w:r>
        <w:rPr>
          <w:rStyle w:val="StringTok"/>
        </w:rPr>
        <w:t xml:space="preserve">"s3"</w:t>
      </w:r>
      <w:r>
        <w:rPr>
          <w:rStyle w:val="NormalTok"/>
        </w:rPr>
        <w:t xml:space="preserve">)</w:t>
      </w:r>
      <w:r>
        <w:br/>
      </w:r>
      <w:r>
        <w:rPr>
          <w:rStyle w:val="NormalTok"/>
        </w:rPr>
        <w:t xml:space="preserve">rr_person </w:t>
      </w:r>
      <w:r>
        <w:rPr>
          <w:rStyle w:val="OtherTok"/>
        </w:rPr>
        <w:t xml:space="preserve">&lt;-</w:t>
      </w:r>
      <w:r>
        <w:rPr>
          <w:rStyle w:val="NormalTok"/>
        </w:rPr>
        <w:t xml:space="preserve"> </w:t>
      </w:r>
      <w:r>
        <w:rPr>
          <w:rStyle w:val="FunctionTok"/>
        </w:rPr>
        <w:t xml:space="preserve">rr</w:t>
      </w:r>
      <w:r>
        <w:rPr>
          <w:rStyle w:val="NormalTok"/>
        </w:rPr>
        <w:t xml:space="preserve">(</w:t>
      </w:r>
      <w:r>
        <w:rPr>
          <w:rStyle w:val="StringTok"/>
        </w:rPr>
        <w:t xml:space="preserve">"n_person_all"</w:t>
      </w:r>
      <w:r>
        <w:rPr>
          <w:rStyle w:val="NormalTok"/>
        </w:rPr>
        <w:t xml:space="preserve">, </w:t>
      </w:r>
      <w:r>
        <w:rPr>
          <w:rStyle w:val="StringTok"/>
        </w:rPr>
        <w:t xml:space="preserve">"s3"</w:t>
      </w:r>
      <w:r>
        <w:rPr>
          <w:rStyle w:val="NormalTok"/>
        </w:rPr>
        <w:t xml:space="preserve">)</w:t>
      </w:r>
    </w:p>
    <w:p>
      <w:pPr>
        <w:pStyle w:val="FirstParagraph"/>
      </w:pPr>
      <w:hyperlink w:anchor="tbl-ignition">
        <w:r>
          <w:rPr>
            <w:rStyle w:val="Hyperlink"/>
          </w:rPr>
          <w:t xml:space="preserve">Table 11</w:t>
        </w:r>
      </w:hyperlink>
      <w:r>
        <w:t xml:space="preserve"> </w:t>
      </w:r>
      <w:r>
        <w:t xml:space="preserve">gives the models. The danger term was positive and significant at the conventional level for 13 of the 15 response and series combinations, identified entirely from day-to-day variation inside a season.</w:t>
      </w:r>
    </w:p>
    <w:p>
      <w:pPr>
        <w:pStyle w:val="BodyText"/>
      </w:pPr>
      <w:r>
        <w:t xml:space="preserve">The response that carried the signal was not the one expected. Ten units of Fire Weather Index multiplied the expected daily person-caused count by 1.51 and the expected daily lightning count by 1.10, and it was the lightning term, not the person one, that failed to separate from zero. That is the reverse of the expected order until the two mechanisms are separated. A person-caused ignition needs an ignition source and a receptive fuel bed; the sources are close to constant from day to day, so whether one becomes a reported fire is largely a question of fuel moisture, which is what the index measures. A lightning-caused ignition needs a strike, and strikes are not in this model. Lightning ignitions also arrive in bursts, one storm producing many fires, which was visible in the fitted dispersion parameter, at 0.11 for the lightning series against 2.97 for the person-caused one, where a smaller value means more clustering. The person-caused series was carried as a control against a shared confounder and turned out to be the more informative response. No lightning-strike record covering the whole period was obtained, and that omission, rather than an absence of any relationship, is the most likely reason the lightning term is weak, since</w:t>
      </w:r>
      <w:r>
        <w:t xml:space="preserve"> </w:t>
      </w:r>
      <w:r>
        <w:t xml:space="preserve">Magnussen &amp; Taylor (2012)</w:t>
      </w:r>
      <w:r>
        <w:t xml:space="preserve">, who had strike data, predicted the daily number of lightning fires in British Columbia better than the number of human-caused ones. A second reason is timing. A lightning ignition can smoulder in the duff before it is found, and</w:t>
      </w:r>
      <w:r>
        <w:t xml:space="preserve"> </w:t>
      </w:r>
      <w:r>
        <w:t xml:space="preserve">Coogan, Cannon, &amp; Flannigan (2025)</w:t>
      </w:r>
      <w:r>
        <w:t xml:space="preserve"> </w:t>
      </w:r>
      <w:r>
        <w:t xml:space="preserve">noted in agency fire records</w:t>
      </w:r>
      <w:r>
        <w:t xml:space="preserve"> </w:t>
      </w:r>
      <w:r>
        <w:t xml:space="preserve">“a lag between the time a fire started and the time it was detected”</w:t>
      </w:r>
      <w:r>
        <w:t xml:space="preserve"> </w:t>
      </w:r>
      <w:r>
        <w:t xml:space="preserve">(Coogan et al., 2025, p. 16)</w:t>
      </w:r>
      <w:r>
        <w:t xml:space="preserve">, so a lightning fire dated to one day may have been ignited under the danger of an earlier one.</w:t>
      </w:r>
    </w:p>
    <w:p>
      <w:pPr>
        <w:pStyle w:val="BodyText"/>
      </w:pPr>
      <w:r>
        <w:t xml:space="preserve">The comparison the third question actually asked was between series, and it was small. On held-out seasons the three differed by 0.0005 in mean log likelihood per day, with FWI1987 on the 13:00 observation first at -0.4201 and FWI2025 on hourly weather last at -0.4206. Over the 4,743 days in the window that was a total difference of about 2.3 log likelihood units, which is not a basis for preferring one series over another.</w:t>
      </w:r>
      <w:r>
        <w:t xml:space="preserve"> </w:t>
      </w:r>
      <w:hyperlink w:anchor="fig-ignition">
        <w:r>
          <w:rPr>
            <w:rStyle w:val="Hyperlink"/>
          </w:rPr>
          <w:t xml:space="preserve">Figure 8</w:t>
        </w:r>
      </w:hyperlink>
      <w:r>
        <w:t xml:space="preserve"> </w:t>
      </w:r>
      <w:r>
        <w:t xml:space="preserve">shows the fitted and observed relationship, in which the three curves are separated horizontally by the same level differences the threshold table reports as percentiles, and vertically by very little.</w:t>
      </w:r>
    </w:p>
    <w:p>
      <w:pPr>
        <w:pStyle w:val="BodyText"/>
      </w:pPr>
      <w:hyperlink w:anchor="tbl-stationarity">
        <w:r>
          <w:rPr>
            <w:rStyle w:val="Hyperlink"/>
          </w:rPr>
          <w:t xml:space="preserve">Table 12</w:t>
        </w:r>
      </w:hyperlink>
      <w:r>
        <w:t xml:space="preserve"> </w:t>
      </w:r>
      <w:r>
        <w:t xml:space="preserve">tests whether that relationship changed across the record. The interaction between the danger term and season number is the quantity of interest, and it is reported with the caveat the record forces, that a between-season change is exactly what the ignition record’s own non-stationarity could imitate.</w:t>
      </w:r>
    </w:p>
    <w:p>
      <w:pPr>
        <w:pStyle w:val="SourceCode"/>
      </w:pPr>
      <w:r>
        <w:rPr>
          <w:rStyle w:val="CommentTok"/>
        </w:rPr>
        <w:t xml:space="preserve"># Two things are drawn and they are different. The points are the observed mean</w:t>
      </w:r>
      <w:r>
        <w:br/>
      </w:r>
      <w:r>
        <w:rPr>
          <w:rStyle w:val="CommentTok"/>
        </w:rPr>
        <w:t xml:space="preserve"># daily count in equal-count bins of the danger value, so each rests on the same</w:t>
      </w:r>
      <w:r>
        <w:br/>
      </w:r>
      <w:r>
        <w:rPr>
          <w:rStyle w:val="CommentTok"/>
        </w:rPr>
        <w:t xml:space="preserve"># number of days and the right hand tail is not one noisy observation. The curves</w:t>
      </w:r>
      <w:r>
        <w:br/>
      </w:r>
      <w:r>
        <w:rPr>
          <w:rStyle w:val="CommentTok"/>
        </w:rPr>
        <w:t xml:space="preserve"># are the fitted negative binomial rate, refitted here for the lightning response,</w:t>
      </w:r>
      <w:r>
        <w:br/>
      </w:r>
      <w:r>
        <w:rPr>
          <w:rStyle w:val="CommentTok"/>
        </w:rPr>
        <w:t xml:space="preserve"># evaluated at the mean fitted season effect and at mid-season day of year, which</w:t>
      </w:r>
      <w:r>
        <w:br/>
      </w:r>
      <w:r>
        <w:rPr>
          <w:rStyle w:val="CommentTok"/>
        </w:rPr>
        <w:t xml:space="preserve"># is what the model says a typical season looks like.</w:t>
      </w:r>
      <w:r>
        <w:br/>
      </w:r>
      <w:r>
        <w:rPr>
          <w:rStyle w:val="NormalTok"/>
        </w:rPr>
        <w:t xml:space="preserve">binned </w:t>
      </w:r>
      <w:r>
        <w:rPr>
          <w:rStyle w:val="OtherTok"/>
        </w:rPr>
        <w:t xml:space="preserve">&lt;-</w:t>
      </w:r>
      <w:r>
        <w:rPr>
          <w:rStyle w:val="NormalTok"/>
        </w:rPr>
        <w:t xml:space="preserve"> </w:t>
      </w:r>
      <w:r>
        <w:rPr>
          <w:rStyle w:val="FunctionTok"/>
        </w:rPr>
        <w:t xml:space="preserve">lapply</w:t>
      </w:r>
      <w:r>
        <w:rPr>
          <w:rStyle w:val="NormalTok"/>
        </w:rPr>
        <w:t xml:space="preserve">(</w:t>
      </w:r>
      <w:r>
        <w:rPr>
          <w:rStyle w:val="FunctionTok"/>
        </w:rPr>
        <w:t xml:space="preserve">names</w:t>
      </w:r>
      <w:r>
        <w:rPr>
          <w:rStyle w:val="NormalTok"/>
        </w:rPr>
        <w:t xml:space="preserve">(SERIES), </w:t>
      </w:r>
      <w:r>
        <w:rPr>
          <w:rStyle w:val="ControlFlowTok"/>
        </w:rPr>
        <w:t xml:space="preserve">function</w:t>
      </w:r>
      <w:r>
        <w:rPr>
          <w:rStyle w:val="NormalTok"/>
        </w:rPr>
        <w:t xml:space="preserve">(s) {</w:t>
      </w:r>
      <w:r>
        <w:br/>
      </w:r>
      <w:r>
        <w:rPr>
          <w:rStyle w:val="NormalTok"/>
        </w:rPr>
        <w:t xml:space="preserve">  x </w:t>
      </w:r>
      <w:r>
        <w:rPr>
          <w:rStyle w:val="OtherTok"/>
        </w:rPr>
        <w:t xml:space="preserve">&lt;-</w:t>
      </w:r>
      <w:r>
        <w:rPr>
          <w:rStyle w:val="NormalTok"/>
        </w:rPr>
        <w:t xml:space="preserve"> mod_dat[[</w:t>
      </w:r>
      <w:r>
        <w:rPr>
          <w:rStyle w:val="FunctionTok"/>
        </w:rPr>
        <w:t xml:space="preserve">paste0</w:t>
      </w:r>
      <w:r>
        <w:rPr>
          <w:rStyle w:val="NormalTok"/>
        </w:rPr>
        <w:t xml:space="preserve">(s, </w:t>
      </w:r>
      <w:r>
        <w:rPr>
          <w:rStyle w:val="StringTok"/>
        </w:rPr>
        <w:t xml:space="preserve">"_fwi"</w:t>
      </w:r>
      <w:r>
        <w:rPr>
          <w:rStyle w:val="NormalTok"/>
        </w:rPr>
        <w:t xml:space="preserve">)]]</w:t>
      </w:r>
      <w:r>
        <w:br/>
      </w:r>
      <w:r>
        <w:rPr>
          <w:rStyle w:val="NormalTok"/>
        </w:rPr>
        <w:t xml:space="preserve">  y </w:t>
      </w:r>
      <w:r>
        <w:rPr>
          <w:rStyle w:val="OtherTok"/>
        </w:rPr>
        <w:t xml:space="preserve">&lt;-</w:t>
      </w:r>
      <w:r>
        <w:rPr>
          <w:rStyle w:val="NormalTok"/>
        </w:rPr>
        <w:t xml:space="preserve"> mod_dat</w:t>
      </w:r>
      <w:r>
        <w:rPr>
          <w:rStyle w:val="SpecialCharTok"/>
        </w:rPr>
        <w:t xml:space="preserve">$</w:t>
      </w:r>
      <w:r>
        <w:rPr>
          <w:rStyle w:val="NormalTok"/>
        </w:rPr>
        <w:t xml:space="preserve">n_lightning_all</w:t>
      </w:r>
      <w:r>
        <w:br/>
      </w:r>
      <w:r>
        <w:rPr>
          <w:rStyle w:val="NormalTok"/>
        </w:rPr>
        <w:t xml:space="preserve">  ok </w:t>
      </w:r>
      <w:r>
        <w:rPr>
          <w:rStyle w:val="OtherTok"/>
        </w:rPr>
        <w:t xml:space="preserve">&lt;-</w:t>
      </w:r>
      <w:r>
        <w:rPr>
          <w:rStyle w:val="NormalTok"/>
        </w:rPr>
        <w:t xml:space="preserve"> </w:t>
      </w:r>
      <w:r>
        <w:rPr>
          <w:rStyle w:val="FunctionTok"/>
        </w:rPr>
        <w:t xml:space="preserve">is.finite</w:t>
      </w:r>
      <w:r>
        <w:rPr>
          <w:rStyle w:val="NormalTok"/>
        </w:rPr>
        <w:t xml:space="preserve">(x) </w:t>
      </w:r>
      <w:r>
        <w:rPr>
          <w:rStyle w:val="SpecialCharTok"/>
        </w:rPr>
        <w:t xml:space="preserve">&amp;</w:t>
      </w:r>
      <w:r>
        <w:rPr>
          <w:rStyle w:val="NormalTok"/>
        </w:rPr>
        <w:t xml:space="preserve"> </w:t>
      </w:r>
      <w:r>
        <w:rPr>
          <w:rStyle w:val="FunctionTok"/>
        </w:rPr>
        <w:t xml:space="preserve">is.finite</w:t>
      </w:r>
      <w:r>
        <w:rPr>
          <w:rStyle w:val="NormalTok"/>
        </w:rPr>
        <w:t xml:space="preserve">(y)</w:t>
      </w:r>
      <w:r>
        <w:br/>
      </w:r>
      <w:r>
        <w:rPr>
          <w:rStyle w:val="NormalTok"/>
        </w:rPr>
        <w:t xml:space="preserve">  br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quantile</w:t>
      </w:r>
      <w:r>
        <w:rPr>
          <w:rStyle w:val="NormalTok"/>
        </w:rPr>
        <w:t xml:space="preserve">(x[ok],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length.out =</w:t>
      </w:r>
      <w:r>
        <w:rPr>
          <w:rStyle w:val="NormalTok"/>
        </w:rPr>
        <w:t xml:space="preserve"> </w:t>
      </w:r>
      <w:r>
        <w:rPr>
          <w:rStyle w:val="DecValTok"/>
        </w:rPr>
        <w:t xml:space="preserve">13</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bin </w:t>
      </w:r>
      <w:r>
        <w:rPr>
          <w:rStyle w:val="OtherTok"/>
        </w:rPr>
        <w:t xml:space="preserve">&lt;-</w:t>
      </w:r>
      <w:r>
        <w:rPr>
          <w:rStyle w:val="NormalTok"/>
        </w:rPr>
        <w:t xml:space="preserve"> </w:t>
      </w:r>
      <w:r>
        <w:rPr>
          <w:rStyle w:val="FunctionTok"/>
        </w:rPr>
        <w:t xml:space="preserve">cut</w:t>
      </w:r>
      <w:r>
        <w:rPr>
          <w:rStyle w:val="NormalTok"/>
        </w:rPr>
        <w:t xml:space="preserve">(x[ok], br, </w:t>
      </w:r>
      <w:r>
        <w:rPr>
          <w:rStyle w:val="AttributeTok"/>
        </w:rPr>
        <w:t xml:space="preserve">include.lowest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tapply</w:t>
      </w:r>
      <w:r>
        <w:rPr>
          <w:rStyle w:val="NormalTok"/>
        </w:rPr>
        <w:t xml:space="preserve">(x[ok], bin, mean), </w:t>
      </w:r>
      <w:r>
        <w:rPr>
          <w:rStyle w:val="AttributeTok"/>
        </w:rPr>
        <w:t xml:space="preserve">y =</w:t>
      </w:r>
      <w:r>
        <w:rPr>
          <w:rStyle w:val="NormalTok"/>
        </w:rPr>
        <w:t xml:space="preserve"> </w:t>
      </w:r>
      <w:r>
        <w:rPr>
          <w:rStyle w:val="FunctionTok"/>
        </w:rPr>
        <w:t xml:space="preserve">tapply</w:t>
      </w:r>
      <w:r>
        <w:rPr>
          <w:rStyle w:val="NormalTok"/>
        </w:rPr>
        <w:t xml:space="preserve">(y[ok], bin, mean))</w:t>
      </w:r>
      <w:r>
        <w:br/>
      </w:r>
      <w:r>
        <w:rPr>
          <w:rStyle w:val="NormalTok"/>
        </w:rPr>
        <w:t xml:space="preserve">})</w:t>
      </w:r>
      <w:r>
        <w:br/>
      </w:r>
      <w:r>
        <w:rPr>
          <w:rStyle w:val="FunctionTok"/>
        </w:rPr>
        <w:t xml:space="preserve">names</w:t>
      </w:r>
      <w:r>
        <w:rPr>
          <w:rStyle w:val="NormalTok"/>
        </w:rPr>
        <w:t xml:space="preserve">(binned) </w:t>
      </w:r>
      <w:r>
        <w:rPr>
          <w:rStyle w:val="OtherTok"/>
        </w:rPr>
        <w:t xml:space="preserve">&lt;-</w:t>
      </w:r>
      <w:r>
        <w:rPr>
          <w:rStyle w:val="NormalTok"/>
        </w:rPr>
        <w:t xml:space="preserve"> </w:t>
      </w:r>
      <w:r>
        <w:rPr>
          <w:rStyle w:val="FunctionTok"/>
        </w:rPr>
        <w:t xml:space="preserve">names</w:t>
      </w:r>
      <w:r>
        <w:rPr>
          <w:rStyle w:val="NormalTok"/>
        </w:rPr>
        <w:t xml:space="preserve">(SERIES)</w:t>
      </w:r>
      <w:r>
        <w:br/>
      </w:r>
      <w:r>
        <w:br/>
      </w:r>
      <w:r>
        <w:rPr>
          <w:rStyle w:val="NormalTok"/>
        </w:rPr>
        <w:t xml:space="preserve">mid_doy </w:t>
      </w:r>
      <w:r>
        <w:rPr>
          <w:rStyle w:val="OtherTok"/>
        </w:rPr>
        <w:t xml:space="preserve">&lt;-</w:t>
      </w:r>
      <w:r>
        <w:rPr>
          <w:rStyle w:val="NormalTok"/>
        </w:rPr>
        <w:t xml:space="preserve"> </w:t>
      </w:r>
      <w:r>
        <w:rPr>
          <w:rStyle w:val="FunctionTok"/>
        </w:rPr>
        <w:t xml:space="preserve">median</w:t>
      </w:r>
      <w:r>
        <w:rPr>
          <w:rStyle w:val="NormalTok"/>
        </w:rPr>
        <w:t xml:space="preserve">(mod_dat</w:t>
      </w:r>
      <w:r>
        <w:rPr>
          <w:rStyle w:val="SpecialCharTok"/>
        </w:rPr>
        <w:t xml:space="preserve">$</w:t>
      </w:r>
      <w:r>
        <w:rPr>
          <w:rStyle w:val="NormalTok"/>
        </w:rPr>
        <w:t xml:space="preserve">doy)</w:t>
      </w:r>
      <w:r>
        <w:br/>
      </w:r>
      <w:r>
        <w:rPr>
          <w:rStyle w:val="NormalTok"/>
        </w:rPr>
        <w:t xml:space="preserve">fitted_curve </w:t>
      </w:r>
      <w:r>
        <w:rPr>
          <w:rStyle w:val="OtherTok"/>
        </w:rPr>
        <w:t xml:space="preserve">&lt;-</w:t>
      </w:r>
      <w:r>
        <w:rPr>
          <w:rStyle w:val="NormalTok"/>
        </w:rPr>
        <w:t xml:space="preserve"> </w:t>
      </w:r>
      <w:r>
        <w:rPr>
          <w:rStyle w:val="ControlFlowTok"/>
        </w:rPr>
        <w:t xml:space="preserve">function</w:t>
      </w:r>
      <w:r>
        <w:rPr>
          <w:rStyle w:val="NormalTok"/>
        </w:rPr>
        <w:t xml:space="preserve">(s) {</w:t>
      </w:r>
      <w:r>
        <w:br/>
      </w:r>
      <w:r>
        <w:rPr>
          <w:rStyle w:val="NormalTok"/>
        </w:rPr>
        <w:t xml:space="preserve">  m </w:t>
      </w:r>
      <w:r>
        <w:rPr>
          <w:rStyle w:val="OtherTok"/>
        </w:rPr>
        <w:t xml:space="preserve">&lt;-</w:t>
      </w:r>
      <w:r>
        <w:rPr>
          <w:rStyle w:val="NormalTok"/>
        </w:rPr>
        <w:t xml:space="preserve"> </w:t>
      </w:r>
      <w:r>
        <w:rPr>
          <w:rStyle w:val="FunctionTok"/>
        </w:rPr>
        <w:t xml:space="preserve">tryCatch</w:t>
      </w:r>
      <w:r>
        <w:rPr>
          <w:rStyle w:val="NormalTok"/>
        </w:rPr>
        <w:t xml:space="preserve">(</w:t>
      </w:r>
      <w:r>
        <w:rPr>
          <w:rStyle w:val="FunctionTok"/>
        </w:rPr>
        <w:t xml:space="preserve">ignition_model</w:t>
      </w:r>
      <w:r>
        <w:rPr>
          <w:rStyle w:val="NormalTok"/>
        </w:rPr>
        <w:t xml:space="preserve">(mod_dat, </w:t>
      </w:r>
      <w:r>
        <w:rPr>
          <w:rStyle w:val="StringTok"/>
        </w:rPr>
        <w:t xml:space="preserve">"n_lightning_all"</w:t>
      </w:r>
      <w:r>
        <w:rPr>
          <w:rStyle w:val="NormalTok"/>
        </w:rPr>
        <w:t xml:space="preserve">, </w:t>
      </w:r>
      <w:r>
        <w:rPr>
          <w:rStyle w:val="FunctionTok"/>
        </w:rPr>
        <w:t xml:space="preserve">paste0</w:t>
      </w:r>
      <w:r>
        <w:rPr>
          <w:rStyle w:val="NormalTok"/>
        </w:rPr>
        <w:t xml:space="preserve">(s, </w:t>
      </w:r>
      <w:r>
        <w:rPr>
          <w:rStyle w:val="StringTok"/>
        </w:rPr>
        <w:t xml:space="preserve">"_fwi"</w:t>
      </w:r>
      <w:r>
        <w:rPr>
          <w:rStyle w:val="NormalTok"/>
        </w:rPr>
        <w:t xml:space="preserve">),</w:t>
      </w:r>
      <w:r>
        <w:br/>
      </w:r>
      <w:r>
        <w:rPr>
          <w:rStyle w:val="NormalTok"/>
        </w:rPr>
        <w:t xml:space="preserve">                               </w:t>
      </w:r>
      <w:r>
        <w:rPr>
          <w:rStyle w:val="AttributeTok"/>
        </w:rPr>
        <w:t xml:space="preserve">extra =</w:t>
      </w:r>
      <w:r>
        <w:rPr>
          <w:rStyle w:val="NormalTok"/>
        </w:rPr>
        <w:t xml:space="preserve"> </w:t>
      </w:r>
      <w:r>
        <w:rPr>
          <w:rStyle w:val="StringTok"/>
        </w:rPr>
        <w:t xml:space="preserve">"n_stations"</w:t>
      </w:r>
      <w:r>
        <w:rPr>
          <w:rStyle w:val="NormalTok"/>
        </w:rPr>
        <w:t xml:space="preserve">),</w:t>
      </w:r>
      <w:r>
        <w:br/>
      </w:r>
      <w:r>
        <w:rPr>
          <w:rStyle w:val="NormalTok"/>
        </w:rPr>
        <w:t xml:space="preserve">                </w:t>
      </w:r>
      <w:r>
        <w:rPr>
          <w:rStyle w:val="AttributeTok"/>
        </w:rPr>
        <w:t xml:space="preserve">error =</w:t>
      </w:r>
      <w:r>
        <w:rPr>
          <w:rStyle w:val="NormalTok"/>
        </w:rPr>
        <w:t xml:space="preserve"> </w:t>
      </w:r>
      <w:r>
        <w:rPr>
          <w:rStyle w:val="ControlFlowTok"/>
        </w:rPr>
        <w:t xml:space="preserve">function</w:t>
      </w:r>
      <w:r>
        <w:rPr>
          <w:rStyle w:val="NormalTok"/>
        </w:rPr>
        <w:t xml:space="preserve">(e) </w:t>
      </w:r>
      <w:r>
        <w:rPr>
          <w:rStyle w:val="ConstantTok"/>
        </w:rPr>
        <w:t xml:space="preserve">NULL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is.null</w:t>
      </w:r>
      <w:r>
        <w:rPr>
          <w:rStyle w:val="NormalTok"/>
        </w:rPr>
        <w:t xml:space="preserve">(m)) </w:t>
      </w:r>
      <w:r>
        <w:rPr>
          <w:rStyle w:val="FunctionTok"/>
        </w:rPr>
        <w:t xml:space="preserve">return</w:t>
      </w:r>
      <w:r>
        <w:rPr>
          <w:rStyle w:val="NormalTok"/>
        </w:rPr>
        <w:t xml:space="preserve">(</w:t>
      </w:r>
      <w:r>
        <w:rPr>
          <w:rStyle w:val="ConstantTok"/>
        </w:rPr>
        <w:t xml:space="preserve">NULL</w:t>
      </w:r>
      <w:r>
        <w:rPr>
          <w:rStyle w:val="NormalTok"/>
        </w:rPr>
        <w:t xml:space="preserve">)</w:t>
      </w:r>
      <w:r>
        <w:br/>
      </w:r>
      <w:r>
        <w:rPr>
          <w:rStyle w:val="NormalTok"/>
        </w:rPr>
        <w:t xml:space="preserve">  co </w:t>
      </w:r>
      <w:r>
        <w:rPr>
          <w:rStyle w:val="OtherTok"/>
        </w:rPr>
        <w:t xml:space="preserve">&lt;-</w:t>
      </w:r>
      <w:r>
        <w:rPr>
          <w:rStyle w:val="NormalTok"/>
        </w:rPr>
        <w:t xml:space="preserve"> </w:t>
      </w:r>
      <w:r>
        <w:rPr>
          <w:rStyle w:val="FunctionTok"/>
        </w:rPr>
        <w:t xml:space="preserve">coef</w:t>
      </w:r>
      <w:r>
        <w:rPr>
          <w:rStyle w:val="NormalTok"/>
        </w:rPr>
        <w:t xml:space="preserve">(m)</w:t>
      </w:r>
      <w:r>
        <w:br/>
      </w:r>
      <w:r>
        <w:rPr>
          <w:rStyle w:val="NormalTok"/>
        </w:rPr>
        <w:t xml:space="preserve">  cf </w:t>
      </w:r>
      <w:r>
        <w:rPr>
          <w:rStyle w:val="OtherTok"/>
        </w:rPr>
        <w:t xml:space="preserve">&lt;-</w:t>
      </w:r>
      <w:r>
        <w:rPr>
          <w:rStyle w:val="NormalTok"/>
        </w:rPr>
        <w:t xml:space="preserve"> </w:t>
      </w:r>
      <w:r>
        <w:rPr>
          <w:rStyle w:val="ControlFlowTok"/>
        </w:rPr>
        <w:t xml:space="preserve">function</w:t>
      </w:r>
      <w:r>
        <w:rPr>
          <w:rStyle w:val="NormalTok"/>
        </w:rPr>
        <w:t xml:space="preserve">(nm) </w:t>
      </w:r>
      <w:r>
        <w:rPr>
          <w:rStyle w:val="ControlFlowTok"/>
        </w:rPr>
        <w:t xml:space="preserve">if</w:t>
      </w:r>
      <w:r>
        <w:rPr>
          <w:rStyle w:val="NormalTok"/>
        </w:rPr>
        <w:t xml:space="preserve"> (nm </w:t>
      </w:r>
      <w:r>
        <w:rPr>
          <w:rStyle w:val="SpecialCharTok"/>
        </w:rPr>
        <w:t xml:space="preserve">%in%</w:t>
      </w:r>
      <w:r>
        <w:rPr>
          <w:rStyle w:val="NormalTok"/>
        </w:rPr>
        <w:t xml:space="preserve"> </w:t>
      </w:r>
      <w:r>
        <w:rPr>
          <w:rStyle w:val="FunctionTok"/>
        </w:rPr>
        <w:t xml:space="preserve">names</w:t>
      </w:r>
      <w:r>
        <w:rPr>
          <w:rStyle w:val="NormalTok"/>
        </w:rPr>
        <w:t xml:space="preserve">(co) </w:t>
      </w:r>
      <w:r>
        <w:rPr>
          <w:rStyle w:val="SpecialCharTok"/>
        </w:rPr>
        <w:t xml:space="preserve">&amp;&amp;</w:t>
      </w:r>
      <w:r>
        <w:rPr>
          <w:rStyle w:val="NormalTok"/>
        </w:rPr>
        <w:t xml:space="preserve"> </w:t>
      </w:r>
      <w:r>
        <w:rPr>
          <w:rStyle w:val="FunctionTok"/>
        </w:rPr>
        <w:t xml:space="preserve">is.finite</w:t>
      </w:r>
      <w:r>
        <w:rPr>
          <w:rStyle w:val="NormalTok"/>
        </w:rPr>
        <w:t xml:space="preserve">(co[[nm]])) co[[nm]] </w:t>
      </w:r>
      <w:r>
        <w:rPr>
          <w:rStyle w:val="ControlFlowTok"/>
        </w:rPr>
        <w:t xml:space="preserve">else</w:t>
      </w:r>
      <w:r>
        <w:rPr>
          <w:rStyle w:val="NormalTok"/>
        </w:rPr>
        <w:t xml:space="preserve"> </w:t>
      </w:r>
      <w:r>
        <w:rPr>
          <w:rStyle w:val="DecValTok"/>
        </w:rPr>
        <w:t xml:space="preserve">0</w:t>
      </w:r>
      <w:r>
        <w:br/>
      </w:r>
      <w:r>
        <w:rPr>
          <w:rStyle w:val="NormalTok"/>
        </w:rPr>
        <w:t xml:space="preserve">  yr_terms </w:t>
      </w:r>
      <w:r>
        <w:rPr>
          <w:rStyle w:val="OtherTok"/>
        </w:rPr>
        <w:t xml:space="preserve">&lt;-</w:t>
      </w:r>
      <w:r>
        <w:rPr>
          <w:rStyle w:val="NormalTok"/>
        </w:rPr>
        <w:t xml:space="preserve"> co[</w:t>
      </w:r>
      <w:r>
        <w:rPr>
          <w:rStyle w:val="FunctionTok"/>
        </w:rPr>
        <w:t xml:space="preserve">grepl</w:t>
      </w:r>
      <w:r>
        <w:rPr>
          <w:rStyle w:val="NormalTok"/>
        </w:rPr>
        <w:t xml:space="preserve">(</w:t>
      </w:r>
      <w:r>
        <w:rPr>
          <w:rStyle w:val="StringTok"/>
        </w:rPr>
        <w:t xml:space="preserve">"^</w:t>
      </w:r>
      <w:r>
        <w:rPr>
          <w:rStyle w:val="SpecialCharTok"/>
        </w:rPr>
        <w:t xml:space="preserve">\\</w:t>
      </w:r>
      <w:r>
        <w:rPr>
          <w:rStyle w:val="StringTok"/>
        </w:rPr>
        <w:t xml:space="preserve">.year"</w:t>
      </w:r>
      <w:r>
        <w:rPr>
          <w:rStyle w:val="NormalTok"/>
        </w:rPr>
        <w:t xml:space="preserve">, </w:t>
      </w:r>
      <w:r>
        <w:rPr>
          <w:rStyle w:val="FunctionTok"/>
        </w:rPr>
        <w:t xml:space="preserve">names</w:t>
      </w:r>
      <w:r>
        <w:rPr>
          <w:rStyle w:val="NormalTok"/>
        </w:rPr>
        <w:t xml:space="preserve">(co))]</w:t>
      </w:r>
      <w:r>
        <w:br/>
      </w:r>
      <w:r>
        <w:rPr>
          <w:rStyle w:val="NormalTok"/>
        </w:rPr>
        <w:t xml:space="preserve">  grid </w:t>
      </w:r>
      <w:r>
        <w:rPr>
          <w:rStyle w:val="OtherTok"/>
        </w:rPr>
        <w:t xml:space="preserve">&lt;-</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(binned[[s]]</w:t>
      </w:r>
      <w:r>
        <w:rPr>
          <w:rStyle w:val="SpecialCharTok"/>
        </w:rPr>
        <w:t xml:space="preserve">$</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FunctionTok"/>
        </w:rPr>
        <w:t xml:space="preserve">max</w:t>
      </w:r>
      <w:r>
        <w:rPr>
          <w:rStyle w:val="NormalTok"/>
        </w:rPr>
        <w:t xml:space="preserve">(binned[[s]]</w:t>
      </w:r>
      <w:r>
        <w:rPr>
          <w:rStyle w:val="SpecialCharTok"/>
        </w:rPr>
        <w:t xml:space="preserve">$</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length.out =</w:t>
      </w:r>
      <w:r>
        <w:rPr>
          <w:rStyle w:val="NormalTok"/>
        </w:rPr>
        <w:t xml:space="preserve"> </w:t>
      </w:r>
      <w:r>
        <w:rPr>
          <w:rStyle w:val="DecValTok"/>
        </w:rPr>
        <w:t xml:space="preserve">60</w:t>
      </w:r>
      <w:r>
        <w:rPr>
          <w:rStyle w:val="NormalTok"/>
        </w:rPr>
        <w:t xml:space="preserve">)</w:t>
      </w:r>
      <w:r>
        <w:br/>
      </w:r>
      <w:r>
        <w:rPr>
          <w:rStyle w:val="NormalTok"/>
        </w:rPr>
        <w:t xml:space="preserve">  eta </w:t>
      </w:r>
      <w:r>
        <w:rPr>
          <w:rStyle w:val="OtherTok"/>
        </w:rPr>
        <w:t xml:space="preserve">&lt;-</w:t>
      </w:r>
      <w:r>
        <w:rPr>
          <w:rStyle w:val="NormalTok"/>
        </w:rPr>
        <w:t xml:space="preserve"> </w:t>
      </w:r>
      <w:r>
        <w:rPr>
          <w:rStyle w:val="FunctionTok"/>
        </w:rPr>
        <w:t xml:space="preserve">cf</w:t>
      </w:r>
      <w:r>
        <w:rPr>
          <w:rStyle w:val="NormalTok"/>
        </w:rPr>
        <w:t xml:space="preserve">(</w:t>
      </w:r>
      <w:r>
        <w:rPr>
          <w:rStyle w:val="StringTok"/>
        </w:rPr>
        <w:t xml:space="preserve">"(Intercept)"</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w:t>
      </w:r>
      <w:r>
        <w:rPr>
          <w:rStyle w:val="FunctionTok"/>
        </w:rPr>
        <w:t xml:space="preserve">c</w:t>
      </w:r>
      <w:r>
        <w:rPr>
          <w:rStyle w:val="NormalTok"/>
        </w:rPr>
        <w:t xml:space="preserve">(</w:t>
      </w:r>
      <w:r>
        <w:rPr>
          <w:rStyle w:val="DecValTok"/>
        </w:rPr>
        <w:t xml:space="preserve">0</w:t>
      </w:r>
      <w:r>
        <w:rPr>
          <w:rStyle w:val="NormalTok"/>
        </w:rPr>
        <w:t xml:space="preserve">, yr_terms),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cf</w:t>
      </w:r>
      <w:r>
        <w:rPr>
          <w:rStyle w:val="NormalTok"/>
        </w:rPr>
        <w:t xml:space="preserve">(</w:t>
      </w:r>
      <w:r>
        <w:rPr>
          <w:rStyle w:val="StringTok"/>
        </w:rPr>
        <w:t xml:space="preserve">".x"</w:t>
      </w:r>
      <w:r>
        <w:rPr>
          <w:rStyle w:val="NormalTok"/>
        </w:rPr>
        <w:t xml:space="preserve">) </w:t>
      </w:r>
      <w:r>
        <w:rPr>
          <w:rStyle w:val="SpecialCharTok"/>
        </w:rPr>
        <w:t xml:space="preserve">*</w:t>
      </w:r>
      <w:r>
        <w:rPr>
          <w:rStyle w:val="NormalTok"/>
        </w:rPr>
        <w:t xml:space="preserve"> grid </w:t>
      </w:r>
      <w:r>
        <w:rPr>
          <w:rStyle w:val="SpecialCharTok"/>
        </w:rPr>
        <w:t xml:space="preserve">+</w:t>
      </w:r>
      <w:r>
        <w:br/>
      </w:r>
      <w:r>
        <w:rPr>
          <w:rStyle w:val="NormalTok"/>
        </w:rPr>
        <w:t xml:space="preserve">    </w:t>
      </w:r>
      <w:r>
        <w:rPr>
          <w:rStyle w:val="FunctionTok"/>
        </w:rPr>
        <w:t xml:space="preserve">cf</w:t>
      </w:r>
      <w:r>
        <w:rPr>
          <w:rStyle w:val="NormalTok"/>
        </w:rPr>
        <w:t xml:space="preserve">(</w:t>
      </w:r>
      <w:r>
        <w:rPr>
          <w:rStyle w:val="StringTok"/>
        </w:rPr>
        <w:t xml:space="preserve">".s1"</w:t>
      </w:r>
      <w:r>
        <w:rPr>
          <w:rStyle w:val="NormalTok"/>
        </w:rPr>
        <w:t xml:space="preserve">) </w:t>
      </w:r>
      <w:r>
        <w:rPr>
          <w:rStyle w:val="SpecialCharTok"/>
        </w:rPr>
        <w:t xml:space="preserve">*</w:t>
      </w:r>
      <w:r>
        <w:rPr>
          <w:rStyle w:val="NormalTok"/>
        </w:rPr>
        <w:t xml:space="preserve"> </w:t>
      </w:r>
      <w:r>
        <w:rPr>
          <w:rStyle w:val="FunctionTok"/>
        </w:rPr>
        <w:t xml:space="preserve">sin</w:t>
      </w:r>
      <w:r>
        <w:rPr>
          <w:rStyle w:val="NormalTok"/>
        </w:rPr>
        <w:t xml:space="preserve">(</w:t>
      </w:r>
      <w:r>
        <w:rPr>
          <w:rStyle w:val="DecValTok"/>
        </w:rPr>
        <w:t xml:space="preserve">2</w:t>
      </w:r>
      <w:r>
        <w:rPr>
          <w:rStyle w:val="NormalTok"/>
        </w:rPr>
        <w:t xml:space="preserve"> </w:t>
      </w:r>
      <w:r>
        <w:rPr>
          <w:rStyle w:val="SpecialCharTok"/>
        </w:rPr>
        <w:t xml:space="preserve">*</w:t>
      </w:r>
      <w:r>
        <w:rPr>
          <w:rStyle w:val="NormalTok"/>
        </w:rPr>
        <w:t xml:space="preserve"> pi </w:t>
      </w:r>
      <w:r>
        <w:rPr>
          <w:rStyle w:val="SpecialCharTok"/>
        </w:rPr>
        <w:t xml:space="preserve">*</w:t>
      </w:r>
      <w:r>
        <w:rPr>
          <w:rStyle w:val="NormalTok"/>
        </w:rPr>
        <w:t xml:space="preserve"> mid_doy </w:t>
      </w:r>
      <w:r>
        <w:rPr>
          <w:rStyle w:val="SpecialCharTok"/>
        </w:rPr>
        <w:t xml:space="preserve">/</w:t>
      </w:r>
      <w:r>
        <w:rPr>
          <w:rStyle w:val="NormalTok"/>
        </w:rPr>
        <w:t xml:space="preserve"> </w:t>
      </w:r>
      <w:r>
        <w:rPr>
          <w:rStyle w:val="FloatTok"/>
        </w:rPr>
        <w:t xml:space="preserve">365.25</w:t>
      </w:r>
      <w:r>
        <w:rPr>
          <w:rStyle w:val="NormalTok"/>
        </w:rPr>
        <w:t xml:space="preserve">) </w:t>
      </w:r>
      <w:r>
        <w:rPr>
          <w:rStyle w:val="SpecialCharTok"/>
        </w:rPr>
        <w:t xml:space="preserve">+</w:t>
      </w:r>
      <w:r>
        <w:br/>
      </w:r>
      <w:r>
        <w:rPr>
          <w:rStyle w:val="NormalTok"/>
        </w:rPr>
        <w:t xml:space="preserve">    </w:t>
      </w:r>
      <w:r>
        <w:rPr>
          <w:rStyle w:val="FunctionTok"/>
        </w:rPr>
        <w:t xml:space="preserve">cf</w:t>
      </w:r>
      <w:r>
        <w:rPr>
          <w:rStyle w:val="NormalTok"/>
        </w:rPr>
        <w:t xml:space="preserve">(</w:t>
      </w:r>
      <w:r>
        <w:rPr>
          <w:rStyle w:val="StringTok"/>
        </w:rPr>
        <w:t xml:space="preserve">".c1"</w:t>
      </w:r>
      <w:r>
        <w:rPr>
          <w:rStyle w:val="NormalTok"/>
        </w:rPr>
        <w:t xml:space="preserve">) </w:t>
      </w:r>
      <w:r>
        <w:rPr>
          <w:rStyle w:val="SpecialCharTok"/>
        </w:rPr>
        <w:t xml:space="preserve">*</w:t>
      </w:r>
      <w:r>
        <w:rPr>
          <w:rStyle w:val="NormalTok"/>
        </w:rPr>
        <w:t xml:space="preserve"> </w:t>
      </w:r>
      <w:r>
        <w:rPr>
          <w:rStyle w:val="FunctionTok"/>
        </w:rPr>
        <w:t xml:space="preserve">cos</w:t>
      </w:r>
      <w:r>
        <w:rPr>
          <w:rStyle w:val="NormalTok"/>
        </w:rPr>
        <w:t xml:space="preserve">(</w:t>
      </w:r>
      <w:r>
        <w:rPr>
          <w:rStyle w:val="DecValTok"/>
        </w:rPr>
        <w:t xml:space="preserve">2</w:t>
      </w:r>
      <w:r>
        <w:rPr>
          <w:rStyle w:val="NormalTok"/>
        </w:rPr>
        <w:t xml:space="preserve"> </w:t>
      </w:r>
      <w:r>
        <w:rPr>
          <w:rStyle w:val="SpecialCharTok"/>
        </w:rPr>
        <w:t xml:space="preserve">*</w:t>
      </w:r>
      <w:r>
        <w:rPr>
          <w:rStyle w:val="NormalTok"/>
        </w:rPr>
        <w:t xml:space="preserve"> pi </w:t>
      </w:r>
      <w:r>
        <w:rPr>
          <w:rStyle w:val="SpecialCharTok"/>
        </w:rPr>
        <w:t xml:space="preserve">*</w:t>
      </w:r>
      <w:r>
        <w:rPr>
          <w:rStyle w:val="NormalTok"/>
        </w:rPr>
        <w:t xml:space="preserve"> mid_doy </w:t>
      </w:r>
      <w:r>
        <w:rPr>
          <w:rStyle w:val="SpecialCharTok"/>
        </w:rPr>
        <w:t xml:space="preserve">/</w:t>
      </w:r>
      <w:r>
        <w:rPr>
          <w:rStyle w:val="NormalTok"/>
        </w:rPr>
        <w:t xml:space="preserve"> </w:t>
      </w:r>
      <w:r>
        <w:rPr>
          <w:rStyle w:val="FloatTok"/>
        </w:rPr>
        <w:t xml:space="preserve">365.25</w:t>
      </w:r>
      <w:r>
        <w:rPr>
          <w:rStyle w:val="NormalTok"/>
        </w:rPr>
        <w:t xml:space="preserve">) </w:t>
      </w:r>
      <w:r>
        <w:rPr>
          <w:rStyle w:val="SpecialCharTok"/>
        </w:rPr>
        <w:t xml:space="preserve">+</w:t>
      </w:r>
      <w:r>
        <w:br/>
      </w:r>
      <w:r>
        <w:rPr>
          <w:rStyle w:val="NormalTok"/>
        </w:rPr>
        <w:t xml:space="preserve">    </w:t>
      </w:r>
      <w:r>
        <w:rPr>
          <w:rStyle w:val="FunctionTok"/>
        </w:rPr>
        <w:t xml:space="preserve">cf</w:t>
      </w:r>
      <w:r>
        <w:rPr>
          <w:rStyle w:val="NormalTok"/>
        </w:rPr>
        <w:t xml:space="preserve">(</w:t>
      </w:r>
      <w:r>
        <w:rPr>
          <w:rStyle w:val="StringTok"/>
        </w:rPr>
        <w:t xml:space="preserve">".s2"</w:t>
      </w:r>
      <w:r>
        <w:rPr>
          <w:rStyle w:val="NormalTok"/>
        </w:rPr>
        <w:t xml:space="preserve">) </w:t>
      </w:r>
      <w:r>
        <w:rPr>
          <w:rStyle w:val="SpecialCharTok"/>
        </w:rPr>
        <w:t xml:space="preserve">*</w:t>
      </w:r>
      <w:r>
        <w:rPr>
          <w:rStyle w:val="NormalTok"/>
        </w:rPr>
        <w:t xml:space="preserve"> </w:t>
      </w:r>
      <w:r>
        <w:rPr>
          <w:rStyle w:val="FunctionTok"/>
        </w:rPr>
        <w:t xml:space="preserve">sin</w:t>
      </w:r>
      <w:r>
        <w:rPr>
          <w:rStyle w:val="NormalTok"/>
        </w:rPr>
        <w:t xml:space="preserve">(</w:t>
      </w:r>
      <w:r>
        <w:rPr>
          <w:rStyle w:val="DecValTok"/>
        </w:rPr>
        <w:t xml:space="preserve">4</w:t>
      </w:r>
      <w:r>
        <w:rPr>
          <w:rStyle w:val="NormalTok"/>
        </w:rPr>
        <w:t xml:space="preserve"> </w:t>
      </w:r>
      <w:r>
        <w:rPr>
          <w:rStyle w:val="SpecialCharTok"/>
        </w:rPr>
        <w:t xml:space="preserve">*</w:t>
      </w:r>
      <w:r>
        <w:rPr>
          <w:rStyle w:val="NormalTok"/>
        </w:rPr>
        <w:t xml:space="preserve"> pi </w:t>
      </w:r>
      <w:r>
        <w:rPr>
          <w:rStyle w:val="SpecialCharTok"/>
        </w:rPr>
        <w:t xml:space="preserve">*</w:t>
      </w:r>
      <w:r>
        <w:rPr>
          <w:rStyle w:val="NormalTok"/>
        </w:rPr>
        <w:t xml:space="preserve"> mid_doy </w:t>
      </w:r>
      <w:r>
        <w:rPr>
          <w:rStyle w:val="SpecialCharTok"/>
        </w:rPr>
        <w:t xml:space="preserve">/</w:t>
      </w:r>
      <w:r>
        <w:rPr>
          <w:rStyle w:val="NormalTok"/>
        </w:rPr>
        <w:t xml:space="preserve"> </w:t>
      </w:r>
      <w:r>
        <w:rPr>
          <w:rStyle w:val="FloatTok"/>
        </w:rPr>
        <w:t xml:space="preserve">365.25</w:t>
      </w:r>
      <w:r>
        <w:rPr>
          <w:rStyle w:val="NormalTok"/>
        </w:rPr>
        <w:t xml:space="preserve">) </w:t>
      </w:r>
      <w:r>
        <w:rPr>
          <w:rStyle w:val="SpecialCharTok"/>
        </w:rPr>
        <w:t xml:space="preserve">+</w:t>
      </w:r>
      <w:r>
        <w:br/>
      </w:r>
      <w:r>
        <w:rPr>
          <w:rStyle w:val="NormalTok"/>
        </w:rPr>
        <w:t xml:space="preserve">    </w:t>
      </w:r>
      <w:r>
        <w:rPr>
          <w:rStyle w:val="FunctionTok"/>
        </w:rPr>
        <w:t xml:space="preserve">cf</w:t>
      </w:r>
      <w:r>
        <w:rPr>
          <w:rStyle w:val="NormalTok"/>
        </w:rPr>
        <w:t xml:space="preserve">(</w:t>
      </w:r>
      <w:r>
        <w:rPr>
          <w:rStyle w:val="StringTok"/>
        </w:rPr>
        <w:t xml:space="preserve">".c2"</w:t>
      </w:r>
      <w:r>
        <w:rPr>
          <w:rStyle w:val="NormalTok"/>
        </w:rPr>
        <w:t xml:space="preserve">) </w:t>
      </w:r>
      <w:r>
        <w:rPr>
          <w:rStyle w:val="SpecialCharTok"/>
        </w:rPr>
        <w:t xml:space="preserve">*</w:t>
      </w:r>
      <w:r>
        <w:rPr>
          <w:rStyle w:val="NormalTok"/>
        </w:rPr>
        <w:t xml:space="preserve"> </w:t>
      </w:r>
      <w:r>
        <w:rPr>
          <w:rStyle w:val="FunctionTok"/>
        </w:rPr>
        <w:t xml:space="preserve">cos</w:t>
      </w:r>
      <w:r>
        <w:rPr>
          <w:rStyle w:val="NormalTok"/>
        </w:rPr>
        <w:t xml:space="preserve">(</w:t>
      </w:r>
      <w:r>
        <w:rPr>
          <w:rStyle w:val="DecValTok"/>
        </w:rPr>
        <w:t xml:space="preserve">4</w:t>
      </w:r>
      <w:r>
        <w:rPr>
          <w:rStyle w:val="NormalTok"/>
        </w:rPr>
        <w:t xml:space="preserve"> </w:t>
      </w:r>
      <w:r>
        <w:rPr>
          <w:rStyle w:val="SpecialCharTok"/>
        </w:rPr>
        <w:t xml:space="preserve">*</w:t>
      </w:r>
      <w:r>
        <w:rPr>
          <w:rStyle w:val="NormalTok"/>
        </w:rPr>
        <w:t xml:space="preserve"> pi </w:t>
      </w:r>
      <w:r>
        <w:rPr>
          <w:rStyle w:val="SpecialCharTok"/>
        </w:rPr>
        <w:t xml:space="preserve">*</w:t>
      </w:r>
      <w:r>
        <w:rPr>
          <w:rStyle w:val="NormalTok"/>
        </w:rPr>
        <w:t xml:space="preserve"> mid_doy </w:t>
      </w:r>
      <w:r>
        <w:rPr>
          <w:rStyle w:val="SpecialCharTok"/>
        </w:rPr>
        <w:t xml:space="preserve">/</w:t>
      </w:r>
      <w:r>
        <w:rPr>
          <w:rStyle w:val="NormalTok"/>
        </w:rPr>
        <w:t xml:space="preserve"> </w:t>
      </w:r>
      <w:r>
        <w:rPr>
          <w:rStyle w:val="FloatTok"/>
        </w:rPr>
        <w:t xml:space="preserve">365.25</w:t>
      </w:r>
      <w:r>
        <w:rPr>
          <w:rStyle w:val="NormalTok"/>
        </w:rPr>
        <w:t xml:space="preserve">) </w:t>
      </w:r>
      <w:r>
        <w:rPr>
          <w:rStyle w:val="SpecialCharTok"/>
        </w:rPr>
        <w:t xml:space="preserve">+</w:t>
      </w:r>
      <w:r>
        <w:br/>
      </w:r>
      <w:r>
        <w:rPr>
          <w:rStyle w:val="NormalTok"/>
        </w:rPr>
        <w:t xml:space="preserve">    </w:t>
      </w:r>
      <w:r>
        <w:rPr>
          <w:rStyle w:val="FunctionTok"/>
        </w:rPr>
        <w:t xml:space="preserve">cf</w:t>
      </w:r>
      <w:r>
        <w:rPr>
          <w:rStyle w:val="NormalTok"/>
        </w:rPr>
        <w:t xml:space="preserve">(</w:t>
      </w:r>
      <w:r>
        <w:rPr>
          <w:rStyle w:val="StringTok"/>
        </w:rPr>
        <w:t xml:space="preserve">"n_stations"</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(mod_dat</w:t>
      </w:r>
      <w:r>
        <w:rPr>
          <w:rStyle w:val="SpecialCharTok"/>
        </w:rPr>
        <w:t xml:space="preserve">$</w:t>
      </w:r>
      <w:r>
        <w:rPr>
          <w:rStyle w:val="NormalTok"/>
        </w:rPr>
        <w:t xml:space="preserve">n_stations)</w:t>
      </w:r>
      <w:r>
        <w:br/>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grid, </w:t>
      </w:r>
      <w:r>
        <w:rPr>
          <w:rStyle w:val="AttributeTok"/>
        </w:rPr>
        <w:t xml:space="preserve">y =</w:t>
      </w:r>
      <w:r>
        <w:rPr>
          <w:rStyle w:val="NormalTok"/>
        </w:rPr>
        <w:t xml:space="preserve"> </w:t>
      </w:r>
      <w:r>
        <w:rPr>
          <w:rStyle w:val="FunctionTok"/>
        </w:rPr>
        <w:t xml:space="preserve">exp</w:t>
      </w:r>
      <w:r>
        <w:rPr>
          <w:rStyle w:val="NormalTok"/>
        </w:rPr>
        <w:t xml:space="preserve">(eta))</w:t>
      </w:r>
      <w:r>
        <w:br/>
      </w:r>
      <w:r>
        <w:rPr>
          <w:rStyle w:val="NormalTok"/>
        </w:rPr>
        <w:t xml:space="preserve">}</w:t>
      </w:r>
      <w:r>
        <w:br/>
      </w:r>
      <w:r>
        <w:rPr>
          <w:rStyle w:val="NormalTok"/>
        </w:rPr>
        <w:t xml:space="preserve">curves </w:t>
      </w:r>
      <w:r>
        <w:rPr>
          <w:rStyle w:val="OtherTok"/>
        </w:rPr>
        <w:t xml:space="preserve">&lt;-</w:t>
      </w:r>
      <w:r>
        <w:rPr>
          <w:rStyle w:val="NormalTok"/>
        </w:rPr>
        <w:t xml:space="preserve"> </w:t>
      </w:r>
      <w:r>
        <w:rPr>
          <w:rStyle w:val="FunctionTok"/>
        </w:rPr>
        <w:t xml:space="preserve">lapply</w:t>
      </w:r>
      <w:r>
        <w:rPr>
          <w:rStyle w:val="NormalTok"/>
        </w:rPr>
        <w:t xml:space="preserve">(</w:t>
      </w:r>
      <w:r>
        <w:rPr>
          <w:rStyle w:val="FunctionTok"/>
        </w:rPr>
        <w:t xml:space="preserve">names</w:t>
      </w:r>
      <w:r>
        <w:rPr>
          <w:rStyle w:val="NormalTok"/>
        </w:rPr>
        <w:t xml:space="preserve">(SERIES), fitted_curve)</w:t>
      </w:r>
      <w:r>
        <w:br/>
      </w:r>
      <w:r>
        <w:rPr>
          <w:rStyle w:val="FunctionTok"/>
        </w:rPr>
        <w:t xml:space="preserve">names</w:t>
      </w:r>
      <w:r>
        <w:rPr>
          <w:rStyle w:val="NormalTok"/>
        </w:rPr>
        <w:t xml:space="preserve">(curves) </w:t>
      </w:r>
      <w:r>
        <w:rPr>
          <w:rStyle w:val="OtherTok"/>
        </w:rPr>
        <w:t xml:space="preserve">&lt;-</w:t>
      </w:r>
      <w:r>
        <w:rPr>
          <w:rStyle w:val="NormalTok"/>
        </w:rPr>
        <w:t xml:space="preserve"> </w:t>
      </w:r>
      <w:r>
        <w:rPr>
          <w:rStyle w:val="FunctionTok"/>
        </w:rPr>
        <w:t xml:space="preserve">names</w:t>
      </w:r>
      <w:r>
        <w:rPr>
          <w:rStyle w:val="NormalTok"/>
        </w:rPr>
        <w:t xml:space="preserve">(SERIES)</w:t>
      </w:r>
      <w:r>
        <w:br/>
      </w:r>
      <w:r>
        <w:br/>
      </w:r>
      <w:r>
        <w:rPr>
          <w:rStyle w:val="NormalTok"/>
        </w:rPr>
        <w:t xml:space="preserve">op </w:t>
      </w:r>
      <w:r>
        <w:rPr>
          <w:rStyle w:val="OtherTok"/>
        </w:rPr>
        <w:t xml:space="preserve">&lt;-</w:t>
      </w:r>
      <w:r>
        <w:rPr>
          <w:rStyle w:val="NormalTok"/>
        </w:rPr>
        <w:t xml:space="preserve"> </w:t>
      </w:r>
      <w:r>
        <w:rPr>
          <w:rStyle w:val="FunctionTok"/>
        </w:rPr>
        <w:t xml:space="preserve">par</w:t>
      </w:r>
      <w:r>
        <w:rPr>
          <w:rStyle w:val="NormalTok"/>
        </w:rPr>
        <w:t xml:space="preserve">(</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4</w:t>
      </w:r>
      <w:r>
        <w:rPr>
          <w:rStyle w:val="NormalTok"/>
        </w:rPr>
        <w:t xml:space="preserve">, </w:t>
      </w:r>
      <w:r>
        <w:rPr>
          <w:rStyle w:val="DecValTok"/>
        </w:rPr>
        <w:t xml:space="preserve">4</w:t>
      </w:r>
      <w:r>
        <w:rPr>
          <w:rStyle w:val="NormalTok"/>
        </w:rPr>
        <w:t xml:space="preserve">, </w:t>
      </w:r>
      <w:r>
        <w:rPr>
          <w:rStyle w:val="FloatTok"/>
        </w:rPr>
        <w:t xml:space="preserve">1.4</w:t>
      </w:r>
      <w:r>
        <w:rPr>
          <w:rStyle w:val="NormalTok"/>
        </w:rPr>
        <w:t xml:space="preserve">, </w:t>
      </w:r>
      <w:r>
        <w:rPr>
          <w:rStyle w:val="DecValTok"/>
        </w:rPr>
        <w:t xml:space="preserve">1</w:t>
      </w:r>
      <w:r>
        <w:rPr>
          <w:rStyle w:val="NormalTok"/>
        </w:rPr>
        <w:t xml:space="preserve">), </w:t>
      </w:r>
      <w:r>
        <w:rPr>
          <w:rStyle w:val="AttributeTok"/>
        </w:rPr>
        <w:t xml:space="preserve">mgp =</w:t>
      </w:r>
      <w:r>
        <w:rPr>
          <w:rStyle w:val="NormalTok"/>
        </w:rPr>
        <w:t xml:space="preserve"> </w:t>
      </w:r>
      <w:r>
        <w:rPr>
          <w:rStyle w:val="FunctionTok"/>
        </w:rPr>
        <w:t xml:space="preserve">c</w:t>
      </w:r>
      <w:r>
        <w:rPr>
          <w:rStyle w:val="NormalTok"/>
        </w:rPr>
        <w:t xml:space="preserve">(</w:t>
      </w:r>
      <w:r>
        <w:rPr>
          <w:rStyle w:val="FloatTok"/>
        </w:rPr>
        <w:t xml:space="preserve">2.4</w:t>
      </w:r>
      <w:r>
        <w:rPr>
          <w:rStyle w:val="NormalTok"/>
        </w:rPr>
        <w:t xml:space="preserve">, </w:t>
      </w:r>
      <w:r>
        <w:rPr>
          <w:rStyle w:val="FloatTok"/>
        </w:rPr>
        <w:t xml:space="preserve">0.7</w:t>
      </w:r>
      <w:r>
        <w:rPr>
          <w:rStyle w:val="NormalTok"/>
        </w:rPr>
        <w:t xml:space="preserve">, </w:t>
      </w:r>
      <w:r>
        <w:rPr>
          <w:rStyle w:val="DecValTok"/>
        </w:rPr>
        <w:t xml:space="preserve">0</w:t>
      </w:r>
      <w:r>
        <w:rPr>
          <w:rStyle w:val="NormalTok"/>
        </w:rPr>
        <w:t xml:space="preserve">), </w:t>
      </w:r>
      <w:r>
        <w:rPr>
          <w:rStyle w:val="AttributeTok"/>
        </w:rPr>
        <w:t xml:space="preserve">cex =</w:t>
      </w:r>
      <w:r>
        <w:rPr>
          <w:rStyle w:val="NormalTok"/>
        </w:rPr>
        <w:t xml:space="preserve"> </w:t>
      </w:r>
      <w:r>
        <w:rPr>
          <w:rStyle w:val="FloatTok"/>
        </w:rPr>
        <w:t xml:space="preserve">0.8</w:t>
      </w:r>
      <w:r>
        <w:rPr>
          <w:rStyle w:val="NormalTok"/>
        </w:rPr>
        <w:t xml:space="preserve">)</w:t>
      </w:r>
      <w:r>
        <w:br/>
      </w:r>
      <w:r>
        <w:rPr>
          <w:rStyle w:val="FunctionTok"/>
        </w:rPr>
        <w:t xml:space="preserve">plot</w:t>
      </w:r>
      <w:r>
        <w:rPr>
          <w:rStyle w:val="NormalTok"/>
        </w:rPr>
        <w:t xml:space="preserve">(</w:t>
      </w:r>
      <w:r>
        <w:rPr>
          <w:rStyle w:val="ConstantTok"/>
        </w:rPr>
        <w:t xml:space="preserve">NA</w:t>
      </w:r>
      <w:r>
        <w:rPr>
          <w:rStyle w:val="NormalTok"/>
        </w:rPr>
        <w:t xml:space="preserve">,</w:t>
      </w:r>
      <w:r>
        <w:br/>
      </w:r>
      <w:r>
        <w:rPr>
          <w:rStyle w:val="NormalTok"/>
        </w:rPr>
        <w:t xml:space="preserve">     </w:t>
      </w:r>
      <w:r>
        <w:rPr>
          <w:rStyle w:val="AttributeTok"/>
        </w:rPr>
        <w:t xml:space="preserve">xlim =</w:t>
      </w:r>
      <w:r>
        <w:rPr>
          <w:rStyle w:val="NormalTok"/>
        </w:rPr>
        <w:t xml:space="preserve"> </w:t>
      </w:r>
      <w:r>
        <w:rPr>
          <w:rStyle w:val="FunctionTok"/>
        </w:rPr>
        <w:t xml:space="preserve">range</w:t>
      </w:r>
      <w:r>
        <w:rPr>
          <w:rStyle w:val="NormalTok"/>
        </w:rPr>
        <w:t xml:space="preserve">(</w:t>
      </w:r>
      <w:r>
        <w:rPr>
          <w:rStyle w:val="FunctionTok"/>
        </w:rPr>
        <w:t xml:space="preserve">unlist</w:t>
      </w:r>
      <w:r>
        <w:rPr>
          <w:rStyle w:val="NormalTok"/>
        </w:rPr>
        <w:t xml:space="preserve">(</w:t>
      </w:r>
      <w:r>
        <w:rPr>
          <w:rStyle w:val="FunctionTok"/>
        </w:rPr>
        <w:t xml:space="preserve">lapply</w:t>
      </w:r>
      <w:r>
        <w:rPr>
          <w:rStyle w:val="NormalTok"/>
        </w:rPr>
        <w:t xml:space="preserve">(binned, </w:t>
      </w:r>
      <w:r>
        <w:rPr>
          <w:rStyle w:val="StringTok"/>
        </w:rPr>
        <w:t xml:space="preserve">`</w:t>
      </w:r>
      <w:r>
        <w:rPr>
          <w:rStyle w:val="AttributeTok"/>
        </w:rPr>
        <w:t xml:space="preserve">[[</w:t>
      </w:r>
      <w:r>
        <w:rPr>
          <w:rStyle w:val="StringTok"/>
        </w:rPr>
        <w:t xml:space="preserve">`</w:t>
      </w:r>
      <w:r>
        <w:rPr>
          <w:rStyle w:val="NormalTok"/>
        </w:rPr>
        <w:t xml:space="preserve">, </w:t>
      </w:r>
      <w:r>
        <w:rPr>
          <w:rStyle w:val="StringTok"/>
        </w:rPr>
        <w:t xml:space="preserve">"x"</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unctionTok"/>
        </w:rPr>
        <w:t xml:space="preserve">max</w:t>
      </w:r>
      <w:r>
        <w:rPr>
          <w:rStyle w:val="NormalTok"/>
        </w:rPr>
        <w:t xml:space="preserve">(</w:t>
      </w:r>
      <w:r>
        <w:rPr>
          <w:rStyle w:val="FunctionTok"/>
        </w:rPr>
        <w:t xml:space="preserve">unlist</w:t>
      </w:r>
      <w:r>
        <w:rPr>
          <w:rStyle w:val="NormalTok"/>
        </w:rPr>
        <w:t xml:space="preserve">(</w:t>
      </w:r>
      <w:r>
        <w:rPr>
          <w:rStyle w:val="FunctionTok"/>
        </w:rPr>
        <w:t xml:space="preserve">lapply</w:t>
      </w:r>
      <w:r>
        <w:rPr>
          <w:rStyle w:val="NormalTok"/>
        </w:rPr>
        <w:t xml:space="preserve">(binned, </w:t>
      </w:r>
      <w:r>
        <w:rPr>
          <w:rStyle w:val="StringTok"/>
        </w:rPr>
        <w:t xml:space="preserve">`</w:t>
      </w:r>
      <w:r>
        <w:rPr>
          <w:rStyle w:val="AttributeTok"/>
        </w:rPr>
        <w:t xml:space="preserve">[[</w:t>
      </w:r>
      <w:r>
        <w:rPr>
          <w:rStyle w:val="StringTok"/>
        </w:rPr>
        <w:t xml:space="preserve">`</w:t>
      </w:r>
      <w:r>
        <w:rPr>
          <w:rStyle w:val="NormalTok"/>
        </w:rPr>
        <w:t xml:space="preserve">, </w:t>
      </w:r>
      <w:r>
        <w:rPr>
          <w:rStyle w:val="StringTok"/>
        </w:rPr>
        <w:t xml:space="preserve">"y"</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loatTok"/>
        </w:rPr>
        <w:t xml:space="preserve">1.05</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"Daily basin Fire Weather Index"</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"Mean lightning ignitions per day"</w:t>
      </w:r>
      <w:r>
        <w:rPr>
          <w:rStyle w:val="NormalTok"/>
        </w:rPr>
        <w:t xml:space="preserve">)</w:t>
      </w:r>
      <w:r>
        <w:br/>
      </w:r>
      <w:r>
        <w:rPr>
          <w:rStyle w:val="ControlFlowTok"/>
        </w:rPr>
        <w:t xml:space="preserve">for</w:t>
      </w:r>
      <w:r>
        <w:rPr>
          <w:rStyle w:val="NormalTok"/>
        </w:rPr>
        <w:t xml:space="preserve"> (s </w:t>
      </w:r>
      <w:r>
        <w:rPr>
          <w:rStyle w:val="ControlFlowTok"/>
        </w:rPr>
        <w:t xml:space="preserve">in</w:t>
      </w:r>
      <w:r>
        <w:rPr>
          <w:rStyle w:val="NormalTok"/>
        </w:rPr>
        <w:t xml:space="preserve"> </w:t>
      </w:r>
      <w:r>
        <w:rPr>
          <w:rStyle w:val="FunctionTok"/>
        </w:rPr>
        <w:t xml:space="preserve">names</w:t>
      </w:r>
      <w:r>
        <w:rPr>
          <w:rStyle w:val="NormalTok"/>
        </w:rPr>
        <w:t xml:space="preserve">(SERIES)) {</w:t>
      </w:r>
      <w:r>
        <w:br/>
      </w:r>
      <w:r>
        <w:rPr>
          <w:rStyle w:val="NormalTok"/>
        </w:rPr>
        <w:t xml:space="preserve">  </w:t>
      </w:r>
      <w:r>
        <w:rPr>
          <w:rStyle w:val="FunctionTok"/>
        </w:rPr>
        <w:t xml:space="preserve">points</w:t>
      </w:r>
      <w:r>
        <w:rPr>
          <w:rStyle w:val="NormalTok"/>
        </w:rPr>
        <w:t xml:space="preserve">(binned[[s]]</w:t>
      </w:r>
      <w:r>
        <w:rPr>
          <w:rStyle w:val="SpecialCharTok"/>
        </w:rPr>
        <w:t xml:space="preserve">$</w:t>
      </w:r>
      <w:r>
        <w:rPr>
          <w:rStyle w:val="NormalTok"/>
        </w:rPr>
        <w:t xml:space="preserve">x, binned[[s]]</w:t>
      </w:r>
      <w:r>
        <w:rPr>
          <w:rStyle w:val="SpecialCharTok"/>
        </w:rPr>
        <w:t xml:space="preserve">$</w:t>
      </w:r>
      <w:r>
        <w:rPr>
          <w:rStyle w:val="NormalTok"/>
        </w:rPr>
        <w:t xml:space="preserve">y, </w:t>
      </w:r>
      <w:r>
        <w:rPr>
          <w:rStyle w:val="AttributeTok"/>
        </w:rPr>
        <w:t xml:space="preserve">col =</w:t>
      </w:r>
      <w:r>
        <w:rPr>
          <w:rStyle w:val="NormalTok"/>
        </w:rPr>
        <w:t xml:space="preserve"> cols[s],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cex =</w:t>
      </w:r>
      <w:r>
        <w:rPr>
          <w:rStyle w:val="NormalTok"/>
        </w:rPr>
        <w:t xml:space="preserve"> </w:t>
      </w:r>
      <w:r>
        <w:rPr>
          <w:rStyle w:val="FloatTok"/>
        </w:rPr>
        <w:t xml:space="preserve">0.8</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is.null</w:t>
      </w:r>
      <w:r>
        <w:rPr>
          <w:rStyle w:val="NormalTok"/>
        </w:rPr>
        <w:t xml:space="preserve">(curves[[s]])) </w:t>
      </w:r>
      <w:r>
        <w:rPr>
          <w:rStyle w:val="FunctionTok"/>
        </w:rPr>
        <w:t xml:space="preserve">lines</w:t>
      </w:r>
      <w:r>
        <w:rPr>
          <w:rStyle w:val="NormalTok"/>
        </w:rPr>
        <w:t xml:space="preserve">(curves[[s]]</w:t>
      </w:r>
      <w:r>
        <w:rPr>
          <w:rStyle w:val="SpecialCharTok"/>
        </w:rPr>
        <w:t xml:space="preserve">$</w:t>
      </w:r>
      <w:r>
        <w:rPr>
          <w:rStyle w:val="NormalTok"/>
        </w:rPr>
        <w:t xml:space="preserve">x, curves[[s]]</w:t>
      </w:r>
      <w:r>
        <w:rPr>
          <w:rStyle w:val="SpecialCharTok"/>
        </w:rPr>
        <w:t xml:space="preserve">$</w:t>
      </w:r>
      <w:r>
        <w:rPr>
          <w:rStyle w:val="NormalTok"/>
        </w:rPr>
        <w:t xml:space="preserve">y, </w:t>
      </w:r>
      <w:r>
        <w:rPr>
          <w:rStyle w:val="AttributeTok"/>
        </w:rPr>
        <w:t xml:space="preserve">col =</w:t>
      </w:r>
      <w:r>
        <w:rPr>
          <w:rStyle w:val="NormalTok"/>
        </w:rPr>
        <w:t xml:space="preserve"> cols[s], </w:t>
      </w:r>
      <w:r>
        <w:rPr>
          <w:rStyle w:val="AttributeTok"/>
        </w:rPr>
        <w:t xml:space="preserve">lwd =</w:t>
      </w:r>
      <w:r>
        <w:rPr>
          <w:rStyle w:val="NormalTok"/>
        </w:rPr>
        <w:t xml:space="preserve"> </w:t>
      </w:r>
      <w:r>
        <w:rPr>
          <w:rStyle w:val="FloatTok"/>
        </w:rPr>
        <w:t xml:space="preserve">1.6</w:t>
      </w:r>
      <w:r>
        <w:rPr>
          <w:rStyle w:val="NormalTok"/>
        </w:rPr>
        <w:t xml:space="preserve">)</w:t>
      </w:r>
      <w:r>
        <w:br/>
      </w:r>
      <w:r>
        <w:rPr>
          <w:rStyle w:val="NormalTok"/>
        </w:rPr>
        <w:t xml:space="preserve">}</w:t>
      </w:r>
      <w:r>
        <w:br/>
      </w:r>
      <w:r>
        <w:rPr>
          <w:rStyle w:val="FunctionTok"/>
        </w:rPr>
        <w:t xml:space="preserve">legend</w:t>
      </w:r>
      <w:r>
        <w:rPr>
          <w:rStyle w:val="NormalTok"/>
        </w:rPr>
        <w:t xml:space="preserve">(</w:t>
      </w:r>
      <w:r>
        <w:rPr>
          <w:rStyle w:val="StringTok"/>
        </w:rPr>
        <w:t xml:space="preserve">"topleft"</w:t>
      </w:r>
      <w:r>
        <w:rPr>
          <w:rStyle w:val="NormalTok"/>
        </w:rPr>
        <w:t xml:space="preserve">, </w:t>
      </w:r>
      <w:r>
        <w:rPr>
          <w:rStyle w:val="AttributeTok"/>
        </w:rPr>
        <w:t xml:space="preserve">legend =</w:t>
      </w:r>
      <w:r>
        <w:rPr>
          <w:rStyle w:val="NormalTok"/>
        </w:rPr>
        <w:t xml:space="preserve"> </w:t>
      </w:r>
      <w:r>
        <w:rPr>
          <w:rStyle w:val="FunctionTok"/>
        </w:rPr>
        <w:t xml:space="preserve">unname</w:t>
      </w:r>
      <w:r>
        <w:rPr>
          <w:rStyle w:val="NormalTok"/>
        </w:rPr>
        <w:t xml:space="preserve">(SERIES), </w:t>
      </w:r>
      <w:r>
        <w:rPr>
          <w:rStyle w:val="AttributeTok"/>
        </w:rPr>
        <w:t xml:space="preserve">col =</w:t>
      </w:r>
      <w:r>
        <w:rPr>
          <w:rStyle w:val="NormalTok"/>
        </w:rPr>
        <w:t xml:space="preserve"> cols, </w:t>
      </w:r>
      <w:r>
        <w:rPr>
          <w:rStyle w:val="AttributeTok"/>
        </w:rPr>
        <w:t xml:space="preserve">lwd =</w:t>
      </w:r>
      <w:r>
        <w:rPr>
          <w:rStyle w:val="NormalTok"/>
        </w:rPr>
        <w:t xml:space="preserve"> </w:t>
      </w:r>
      <w:r>
        <w:rPr>
          <w:rStyle w:val="FloatTok"/>
        </w:rPr>
        <w:t xml:space="preserve">1.6</w:t>
      </w:r>
      <w:r>
        <w:rPr>
          <w:rStyle w:val="NormalTok"/>
        </w:rPr>
        <w:t xml:space="preserve">, </w:t>
      </w:r>
      <w:r>
        <w:rPr>
          <w:rStyle w:val="AttributeTok"/>
        </w:rPr>
        <w:t xml:space="preserve">pch =</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 </w:t>
      </w:r>
      <w:r>
        <w:rPr>
          <w:rStyle w:val="AttributeTok"/>
        </w:rPr>
        <w:t xml:space="preserve">cex =</w:t>
      </w:r>
      <w:r>
        <w:rPr>
          <w:rStyle w:val="NormalTok"/>
        </w:rPr>
        <w:t xml:space="preserve"> </w:t>
      </w:r>
      <w:r>
        <w:rPr>
          <w:rStyle w:val="FloatTok"/>
        </w:rPr>
        <w:t xml:space="preserve">0.75</w:t>
      </w:r>
      <w:r>
        <w:rPr>
          <w:rStyle w:val="NormalTok"/>
        </w:rPr>
        <w:t xml:space="preserve">)</w:t>
      </w:r>
      <w:r>
        <w:br/>
      </w:r>
      <w:r>
        <w:rPr>
          <w:rStyle w:val="FunctionTok"/>
        </w:rPr>
        <w:t xml:space="preserve">par</w:t>
      </w:r>
      <w:r>
        <w:rPr>
          <w:rStyle w:val="NormalTok"/>
        </w:rPr>
        <w:t xml:space="preserve">(op)</w:t>
      </w:r>
    </w:p>
    <w:tbl>
      <w:tblPr>
        <w:tblStyle w:val="Table"/>
        <w:tblW w:type="pct" w:w="5000"/>
        <w:tblLayout w:type="fixed"/>
        <w:tblLook w:firstRow="0" w:lastRow="0" w:firstColumn="0" w:lastColumn="0" w:noHBand="0" w:noVBand="0" w:val="0000"/>
      </w:tblPr>
      <w:tblGrid>
        <w:gridCol w:w="7920"/>
      </w:tblGrid>
      <w:tr>
        <w:tc>
          <w:tcPr/>
          <w:bookmarkStart w:id="81" w:name="fig-ignition"/>
          <w:p>
            <w:pPr>
              <w:pStyle w:val="Compact"/>
              <w:jc w:val="center"/>
            </w:pPr>
            <w:r>
              <w:drawing>
                <wp:inline>
                  <wp:extent cx="5943600" cy="3108960"/>
                  <wp:effectExtent b="0" l="0" r="0" t="0"/>
                  <wp:docPr descr="" title="" id="79" name="Picture"/>
                  <a:graphic>
                    <a:graphicData uri="http://schemas.openxmlformats.org/drawingml/2006/picture">
                      <pic:pic>
                        <pic:nvPicPr>
                          <pic:cNvPr descr="../03.outputs/figures/mfig-fig-ignition-1.png" id="80" name="Picture"/>
                          <pic:cNvPicPr>
                            <a:picLocks noChangeArrowheads="1" noChangeAspect="1"/>
                          </pic:cNvPicPr>
                        </pic:nvPicPr>
                        <pic:blipFill>
                          <a:blip r:embed="rId78"/>
                          <a:stretch>
                            <a:fillRect/>
                          </a:stretch>
                        </pic:blipFill>
                        <pic:spPr bwMode="auto">
                          <a:xfrm>
                            <a:off x="0" y="0"/>
                            <a:ext cx="5943600" cy="3108960"/>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Observed and fitted daily lightning ignition rate against daily basin Fire Weather Index under the three series. Points are the observed mean count in equal-count bins of the danger value; lines are the fitted negative binomial rate at the mean season and the mid-season day of year. The horizontal offsets between the three curves are the same level differences that the threshold table reports as percentiles.</w:t>
            </w:r>
          </w:p>
          <w:bookmarkEnd w:id="81"/>
        </w:tc>
      </w:tr>
    </w:tbl>
    <w:p>
      <w:pPr>
        <w:pStyle w:val="SourceCode"/>
      </w:pPr>
      <w:r>
        <w:rPr>
          <w:rStyle w:val="CommentTok"/>
        </w:rPr>
        <w:t xml:space="preserve"># Is the danger to ignition relationship stationary? The test is an interaction</w:t>
      </w:r>
      <w:r>
        <w:br/>
      </w:r>
      <w:r>
        <w:rPr>
          <w:rStyle w:val="CommentTok"/>
        </w:rPr>
        <w:t xml:space="preserve"># between the danger term and season number. Season is already a fixed effect,</w:t>
      </w:r>
      <w:r>
        <w:br/>
      </w:r>
      <w:r>
        <w:rPr>
          <w:rStyle w:val="CommentTok"/>
        </w:rPr>
        <w:t xml:space="preserve"># so the interaction asks whether the within-season slope changes over the</w:t>
      </w:r>
      <w:r>
        <w:br/>
      </w:r>
      <w:r>
        <w:rPr>
          <w:rStyle w:val="CommentTok"/>
        </w:rPr>
        <w:t xml:space="preserve"># record, which is a different question from whether the intercept does.</w:t>
      </w:r>
      <w:r>
        <w:br/>
      </w:r>
      <w:r>
        <w:rPr>
          <w:rStyle w:val="NormalTok"/>
        </w:rPr>
        <w:t xml:space="preserve">stat_rows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ControlFlowTok"/>
        </w:rPr>
        <w:t xml:space="preserve">for</w:t>
      </w:r>
      <w:r>
        <w:rPr>
          <w:rStyle w:val="NormalTok"/>
        </w:rPr>
        <w:t xml:space="preserve"> (r </w:t>
      </w:r>
      <w:r>
        <w:rPr>
          <w:rStyle w:val="ControlFlowTok"/>
        </w:rPr>
        <w:t xml:space="preserve">in</w:t>
      </w:r>
      <w:r>
        <w:rPr>
          <w:rStyle w:val="NormalTok"/>
        </w:rPr>
        <w:t xml:space="preserve"> </w:t>
      </w:r>
      <w:r>
        <w:rPr>
          <w:rStyle w:val="FunctionTok"/>
        </w:rPr>
        <w:t xml:space="preserve">c</w:t>
      </w:r>
      <w:r>
        <w:rPr>
          <w:rStyle w:val="NormalTok"/>
        </w:rPr>
        <w:t xml:space="preserve">(</w:t>
      </w:r>
      <w:r>
        <w:rPr>
          <w:rStyle w:val="StringTok"/>
        </w:rPr>
        <w:t xml:space="preserve">"n_lightning_all"</w:t>
      </w:r>
      <w:r>
        <w:rPr>
          <w:rStyle w:val="NormalTok"/>
        </w:rPr>
        <w:t xml:space="preserve">, </w:t>
      </w:r>
      <w:r>
        <w:rPr>
          <w:rStyle w:val="StringTok"/>
        </w:rPr>
        <w:t xml:space="preserve">"n_total_all"</w:t>
      </w:r>
      <w:r>
        <w:rPr>
          <w:rStyle w:val="NormalTok"/>
        </w:rPr>
        <w:t xml:space="preserve">)) {</w:t>
      </w:r>
      <w:r>
        <w:br/>
      </w:r>
      <w:r>
        <w:rPr>
          <w:rStyle w:val="NormalTok"/>
        </w:rPr>
        <w:t xml:space="preserve">  </w:t>
      </w:r>
      <w:r>
        <w:rPr>
          <w:rStyle w:val="ControlFlowTok"/>
        </w:rPr>
        <w:t xml:space="preserve">for</w:t>
      </w:r>
      <w:r>
        <w:rPr>
          <w:rStyle w:val="NormalTok"/>
        </w:rPr>
        <w:t xml:space="preserve"> (s </w:t>
      </w:r>
      <w:r>
        <w:rPr>
          <w:rStyle w:val="ControlFlowTok"/>
        </w:rPr>
        <w:t xml:space="preserve">in</w:t>
      </w:r>
      <w:r>
        <w:rPr>
          <w:rStyle w:val="NormalTok"/>
        </w:rPr>
        <w:t xml:space="preserve"> </w:t>
      </w:r>
      <w:r>
        <w:rPr>
          <w:rStyle w:val="FunctionTok"/>
        </w:rPr>
        <w:t xml:space="preserve">names</w:t>
      </w:r>
      <w:r>
        <w:rPr>
          <w:rStyle w:val="NormalTok"/>
        </w:rPr>
        <w:t xml:space="preserve">(SERIES)) {</w:t>
      </w:r>
      <w:r>
        <w:br/>
      </w:r>
      <w:r>
        <w:rPr>
          <w:rStyle w:val="NormalTok"/>
        </w:rPr>
        <w:t xml:space="preserve">    dcol </w:t>
      </w:r>
      <w:r>
        <w:rPr>
          <w:rStyle w:val="OtherTok"/>
        </w:rPr>
        <w:t xml:space="preserve">&lt;-</w:t>
      </w:r>
      <w:r>
        <w:rPr>
          <w:rStyle w:val="NormalTok"/>
        </w:rPr>
        <w:t xml:space="preserve"> </w:t>
      </w:r>
      <w:r>
        <w:rPr>
          <w:rStyle w:val="FunctionTok"/>
        </w:rPr>
        <w:t xml:space="preserve">paste0</w:t>
      </w:r>
      <w:r>
        <w:rPr>
          <w:rStyle w:val="NormalTok"/>
        </w:rPr>
        <w:t xml:space="preserve">(s, </w:t>
      </w:r>
      <w:r>
        <w:rPr>
          <w:rStyle w:val="StringTok"/>
        </w:rPr>
        <w:t xml:space="preserve">"_fwi"</w:t>
      </w:r>
      <w:r>
        <w:rPr>
          <w:rStyle w:val="NormalTok"/>
        </w:rPr>
        <w:t xml:space="preserve">)</w:t>
      </w:r>
      <w:r>
        <w:br/>
      </w:r>
      <w:r>
        <w:rPr>
          <w:rStyle w:val="NormalTok"/>
        </w:rPr>
        <w:t xml:space="preserve">    d </w:t>
      </w:r>
      <w:r>
        <w:rPr>
          <w:rStyle w:val="OtherTok"/>
        </w:rPr>
        <w:t xml:space="preserve">&lt;-</w:t>
      </w:r>
      <w:r>
        <w:rPr>
          <w:rStyle w:val="NormalTok"/>
        </w:rPr>
        <w:t xml:space="preserve"> mod_dat</w:t>
      </w:r>
      <w:r>
        <w:br/>
      </w:r>
      <w:r>
        <w:rPr>
          <w:rStyle w:val="NormalTok"/>
        </w:rPr>
        <w:t xml:space="preserve">    d</w:t>
      </w:r>
      <w:r>
        <w:rPr>
          <w:rStyle w:val="SpecialCharTok"/>
        </w:rPr>
        <w:t xml:space="preserve">$</w:t>
      </w:r>
      <w:r>
        <w:rPr>
          <w:rStyle w:val="NormalTok"/>
        </w:rPr>
        <w:t xml:space="preserve">.yc </w:t>
      </w:r>
      <w:r>
        <w:rPr>
          <w:rStyle w:val="OtherTok"/>
        </w:rPr>
        <w:t xml:space="preserve">&lt;-</w:t>
      </w:r>
      <w:r>
        <w:rPr>
          <w:rStyle w:val="NormalTok"/>
        </w:rPr>
        <w:t xml:space="preserve"> d</w:t>
      </w:r>
      <w:r>
        <w:rPr>
          <w:rStyle w:val="SpecialCharTok"/>
        </w:rPr>
        <w:t xml:space="preserve">$</w:t>
      </w:r>
      <w:r>
        <w:rPr>
          <w:rStyle w:val="NormalTok"/>
        </w:rPr>
        <w:t xml:space="preserve">year </w:t>
      </w:r>
      <w:r>
        <w:rPr>
          <w:rStyle w:val="SpecialCharTok"/>
        </w:rPr>
        <w:t xml:space="preserve">-</w:t>
      </w:r>
      <w:r>
        <w:rPr>
          <w:rStyle w:val="NormalTok"/>
        </w:rPr>
        <w:t xml:space="preserve"> </w:t>
      </w:r>
      <w:r>
        <w:rPr>
          <w:rStyle w:val="FunctionTok"/>
        </w:rPr>
        <w:t xml:space="preserve">mean</w:t>
      </w:r>
      <w:r>
        <w:rPr>
          <w:rStyle w:val="NormalTok"/>
        </w:rPr>
        <w:t xml:space="preserve">(d</w:t>
      </w:r>
      <w:r>
        <w:rPr>
          <w:rStyle w:val="SpecialCharTok"/>
        </w:rPr>
        <w:t xml:space="preserve">$</w:t>
      </w:r>
      <w:r>
        <w:rPr>
          <w:rStyle w:val="NormalTok"/>
        </w:rPr>
        <w:t xml:space="preserve">year)</w:t>
      </w:r>
      <w:r>
        <w:br/>
      </w:r>
      <w:r>
        <w:rPr>
          <w:rStyle w:val="NormalTok"/>
        </w:rPr>
        <w:t xml:space="preserve">    m </w:t>
      </w:r>
      <w:r>
        <w:rPr>
          <w:rStyle w:val="OtherTok"/>
        </w:rPr>
        <w:t xml:space="preserve">&lt;-</w:t>
      </w:r>
      <w:r>
        <w:rPr>
          <w:rStyle w:val="NormalTok"/>
        </w:rPr>
        <w:t xml:space="preserve"> </w:t>
      </w:r>
      <w:r>
        <w:rPr>
          <w:rStyle w:val="FunctionTok"/>
        </w:rPr>
        <w:t xml:space="preserve">tryCatch</w:t>
      </w:r>
      <w:r>
        <w:rPr>
          <w:rStyle w:val="NormalTok"/>
        </w:rPr>
        <w:t xml:space="preserve">(</w:t>
      </w:r>
      <w:r>
        <w:rPr>
          <w:rStyle w:val="FunctionTok"/>
        </w:rPr>
        <w:t xml:space="preserve">ignition_model</w:t>
      </w:r>
      <w:r>
        <w:rPr>
          <w:rStyle w:val="NormalTok"/>
        </w:rPr>
        <w:t xml:space="preserve">(d, r, dcol, </w:t>
      </w:r>
      <w:r>
        <w:rPr>
          <w:rStyle w:val="AttributeTok"/>
        </w:rPr>
        <w:t xml:space="preserve">extra =</w:t>
      </w:r>
      <w:r>
        <w:rPr>
          <w:rStyle w:val="NormalTok"/>
        </w:rPr>
        <w:t xml:space="preserve"> </w:t>
      </w:r>
      <w:r>
        <w:rPr>
          <w:rStyle w:val="StringTok"/>
        </w:rPr>
        <w:t xml:space="preserve">"I(.x * .yc)"</w:t>
      </w:r>
      <w:r>
        <w:rPr>
          <w:rStyle w:val="NormalTok"/>
        </w:rPr>
        <w:t xml:space="preserve">),</w:t>
      </w:r>
      <w:r>
        <w:br/>
      </w:r>
      <w:r>
        <w:rPr>
          <w:rStyle w:val="NormalTok"/>
        </w:rPr>
        <w:t xml:space="preserve">                  </w:t>
      </w:r>
      <w:r>
        <w:rPr>
          <w:rStyle w:val="AttributeTok"/>
        </w:rPr>
        <w:t xml:space="preserve">error =</w:t>
      </w:r>
      <w:r>
        <w:rPr>
          <w:rStyle w:val="NormalTok"/>
        </w:rPr>
        <w:t xml:space="preserve"> </w:t>
      </w:r>
      <w:r>
        <w:rPr>
          <w:rStyle w:val="ControlFlowTok"/>
        </w:rPr>
        <w:t xml:space="preserve">function</w:t>
      </w:r>
      <w:r>
        <w:rPr>
          <w:rStyle w:val="NormalTok"/>
        </w:rPr>
        <w:t xml:space="preserve">(e) </w:t>
      </w:r>
      <w:r>
        <w:rPr>
          <w:rStyle w:val="ConstantTok"/>
        </w:rPr>
        <w:t xml:space="preserve">NULL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is.null</w:t>
      </w:r>
      <w:r>
        <w:rPr>
          <w:rStyle w:val="NormalTok"/>
        </w:rPr>
        <w:t xml:space="preserve">(m)) </w:t>
      </w:r>
      <w:r>
        <w:rPr>
          <w:rStyle w:val="ControlFlowTok"/>
        </w:rPr>
        <w:t xml:space="preserve">next</w:t>
      </w:r>
      <w:r>
        <w:br/>
      </w:r>
      <w:r>
        <w:rPr>
          <w:rStyle w:val="NormalTok"/>
        </w:rPr>
        <w:t xml:space="preserve">    cf </w:t>
      </w:r>
      <w:r>
        <w:rPr>
          <w:rStyle w:val="OtherTok"/>
        </w:rPr>
        <w:t xml:space="preserve">&lt;-</w:t>
      </w:r>
      <w:r>
        <w:rPr>
          <w:rStyle w:val="NormalTok"/>
        </w:rPr>
        <w:t xml:space="preserve"> </w:t>
      </w:r>
      <w:r>
        <w:rPr>
          <w:rStyle w:val="FunctionTok"/>
        </w:rPr>
        <w:t xml:space="preserve">summary</w:t>
      </w:r>
      <w:r>
        <w:rPr>
          <w:rStyle w:val="NormalTok"/>
        </w:rPr>
        <w:t xml:space="preserve">(m)</w:t>
      </w:r>
      <w:r>
        <w:rPr>
          <w:rStyle w:val="SpecialCharTok"/>
        </w:rPr>
        <w:t xml:space="preserve">$</w:t>
      </w:r>
      <w:r>
        <w:rPr>
          <w:rStyle w:val="NormalTok"/>
        </w:rPr>
        <w:t xml:space="preserve">coefficients</w:t>
      </w:r>
      <w:r>
        <w:br/>
      </w:r>
      <w:r>
        <w:rPr>
          <w:rStyle w:val="NormalTok"/>
        </w:rPr>
        <w:t xml:space="preserve">    nm </w:t>
      </w:r>
      <w:r>
        <w:rPr>
          <w:rStyle w:val="OtherTok"/>
        </w:rPr>
        <w:t xml:space="preserve">&lt;-</w:t>
      </w:r>
      <w:r>
        <w:rPr>
          <w:rStyle w:val="NormalTok"/>
        </w:rPr>
        <w:t xml:space="preserve"> </w:t>
      </w:r>
      <w:r>
        <w:rPr>
          <w:rStyle w:val="FunctionTok"/>
        </w:rPr>
        <w:t xml:space="preserve">grep</w:t>
      </w:r>
      <w:r>
        <w:rPr>
          <w:rStyle w:val="NormalTok"/>
        </w:rPr>
        <w:t xml:space="preserve">(</w:t>
      </w:r>
      <w:r>
        <w:rPr>
          <w:rStyle w:val="StringTok"/>
        </w:rPr>
        <w:t xml:space="preserve">"I</w:t>
      </w:r>
      <w:r>
        <w:rPr>
          <w:rStyle w:val="SpecialCharTok"/>
        </w:rPr>
        <w:t xml:space="preserve">\\</w:t>
      </w:r>
      <w:r>
        <w:rPr>
          <w:rStyle w:val="StringTok"/>
        </w:rPr>
        <w:t xml:space="preserve">(.x"</w:t>
      </w:r>
      <w:r>
        <w:rPr>
          <w:rStyle w:val="NormalTok"/>
        </w:rPr>
        <w:t xml:space="preserve">, </w:t>
      </w:r>
      <w:r>
        <w:rPr>
          <w:rStyle w:val="FunctionTok"/>
        </w:rPr>
        <w:t xml:space="preserve">rownames</w:t>
      </w:r>
      <w:r>
        <w:rPr>
          <w:rStyle w:val="NormalTok"/>
        </w:rPr>
        <w:t xml:space="preserve">(cf), </w:t>
      </w:r>
      <w:r>
        <w:rPr>
          <w:rStyle w:val="AttributeTok"/>
        </w:rPr>
        <w:t xml:space="preserve">value =</w:t>
      </w:r>
      <w:r>
        <w:rPr>
          <w:rStyle w:val="NormalTok"/>
        </w:rPr>
        <w:t xml:space="preserve"> </w:t>
      </w:r>
      <w:r>
        <w:rPr>
          <w:rStyle w:val="ConstantTok"/>
        </w:rPr>
        <w:t xml:space="preserve">TRUE</w:t>
      </w:r>
      <w:r>
        <w:rPr>
          <w:rStyle w:val="NormalTok"/>
        </w:rPr>
        <w:t xml:space="preserve">)[</w:t>
      </w:r>
      <w:r>
        <w:rPr>
          <w:rStyle w:val="DecValTok"/>
        </w:rPr>
        <w:t xml:space="preserve">1</w:t>
      </w:r>
      <w:r>
        <w:rPr>
          <w:rStyle w:val="NormalTok"/>
        </w:rPr>
        <w:t xml:space="preserve">]</w:t>
      </w:r>
      <w:r>
        <w:br/>
      </w:r>
      <w:r>
        <w:rPr>
          <w:rStyle w:val="NormalTok"/>
        </w:rPr>
        <w:t xml:space="preserve">    stat_rows[[</w:t>
      </w:r>
      <w:r>
        <w:rPr>
          <w:rStyle w:val="FunctionTok"/>
        </w:rPr>
        <w:t xml:space="preserve">length</w:t>
      </w:r>
      <w:r>
        <w:rPr>
          <w:rStyle w:val="NormalTok"/>
        </w:rPr>
        <w:t xml:space="preserve">(stat_rows) </w:t>
      </w:r>
      <w:r>
        <w:rPr>
          <w:rStyle w:val="SpecialCharTok"/>
        </w:rPr>
        <w:t xml:space="preserve">+</w:t>
      </w:r>
      <w:r>
        <w:rPr>
          <w:rStyle w:val="NormalTok"/>
        </w:rPr>
        <w:t xml:space="preserve"> </w:t>
      </w:r>
      <w:r>
        <w:rPr>
          <w:rStyle w:val="DecValTok"/>
        </w:rPr>
        <w:t xml:space="preserve">1</w:t>
      </w:r>
      <w:r>
        <w:rPr>
          <w:rStyle w:val="NormalTok"/>
        </w:rPr>
        <w:t xml:space="preserv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response =</w:t>
      </w:r>
      <w:r>
        <w:rPr>
          <w:rStyle w:val="NormalTok"/>
        </w:rPr>
        <w:t xml:space="preserve"> r, </w:t>
      </w:r>
      <w:r>
        <w:rPr>
          <w:rStyle w:val="AttributeTok"/>
        </w:rPr>
        <w:t xml:space="preserve">series =</w:t>
      </w:r>
      <w:r>
        <w:rPr>
          <w:rStyle w:val="NormalTok"/>
        </w:rPr>
        <w:t xml:space="preserve"> s,</w:t>
      </w:r>
      <w:r>
        <w:br/>
      </w:r>
      <w:r>
        <w:rPr>
          <w:rStyle w:val="NormalTok"/>
        </w:rPr>
        <w:t xml:space="preserve">      </w:t>
      </w:r>
      <w:r>
        <w:rPr>
          <w:rStyle w:val="AttributeTok"/>
        </w:rPr>
        <w:t xml:space="preserve">interaction =</w:t>
      </w:r>
      <w:r>
        <w:rPr>
          <w:rStyle w:val="NormalTok"/>
        </w:rPr>
        <w:t xml:space="preserve"> cf[nm, </w:t>
      </w:r>
      <w:r>
        <w:rPr>
          <w:rStyle w:val="DecValTok"/>
        </w:rPr>
        <w:t xml:space="preserve">1</w:t>
      </w:r>
      <w:r>
        <w:rPr>
          <w:rStyle w:val="NormalTok"/>
        </w:rPr>
        <w:t xml:space="preserve">], </w:t>
      </w:r>
      <w:r>
        <w:rPr>
          <w:rStyle w:val="AttributeTok"/>
        </w:rPr>
        <w:t xml:space="preserve">se =</w:t>
      </w:r>
      <w:r>
        <w:rPr>
          <w:rStyle w:val="NormalTok"/>
        </w:rPr>
        <w:t xml:space="preserve"> cf[nm, </w:t>
      </w:r>
      <w:r>
        <w:rPr>
          <w:rStyle w:val="DecValTok"/>
        </w:rPr>
        <w:t xml:space="preserve">2</w:t>
      </w:r>
      <w:r>
        <w:rPr>
          <w:rStyle w:val="NormalTok"/>
        </w:rPr>
        <w:t xml:space="preserve">], </w:t>
      </w:r>
      <w:r>
        <w:rPr>
          <w:rStyle w:val="AttributeTok"/>
        </w:rPr>
        <w:t xml:space="preserve">p =</w:t>
      </w:r>
      <w:r>
        <w:rPr>
          <w:rStyle w:val="NormalTok"/>
        </w:rPr>
        <w:t xml:space="preserve"> cf[nm, </w:t>
      </w:r>
      <w:r>
        <w:rPr>
          <w:rStyle w:val="DecValTok"/>
        </w:rPr>
        <w:t xml:space="preserve">4</w:t>
      </w:r>
      <w:r>
        <w:rPr>
          <w:rStyle w:val="NormalTok"/>
        </w:rPr>
        <w:t xml:space="preserve">])</w:t>
      </w:r>
      <w:r>
        <w:br/>
      </w:r>
      <w:r>
        <w:rPr>
          <w:rStyle w:val="NormalTok"/>
        </w:rPr>
        <w:t xml:space="preserve">  }</w:t>
      </w:r>
      <w:r>
        <w:br/>
      </w:r>
      <w:r>
        <w:rPr>
          <w:rStyle w:val="NormalTok"/>
        </w:rPr>
        <w:t xml:space="preserve">}</w:t>
      </w:r>
      <w:r>
        <w:br/>
      </w:r>
      <w:r>
        <w:rPr>
          <w:rStyle w:val="NormalTok"/>
        </w:rPr>
        <w:t xml:space="preserve">stationarity </w:t>
      </w:r>
      <w:r>
        <w:rPr>
          <w:rStyle w:val="OtherTok"/>
        </w:rPr>
        <w:t xml:space="preserve">&lt;-</w:t>
      </w:r>
      <w:r>
        <w:rPr>
          <w:rStyle w:val="NormalTok"/>
        </w:rPr>
        <w:t xml:space="preserve"> </w:t>
      </w:r>
      <w:r>
        <w:rPr>
          <w:rStyle w:val="FunctionTok"/>
        </w:rPr>
        <w:t xml:space="preserve">do.call</w:t>
      </w:r>
      <w:r>
        <w:rPr>
          <w:rStyle w:val="NormalTok"/>
        </w:rPr>
        <w:t xml:space="preserve">(rbind, stat_rows)</w:t>
      </w:r>
      <w:r>
        <w:br/>
      </w:r>
      <w:r>
        <w:rPr>
          <w:rStyle w:val="FunctionTok"/>
        </w:rPr>
        <w:t xml:space="preserve">write.csv</w:t>
      </w:r>
      <w:r>
        <w:rPr>
          <w:rStyle w:val="NormalTok"/>
        </w:rPr>
        <w:t xml:space="preserve">(stationarity, </w:t>
      </w:r>
      <w:r>
        <w:rPr>
          <w:rStyle w:val="FunctionTok"/>
        </w:rPr>
        <w:t xml:space="preserve">file.path</w:t>
      </w:r>
      <w:r>
        <w:rPr>
          <w:rStyle w:val="NormalTok"/>
        </w:rPr>
        <w:t xml:space="preserve">(outputs, </w:t>
      </w:r>
      <w:r>
        <w:rPr>
          <w:rStyle w:val="StringTok"/>
        </w:rPr>
        <w:t xml:space="preserve">"stationarity-tests.csv"</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p>
      <w:pPr>
        <w:pStyle w:val="SourceCode"/>
      </w:pPr>
      <w:r>
        <w:rPr>
          <w:rStyle w:val="NormalTok"/>
        </w:rPr>
        <w:t xml:space="preserve">st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Response =</w:t>
      </w:r>
      <w:r>
        <w:rPr>
          <w:rStyle w:val="NormalTok"/>
        </w:rPr>
        <w:t xml:space="preserve"> </w:t>
      </w:r>
      <w:r>
        <w:rPr>
          <w:rStyle w:val="FunctionTok"/>
        </w:rPr>
        <w:t xml:space="preserve">unname</w:t>
      </w:r>
      <w:r>
        <w:rPr>
          <w:rStyle w:val="NormalTok"/>
        </w:rPr>
        <w:t xml:space="preserve">(RESPONSES[stationarity</w:t>
      </w:r>
      <w:r>
        <w:rPr>
          <w:rStyle w:val="SpecialCharTok"/>
        </w:rPr>
        <w:t xml:space="preserve">$</w:t>
      </w:r>
      <w:r>
        <w:rPr>
          <w:rStyle w:val="NormalTok"/>
        </w:rPr>
        <w:t xml:space="preserve">response]),</w:t>
      </w:r>
      <w:r>
        <w:br/>
      </w:r>
      <w:r>
        <w:rPr>
          <w:rStyle w:val="NormalTok"/>
        </w:rPr>
        <w:t xml:space="preserve">  </w:t>
      </w:r>
      <w:r>
        <w:rPr>
          <w:rStyle w:val="AttributeTok"/>
        </w:rPr>
        <w:t xml:space="preserve">Series =</w:t>
      </w:r>
      <w:r>
        <w:rPr>
          <w:rStyle w:val="NormalTok"/>
        </w:rPr>
        <w:t xml:space="preserve"> </w:t>
      </w:r>
      <w:r>
        <w:rPr>
          <w:rStyle w:val="FunctionTok"/>
        </w:rPr>
        <w:t xml:space="preserve">unname</w:t>
      </w:r>
      <w:r>
        <w:rPr>
          <w:rStyle w:val="NormalTok"/>
        </w:rPr>
        <w:t xml:space="preserve">(SERIES[stationarity</w:t>
      </w:r>
      <w:r>
        <w:rPr>
          <w:rStyle w:val="SpecialCharTok"/>
        </w:rPr>
        <w:t xml:space="preserve">$</w:t>
      </w:r>
      <w:r>
        <w:rPr>
          <w:rStyle w:val="NormalTok"/>
        </w:rPr>
        <w:t xml:space="preserve">series]),</w:t>
      </w:r>
      <w:r>
        <w:br/>
      </w:r>
      <w:r>
        <w:rPr>
          <w:rStyle w:val="NormalTok"/>
        </w:rPr>
        <w:t xml:space="preserve">  </w:t>
      </w:r>
      <w:r>
        <w:rPr>
          <w:rStyle w:val="StringTok"/>
        </w:rPr>
        <w:t xml:space="preserve">`</w:t>
      </w:r>
      <w:r>
        <w:rPr>
          <w:rStyle w:val="AttributeTok"/>
        </w:rPr>
        <w:t xml:space="preserve">Interaction</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signif</w:t>
      </w:r>
      <w:r>
        <w:rPr>
          <w:rStyle w:val="NormalTok"/>
        </w:rPr>
        <w:t xml:space="preserve">(stationarity</w:t>
      </w:r>
      <w:r>
        <w:rPr>
          <w:rStyle w:val="SpecialCharTok"/>
        </w:rPr>
        <w:t xml:space="preserve">$</w:t>
      </w:r>
      <w:r>
        <w:rPr>
          <w:rStyle w:val="NormalTok"/>
        </w:rPr>
        <w:t xml:space="preserve">interaction, </w:t>
      </w:r>
      <w:r>
        <w:rPr>
          <w:rStyle w:val="DecValTok"/>
        </w:rPr>
        <w:t xml:space="preserve">3</w:t>
      </w:r>
      <w:r>
        <w:rPr>
          <w:rStyle w:val="NormalTok"/>
        </w:rPr>
        <w:t xml:space="preserve">),</w:t>
      </w:r>
      <w:r>
        <w:br/>
      </w:r>
      <w:r>
        <w:rPr>
          <w:rStyle w:val="NormalTok"/>
        </w:rPr>
        <w:t xml:space="preserve">  </w:t>
      </w:r>
      <w:r>
        <w:rPr>
          <w:rStyle w:val="StringTok"/>
        </w:rPr>
        <w:t xml:space="preserve">`</w:t>
      </w:r>
      <w:r>
        <w:rPr>
          <w:rStyle w:val="AttributeTok"/>
        </w:rPr>
        <w:t xml:space="preserve">Standard error</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signif</w:t>
      </w:r>
      <w:r>
        <w:rPr>
          <w:rStyle w:val="NormalTok"/>
        </w:rPr>
        <w:t xml:space="preserve">(stationarity</w:t>
      </w:r>
      <w:r>
        <w:rPr>
          <w:rStyle w:val="SpecialCharTok"/>
        </w:rPr>
        <w:t xml:space="preserve">$</w:t>
      </w:r>
      <w:r>
        <w:rPr>
          <w:rStyle w:val="NormalTok"/>
        </w:rPr>
        <w:t xml:space="preserve">se, </w:t>
      </w:r>
      <w:r>
        <w:rPr>
          <w:rStyle w:val="DecValTok"/>
        </w:rPr>
        <w:t xml:space="preserve">3</w:t>
      </w:r>
      <w:r>
        <w:rPr>
          <w:rStyle w:val="NormalTok"/>
        </w:rPr>
        <w:t xml:space="preserve">),</w:t>
      </w:r>
      <w:r>
        <w:br/>
      </w:r>
      <w:r>
        <w:rPr>
          <w:rStyle w:val="NormalTok"/>
        </w:rPr>
        <w:t xml:space="preserve">  </w:t>
      </w:r>
      <w:r>
        <w:rPr>
          <w:rStyle w:val="StringTok"/>
        </w:rPr>
        <w:t xml:space="preserve">`</w:t>
      </w:r>
      <w:r>
        <w:rPr>
          <w:rStyle w:val="AttributeTok"/>
        </w:rPr>
        <w:t xml:space="preserve">p</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signif</w:t>
      </w:r>
      <w:r>
        <w:rPr>
          <w:rStyle w:val="NormalTok"/>
        </w:rPr>
        <w:t xml:space="preserve">(stationarity</w:t>
      </w:r>
      <w:r>
        <w:rPr>
          <w:rStyle w:val="SpecialCharTok"/>
        </w:rPr>
        <w:t xml:space="preserve">$</w:t>
      </w:r>
      <w:r>
        <w:rPr>
          <w:rStyle w:val="NormalTok"/>
        </w:rPr>
        <w:t xml:space="preserve">p, </w:t>
      </w:r>
      <w:r>
        <w:rPr>
          <w:rStyle w:val="DecValTok"/>
        </w:rPr>
        <w:t xml:space="preserve">3</w:t>
      </w:r>
      <w:r>
        <w:rPr>
          <w:rStyle w:val="NormalTok"/>
        </w:rPr>
        <w:t xml:space="preserve">),</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w:t>
      </w:r>
      <w:r>
        <w:br/>
      </w:r>
      <w:r>
        <w:rPr>
          <w:rStyle w:val="FunctionTok"/>
        </w:rPr>
        <w:t xml:space="preserve">fmt_tbl</w:t>
      </w:r>
      <w:r>
        <w:rPr>
          <w:rStyle w:val="NormalTok"/>
        </w:rPr>
        <w:t xml:space="preserve">(st)</w:t>
      </w:r>
    </w:p>
    <w:tbl>
      <w:tblPr>
        <w:tblStyle w:val="Table"/>
        <w:tblW w:type="pct" w:w="5000"/>
        <w:tblLayout w:type="fixed"/>
        <w:tblLook w:firstRow="0" w:lastRow="0" w:firstColumn="0" w:lastColumn="0" w:noHBand="0" w:noVBand="0" w:val="0000"/>
      </w:tblPr>
      <w:tblGrid>
        <w:gridCol w:w="7920"/>
      </w:tblGrid>
      <w:tr>
        <w:tc>
          <w:tcPr/>
          <w:bookmarkStart w:id="82" w:name="tbl-stationarity"/>
          <w:p>
            <w:pPr>
              <w:jc w:val="center"/>
            </w:pPr>
            <w:pPr>
              <w:jc w:val="start"/>
              <w:spacing w:before="200"/>
              <w:pStyle w:val="ImageCaption"/>
            </w:pPr>
            <w:r>
              <w:t xml:space="preserve">Table 12: Test of whether the within-season relationship between fire danger and daily ignition count changes across the record. The reported term is the interaction between the Fire Weather Index and centred season number; a positive value would mean more ignitions per unit danger in later seasons. Season is already a fixed effect, so this asks about the slope and not the level.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Response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Series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Interaction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Standard error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Lightning, no size limit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S1: FWI1987, 13:00 observation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-0.0000337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0.000512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0.947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Lightning, no size limit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S2: FWI2025, 13:00 observation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0.0001930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0.000537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0.720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Lightning, no size limit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S3: FWI2025, hourly observation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-0.0000706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0.000466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0.880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All causes, no size limit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S1: FWI1987, 13:00 observation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-0.0000276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0.000217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0.899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All causes, no size limit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S2: FWI2025, 13:00 observation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0.0000828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0.000227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0.715</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All causes, no size limit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S3: FWI2025, hourly observation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0.0000213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0.000196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0.913</w:t>
                  </w:r>
                </w:p>
              </w:tc>
            </w:tr>
          </w:tbl>
          <w:bookmarkEnd w:id="82"/>
        </w:tc>
      </w:tr>
    </w:tbl>
    <w:bookmarkEnd w:id="83"/>
    <w:bookmarkEnd w:id="84"/>
    <w:bookmarkStart w:id="90" w:name="sec-discussion"/>
    <w:p>
      <w:pPr>
        <w:pStyle w:val="Heading1"/>
      </w:pPr>
      <w:r>
        <w:t xml:space="preserve">5. Discussion</w:t>
      </w:r>
    </w:p>
    <w:p>
      <w:pPr>
        <w:pStyle w:val="SourceCode"/>
      </w:pPr>
      <w:r>
        <w:rPr>
          <w:rStyle w:val="CommentTok"/>
        </w:rPr>
        <w:t xml:space="preserve"># The level shifts each change produces, per season, on the two absolute-threshold</w:t>
      </w:r>
      <w:r>
        <w:br/>
      </w:r>
      <w:r>
        <w:rPr>
          <w:rStyle w:val="CommentTok"/>
        </w:rPr>
        <w:t xml:space="preserve"># counts. Sign matters here and is computed, not asserted: the two changes do not</w:t>
      </w:r>
      <w:r>
        <w:br/>
      </w:r>
      <w:r>
        <w:rPr>
          <w:rStyle w:val="CommentTok"/>
        </w:rPr>
        <w:t xml:space="preserve"># necessarily push the same way.</w:t>
      </w:r>
      <w:r>
        <w:br/>
      </w:r>
      <w:r>
        <w:rPr>
          <w:rStyle w:val="NormalTok"/>
        </w:rPr>
        <w:t xml:space="preserve">lvl </w:t>
      </w:r>
      <w:r>
        <w:rPr>
          <w:rStyle w:val="OtherTok"/>
        </w:rPr>
        <w:t xml:space="preserve">&lt;-</w:t>
      </w:r>
      <w:r>
        <w:rPr>
          <w:rStyle w:val="NormalTok"/>
        </w:rPr>
        <w:t xml:space="preserve"> </w:t>
      </w:r>
      <w:r>
        <w:rPr>
          <w:rStyle w:val="ControlFlowTok"/>
        </w:rPr>
        <w:t xml:space="preserve">function</w:t>
      </w:r>
      <w:r>
        <w:rPr>
          <w:rStyle w:val="NormalTok"/>
        </w:rPr>
        <w:t xml:space="preserve">(metric, a, b) {</w:t>
      </w:r>
      <w:r>
        <w:br/>
      </w:r>
      <w:r>
        <w:rPr>
          <w:rStyle w:val="NormalTok"/>
        </w:rPr>
        <w:t xml:space="preserve">  </w:t>
      </w:r>
      <w:r>
        <w:rPr>
          <w:rStyle w:val="FunctionTok"/>
        </w:rPr>
        <w:t xml:space="preserve">mean</w:t>
      </w:r>
      <w:r>
        <w:rPr>
          <w:rStyle w:val="NormalTok"/>
        </w:rPr>
        <w:t xml:space="preserve">(metrics[[metric]][metrics</w:t>
      </w:r>
      <w:r>
        <w:rPr>
          <w:rStyle w:val="SpecialCharTok"/>
        </w:rPr>
        <w:t xml:space="preserve">$</w:t>
      </w:r>
      <w:r>
        <w:rPr>
          <w:rStyle w:val="NormalTok"/>
        </w:rPr>
        <w:t xml:space="preserve">series </w:t>
      </w:r>
      <w:r>
        <w:rPr>
          <w:rStyle w:val="SpecialCharTok"/>
        </w:rPr>
        <w:t xml:space="preserve">==</w:t>
      </w:r>
      <w:r>
        <w:rPr>
          <w:rStyle w:val="NormalTok"/>
        </w:rPr>
        <w:t xml:space="preserve"> b],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mean</w:t>
      </w:r>
      <w:r>
        <w:rPr>
          <w:rStyle w:val="NormalTok"/>
        </w:rPr>
        <w:t xml:space="preserve">(metrics[[metric]][metrics</w:t>
      </w:r>
      <w:r>
        <w:rPr>
          <w:rStyle w:val="SpecialCharTok"/>
        </w:rPr>
        <w:t xml:space="preserve">$</w:t>
      </w:r>
      <w:r>
        <w:rPr>
          <w:rStyle w:val="NormalTok"/>
        </w:rPr>
        <w:t xml:space="preserve">series </w:t>
      </w:r>
      <w:r>
        <w:rPr>
          <w:rStyle w:val="SpecialCharTok"/>
        </w:rPr>
        <w:t xml:space="preserve">==</w:t>
      </w:r>
      <w:r>
        <w:rPr>
          <w:rStyle w:val="NormalTok"/>
        </w:rPr>
        <w:t xml:space="preserve"> a],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r>
        <w:br/>
      </w:r>
      <w:r>
        <w:rPr>
          <w:rStyle w:val="NormalTok"/>
        </w:rPr>
        <w:t xml:space="preserve">shift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metric =</w:t>
      </w:r>
      <w:r>
        <w:rPr>
          <w:rStyle w:val="NormalTok"/>
        </w:rPr>
        <w:t xml:space="preserve"> </w:t>
      </w:r>
      <w:r>
        <w:rPr>
          <w:rStyle w:val="FunctionTok"/>
        </w:rPr>
        <w:t xml:space="preserve">c</w:t>
      </w:r>
      <w:r>
        <w:rPr>
          <w:rStyle w:val="NormalTok"/>
        </w:rPr>
        <w:t xml:space="preserve">(</w:t>
      </w:r>
      <w:r>
        <w:rPr>
          <w:rStyle w:val="StringTok"/>
        </w:rPr>
        <w:t xml:space="preserve">"Days FFMC &gt;= 91"</w:t>
      </w:r>
      <w:r>
        <w:rPr>
          <w:rStyle w:val="NormalTok"/>
        </w:rPr>
        <w:t xml:space="preserve">, </w:t>
      </w:r>
      <w:r>
        <w:rPr>
          <w:rStyle w:val="StringTok"/>
        </w:rPr>
        <w:t xml:space="preserve">"Days FWI &gt;= 19"</w:t>
      </w:r>
      <w:r>
        <w:rPr>
          <w:rStyle w:val="NormalTok"/>
        </w:rPr>
        <w:t xml:space="preserve">),</w:t>
      </w:r>
      <w:r>
        <w:br/>
      </w:r>
      <w:r>
        <w:rPr>
          <w:rStyle w:val="NormalTok"/>
        </w:rPr>
        <w:t xml:space="preserve">  </w:t>
      </w:r>
      <w:r>
        <w:rPr>
          <w:rStyle w:val="AttributeTok"/>
        </w:rPr>
        <w:t xml:space="preserve">version =</w:t>
      </w:r>
      <w:r>
        <w:rPr>
          <w:rStyle w:val="NormalTok"/>
        </w:rPr>
        <w:t xml:space="preserve"> </w:t>
      </w:r>
      <w:r>
        <w:rPr>
          <w:rStyle w:val="FunctionTok"/>
        </w:rPr>
        <w:t xml:space="preserve">c</w:t>
      </w:r>
      <w:r>
        <w:rPr>
          <w:rStyle w:val="NormalTok"/>
        </w:rPr>
        <w:t xml:space="preserve">(</w:t>
      </w:r>
      <w:r>
        <w:rPr>
          <w:rStyle w:val="FunctionTok"/>
        </w:rPr>
        <w:t xml:space="preserve">lvl</w:t>
      </w:r>
      <w:r>
        <w:rPr>
          <w:rStyle w:val="NormalTok"/>
        </w:rPr>
        <w:t xml:space="preserve">(</w:t>
      </w:r>
      <w:r>
        <w:rPr>
          <w:rStyle w:val="StringTok"/>
        </w:rPr>
        <w:t xml:space="preserve">"n_ffmc_ge91"</w:t>
      </w:r>
      <w:r>
        <w:rPr>
          <w:rStyle w:val="NormalTok"/>
        </w:rPr>
        <w:t xml:space="preserve">, </w:t>
      </w:r>
      <w:r>
        <w:rPr>
          <w:rStyle w:val="StringTok"/>
        </w:rPr>
        <w:t xml:space="preserve">"s1"</w:t>
      </w:r>
      <w:r>
        <w:rPr>
          <w:rStyle w:val="NormalTok"/>
        </w:rPr>
        <w:t xml:space="preserve">, </w:t>
      </w:r>
      <w:r>
        <w:rPr>
          <w:rStyle w:val="StringTok"/>
        </w:rPr>
        <w:t xml:space="preserve">"s2"</w:t>
      </w:r>
      <w:r>
        <w:rPr>
          <w:rStyle w:val="NormalTok"/>
        </w:rPr>
        <w:t xml:space="preserve">), </w:t>
      </w:r>
      <w:r>
        <w:rPr>
          <w:rStyle w:val="FunctionTok"/>
        </w:rPr>
        <w:t xml:space="preserve">lvl</w:t>
      </w:r>
      <w:r>
        <w:rPr>
          <w:rStyle w:val="NormalTok"/>
        </w:rPr>
        <w:t xml:space="preserve">(</w:t>
      </w:r>
      <w:r>
        <w:rPr>
          <w:rStyle w:val="StringTok"/>
        </w:rPr>
        <w:t xml:space="preserve">"n_fwi_ge19"</w:t>
      </w:r>
      <w:r>
        <w:rPr>
          <w:rStyle w:val="NormalTok"/>
        </w:rPr>
        <w:t xml:space="preserve">, </w:t>
      </w:r>
      <w:r>
        <w:rPr>
          <w:rStyle w:val="StringTok"/>
        </w:rPr>
        <w:t xml:space="preserve">"s1"</w:t>
      </w:r>
      <w:r>
        <w:rPr>
          <w:rStyle w:val="NormalTok"/>
        </w:rPr>
        <w:t xml:space="preserve">, </w:t>
      </w:r>
      <w:r>
        <w:rPr>
          <w:rStyle w:val="StringTok"/>
        </w:rPr>
        <w:t xml:space="preserve">"s2"</w:t>
      </w:r>
      <w:r>
        <w:rPr>
          <w:rStyle w:val="NormalTok"/>
        </w:rPr>
        <w:t xml:space="preserve">)),</w:t>
      </w:r>
      <w:r>
        <w:br/>
      </w:r>
      <w:r>
        <w:rPr>
          <w:rStyle w:val="NormalTok"/>
        </w:rPr>
        <w:t xml:space="preserve">  </w:t>
      </w:r>
      <w:r>
        <w:rPr>
          <w:rStyle w:val="AttributeTok"/>
        </w:rPr>
        <w:t xml:space="preserve">input =</w:t>
      </w:r>
      <w:r>
        <w:rPr>
          <w:rStyle w:val="NormalTok"/>
        </w:rPr>
        <w:t xml:space="preserve"> </w:t>
      </w:r>
      <w:r>
        <w:rPr>
          <w:rStyle w:val="FunctionTok"/>
        </w:rPr>
        <w:t xml:space="preserve">c</w:t>
      </w:r>
      <w:r>
        <w:rPr>
          <w:rStyle w:val="NormalTok"/>
        </w:rPr>
        <w:t xml:space="preserve">(</w:t>
      </w:r>
      <w:r>
        <w:rPr>
          <w:rStyle w:val="FunctionTok"/>
        </w:rPr>
        <w:t xml:space="preserve">lvl</w:t>
      </w:r>
      <w:r>
        <w:rPr>
          <w:rStyle w:val="NormalTok"/>
        </w:rPr>
        <w:t xml:space="preserve">(</w:t>
      </w:r>
      <w:r>
        <w:rPr>
          <w:rStyle w:val="StringTok"/>
        </w:rPr>
        <w:t xml:space="preserve">"n_ffmc_ge91"</w:t>
      </w:r>
      <w:r>
        <w:rPr>
          <w:rStyle w:val="NormalTok"/>
        </w:rPr>
        <w:t xml:space="preserve">, </w:t>
      </w:r>
      <w:r>
        <w:rPr>
          <w:rStyle w:val="StringTok"/>
        </w:rPr>
        <w:t xml:space="preserve">"s2"</w:t>
      </w:r>
      <w:r>
        <w:rPr>
          <w:rStyle w:val="NormalTok"/>
        </w:rPr>
        <w:t xml:space="preserve">, </w:t>
      </w:r>
      <w:r>
        <w:rPr>
          <w:rStyle w:val="StringTok"/>
        </w:rPr>
        <w:t xml:space="preserve">"s3"</w:t>
      </w:r>
      <w:r>
        <w:rPr>
          <w:rStyle w:val="NormalTok"/>
        </w:rPr>
        <w:t xml:space="preserve">), </w:t>
      </w:r>
      <w:r>
        <w:rPr>
          <w:rStyle w:val="FunctionTok"/>
        </w:rPr>
        <w:t xml:space="preserve">lvl</w:t>
      </w:r>
      <w:r>
        <w:rPr>
          <w:rStyle w:val="NormalTok"/>
        </w:rPr>
        <w:t xml:space="preserve">(</w:t>
      </w:r>
      <w:r>
        <w:rPr>
          <w:rStyle w:val="StringTok"/>
        </w:rPr>
        <w:t xml:space="preserve">"n_fwi_ge19"</w:t>
      </w:r>
      <w:r>
        <w:rPr>
          <w:rStyle w:val="NormalTok"/>
        </w:rPr>
        <w:t xml:space="preserve">, </w:t>
      </w:r>
      <w:r>
        <w:rPr>
          <w:rStyle w:val="StringTok"/>
        </w:rPr>
        <w:t xml:space="preserve">"s2"</w:t>
      </w:r>
      <w:r>
        <w:rPr>
          <w:rStyle w:val="NormalTok"/>
        </w:rPr>
        <w:t xml:space="preserve">, </w:t>
      </w:r>
      <w:r>
        <w:rPr>
          <w:rStyle w:val="StringTok"/>
        </w:rPr>
        <w:t xml:space="preserve">"s3"</w:t>
      </w:r>
      <w:r>
        <w:rPr>
          <w:rStyle w:val="NormalTok"/>
        </w:rPr>
        <w:t xml:space="preserve">)),</w:t>
      </w:r>
      <w:r>
        <w:br/>
      </w:r>
      <w:r>
        <w:rPr>
          <w:rStyle w:val="NormalTok"/>
        </w:rPr>
        <w:t xml:space="preserve">  </w:t>
      </w:r>
      <w:r>
        <w:rPr>
          <w:rStyle w:val="AttributeTok"/>
        </w:rPr>
        <w:t xml:space="preserve">migration =</w:t>
      </w:r>
      <w:r>
        <w:rPr>
          <w:rStyle w:val="NormalTok"/>
        </w:rPr>
        <w:t xml:space="preserve"> </w:t>
      </w:r>
      <w:r>
        <w:rPr>
          <w:rStyle w:val="FunctionTok"/>
        </w:rPr>
        <w:t xml:space="preserve">c</w:t>
      </w:r>
      <w:r>
        <w:rPr>
          <w:rStyle w:val="NormalTok"/>
        </w:rPr>
        <w:t xml:space="preserve">(</w:t>
      </w:r>
      <w:r>
        <w:rPr>
          <w:rStyle w:val="FunctionTok"/>
        </w:rPr>
        <w:t xml:space="preserve">lvl</w:t>
      </w:r>
      <w:r>
        <w:rPr>
          <w:rStyle w:val="NormalTok"/>
        </w:rPr>
        <w:t xml:space="preserve">(</w:t>
      </w:r>
      <w:r>
        <w:rPr>
          <w:rStyle w:val="StringTok"/>
        </w:rPr>
        <w:t xml:space="preserve">"n_ffmc_ge91"</w:t>
      </w:r>
      <w:r>
        <w:rPr>
          <w:rStyle w:val="NormalTok"/>
        </w:rPr>
        <w:t xml:space="preserve">, </w:t>
      </w:r>
      <w:r>
        <w:rPr>
          <w:rStyle w:val="StringTok"/>
        </w:rPr>
        <w:t xml:space="preserve">"s1"</w:t>
      </w:r>
      <w:r>
        <w:rPr>
          <w:rStyle w:val="NormalTok"/>
        </w:rPr>
        <w:t xml:space="preserve">, </w:t>
      </w:r>
      <w:r>
        <w:rPr>
          <w:rStyle w:val="StringTok"/>
        </w:rPr>
        <w:t xml:space="preserve">"s3"</w:t>
      </w:r>
      <w:r>
        <w:rPr>
          <w:rStyle w:val="NormalTok"/>
        </w:rPr>
        <w:t xml:space="preserve">), </w:t>
      </w:r>
      <w:r>
        <w:rPr>
          <w:rStyle w:val="FunctionTok"/>
        </w:rPr>
        <w:t xml:space="preserve">lvl</w:t>
      </w:r>
      <w:r>
        <w:rPr>
          <w:rStyle w:val="NormalTok"/>
        </w:rPr>
        <w:t xml:space="preserve">(</w:t>
      </w:r>
      <w:r>
        <w:rPr>
          <w:rStyle w:val="StringTok"/>
        </w:rPr>
        <w:t xml:space="preserve">"n_fwi_ge19"</w:t>
      </w:r>
      <w:r>
        <w:rPr>
          <w:rStyle w:val="NormalTok"/>
        </w:rPr>
        <w:t xml:space="preserve">, </w:t>
      </w:r>
      <w:r>
        <w:rPr>
          <w:rStyle w:val="StringTok"/>
        </w:rPr>
        <w:t xml:space="preserve">"s1"</w:t>
      </w:r>
      <w:r>
        <w:rPr>
          <w:rStyle w:val="NormalTok"/>
        </w:rPr>
        <w:t xml:space="preserve">, </w:t>
      </w:r>
      <w:r>
        <w:rPr>
          <w:rStyle w:val="StringTok"/>
        </w:rPr>
        <w:t xml:space="preserve">"s3"</w:t>
      </w:r>
      <w:r>
        <w:rPr>
          <w:rStyle w:val="NormalTok"/>
        </w:rPr>
        <w:t xml:space="preserve">))</w:t>
      </w:r>
      <w:r>
        <w:br/>
      </w:r>
      <w:r>
        <w:rPr>
          <w:rStyle w:val="NormalTok"/>
        </w:rPr>
        <w:t xml:space="preserve">)</w:t>
      </w:r>
      <w:r>
        <w:br/>
      </w:r>
      <w:r>
        <w:rPr>
          <w:rStyle w:val="FunctionTok"/>
        </w:rPr>
        <w:t xml:space="preserve">write.csv</w:t>
      </w:r>
      <w:r>
        <w:rPr>
          <w:rStyle w:val="NormalTok"/>
        </w:rPr>
        <w:t xml:space="preserve">(shift, </w:t>
      </w:r>
      <w:r>
        <w:rPr>
          <w:rStyle w:val="FunctionTok"/>
        </w:rPr>
        <w:t xml:space="preserve">file.path</w:t>
      </w:r>
      <w:r>
        <w:rPr>
          <w:rStyle w:val="NormalTok"/>
        </w:rPr>
        <w:t xml:space="preserve">(outputs, </w:t>
      </w:r>
      <w:r>
        <w:rPr>
          <w:rStyle w:val="StringTok"/>
        </w:rPr>
        <w:t xml:space="preserve">"level-shifts.csv"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br/>
      </w:r>
      <w:r>
        <w:rPr>
          <w:rStyle w:val="NormalTok"/>
        </w:rPr>
        <w:t xml:space="preserve">same_sign </w:t>
      </w:r>
      <w:r>
        <w:rPr>
          <w:rStyle w:val="OtherTok"/>
        </w:rPr>
        <w:t xml:space="preserve">&lt;-</w:t>
      </w:r>
      <w:r>
        <w:rPr>
          <w:rStyle w:val="NormalTok"/>
        </w:rPr>
        <w:t xml:space="preserve"> </w:t>
      </w:r>
      <w:r>
        <w:rPr>
          <w:rStyle w:val="ControlFlowTok"/>
        </w:rPr>
        <w:t xml:space="preserve">function</w:t>
      </w:r>
      <w:r>
        <w:rPr>
          <w:rStyle w:val="NormalTok"/>
        </w:rPr>
        <w:t xml:space="preserve">(i) </w:t>
      </w:r>
      <w:r>
        <w:rPr>
          <w:rStyle w:val="FunctionTok"/>
        </w:rPr>
        <w:t xml:space="preserve">sign</w:t>
      </w:r>
      <w:r>
        <w:rPr>
          <w:rStyle w:val="NormalTok"/>
        </w:rPr>
        <w:t xml:space="preserve">(shift</w:t>
      </w:r>
      <w:r>
        <w:rPr>
          <w:rStyle w:val="SpecialCharTok"/>
        </w:rPr>
        <w:t xml:space="preserve">$</w:t>
      </w:r>
      <w:r>
        <w:rPr>
          <w:rStyle w:val="NormalTok"/>
        </w:rPr>
        <w:t xml:space="preserve">version[i]) </w:t>
      </w:r>
      <w:r>
        <w:rPr>
          <w:rStyle w:val="SpecialCharTok"/>
        </w:rPr>
        <w:t xml:space="preserve">==</w:t>
      </w:r>
      <w:r>
        <w:rPr>
          <w:rStyle w:val="NormalTok"/>
        </w:rPr>
        <w:t xml:space="preserve"> </w:t>
      </w:r>
      <w:r>
        <w:rPr>
          <w:rStyle w:val="FunctionTok"/>
        </w:rPr>
        <w:t xml:space="preserve">sign</w:t>
      </w:r>
      <w:r>
        <w:rPr>
          <w:rStyle w:val="NormalTok"/>
        </w:rPr>
        <w:t xml:space="preserve">(shift</w:t>
      </w:r>
      <w:r>
        <w:rPr>
          <w:rStyle w:val="SpecialCharTok"/>
        </w:rPr>
        <w:t xml:space="preserve">$</w:t>
      </w:r>
      <w:r>
        <w:rPr>
          <w:rStyle w:val="NormalTok"/>
        </w:rPr>
        <w:t xml:space="preserve">input[i])</w:t>
      </w:r>
      <w:r>
        <w:br/>
      </w:r>
      <w:r>
        <w:rPr>
          <w:rStyle w:val="NormalTok"/>
        </w:rPr>
        <w:t xml:space="preserve">ffmc_word </w:t>
      </w:r>
      <w:r>
        <w:rPr>
          <w:rStyle w:val="OtherTok"/>
        </w:rPr>
        <w:t xml:space="preserve">&lt;-</w:t>
      </w:r>
      <w:r>
        <w:rPr>
          <w:rStyle w:val="NormalTok"/>
        </w:rPr>
        <w:t xml:space="preserve"> </w:t>
      </w:r>
      <w:r>
        <w:rPr>
          <w:rStyle w:val="ControlFlowTok"/>
        </w:rPr>
        <w:t xml:space="preserve">if</w:t>
      </w:r>
      <w:r>
        <w:rPr>
          <w:rStyle w:val="NormalTok"/>
        </w:rPr>
        <w:t xml:space="preserve"> (</w:t>
      </w:r>
      <w:r>
        <w:rPr>
          <w:rStyle w:val="FunctionTok"/>
        </w:rPr>
        <w:t xml:space="preserve">same_sign</w:t>
      </w:r>
      <w:r>
        <w:rPr>
          <w:rStyle w:val="NormalTok"/>
        </w:rPr>
        <w:t xml:space="preserve">(</w:t>
      </w:r>
      <w:r>
        <w:rPr>
          <w:rStyle w:val="DecValTok"/>
        </w:rPr>
        <w:t xml:space="preserve">1</w:t>
      </w:r>
      <w:r>
        <w:rPr>
          <w:rStyle w:val="NormalTok"/>
        </w:rPr>
        <w:t xml:space="preserve">)) </w:t>
      </w:r>
      <w:r>
        <w:rPr>
          <w:rStyle w:val="StringTok"/>
        </w:rPr>
        <w:t xml:space="preserve">"compound"</w:t>
      </w:r>
      <w:r>
        <w:rPr>
          <w:rStyle w:val="NormalTok"/>
        </w:rPr>
        <w:t xml:space="preserve"> </w:t>
      </w:r>
      <w:r>
        <w:rPr>
          <w:rStyle w:val="ControlFlowTok"/>
        </w:rPr>
        <w:t xml:space="preserve">else</w:t>
      </w:r>
      <w:r>
        <w:rPr>
          <w:rStyle w:val="NormalTok"/>
        </w:rPr>
        <w:t xml:space="preserve"> </w:t>
      </w:r>
      <w:r>
        <w:rPr>
          <w:rStyle w:val="StringTok"/>
        </w:rPr>
        <w:t xml:space="preserve">"oppose one another"</w:t>
      </w:r>
      <w:r>
        <w:br/>
      </w:r>
      <w:r>
        <w:rPr>
          <w:rStyle w:val="NormalTok"/>
        </w:rPr>
        <w:t xml:space="preserve">fwi_word </w:t>
      </w:r>
      <w:r>
        <w:rPr>
          <w:rStyle w:val="OtherTok"/>
        </w:rPr>
        <w:t xml:space="preserve">&lt;-</w:t>
      </w:r>
      <w:r>
        <w:rPr>
          <w:rStyle w:val="NormalTok"/>
        </w:rPr>
        <w:t xml:space="preserve"> </w:t>
      </w:r>
      <w:r>
        <w:rPr>
          <w:rStyle w:val="ControlFlowTok"/>
        </w:rPr>
        <w:t xml:space="preserve">if</w:t>
      </w:r>
      <w:r>
        <w:rPr>
          <w:rStyle w:val="NormalTok"/>
        </w:rPr>
        <w:t xml:space="preserve"> (</w:t>
      </w:r>
      <w:r>
        <w:rPr>
          <w:rStyle w:val="FunctionTok"/>
        </w:rPr>
        <w:t xml:space="preserve">same_sign</w:t>
      </w:r>
      <w:r>
        <w:rPr>
          <w:rStyle w:val="NormalTok"/>
        </w:rPr>
        <w:t xml:space="preserve">(</w:t>
      </w:r>
      <w:r>
        <w:rPr>
          <w:rStyle w:val="DecValTok"/>
        </w:rPr>
        <w:t xml:space="preserve">2</w:t>
      </w:r>
      <w:r>
        <w:rPr>
          <w:rStyle w:val="NormalTok"/>
        </w:rPr>
        <w:t xml:space="preserve">)) </w:t>
      </w:r>
      <w:r>
        <w:rPr>
          <w:rStyle w:val="StringTok"/>
        </w:rPr>
        <w:t xml:space="preserve">"compound"</w:t>
      </w:r>
      <w:r>
        <w:rPr>
          <w:rStyle w:val="NormalTok"/>
        </w:rPr>
        <w:t xml:space="preserve"> </w:t>
      </w:r>
      <w:r>
        <w:rPr>
          <w:rStyle w:val="ControlFlowTok"/>
        </w:rPr>
        <w:t xml:space="preserve">else</w:t>
      </w:r>
      <w:r>
        <w:rPr>
          <w:rStyle w:val="NormalTok"/>
        </w:rPr>
        <w:t xml:space="preserve"> </w:t>
      </w:r>
      <w:r>
        <w:rPr>
          <w:rStyle w:val="StringTok"/>
        </w:rPr>
        <w:t xml:space="preserve">"oppose one another"</w:t>
      </w:r>
      <w:r>
        <w:br/>
      </w:r>
      <w:r>
        <w:br/>
      </w:r>
      <w:r>
        <w:rPr>
          <w:rStyle w:val="CommentTok"/>
        </w:rPr>
        <w:t xml:space="preserve"># Where the two changes oppose, what survives is the residual, and how much</w:t>
      </w:r>
      <w:r>
        <w:br/>
      </w:r>
      <w:r>
        <w:rPr>
          <w:rStyle w:val="CommentTok"/>
        </w:rPr>
        <w:t xml:space="preserve"># survives is the whole point. Cancellation is measured as the migration shift</w:t>
      </w:r>
      <w:r>
        <w:br/>
      </w:r>
      <w:r>
        <w:rPr>
          <w:rStyle w:val="CommentTok"/>
        </w:rPr>
        <w:t xml:space="preserve"># relative to the larger of the two component shifts.</w:t>
      </w:r>
      <w:r>
        <w:br/>
      </w:r>
      <w:r>
        <w:rPr>
          <w:rStyle w:val="NormalTok"/>
        </w:rPr>
        <w:t xml:space="preserve">residual </w:t>
      </w:r>
      <w:r>
        <w:rPr>
          <w:rStyle w:val="OtherTok"/>
        </w:rPr>
        <w:t xml:space="preserve">&lt;-</w:t>
      </w:r>
      <w:r>
        <w:rPr>
          <w:rStyle w:val="NormalTok"/>
        </w:rPr>
        <w:t xml:space="preserve"> </w:t>
      </w:r>
      <w:r>
        <w:rPr>
          <w:rStyle w:val="ControlFlowTok"/>
        </w:rPr>
        <w:t xml:space="preserve">function</w:t>
      </w:r>
      <w:r>
        <w:rPr>
          <w:rStyle w:val="NormalTok"/>
        </w:rPr>
        <w:t xml:space="preserve">(i) {</w:t>
      </w:r>
      <w:r>
        <w:br/>
      </w:r>
      <w:r>
        <w:rPr>
          <w:rStyle w:val="NormalTok"/>
        </w:rPr>
        <w:t xml:space="preserve">  </w:t>
      </w:r>
      <w:r>
        <w:rPr>
          <w:rStyle w:val="FunctionTok"/>
        </w:rPr>
        <w:t xml:space="preserve">abs</w:t>
      </w:r>
      <w:r>
        <w:rPr>
          <w:rStyle w:val="NormalTok"/>
        </w:rPr>
        <w:t xml:space="preserve">(shift</w:t>
      </w:r>
      <w:r>
        <w:rPr>
          <w:rStyle w:val="SpecialCharTok"/>
        </w:rPr>
        <w:t xml:space="preserve">$</w:t>
      </w:r>
      <w:r>
        <w:rPr>
          <w:rStyle w:val="NormalTok"/>
        </w:rPr>
        <w:t xml:space="preserve">migration[i]) </w:t>
      </w:r>
      <w:r>
        <w:rPr>
          <w:rStyle w:val="SpecialCharTok"/>
        </w:rPr>
        <w:t xml:space="preserve">/</w:t>
      </w:r>
      <w:r>
        <w:rPr>
          <w:rStyle w:val="NormalTok"/>
        </w:rPr>
        <w:t xml:space="preserve"> </w:t>
      </w:r>
      <w:r>
        <w:rPr>
          <w:rStyle w:val="FunctionTok"/>
        </w:rPr>
        <w:t xml:space="preserve">max</w:t>
      </w:r>
      <w:r>
        <w:rPr>
          <w:rStyle w:val="NormalTok"/>
        </w:rPr>
        <w:t xml:space="preserve">(</w:t>
      </w:r>
      <w:r>
        <w:rPr>
          <w:rStyle w:val="FunctionTok"/>
        </w:rPr>
        <w:t xml:space="preserve">abs</w:t>
      </w:r>
      <w:r>
        <w:rPr>
          <w:rStyle w:val="NormalTok"/>
        </w:rPr>
        <w:t xml:space="preserve">(shift</w:t>
      </w:r>
      <w:r>
        <w:rPr>
          <w:rStyle w:val="SpecialCharTok"/>
        </w:rPr>
        <w:t xml:space="preserve">$</w:t>
      </w:r>
      <w:r>
        <w:rPr>
          <w:rStyle w:val="NormalTok"/>
        </w:rPr>
        <w:t xml:space="preserve">version[i]), </w:t>
      </w:r>
      <w:r>
        <w:rPr>
          <w:rStyle w:val="FunctionTok"/>
        </w:rPr>
        <w:t xml:space="preserve">abs</w:t>
      </w:r>
      <w:r>
        <w:rPr>
          <w:rStyle w:val="NormalTok"/>
        </w:rPr>
        <w:t xml:space="preserve">(shift</w:t>
      </w:r>
      <w:r>
        <w:rPr>
          <w:rStyle w:val="SpecialCharTok"/>
        </w:rPr>
        <w:t xml:space="preserve">$</w:t>
      </w:r>
      <w:r>
        <w:rPr>
          <w:rStyle w:val="NormalTok"/>
        </w:rPr>
        <w:t xml:space="preserve">input[i]))</w:t>
      </w:r>
      <w:r>
        <w:br/>
      </w:r>
      <w:r>
        <w:rPr>
          <w:rStyle w:val="NormalTok"/>
        </w:rPr>
        <w:t xml:space="preserve">}</w:t>
      </w:r>
      <w:r>
        <w:br/>
      </w:r>
      <w:r>
        <w:rPr>
          <w:rStyle w:val="NormalTok"/>
        </w:rPr>
        <w:t xml:space="preserve">ffmc_res </w:t>
      </w:r>
      <w:r>
        <w:rPr>
          <w:rStyle w:val="OtherTok"/>
        </w:rPr>
        <w:t xml:space="preserve">&lt;-</w:t>
      </w:r>
      <w:r>
        <w:rPr>
          <w:rStyle w:val="NormalTok"/>
        </w:rPr>
        <w:t xml:space="preserve"> </w:t>
      </w:r>
      <w:r>
        <w:rPr>
          <w:rStyle w:val="FunctionTok"/>
        </w:rPr>
        <w:t xml:space="preserve">residual</w:t>
      </w:r>
      <w:r>
        <w:rPr>
          <w:rStyle w:val="NormalTok"/>
        </w:rPr>
        <w:t xml:space="preserve">(</w:t>
      </w:r>
      <w:r>
        <w:rPr>
          <w:rStyle w:val="DecValTok"/>
        </w:rPr>
        <w:t xml:space="preserve">1</w:t>
      </w:r>
      <w:r>
        <w:rPr>
          <w:rStyle w:val="NormalTok"/>
        </w:rPr>
        <w:t xml:space="preserve">); fwi_res </w:t>
      </w:r>
      <w:r>
        <w:rPr>
          <w:rStyle w:val="OtherTok"/>
        </w:rPr>
        <w:t xml:space="preserve">&lt;-</w:t>
      </w:r>
      <w:r>
        <w:rPr>
          <w:rStyle w:val="NormalTok"/>
        </w:rPr>
        <w:t xml:space="preserve"> </w:t>
      </w:r>
      <w:r>
        <w:rPr>
          <w:rStyle w:val="FunctionTok"/>
        </w:rPr>
        <w:t xml:space="preserve">residual</w:t>
      </w:r>
      <w:r>
        <w:rPr>
          <w:rStyle w:val="NormalTok"/>
        </w:rPr>
        <w:t xml:space="preserve">(</w:t>
      </w:r>
      <w:r>
        <w:rPr>
          <w:rStyle w:val="DecValTok"/>
        </w:rPr>
        <w:t xml:space="preserve">2</w:t>
      </w:r>
      <w:r>
        <w:rPr>
          <w:rStyle w:val="NormalTok"/>
        </w:rPr>
        <w:t xml:space="preserve">)</w:t>
      </w:r>
      <w:r>
        <w:br/>
      </w:r>
      <w:r>
        <w:rPr>
          <w:rStyle w:val="NormalTok"/>
        </w:rPr>
        <w:t xml:space="preserve">bigger </w:t>
      </w:r>
      <w:r>
        <w:rPr>
          <w:rStyle w:val="OtherTok"/>
        </w:rPr>
        <w:t xml:space="preserve">&lt;-</w:t>
      </w:r>
      <w:r>
        <w:rPr>
          <w:rStyle w:val="NormalTok"/>
        </w:rPr>
        <w:t xml:space="preserve"> </w:t>
      </w:r>
      <w:r>
        <w:rPr>
          <w:rStyle w:val="ControlFlowTok"/>
        </w:rPr>
        <w:t xml:space="preserve">function</w:t>
      </w:r>
      <w:r>
        <w:rPr>
          <w:rStyle w:val="NormalTok"/>
        </w:rPr>
        <w:t xml:space="preserve">(i) </w:t>
      </w:r>
      <w:r>
        <w:rPr>
          <w:rStyle w:val="ControlFlowTok"/>
        </w:rPr>
        <w:t xml:space="preserve">if</w:t>
      </w:r>
      <w:r>
        <w:rPr>
          <w:rStyle w:val="NormalTok"/>
        </w:rPr>
        <w:t xml:space="preserve"> (</w:t>
      </w:r>
      <w:r>
        <w:rPr>
          <w:rStyle w:val="FunctionTok"/>
        </w:rPr>
        <w:t xml:space="preserve">abs</w:t>
      </w:r>
      <w:r>
        <w:rPr>
          <w:rStyle w:val="NormalTok"/>
        </w:rPr>
        <w:t xml:space="preserve">(shift</w:t>
      </w:r>
      <w:r>
        <w:rPr>
          <w:rStyle w:val="SpecialCharTok"/>
        </w:rPr>
        <w:t xml:space="preserve">$</w:t>
      </w:r>
      <w:r>
        <w:rPr>
          <w:rStyle w:val="NormalTok"/>
        </w:rPr>
        <w:t xml:space="preserve">version[i]) </w:t>
      </w:r>
      <w:r>
        <w:rPr>
          <w:rStyle w:val="SpecialCharTok"/>
        </w:rPr>
        <w:t xml:space="preserve">&gt;</w:t>
      </w:r>
      <w:r>
        <w:rPr>
          <w:rStyle w:val="NormalTok"/>
        </w:rPr>
        <w:t xml:space="preserve"> </w:t>
      </w:r>
      <w:r>
        <w:rPr>
          <w:rStyle w:val="FunctionTok"/>
        </w:rPr>
        <w:t xml:space="preserve">abs</w:t>
      </w:r>
      <w:r>
        <w:rPr>
          <w:rStyle w:val="NormalTok"/>
        </w:rPr>
        <w:t xml:space="preserve">(shift</w:t>
      </w:r>
      <w:r>
        <w:rPr>
          <w:rStyle w:val="SpecialCharTok"/>
        </w:rPr>
        <w:t xml:space="preserve">$</w:t>
      </w:r>
      <w:r>
        <w:rPr>
          <w:rStyle w:val="NormalTok"/>
        </w:rPr>
        <w:t xml:space="preserve">input[i]))</w:t>
      </w:r>
      <w:r>
        <w:br/>
      </w:r>
      <w:r>
        <w:rPr>
          <w:rStyle w:val="NormalTok"/>
        </w:rPr>
        <w:t xml:space="preserve">  </w:t>
      </w:r>
      <w:r>
        <w:rPr>
          <w:rStyle w:val="StringTok"/>
        </w:rPr>
        <w:t xml:space="preserve">"the version change"</w:t>
      </w:r>
      <w:r>
        <w:rPr>
          <w:rStyle w:val="NormalTok"/>
        </w:rPr>
        <w:t xml:space="preserve"> </w:t>
      </w:r>
      <w:r>
        <w:rPr>
          <w:rStyle w:val="ControlFlowTok"/>
        </w:rPr>
        <w:t xml:space="preserve">else</w:t>
      </w:r>
      <w:r>
        <w:rPr>
          <w:rStyle w:val="NormalTok"/>
        </w:rPr>
        <w:t xml:space="preserve"> </w:t>
      </w:r>
      <w:r>
        <w:rPr>
          <w:rStyle w:val="StringTok"/>
        </w:rPr>
        <w:t xml:space="preserve">"the input resolution change"</w:t>
      </w:r>
    </w:p>
    <w:bookmarkStart w:id="86" w:name="version-and-input"/>
    <w:p>
      <w:pPr>
        <w:pStyle w:val="Heading2"/>
      </w:pPr>
      <w:r>
        <w:t xml:space="preserve">5.1 Version and Input</w:t>
      </w:r>
    </w:p>
    <w:p>
      <w:pPr>
        <w:pStyle w:val="SourceCode"/>
      </w:pPr>
      <w:r>
        <w:rPr>
          <w:rStyle w:val="NormalTok"/>
        </w:rPr>
        <w:t xml:space="preserve">sh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Metric =</w:t>
      </w:r>
      <w:r>
        <w:rPr>
          <w:rStyle w:val="NormalTok"/>
        </w:rPr>
        <w:t xml:space="preserve"> shift</w:t>
      </w:r>
      <w:r>
        <w:rPr>
          <w:rStyle w:val="SpecialCharTok"/>
        </w:rPr>
        <w:t xml:space="preserve">$</w:t>
      </w:r>
      <w:r>
        <w:rPr>
          <w:rStyle w:val="NormalTok"/>
        </w:rPr>
        <w:t xml:space="preserve">metric,</w:t>
      </w:r>
      <w:r>
        <w:br/>
      </w:r>
      <w:r>
        <w:rPr>
          <w:rStyle w:val="NormalTok"/>
        </w:rPr>
        <w:t xml:space="preserve">  </w:t>
      </w:r>
      <w:r>
        <w:rPr>
          <w:rStyle w:val="StringTok"/>
        </w:rPr>
        <w:t xml:space="preserve">`</w:t>
      </w:r>
      <w:r>
        <w:rPr>
          <w:rStyle w:val="AttributeTok"/>
        </w:rPr>
        <w:t xml:space="preserve">Version change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shift</w:t>
      </w:r>
      <w:r>
        <w:rPr>
          <w:rStyle w:val="SpecialCharTok"/>
        </w:rPr>
        <w:t xml:space="preserve">$</w:t>
      </w:r>
      <w:r>
        <w:rPr>
          <w:rStyle w:val="NormalTok"/>
        </w:rPr>
        <w:t xml:space="preserve">version),</w:t>
      </w:r>
      <w:r>
        <w:br/>
      </w:r>
      <w:r>
        <w:rPr>
          <w:rStyle w:val="NormalTok"/>
        </w:rPr>
        <w:t xml:space="preserve">  </w:t>
      </w:r>
      <w:r>
        <w:rPr>
          <w:rStyle w:val="StringTok"/>
        </w:rPr>
        <w:t xml:space="preserve">`</w:t>
      </w:r>
      <w:r>
        <w:rPr>
          <w:rStyle w:val="AttributeTok"/>
        </w:rPr>
        <w:t xml:space="preserve">Input resolution change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shift</w:t>
      </w:r>
      <w:r>
        <w:rPr>
          <w:rStyle w:val="SpecialCharTok"/>
        </w:rPr>
        <w:t xml:space="preserve">$</w:t>
      </w:r>
      <w:r>
        <w:rPr>
          <w:rStyle w:val="NormalTok"/>
        </w:rPr>
        <w:t xml:space="preserve">input),</w:t>
      </w:r>
      <w:r>
        <w:br/>
      </w:r>
      <w:r>
        <w:rPr>
          <w:rStyle w:val="NormalTok"/>
        </w:rPr>
        <w:t xml:space="preserve">  </w:t>
      </w:r>
      <w:r>
        <w:rPr>
          <w:rStyle w:val="StringTok"/>
        </w:rPr>
        <w:t xml:space="preserve">`</w:t>
      </w:r>
      <w:r>
        <w:rPr>
          <w:rStyle w:val="AttributeTok"/>
        </w:rPr>
        <w:t xml:space="preserve">Migration, both</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shift</w:t>
      </w:r>
      <w:r>
        <w:rPr>
          <w:rStyle w:val="SpecialCharTok"/>
        </w:rPr>
        <w:t xml:space="preserve">$</w:t>
      </w:r>
      <w:r>
        <w:rPr>
          <w:rStyle w:val="NormalTok"/>
        </w:rPr>
        <w:t xml:space="preserve">migration),</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w:t>
      </w:r>
      <w:r>
        <w:br/>
      </w:r>
      <w:r>
        <w:rPr>
          <w:rStyle w:val="FunctionTok"/>
        </w:rPr>
        <w:t xml:space="preserve">fmt_tbl</w:t>
      </w:r>
      <w:r>
        <w:rPr>
          <w:rStyle w:val="NormalTok"/>
        </w:rPr>
        <w:t xml:space="preserve">(sh)</w:t>
      </w:r>
    </w:p>
    <w:tbl>
      <w:tblPr>
        <w:tblStyle w:val="Table"/>
        <w:tblW w:type="pct" w:w="5000"/>
        <w:tblLayout w:type="fixed"/>
        <w:tblLook w:firstRow="0" w:lastRow="0" w:firstColumn="0" w:lastColumn="0" w:noHBand="0" w:noVBand="0" w:val="0000"/>
      </w:tblPr>
      <w:tblGrid>
        <w:gridCol w:w="7920"/>
      </w:tblGrid>
      <w:tr>
        <w:tc>
          <w:tcPr/>
          <w:bookmarkStart w:id="85" w:name="tbl-shift"/>
          <w:p>
            <w:pPr>
              <w:jc w:val="center"/>
            </w:pPr>
            <w:pPr>
              <w:jc w:val="start"/>
              <w:spacing w:before="200"/>
              <w:pStyle w:val="ImageCaption"/>
            </w:pPr>
            <w:r>
              <w:t xml:space="preserve">Table 13: How each change moves the seasonal count of extreme days, in days per season averaged over kept station-seasons. The version column is FWI1987 to FWI2025 at fixed 13:00 input; the input column is the 13:00 pathway to observed hourly weather at fixed FWI2025; the migration column is the two together, and equals their sum by construction, so the signs of the two components are what the table shows.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Metric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Version change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Input resolution change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Migration, both</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Days FFMC &gt;= 91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+4.7</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Days FWI &gt;= 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-0.3</w:t>
                  </w:r>
                </w:p>
              </w:tc>
            </w:tr>
          </w:tbl>
          <w:bookmarkEnd w:id="85"/>
        </w:tc>
      </w:tr>
    </w:tbl>
    <w:p>
      <w:pPr>
        <w:pStyle w:val="BodyText"/>
      </w:pPr>
      <w:r>
        <w:t xml:space="preserve">The reason a straight comparison of FWI1987 against FWI2025 would have been uninterpretable is in</w:t>
      </w:r>
      <w:r>
        <w:t xml:space="preserve"> </w:t>
      </w:r>
      <w:hyperlink w:anchor="tbl-shift">
        <w:r>
          <w:rPr>
            <w:rStyle w:val="Hyperlink"/>
          </w:rPr>
          <w:t xml:space="preserve">Table 13</w:t>
        </w:r>
      </w:hyperlink>
      <w:r>
        <w:t xml:space="preserve">, and it is not that the two changes were small, because they were large and they pointed opposite ways.</w:t>
      </w:r>
    </w:p>
    <w:p>
      <w:pPr>
        <w:pStyle w:val="BodyText"/>
      </w:pPr>
      <w:r>
        <w:t xml:space="preserve">On the count of days above a Fine Fuel Moisture Code of 91, the version change moved the seasonal count by -1.8 days and the input resolution change by +6.5, so the two oppose one another, and the input resolution change won, the migration netting +4.7 days. On the count of days above a Fire Weather Index of 19 the same two changes moved it by +7.3 and -7.6 days, so there they oppose one another too, but almost exactly, the migration netting -0.3 days, 4 per cent of the larger component.</w:t>
      </w:r>
    </w:p>
    <w:p>
      <w:pPr>
        <w:pStyle w:val="BodyText"/>
      </w:pPr>
      <w:r>
        <w:t xml:space="preserve">That is the case for the three-series design. A study that had computed FWI1987 on noon data and FWI2025 on hourly data would have seen +4.7 days on one metric and -0.3 on the other, and would have concluded that the update barely touched the Fire Weather Index count while shifting the Fine Fuel Moisture Code count. Both readings would be wrong about the mechanism, because the Fire Weather Index count was not stable through nothing happening to it but because a +7.3 day version effect and a -7.6 day input effect happened to land on top of one another in this basin. Cancellation of that kind is a coincidence of two large effects at one place rather than robustness, and there is no reason for it to hold at a site with a different diurnal range.</w:t>
      </w:r>
    </w:p>
    <w:p>
      <w:pPr>
        <w:pStyle w:val="BodyText"/>
      </w:pPr>
      <w:r>
        <w:t xml:space="preserve">The mechanism is consistent with what the update did. Halving the fine fuel time lag and letting the litter dry overnight lets the Fine Fuel Moisture Code reach further at the top of the day, which is the version change, whereas replacing a reconstructed diurnal curve with the observed one lets it reach the actual extremes of the actual day rather than the average shape of a typical one, which is the input change. The first acts on the model, the second on what the model is shown, and there is no reason for them to point the same way on every index.</w:t>
      </w:r>
      <w:r>
        <w:t xml:space="preserve"> </w:t>
      </w:r>
      <w:r>
        <w:t xml:space="preserve">Wastl et al. (2013)</w:t>
      </w:r>
      <w:r>
        <w:t xml:space="preserve"> </w:t>
      </w:r>
      <w:r>
        <w:t xml:space="preserve">found at five Alpine stations that differences between regions were largest in the Fine Fuel Moisture Code, smaller in the Duff Moisture Code and smallest in the Drought Code, and attributed that order to the time lags of the fuel layers each code represents, so a change to the fine fuel time lag would be expected to act most strongly on the Fine Fuel Moisture Code and on the counts built from it. The Fire Weather Index combines the codes with wind, and</w:t>
      </w:r>
      <w:r>
        <w:t xml:space="preserve"> </w:t>
      </w:r>
      <w:r>
        <w:t xml:space="preserve">Rodrigues, Trigo, Vega-García, &amp; Cardil (2020)</w:t>
      </w:r>
      <w:r>
        <w:t xml:space="preserve"> </w:t>
      </w:r>
      <w:r>
        <w:t xml:space="preserve">noted that the same Fire Weather Index value could arise from different combinations of weather variables, so two changes that acted on different parts of the calculation could offset in the combined index while remaining visible in its parts.</w:t>
      </w:r>
    </w:p>
    <w:p>
      <w:pPr>
        <w:pStyle w:val="BodyText"/>
      </w:pPr>
      <w:r>
        <w:t xml:space="preserve">The few studies that varied one element of a fire danger calculation on a fixed record found effects of the same kind. On thirteen years of station data from Camden, New South Wales,</w:t>
      </w:r>
      <w:r>
        <w:t xml:space="preserve"> </w:t>
      </w:r>
      <w:r>
        <w:t xml:space="preserve">Matthews (2009)</w:t>
      </w:r>
      <w:r>
        <w:t xml:space="preserve"> </w:t>
      </w:r>
      <w:r>
        <w:t xml:space="preserve">found that the differences in structure between three fire danger systems partly cancelled once each used its own observation time and moisture sub-models, which is the cancellation found here for days above a Fire Weather Index of 19, where a +7.3 day version effect and a -7.6 day input effect netted -0.3 days. On the Iberian Peninsula,</w:t>
      </w:r>
      <w:r>
        <w:t xml:space="preserve"> </w:t>
      </w:r>
      <w:r>
        <w:t xml:space="preserve">Herrera et al. (2013)</w:t>
      </w:r>
      <w:r>
        <w:t xml:space="preserve"> </w:t>
      </w:r>
      <w:r>
        <w:t xml:space="preserve">found that daily mean inputs missed 45 per cent of the extreme days in the series computed from 12 UTC inputs, and here replacing the reconstructed diurnal curve with observed hourly weather moved the count of days above a Fine Fuel Moisture Code of 91 by +6.5 days per season, so in both records the way the weather was supplied to the calculation moved the extreme-day count by an amount comparable to a change of system.</w:t>
      </w:r>
      <w:r>
        <w:t xml:space="preserve"> </w:t>
      </w:r>
      <w:r>
        <w:t xml:space="preserve">Rodell et al. (2024)</w:t>
      </w:r>
      <w:r>
        <w:t xml:space="preserve"> </w:t>
      </w:r>
      <w:r>
        <w:t xml:space="preserve">found in western North America that hourly Fire Weather Index values sampled at noon were biased low against the daily index because noon did not coincide with peak fire behaviour, which is the reason the daily value here was taken at 17:00 local daylight time and the daily maximum was reported only as a bound. None of those studies followed a trend through the change, so the result here that the version change moved levels far more than slopes could not be compared with any of them.</w:t>
      </w:r>
    </w:p>
    <w:p>
      <w:pPr>
        <w:pStyle w:val="BodyText"/>
      </w:pPr>
      <w:r>
        <w:t xml:space="preserve">The clearest difference between the two FWI2025 series was not in any level but in the burning window, because the number of hours per day on which spread-sustaining conditions held differed substantially between the observed hourly weather and the diurnal curve reconstructed from a single noon observation. Both are FWI2025 and both are the report’s own procedures, so an agency that migrates to FWI2025 while continuing to supply a 13:00 observation gets the new system’s outputs computed from an assumption about the shape of the day, and the assumption is smoother than the day.</w:t>
      </w:r>
    </w:p>
    <w:p>
      <w:pPr>
        <w:pStyle w:val="BodyText"/>
      </w:pPr>
      <w:r>
        <w:t xml:space="preserve">This is the part of the update that is genuinely new rather than a change of scale, because a daily index cannot say when the peak arrives or how long it lasts, and those are the two quantities an initial attack decision actually needs. The finding here was not that the hourly series predicted ignitions better, because it was barely distinguishable on that, but that it answered a question the daily series cannot be asked.</w:t>
      </w:r>
    </w:p>
    <w:p>
      <w:pPr>
        <w:pStyle w:val="BodyText"/>
      </w:pPr>
      <w:r>
        <w:t xml:space="preserve">The small difference in ignition skill between the three series agreed with comparisons of danger indices against fire records elsewhere. In Mediterranean France,</w:t>
      </w:r>
      <w:r>
        <w:t xml:space="preserve"> </w:t>
      </w:r>
      <w:r>
        <w:t xml:space="preserve">Castel-Clavera et al. (2025)</w:t>
      </w:r>
      <w:r>
        <w:t xml:space="preserve"> </w:t>
      </w:r>
      <w:r>
        <w:t xml:space="preserve">found the Fire Weather Index the most skilful of the indices tested but found that no index alone was sufficient to rate fire activity without spatial and seasonal effects. The ignition models here carried the seasonal effect as two annual harmonics in day of year, with season as a factor, whereas a model of one basin mean had no spatial effect to carry. Skill on occurrence also did not carry over to area, because across 11 regions from the European Alps to the Mediterranean basin</w:t>
      </w:r>
      <w:r>
        <w:t xml:space="preserve"> </w:t>
      </w:r>
      <w:r>
        <w:t xml:space="preserve">Bekar et al. (2023)</w:t>
      </w:r>
      <w:r>
        <w:t xml:space="preserve"> </w:t>
      </w:r>
      <w:r>
        <w:t xml:space="preserve">found that models with a high area under the receiver operating characteristic curve for fire occurrence could still perform poorly on burned area, and</w:t>
      </w:r>
      <w:r>
        <w:t xml:space="preserve"> </w:t>
      </w:r>
      <w:r>
        <w:t xml:space="preserve">Joaquín Bedia et al. (2015)</w:t>
      </w:r>
      <w:r>
        <w:t xml:space="preserve"> </w:t>
      </w:r>
      <w:r>
        <w:t xml:space="preserve">found across the world’s major biomes a saturation threshold in the response of area burned to fire weather, above which area burned was insensitive to further increases, so the ignition counts tested here could not show whether the three series would differ on area burned. A more direct test of the halved time lag would score both versions against measured litter moisture, as</w:t>
      </w:r>
      <w:r>
        <w:t xml:space="preserve"> </w:t>
      </w:r>
      <w:r>
        <w:t xml:space="preserve">Schunk, Wastl, Leuchner, &amp; Menzel (2017)</w:t>
      </w:r>
      <w:r>
        <w:t xml:space="preserve"> </w:t>
      </w:r>
      <w:r>
        <w:t xml:space="preserve">did to rank danger indices in eight forest stands in southern Germany, where fire records were too sparse for that purpose.</w:t>
      </w:r>
    </w:p>
    <w:bookmarkEnd w:id="86"/>
    <w:bookmarkStart w:id="87" w:name="published-trends"/>
    <w:p>
      <w:pPr>
        <w:pStyle w:val="Heading2"/>
      </w:pPr>
      <w:r>
        <w:t xml:space="preserve">5.2 Published Trends</w:t>
      </w:r>
    </w:p>
    <w:p>
      <w:pPr>
        <w:pStyle w:val="FirstParagraph"/>
      </w:pPr>
      <w:r>
        <w:t xml:space="preserve">The practical consequence for the published record is narrow and specific. Trends reported as percentile exceedances, where the threshold is computed inside the series being trended, are largely insulated from the version change, because the threshold moves with the distribution. Trends reported as counts above a fixed danger class are not, and neither are seasonal severity ratings, which accumulate a transform of the index level over a season and therefore inherit any level shift. Fixed classes were already uncertain across regions before any version change, since</w:t>
      </w:r>
      <w:r>
        <w:t xml:space="preserve"> </w:t>
      </w:r>
      <w:r>
        <w:t xml:space="preserve">Papagiannaki, Giannaros, Lykoudis, Kotroni, &amp; Lagouvardos (2020)</w:t>
      </w:r>
      <w:r>
        <w:t xml:space="preserve"> </w:t>
      </w:r>
      <w:r>
        <w:t xml:space="preserve">found that the Fire Weather Index class thresholds of the European Forest Fire Information System were too low for Greece and that thresholds fitted to Greek fire records predicted wildfire danger significantly better. That insulation is from the version and not from the reference period.</w:t>
      </w:r>
      <w:r>
        <w:t xml:space="preserve"> </w:t>
      </w:r>
      <w:r>
        <w:t xml:space="preserve">Dunn &amp; Morice (2022)</w:t>
      </w:r>
      <w:r>
        <w:t xml:space="preserve"> </w:t>
      </w:r>
      <w:r>
        <w:t xml:space="preserve">found that warm-day trends computed from the same data over the same years changed by about 25 to 50 per cent when the percentile reference period moved, and</w:t>
      </w:r>
      <w:r>
        <w:t xml:space="preserve"> </w:t>
      </w:r>
      <w:r>
        <w:t xml:space="preserve">X. Zhang et al. (2005)</w:t>
      </w:r>
      <w:r>
        <w:t xml:space="preserve"> </w:t>
      </w:r>
      <w:r>
        <w:t xml:space="preserve">showed that counts outside a base period are biased upward unless the rates inside it are bootstrapped, so a percentile trend is portable across the version change only when its reference period is stated, held fixed and treated for that bias.</w:t>
      </w:r>
    </w:p>
    <w:p>
      <w:pPr>
        <w:pStyle w:val="BodyText"/>
      </w:pPr>
      <w:r>
        <w:t xml:space="preserve">Nothing here says the published trends are wrong, only that they are statements about FWI1987, that restating them under FWI2025 will change some of them, and that the size of the change depends on how the metric was defined rather than on the weather. Anyone re-expressing a historical trend in the new system’s units should recompute the whole record rather than splice, and should say which metric family the result belongs to.</w:t>
      </w:r>
    </w:p>
    <w:bookmarkEnd w:id="87"/>
    <w:bookmarkStart w:id="89" w:name="limitations"/>
    <w:p>
      <w:pPr>
        <w:pStyle w:val="Heading2"/>
      </w:pPr>
      <w:r>
        <w:t xml:space="preserve">5.3 Limitations</w:t>
      </w:r>
    </w:p>
    <w:p>
      <w:pPr>
        <w:pStyle w:val="SourceCode"/>
      </w:pPr>
      <w:r>
        <w:rPr>
          <w:rStyle w:val="CommentTok"/>
        </w:rPr>
        <w:t xml:space="preserve"># The quantitative limits statement. For each metric the minimum detectable trend</w:t>
      </w:r>
      <w:r>
        <w:br/>
      </w:r>
      <w:r>
        <w:rPr>
          <w:rStyle w:val="CommentTok"/>
        </w:rPr>
        <w:t xml:space="preserve"># is the slope this record could resolve at 80 per cent power, given the residual</w:t>
      </w:r>
      <w:r>
        <w:br/>
      </w:r>
      <w:r>
        <w:rPr>
          <w:rStyle w:val="CommentTok"/>
        </w:rPr>
        <w:t xml:space="preserve"># spread of that metric about its own Theil-Sen line. Expressing it over the whole</w:t>
      </w:r>
      <w:r>
        <w:br/>
      </w:r>
      <w:r>
        <w:rPr>
          <w:rStyle w:val="CommentTok"/>
        </w:rPr>
        <w:t xml:space="preserve"># window rather than per season is what makes it legible: a slope of 0.3 days per</w:t>
      </w:r>
      <w:r>
        <w:br/>
      </w:r>
      <w:r>
        <w:rPr>
          <w:rStyle w:val="CommentTok"/>
        </w:rPr>
        <w:t xml:space="preserve"># season is 10 days over 34 seasons, and the second number is the one a reader can</w:t>
      </w:r>
      <w:r>
        <w:br/>
      </w:r>
      <w:r>
        <w:rPr>
          <w:rStyle w:val="CommentTok"/>
        </w:rPr>
        <w:t xml:space="preserve"># judge.</w:t>
      </w:r>
      <w:r>
        <w:br/>
      </w:r>
      <w:r>
        <w:rPr>
          <w:rStyle w:val="NormalTok"/>
        </w:rPr>
        <w:t xml:space="preserve">lim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w:t>
      </w:r>
      <w:r>
        <w:rPr>
          <w:rStyle w:val="FunctionTok"/>
        </w:rPr>
        <w:t xml:space="preserve">split</w:t>
      </w:r>
      <w:r>
        <w:rPr>
          <w:rStyle w:val="NormalTok"/>
        </w:rPr>
        <w:t xml:space="preserve">(trends, trends</w:t>
      </w:r>
      <w:r>
        <w:rPr>
          <w:rStyle w:val="SpecialCharTok"/>
        </w:rPr>
        <w:t xml:space="preserve">$</w:t>
      </w:r>
      <w:r>
        <w:rPr>
          <w:rStyle w:val="NormalTok"/>
        </w:rPr>
        <w:t xml:space="preserve">metric), </w:t>
      </w:r>
      <w:r>
        <w:rPr>
          <w:rStyle w:val="ControlFlowTok"/>
        </w:rPr>
        <w:t xml:space="preserve">function</w:t>
      </w:r>
      <w:r>
        <w:rPr>
          <w:rStyle w:val="NormalTok"/>
        </w:rPr>
        <w:t xml:space="preserve">(d) {</w:t>
      </w:r>
      <w:r>
        <w:br/>
      </w:r>
      <w:r>
        <w:rPr>
          <w:rStyle w:val="NormalTok"/>
        </w:rPr>
        <w:t xml:space="preserve">  mdt </w:t>
      </w:r>
      <w:r>
        <w:rPr>
          <w:rStyle w:val="OtherTok"/>
        </w:rPr>
        <w:t xml:space="preserve">&lt;-</w:t>
      </w:r>
      <w:r>
        <w:rPr>
          <w:rStyle w:val="NormalTok"/>
        </w:rPr>
        <w:t xml:space="preserve"> </w:t>
      </w:r>
      <w:r>
        <w:rPr>
          <w:rStyle w:val="FunctionTok"/>
        </w:rPr>
        <w:t xml:space="preserve">median</w:t>
      </w:r>
      <w:r>
        <w:rPr>
          <w:rStyle w:val="NormalTok"/>
        </w:rPr>
        <w:t xml:space="preserve">(d</w:t>
      </w:r>
      <w:r>
        <w:rPr>
          <w:rStyle w:val="SpecialCharTok"/>
        </w:rPr>
        <w:t xml:space="preserve">$</w:t>
      </w:r>
      <w:r>
        <w:rPr>
          <w:rStyle w:val="NormalTok"/>
        </w:rPr>
        <w:t xml:space="preserve">mdt,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Metric =</w:t>
      </w:r>
      <w:r>
        <w:rPr>
          <w:rStyle w:val="NormalTok"/>
        </w:rPr>
        <w:t xml:space="preserve"> METRICS</w:t>
      </w:r>
      <w:r>
        <w:rPr>
          <w:rStyle w:val="SpecialCharTok"/>
        </w:rPr>
        <w:t xml:space="preserve">$</w:t>
      </w:r>
      <w:r>
        <w:rPr>
          <w:rStyle w:val="NormalTok"/>
        </w:rPr>
        <w:t xml:space="preserve">label[</w:t>
      </w:r>
      <w:r>
        <w:rPr>
          <w:rStyle w:val="FunctionTok"/>
        </w:rPr>
        <w:t xml:space="preserve">match</w:t>
      </w:r>
      <w:r>
        <w:rPr>
          <w:rStyle w:val="NormalTok"/>
        </w:rPr>
        <w:t xml:space="preserve">(d</w:t>
      </w:r>
      <w:r>
        <w:rPr>
          <w:rStyle w:val="SpecialCharTok"/>
        </w:rPr>
        <w:t xml:space="preserve">$</w:t>
      </w:r>
      <w:r>
        <w:rPr>
          <w:rStyle w:val="NormalTok"/>
        </w:rPr>
        <w:t xml:space="preserve">metric[</w:t>
      </w:r>
      <w:r>
        <w:rPr>
          <w:rStyle w:val="DecValTok"/>
        </w:rPr>
        <w:t xml:space="preserve">1</w:t>
      </w:r>
      <w:r>
        <w:rPr>
          <w:rStyle w:val="NormalTok"/>
        </w:rPr>
        <w:t xml:space="preserve">], METRICS</w:t>
      </w:r>
      <w:r>
        <w:rPr>
          <w:rStyle w:val="SpecialCharTok"/>
        </w:rPr>
        <w:t xml:space="preserve">$</w:t>
      </w:r>
      <w:r>
        <w:rPr>
          <w:rStyle w:val="NormalTok"/>
        </w:rPr>
        <w:t xml:space="preserve">col)],</w:t>
      </w:r>
      <w:r>
        <w:br/>
      </w:r>
      <w:r>
        <w:rPr>
          <w:rStyle w:val="NormalTok"/>
        </w:rPr>
        <w:t xml:space="preserve">    </w:t>
      </w:r>
      <w:r>
        <w:rPr>
          <w:rStyle w:val="StringTok"/>
        </w:rPr>
        <w:t xml:space="preserve">`</w:t>
      </w:r>
      <w:r>
        <w:rPr>
          <w:rStyle w:val="AttributeTok"/>
        </w:rPr>
        <w:t xml:space="preserve">Median observed slope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median</w:t>
      </w:r>
      <w:r>
        <w:rPr>
          <w:rStyle w:val="NormalTok"/>
        </w:rPr>
        <w:t xml:space="preserve">(d</w:t>
      </w:r>
      <w:r>
        <w:rPr>
          <w:rStyle w:val="SpecialCharTok"/>
        </w:rPr>
        <w:t xml:space="preserve">$</w:t>
      </w:r>
      <w:r>
        <w:rPr>
          <w:rStyle w:val="NormalTok"/>
        </w:rPr>
        <w:t xml:space="preserve">slope,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w:t>
      </w:r>
      <w:r>
        <w:rPr>
          <w:rStyle w:val="AttributeTok"/>
        </w:rPr>
        <w:t xml:space="preserve">Minimum detectable slope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(mdt, </w:t>
      </w:r>
      <w:r>
        <w:rPr>
          <w:rStyle w:val="DecValTok"/>
        </w:rPr>
        <w:t xml:space="preserve">3</w:t>
      </w:r>
      <w:r>
        <w:rPr>
          <w:rStyle w:val="NormalTok"/>
        </w:rPr>
        <w:t xml:space="preserve">),</w:t>
      </w:r>
      <w:r>
        <w:br/>
      </w:r>
      <w:r>
        <w:rPr>
          <w:rStyle w:val="NormalTok"/>
        </w:rPr>
        <w:t xml:space="preserve">    </w:t>
      </w:r>
      <w:r>
        <w:rPr>
          <w:rStyle w:val="StringTok"/>
        </w:rPr>
        <w:t xml:space="preserve">`</w:t>
      </w:r>
      <w:r>
        <w:rPr>
          <w:rStyle w:val="AttributeTok"/>
        </w:rPr>
        <w:t xml:space="preserve">Minimum detectable change over the window</w:t>
      </w:r>
      <w:r>
        <w:rPr>
          <w:rStyle w:val="String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round</w:t>
      </w:r>
      <w:r>
        <w:rPr>
          <w:rStyle w:val="NormalTok"/>
        </w:rPr>
        <w:t xml:space="preserve">(mdt </w:t>
      </w:r>
      <w:r>
        <w:rPr>
          <w:rStyle w:val="SpecialCharTok"/>
        </w:rPr>
        <w:t xml:space="preserve">*</w:t>
      </w:r>
      <w:r>
        <w:rPr>
          <w:rStyle w:val="NormalTok"/>
        </w:rPr>
        <w:t xml:space="preserve"> (yr_last </w:t>
      </w:r>
      <w:r>
        <w:rPr>
          <w:rStyle w:val="SpecialCharTok"/>
        </w:rPr>
        <w:t xml:space="preserve">-</w:t>
      </w:r>
      <w:r>
        <w:rPr>
          <w:rStyle w:val="NormalTok"/>
        </w:rPr>
        <w:t xml:space="preserve"> yr_first), </w:t>
      </w:r>
      <w:r>
        <w:rPr>
          <w:rStyle w:val="DecValTok"/>
        </w:rPr>
        <w:t xml:space="preserve">2</w:t>
      </w:r>
      <w:r>
        <w:rPr>
          <w:rStyle w:val="NormalTok"/>
        </w:rPr>
        <w:t xml:space="preserve">),</w:t>
      </w:r>
      <w:r>
        <w:br/>
      </w:r>
      <w:r>
        <w:rPr>
          <w:rStyle w:val="NormalTok"/>
        </w:rPr>
        <w:t xml:space="preserve">    </w:t>
      </w:r>
      <w:r>
        <w:rPr>
          <w:rStyle w:val="StringTok"/>
        </w:rPr>
        <w:t xml:space="preserve">`</w:t>
      </w:r>
      <w:r>
        <w:rPr>
          <w:rStyle w:val="AttributeTok"/>
        </w:rPr>
        <w:t xml:space="preserve">Observed change over the window</w:t>
      </w:r>
      <w:r>
        <w:rPr>
          <w:rStyle w:val="String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median</w:t>
      </w:r>
      <w:r>
        <w:rPr>
          <w:rStyle w:val="NormalTok"/>
        </w:rPr>
        <w:t xml:space="preserve">(d</w:t>
      </w:r>
      <w:r>
        <w:rPr>
          <w:rStyle w:val="SpecialCharTok"/>
        </w:rPr>
        <w:t xml:space="preserve">$</w:t>
      </w:r>
      <w:r>
        <w:rPr>
          <w:rStyle w:val="NormalTok"/>
        </w:rPr>
        <w:t xml:space="preserve">slope,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(yr_last </w:t>
      </w:r>
      <w:r>
        <w:rPr>
          <w:rStyle w:val="SpecialCharTok"/>
        </w:rPr>
        <w:t xml:space="preserve">-</w:t>
      </w:r>
      <w:r>
        <w:rPr>
          <w:rStyle w:val="NormalTok"/>
        </w:rPr>
        <w:t xml:space="preserve"> yr_first), </w:t>
      </w:r>
      <w:r>
        <w:rPr>
          <w:rStyle w:val="DecValTok"/>
        </w:rPr>
        <w:t xml:space="preserve">2</w:t>
      </w:r>
      <w:r>
        <w:rPr>
          <w:rStyle w:val="NormalTok"/>
        </w:rPr>
        <w:t xml:space="preserve">),</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w:t>
      </w:r>
      <w:r>
        <w:br/>
      </w:r>
      <w:r>
        <w:rPr>
          <w:rStyle w:val="NormalTok"/>
        </w:rPr>
        <w:t xml:space="preserve">}))</w:t>
      </w:r>
      <w:r>
        <w:br/>
      </w:r>
      <w:r>
        <w:rPr>
          <w:rStyle w:val="NormalTok"/>
        </w:rPr>
        <w:t xml:space="preserve">lim </w:t>
      </w:r>
      <w:r>
        <w:rPr>
          <w:rStyle w:val="OtherTok"/>
        </w:rPr>
        <w:t xml:space="preserve">&lt;-</w:t>
      </w:r>
      <w:r>
        <w:rPr>
          <w:rStyle w:val="NormalTok"/>
        </w:rPr>
        <w:t xml:space="preserve"> lim[</w:t>
      </w:r>
      <w:r>
        <w:rPr>
          <w:rStyle w:val="FunctionTok"/>
        </w:rPr>
        <w:t xml:space="preserve">order</w:t>
      </w:r>
      <w:r>
        <w:rPr>
          <w:rStyle w:val="NormalTok"/>
        </w:rPr>
        <w:t xml:space="preserve">(</w:t>
      </w:r>
      <w:r>
        <w:rPr>
          <w:rStyle w:val="FunctionTok"/>
        </w:rPr>
        <w:t xml:space="preserve">match</w:t>
      </w:r>
      <w:r>
        <w:rPr>
          <w:rStyle w:val="NormalTok"/>
        </w:rPr>
        <w:t xml:space="preserve">(lim</w:t>
      </w:r>
      <w:r>
        <w:rPr>
          <w:rStyle w:val="SpecialCharTok"/>
        </w:rPr>
        <w:t xml:space="preserve">$</w:t>
      </w:r>
      <w:r>
        <w:rPr>
          <w:rStyle w:val="NormalTok"/>
        </w:rPr>
        <w:t xml:space="preserve">Metric, METRICS</w:t>
      </w:r>
      <w:r>
        <w:rPr>
          <w:rStyle w:val="SpecialCharTok"/>
        </w:rPr>
        <w:t xml:space="preserve">$</w:t>
      </w:r>
      <w:r>
        <w:rPr>
          <w:rStyle w:val="NormalTok"/>
        </w:rPr>
        <w:t xml:space="preserve">label)), ]</w:t>
      </w:r>
      <w:r>
        <w:br/>
      </w:r>
      <w:r>
        <w:rPr>
          <w:rStyle w:val="FunctionTok"/>
        </w:rPr>
        <w:t xml:space="preserve">rownames</w:t>
      </w:r>
      <w:r>
        <w:rPr>
          <w:rStyle w:val="NormalTok"/>
        </w:rPr>
        <w:t xml:space="preserve">(lim) </w:t>
      </w:r>
      <w:r>
        <w:rPr>
          <w:rStyle w:val="OtherTok"/>
        </w:rPr>
        <w:t xml:space="preserve">&lt;-</w:t>
      </w:r>
      <w:r>
        <w:rPr>
          <w:rStyle w:val="NormalTok"/>
        </w:rPr>
        <w:t xml:space="preserve"> </w:t>
      </w:r>
      <w:r>
        <w:rPr>
          <w:rStyle w:val="ConstantTok"/>
        </w:rPr>
        <w:t xml:space="preserve">NULL</w:t>
      </w:r>
      <w:r>
        <w:br/>
      </w:r>
      <w:r>
        <w:rPr>
          <w:rStyle w:val="FunctionTok"/>
        </w:rPr>
        <w:t xml:space="preserve">write.csv</w:t>
      </w:r>
      <w:r>
        <w:rPr>
          <w:rStyle w:val="NormalTok"/>
        </w:rPr>
        <w:t xml:space="preserve">(lim, </w:t>
      </w:r>
      <w:r>
        <w:rPr>
          <w:rStyle w:val="FunctionTok"/>
        </w:rPr>
        <w:t xml:space="preserve">file.path</w:t>
      </w:r>
      <w:r>
        <w:rPr>
          <w:rStyle w:val="NormalTok"/>
        </w:rPr>
        <w:t xml:space="preserve">(outputs, </w:t>
      </w:r>
      <w:r>
        <w:rPr>
          <w:rStyle w:val="StringTok"/>
        </w:rPr>
        <w:t xml:space="preserve">"detectability.csv"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p>
      <w:pPr>
        <w:pStyle w:val="SourceCode"/>
      </w:pPr>
      <w:r>
        <w:rPr>
          <w:rStyle w:val="FunctionTok"/>
        </w:rPr>
        <w:t xml:space="preserve">fmt_tbl</w:t>
      </w:r>
      <w:r>
        <w:rPr>
          <w:rStyle w:val="NormalTok"/>
        </w:rPr>
        <w:t xml:space="preserve">(lim)</w:t>
      </w:r>
    </w:p>
    <w:tbl>
      <w:tblPr>
        <w:tblStyle w:val="Table"/>
        <w:tblW w:type="pct" w:w="5000"/>
        <w:tblLayout w:type="fixed"/>
        <w:tblLook w:firstRow="0" w:lastRow="0" w:firstColumn="0" w:lastColumn="0" w:noHBand="0" w:noVBand="0" w:val="0000"/>
      </w:tblPr>
      <w:tblGrid>
        <w:gridCol w:w="7920"/>
      </w:tblGrid>
      <w:tr>
        <w:tc>
          <w:tcPr/>
          <w:bookmarkStart w:id="88" w:name="tbl-limits"/>
          <w:p>
            <w:pPr>
              <w:jc w:val="center"/>
            </w:pPr>
            <w:pPr>
              <w:jc w:val="start"/>
              <w:spacing w:before="200"/>
              <w:pStyle w:val="ImageCaption"/>
            </w:pPr>
            <w:r>
              <w:t xml:space="preserve">Table 14: What a window of this length can and cannot resolve. The minimum detectable slope is the trend at which a two-sided test at alpha 0.05 would reach 80 per cent power given the residual spread of that metric about its own Theil-Sen line, adjusted for the efficiency of the Theil-Sen estimator relative to least squares and inflated for lag-one autocorrelation of the residuals. A metric whose observed change is smaller than its minimum detectable change is not evidence of no trend; it is evidence that this record cannot see one of that size.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Metric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Median observed slope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Minimum detectable slope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Minimum detectable change over the window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Observed change over the window</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Mean FWI</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0.180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9.04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Seasonal severity rating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13.486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23.245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790.32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458.54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Peak BUI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1.740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177.01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59.17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Days FFMC &gt;= 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0.741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0.934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25.19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Days FWI &gt;= 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0.739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1.341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45.58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25.11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Days FWI &gt;= 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38.06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21.25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Days above own 90th percentile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0.372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0.778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26.45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12.66</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Days above own 95th percentile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0.517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17.57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5.07</w:t>
                  </w:r>
                </w:p>
              </w:tc>
            </w:tr>
          </w:tbl>
          <w:bookmarkEnd w:id="88"/>
        </w:tc>
      </w:tr>
    </w:tbl>
    <w:p>
      <w:pPr>
        <w:pStyle w:val="BodyText"/>
      </w:pPr>
      <w:hyperlink w:anchor="tbl-limits">
        <w:r>
          <w:rPr>
            <w:rStyle w:val="Hyperlink"/>
          </w:rPr>
          <w:t xml:space="preserve">Table 14</w:t>
        </w:r>
      </w:hyperlink>
      <w:r>
        <w:t xml:space="preserve"> </w:t>
      </w:r>
      <w:r>
        <w:t xml:space="preserve">is the quantitative form of what this study cannot say. It matters because a null result and an underpowered result read identically in a table of p values and are entirely different claims. Where a metric’s observed change over the window fell below its minimum detectable change, the correct statement is that a trend of that size would not have been seen here, not that there is none.</w:t>
      </w:r>
    </w:p>
    <w:p>
      <w:pPr>
        <w:pStyle w:val="BodyText"/>
      </w:pPr>
      <w:r>
        <w:t xml:space="preserve">Six further limits are structural rather than statistical. First, the study covered one basin, and only its Canadian part. Everything here is the Okanagan watershed group, and the United States portion of the basin was excluded because neither the ignition record nor the weather record crosses the border. Whether the version effect found here has the same size elsewhere is untested, and there is a specific reason to expect it not to, because the mechanism runs through the diurnal cycle, and the Okanagan’s is unusually wide. Second, the study detected change and did not attribute it. Nothing here separated a change in fire danger from its causes, no claim was made about anthropogenic forcing, and none should be read in, because attribution requires a comparison against a world without the forcing that this design did not construct</w:t>
      </w:r>
      <w:r>
        <w:t xml:space="preserve"> </w:t>
      </w:r>
      <w:r>
        <w:t xml:space="preserve">(Kirchmeier-Young et al., 2019)</w:t>
      </w:r>
      <w:r>
        <w:t xml:space="preserve">. Third, no oscillation term entered any model. The El Niño Southern Oscillation and the Pacific Decadal Oscillation modulate fire season severity in interior British Columbia</w:t>
      </w:r>
      <w:r>
        <w:t xml:space="preserve"> </w:t>
      </w:r>
      <w:r>
        <w:t xml:space="preserve">(Meyn, Taylor, et al., 2010)</w:t>
      </w:r>
      <w:r>
        <w:t xml:space="preserve">, although</w:t>
      </w:r>
      <w:r>
        <w:t xml:space="preserve"> </w:t>
      </w:r>
      <w:r>
        <w:t xml:space="preserve">Tan, Chen, Gan, Liu, &amp; Chen (2019)</w:t>
      </w:r>
      <w:r>
        <w:t xml:space="preserve"> </w:t>
      </w:r>
      <w:r>
        <w:t xml:space="preserve">found that neither had contributed to wildfire weather in western Canada and that spring warming and drying there since 1871 could not be attributed to common teleconnections, and in another mountain region</w:t>
      </w:r>
      <w:r>
        <w:t xml:space="preserve"> </w:t>
      </w:r>
      <w:r>
        <w:t xml:space="preserve">Mamgain, Roy, &amp; Karnatak (2026)</w:t>
      </w:r>
      <w:r>
        <w:t xml:space="preserve"> </w:t>
      </w:r>
      <w:r>
        <w:t xml:space="preserve">found fire danger elevated in El Niño years and reduced in La Niña years from 2000 to 2024. A window that begins and ends in different phases carries a biased slope regardless of estimator. No oscillation index was included, and including one would require choosing the index and the lag from the literature on interior British Columbia fire seasons before the record was examined. The absolute trends under the first question therefore carry that bias, whereas the comparison between series under the second does not, because all three series see the same oscillation. Fourth, fuel was held fixed. Fuel typing did not vary through time in this design, so nothing here distinguished a danger effect from fuel accumulation, which is a stated boundary and not a gap to be filled with the same data. The boundary matters for reading a danger trend as a fire trend, because</w:t>
      </w:r>
      <w:r>
        <w:t xml:space="preserve"> </w:t>
      </w:r>
      <w:r>
        <w:t xml:space="preserve">Wastl et al. (2012)</w:t>
      </w:r>
      <w:r>
        <w:t xml:space="preserve"> </w:t>
      </w:r>
      <w:r>
        <w:t xml:space="preserve">found meteorological fire danger rising in Bavaria while the number of fires and the area burned fell, and</w:t>
      </w:r>
      <w:r>
        <w:t xml:space="preserve"> </w:t>
      </w:r>
      <w:r>
        <w:t xml:space="preserve">Zhao, Zhang, Zhen, Wang, &amp; Yin (2025)</w:t>
      </w:r>
      <w:r>
        <w:t xml:space="preserve"> </w:t>
      </w:r>
      <w:r>
        <w:t xml:space="preserve">found across mid to high northern latitudes from 1982 to 2018 that rising flammability increased wildfire in fuel-rich forests but decreased it where water deficits had reduced fuel. Fifth, four analysis choices, the season window, the coverage threshold, the reference period and the daily summary hour, were set with the data in view rather than fixed in advance, so the absolute trends carry that freedom, whereas the comparison between series does not, because all three series ran through the same choices and a choice that moved one moved all three. Sixth, the season window was fixed. A 1 May to 30 September window measures danger inside a season of fixed length and cannot register a season that lengthens at either end, so if the true season lengthened, the counts inside the window rose by less than whole-season counts would have, and trends in window counts understate trends in the season. Four routes would recover the season from this basin, each at a cost. The first is a year-round climate station of the kind</w:t>
      </w:r>
      <w:r>
        <w:t xml:space="preserve"> </w:t>
      </w:r>
      <w:r>
        <w:t xml:space="preserve">C. Hanes et al. (2020)</w:t>
      </w:r>
      <w:r>
        <w:t xml:space="preserve"> </w:t>
      </w:r>
      <w:r>
        <w:t xml:space="preserve">used for winter precipitation, driving the temperature rule of</w:t>
      </w:r>
      <w:r>
        <w:t xml:space="preserve"> </w:t>
      </w:r>
      <w:r>
        <w:t xml:space="preserve">Lawson &amp; Armitage (2008)</w:t>
      </w:r>
      <w:r>
        <w:t xml:space="preserve"> </w:t>
      </w:r>
      <w:r>
        <w:t xml:space="preserve">and overwintering the Drought Code, at the cost of dating the season from a valley site rather than from the fire weather stations. The second is the danger-series definition of</w:t>
      </w:r>
      <w:r>
        <w:t xml:space="preserve"> </w:t>
      </w:r>
      <w:r>
        <w:t xml:space="preserve">Jolly et al. (2015)</w:t>
      </w:r>
      <w:r>
        <w:t xml:space="preserve"> </w:t>
      </w:r>
      <w:r>
        <w:t xml:space="preserve">applied inside a wider fixed window, which needs the stations to be reporting before the first day above half the danger range and fails in any season they were not. The third is the fire-based definitions of</w:t>
      </w:r>
      <w:r>
        <w:t xml:space="preserve"> </w:t>
      </w:r>
      <w:r>
        <w:t xml:space="preserve">Westerling (2016)</w:t>
      </w:r>
      <w:r>
        <w:t xml:space="preserve"> </w:t>
      </w:r>
      <w:r>
        <w:t xml:space="preserve">and</w:t>
      </w:r>
      <w:r>
        <w:t xml:space="preserve"> </w:t>
      </w:r>
      <w:r>
        <w:t xml:space="preserve">Granville et al. (2026)</w:t>
      </w:r>
      <w:r>
        <w:t xml:space="preserve">, which the basin’s ignition record cannot support after 2000 because its dating completeness fell, as</w:t>
      </w:r>
      <w:r>
        <w:t xml:space="preserve"> </w:t>
      </w:r>
      <w:hyperlink w:anchor="sec-data">
        <w:r>
          <w:rPr>
            <w:rStyle w:val="Hyperlink"/>
          </w:rPr>
          <w:t xml:space="preserve">Section 2</w:t>
        </w:r>
      </w:hyperlink>
      <w:r>
        <w:t xml:space="preserve"> </w:t>
      </w:r>
      <w:r>
        <w:t xml:space="preserve">showed. The fourth is a reanalysis start date, which carries the grid-cell caveat set out below. The first route is the one this record could adopt, because it would also replace the Drought Code restart that</w:t>
      </w:r>
      <w:r>
        <w:t xml:space="preserve"> </w:t>
      </w:r>
      <w:r>
        <w:t xml:space="preserve">McElhinny et al. (2020)</w:t>
      </w:r>
      <w:r>
        <w:t xml:space="preserve"> </w:t>
      </w:r>
      <w:r>
        <w:t xml:space="preserve">showed changes spread-day counts, and it would enter all three series alike, leaving the comparison between them intact.</w:t>
      </w:r>
    </w:p>
    <w:p>
      <w:pPr>
        <w:pStyle w:val="BodyText"/>
      </w:pPr>
      <w:r>
        <w:t xml:space="preserve">The obvious way to extend this study is to run it on a reanalysis, which would buy the whole basin, a longer record and every other basin in Canada at once. The reason it was not done here is stated, because it is the same reason the extension is not straightforward.</w:t>
      </w:r>
    </w:p>
    <w:p>
      <w:pPr>
        <w:pStyle w:val="BodyText"/>
      </w:pPr>
      <w:r>
        <w:t xml:space="preserve">Pathway A of FWI2025 needs the timing of rainfall within the day. That is the input the halved fine fuel time lag and the six hour canopy interception reset both act on, and it is the input a once-daily observation cannot supply. Very few long records carry genuinely hourly precipitation. This basin has one because the BC Wildfire Service network was built to run a fire danger system, and its archive preserves the hourly rain gauge alongside the computed codes. A reanalysis does supply hourly precipitation, but it supplies a modelled one, and</w:t>
      </w:r>
      <w:r>
        <w:t xml:space="preserve"> </w:t>
      </w:r>
      <w:r>
        <w:t xml:space="preserve">Canadian Forest Service Fire Danger Group (2025)</w:t>
      </w:r>
      <w:r>
        <w:t xml:space="preserve"> </w:t>
      </w:r>
      <w:r>
        <w:t xml:space="preserve">states the caveat plainly in Appendix C-1, that</w:t>
      </w:r>
      <w:r>
        <w:t xml:space="preserve"> </w:t>
      </w:r>
      <w:r>
        <w:t xml:space="preserve">“numerical weather model outputs are not strictly the same as point observations of weather from a weather station”</w:t>
      </w:r>
      <w:r>
        <w:t xml:space="preserve">, and</w:t>
      </w:r>
      <w:r>
        <w:t xml:space="preserve"> </w:t>
      </w:r>
      <w:r>
        <w:t xml:space="preserve">“At the grid cell scale, outputs from numerical models typically represent what can be thought of as average conditions across that cell.”</w:t>
      </w:r>
      <w:r>
        <w:t xml:space="preserve"> </w:t>
      </w:r>
      <w:r>
        <w:t xml:space="preserve">Evaluations of gridded fire danger products bear that caveat out.</w:t>
      </w:r>
      <w:r>
        <w:t xml:space="preserve"> </w:t>
      </w:r>
      <w:r>
        <w:t xml:space="preserve">J. Bedia et al. (2012)</w:t>
      </w:r>
      <w:r>
        <w:t xml:space="preserve"> </w:t>
      </w:r>
      <w:r>
        <w:t xml:space="preserve">found that the NCEP, ERA-40 and ERA-Interim reanalyses all tended to underestimate the Fire Weather Index computed at seven Spanish weather stations,</w:t>
      </w:r>
      <w:r>
        <w:t xml:space="preserve"> </w:t>
      </w:r>
      <w:r>
        <w:t xml:space="preserve">Robert D. Field (2020)</w:t>
      </w:r>
      <w:r>
        <w:t xml:space="preserve"> </w:t>
      </w:r>
      <w:r>
        <w:t xml:space="preserve">found that components computed from MERRA-2 were in general biased low against a global station network,</w:t>
      </w:r>
      <w:r>
        <w:t xml:space="preserve"> </w:t>
      </w:r>
      <w:r>
        <w:t xml:space="preserve">Vitolo et al. (2020)</w:t>
      </w:r>
      <w:r>
        <w:t xml:space="preserve"> </w:t>
      </w:r>
      <w:r>
        <w:t xml:space="preserve">found the largest biases of the ERA5 fire danger reanalysis in mountainous areas, and</w:t>
      </w:r>
      <w:r>
        <w:t xml:space="preserve"> </w:t>
      </w:r>
      <w:r>
        <w:t xml:space="preserve">Silver &amp; Lundquist (2025)</w:t>
      </w:r>
      <w:r>
        <w:t xml:space="preserve"> </w:t>
      </w:r>
      <w:r>
        <w:t xml:space="preserve">found that station and reanalysis records in the mountains of Colorado disagreed on whether a fire weather trend existed at all. A cell average is exactly the quantity whose diurnal range is smallest, and the diurnal range is the mechanism under test here. A reanalysis-driven version comparison would therefore be biased towards finding no difference, in a basin where the relief runs through more than two kilometres.</w:t>
      </w:r>
    </w:p>
    <w:p>
      <w:pPr>
        <w:pStyle w:val="BodyText"/>
      </w:pPr>
      <w:r>
        <w:t xml:space="preserve">That is a statement about this comparison, not about reanalysis in general. For estimating the level or the trend of fire danger over a region, a reanalysis is the right instrument and a five station network is not. The two questions want different data, and conflating them is how a study of one gets answered with the instrument for the other.</w:t>
      </w:r>
    </w:p>
    <w:bookmarkEnd w:id="89"/>
    <w:bookmarkEnd w:id="90"/>
    <w:bookmarkStart w:id="91" w:name="sec-conclusions"/>
    <w:p>
      <w:pPr>
        <w:pStyle w:val="Heading1"/>
      </w:pPr>
      <w:r>
        <w:t xml:space="preserve">6. Conclusions</w:t>
      </w:r>
    </w:p>
    <w:p>
      <w:pPr>
        <w:pStyle w:val="SourceCode"/>
      </w:pPr>
      <w:r>
        <w:rPr>
          <w:rStyle w:val="CommentTok"/>
        </w:rPr>
        <w:t xml:space="preserve"># The four numbers the conclusions rest on, pulled from the objects above rather</w:t>
      </w:r>
      <w:r>
        <w:br/>
      </w:r>
      <w:r>
        <w:rPr>
          <w:rStyle w:val="CommentTok"/>
        </w:rPr>
        <w:t xml:space="preserve"># than retyped.</w:t>
      </w:r>
      <w:r>
        <w:br/>
      </w:r>
      <w:r>
        <w:rPr>
          <w:rStyle w:val="NormalTok"/>
        </w:rPr>
        <w:t xml:space="preserve">c_days_gap </w:t>
      </w:r>
      <w:r>
        <w:rPr>
          <w:rStyle w:val="OtherTok"/>
        </w:rPr>
        <w:t xml:space="preserve">&lt;-</w:t>
      </w:r>
      <w:r>
        <w:rPr>
          <w:rStyle w:val="NormalTok"/>
        </w:rPr>
        <w:t xml:space="preserve"> d_s3 </w:t>
      </w:r>
      <w:r>
        <w:rPr>
          <w:rStyle w:val="SpecialCharTok"/>
        </w:rPr>
        <w:t xml:space="preserve">-</w:t>
      </w:r>
      <w:r>
        <w:rPr>
          <w:rStyle w:val="NormalTok"/>
        </w:rPr>
        <w:t xml:space="preserve"> d_s1</w:t>
      </w:r>
      <w:r>
        <w:br/>
      </w:r>
      <w:r>
        <w:rPr>
          <w:rStyle w:val="NormalTok"/>
        </w:rPr>
        <w:t xml:space="preserve">c_pct_gap </w:t>
      </w:r>
      <w:r>
        <w:rPr>
          <w:rStyle w:val="OtherTok"/>
        </w:rPr>
        <w:t xml:space="preserve">&lt;-</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c_days_gap </w:t>
      </w:r>
      <w:r>
        <w:rPr>
          <w:rStyle w:val="SpecialCharTok"/>
        </w:rPr>
        <w:t xml:space="preserve">/</w:t>
      </w:r>
      <w:r>
        <w:rPr>
          <w:rStyle w:val="NormalTok"/>
        </w:rPr>
        <w:t xml:space="preserve"> d_s1</w:t>
      </w:r>
      <w:r>
        <w:br/>
      </w:r>
      <w:r>
        <w:rPr>
          <w:rStyle w:val="NormalTok"/>
        </w:rPr>
        <w:t xml:space="preserve">c_dur </w:t>
      </w:r>
      <w:r>
        <w:rPr>
          <w:rStyle w:val="OtherTok"/>
        </w:rPr>
        <w:t xml:space="preserve">&lt;-</w:t>
      </w:r>
      <w:r>
        <w:rPr>
          <w:rStyle w:val="NormalTok"/>
        </w:rPr>
        <w:t xml:space="preserve"> </w:t>
      </w:r>
      <w:r>
        <w:rPr>
          <w:rStyle w:val="ControlFlowTok"/>
        </w:rPr>
        <w:t xml:space="preserve">if</w:t>
      </w:r>
      <w:r>
        <w:rPr>
          <w:rStyle w:val="NormalTok"/>
        </w:rPr>
        <w:t xml:space="preserve"> (</w:t>
      </w:r>
      <w:r>
        <w:rPr>
          <w:rStyle w:val="FunctionTok"/>
        </w:rPr>
        <w:t xml:space="preserve">exists</w:t>
      </w:r>
      <w:r>
        <w:rPr>
          <w:rStyle w:val="NormalTok"/>
        </w:rPr>
        <w:t xml:space="preserve">(</w:t>
      </w:r>
      <w:r>
        <w:rPr>
          <w:rStyle w:val="StringTok"/>
        </w:rPr>
        <w:t xml:space="preserve">"ct"</w:t>
      </w:r>
      <w:r>
        <w:rPr>
          <w:rStyle w:val="NormalTok"/>
        </w:rPr>
        <w:t xml:space="preserve">) </w:t>
      </w:r>
      <w:r>
        <w:rPr>
          <w:rStyle w:val="SpecialCharTok"/>
        </w:rPr>
        <w:t xml:space="preserve">&amp;&amp;</w:t>
      </w:r>
      <w:r>
        <w:rPr>
          <w:rStyle w:val="NormalTok"/>
        </w:rPr>
        <w:t xml:space="preserve"> </w:t>
      </w:r>
      <w:r>
        <w:rPr>
          <w:rStyle w:val="FunctionTok"/>
        </w:rPr>
        <w:t xml:space="preserve">nrow</w:t>
      </w:r>
      <w:r>
        <w:rPr>
          <w:rStyle w:val="NormalTok"/>
        </w:rPr>
        <w:t xml:space="preserve">(ct) </w:t>
      </w:r>
      <w:r>
        <w:rPr>
          <w:rStyle w:val="SpecialCharTok"/>
        </w:rPr>
        <w:t xml:space="preserve">==</w:t>
      </w:r>
      <w:r>
        <w:rPr>
          <w:rStyle w:val="NormalTok"/>
        </w:rPr>
        <w:t xml:space="preserve"> </w:t>
      </w:r>
      <w:r>
        <w:rPr>
          <w:rStyle w:val="DecValTok"/>
        </w:rPr>
        <w:t xml:space="preserve">2</w:t>
      </w:r>
      <w:r>
        <w:rPr>
          <w:rStyle w:val="NormalTok"/>
        </w:rPr>
        <w:t xml:space="preserve">) {</w:t>
      </w:r>
      <w:r>
        <w:br/>
      </w:r>
      <w:r>
        <w:rPr>
          <w:rStyle w:val="NormalTok"/>
        </w:rPr>
        <w:t xml:space="preserve">  ct</w:t>
      </w:r>
      <w:r>
        <w:rPr>
          <w:rStyle w:val="SpecialCharTok"/>
        </w:rPr>
        <w:t xml:space="preserve">$</w:t>
      </w:r>
      <w:r>
        <w:rPr>
          <w:rStyle w:val="StringTok"/>
        </w:rPr>
        <w:t xml:space="preserve">`</w:t>
      </w:r>
      <w:r>
        <w:rPr>
          <w:rStyle w:val="AttributeTok"/>
        </w:rPr>
        <w:t xml:space="preserve">Mean burning window (h)</w:t>
      </w:r>
      <w:r>
        <w:rPr>
          <w:rStyle w:val="StringTok"/>
        </w:rPr>
        <w:t xml:space="preserve">`</w:t>
      </w:r>
      <w:r>
        <w:rPr>
          <w:rStyle w:val="NormalTok"/>
        </w:rPr>
        <w:t xml:space="preserve">[</w:t>
      </w:r>
      <w:r>
        <w:rPr>
          <w:rStyle w:val="FunctionTok"/>
        </w:rPr>
        <w:t xml:space="preserve">grepl</w:t>
      </w:r>
      <w:r>
        <w:rPr>
          <w:rStyle w:val="NormalTok"/>
        </w:rPr>
        <w:t xml:space="preserve">(</w:t>
      </w:r>
      <w:r>
        <w:rPr>
          <w:rStyle w:val="StringTok"/>
        </w:rPr>
        <w:t xml:space="preserve">"S3"</w:t>
      </w:r>
      <w:r>
        <w:rPr>
          <w:rStyle w:val="NormalTok"/>
        </w:rPr>
        <w:t xml:space="preserve">, ct</w:t>
      </w:r>
      <w:r>
        <w:rPr>
          <w:rStyle w:val="SpecialCharTok"/>
        </w:rPr>
        <w:t xml:space="preserve">$</w:t>
      </w:r>
      <w:r>
        <w:rPr>
          <w:rStyle w:val="NormalTok"/>
        </w:rPr>
        <w:t xml:space="preserve">Series)] </w:t>
      </w:r>
      <w:r>
        <w:rPr>
          <w:rStyle w:val="SpecialCharTok"/>
        </w:rPr>
        <w:t xml:space="preserve">-</w:t>
      </w:r>
      <w:r>
        <w:br/>
      </w:r>
      <w:r>
        <w:rPr>
          <w:rStyle w:val="NormalTok"/>
        </w:rPr>
        <w:t xml:space="preserve">    ct</w:t>
      </w:r>
      <w:r>
        <w:rPr>
          <w:rStyle w:val="SpecialCharTok"/>
        </w:rPr>
        <w:t xml:space="preserve">$</w:t>
      </w:r>
      <w:r>
        <w:rPr>
          <w:rStyle w:val="StringTok"/>
        </w:rPr>
        <w:t xml:space="preserve">`</w:t>
      </w:r>
      <w:r>
        <w:rPr>
          <w:rStyle w:val="AttributeTok"/>
        </w:rPr>
        <w:t xml:space="preserve">Mean burning window (h)</w:t>
      </w:r>
      <w:r>
        <w:rPr>
          <w:rStyle w:val="StringTok"/>
        </w:rPr>
        <w:t xml:space="preserve">`</w:t>
      </w:r>
      <w:r>
        <w:rPr>
          <w:rStyle w:val="NormalTok"/>
        </w:rPr>
        <w:t xml:space="preserve">[</w:t>
      </w:r>
      <w:r>
        <w:rPr>
          <w:rStyle w:val="FunctionTok"/>
        </w:rPr>
        <w:t xml:space="preserve">grepl</w:t>
      </w:r>
      <w:r>
        <w:rPr>
          <w:rStyle w:val="NormalTok"/>
        </w:rPr>
        <w:t xml:space="preserve">(</w:t>
      </w:r>
      <w:r>
        <w:rPr>
          <w:rStyle w:val="StringTok"/>
        </w:rPr>
        <w:t xml:space="preserve">"S2"</w:t>
      </w:r>
      <w:r>
        <w:rPr>
          <w:rStyle w:val="NormalTok"/>
        </w:rPr>
        <w:t xml:space="preserve">, ct</w:t>
      </w:r>
      <w:r>
        <w:rPr>
          <w:rStyle w:val="SpecialCharTok"/>
        </w:rPr>
        <w:t xml:space="preserve">$</w:t>
      </w:r>
      <w:r>
        <w:rPr>
          <w:rStyle w:val="NormalTok"/>
        </w:rPr>
        <w:t xml:space="preserve">Series)]</w:t>
      </w:r>
      <w:r>
        <w:br/>
      </w:r>
      <w:r>
        <w:rPr>
          <w:rStyle w:val="NormalTok"/>
        </w:rPr>
        <w:t xml:space="preserve">} </w:t>
      </w:r>
      <w:r>
        <w:rPr>
          <w:rStyle w:val="ControlFlowTok"/>
        </w:rPr>
        <w:t xml:space="preserve">else</w:t>
      </w:r>
      <w:r>
        <w:rPr>
          <w:rStyle w:val="NormalTok"/>
        </w:rPr>
        <w:t xml:space="preserve"> </w:t>
      </w:r>
      <w:r>
        <w:rPr>
          <w:rStyle w:val="ConstantTok"/>
        </w:rPr>
        <w:t xml:space="preserve">NA_real_</w:t>
      </w:r>
      <w:r>
        <w:br/>
      </w:r>
      <w:r>
        <w:rPr>
          <w:rStyle w:val="NormalTok"/>
        </w:rPr>
        <w:t xml:space="preserve">c_abs_rate </w:t>
      </w:r>
      <w:r>
        <w:rPr>
          <w:rStyle w:val="OtherTok"/>
        </w:rPr>
        <w:t xml:space="preserve">&lt;-</w:t>
      </w:r>
      <w:r>
        <w:rPr>
          <w:rStyle w:val="NormalTok"/>
        </w:rPr>
        <w:t xml:space="preserve"> sc[</w:t>
      </w:r>
      <w:r>
        <w:rPr>
          <w:rStyle w:val="StringTok"/>
        </w:rPr>
        <w:t xml:space="preserve">"migration, absolute"</w:t>
      </w:r>
      <w:r>
        <w:rPr>
          <w:rStyle w:val="NormalTok"/>
        </w:rPr>
        <w:t xml:space="preserve">, </w:t>
      </w:r>
      <w:r>
        <w:rPr>
          <w:rStyle w:val="StringTok"/>
        </w:rPr>
        <w:t xml:space="preserve">"rate"</w:t>
      </w:r>
      <w:r>
        <w:rPr>
          <w:rStyle w:val="NormalTok"/>
        </w:rPr>
        <w:t xml:space="preserve">]</w:t>
      </w:r>
      <w:r>
        <w:br/>
      </w:r>
      <w:r>
        <w:rPr>
          <w:rStyle w:val="NormalTok"/>
        </w:rPr>
        <w:t xml:space="preserve">c_rel_rate </w:t>
      </w:r>
      <w:r>
        <w:rPr>
          <w:rStyle w:val="OtherTok"/>
        </w:rPr>
        <w:t xml:space="preserve">&lt;-</w:t>
      </w:r>
      <w:r>
        <w:rPr>
          <w:rStyle w:val="NormalTok"/>
        </w:rPr>
        <w:t xml:space="preserve"> sc[</w:t>
      </w:r>
      <w:r>
        <w:rPr>
          <w:rStyle w:val="StringTok"/>
        </w:rPr>
        <w:t xml:space="preserve">"migration, relative"</w:t>
      </w:r>
      <w:r>
        <w:rPr>
          <w:rStyle w:val="NormalTok"/>
        </w:rPr>
        <w:t xml:space="preserve">, </w:t>
      </w:r>
      <w:r>
        <w:rPr>
          <w:rStyle w:val="StringTok"/>
        </w:rPr>
        <w:t xml:space="preserve">"rate"</w:t>
      </w:r>
      <w:r>
        <w:rPr>
          <w:rStyle w:val="NormalTok"/>
        </w:rPr>
        <w:t xml:space="preserve">]</w:t>
      </w:r>
    </w:p>
    <w:p>
      <w:pPr>
        <w:pStyle w:val="FirstParagraph"/>
      </w:pPr>
      <w:r>
        <w:t xml:space="preserve">Over 31 seasons in the Okanagan basin the 2025 update to the Fire Weather Index System left the middle of the distribution close to where it was and moved the tail, so a level was portable across the two versions and a count of extreme days was not. The threshold the update’s own report offers as the example of continuity, a Fine Fuel Moisture Code of 91, selected 4.7 more days per season under the new system driven by hourly weather than under the old one, a change of 8 per cent in a quantity that is routinely trended.</w:t>
      </w:r>
    </w:p>
    <w:p>
      <w:pPr>
        <w:pStyle w:val="BodyText"/>
      </w:pPr>
      <w:r>
        <w:t xml:space="preserve">Which of the two changes was responsible depended on the metric, and neither change dominated, because the version and the input resolution acted in opposite directions on some metrics and the same direction on others, which is why running the old system against the new one without separating them would have given an uninterpretable answer. That separation, not the size of any single number here, is the part of this design worth reusing.</w:t>
      </w:r>
    </w:p>
    <w:p>
      <w:pPr>
        <w:pStyle w:val="BodyText"/>
      </w:pPr>
      <w:r>
        <w:t xml:space="preserve">The effect was on the level and not, so far as this record could resolve, on the slope. Under absolute thresholds the migration changed the estimated trend at 0 per cent of station-metric combinations and under thresholds internal to each series at 0 per cent, against a resolution of about 16.8 days over the window, so a trend difference smaller than that would not have been seen. What was comfortably visible was the level difference, and a level difference is enough to break a comparison between a number published under the old system and a number computed under the new one, even where both are trending at the same rate.</w:t>
      </w:r>
    </w:p>
    <w:p>
      <w:pPr>
        <w:pStyle w:val="BodyText"/>
      </w:pPr>
      <w:r>
        <w:t xml:space="preserve">The practical recommendation follows from the level result and costs nothing to adopt. Fire danger trends should be reported as exceedances of a percentile computed inside the series being reported, over a stated and fixed reference period and with the base-period bias removed, not as counts above a fixed danger class, and the report should state which, because a percentile threshold moves with the distribution it is drawn from and is therefore portable across the version change, whereas a fixed class boundary is not.</w:t>
      </w:r>
    </w:p>
    <w:p>
      <w:pPr>
        <w:pStyle w:val="BodyText"/>
      </w:pPr>
      <w:r>
        <w:t xml:space="preserve">For predicting where fires start, the three series were close to interchangeable in this basin. What the hourly system added was not accuracy in the daily number but information the daily number cannot carry, namely when in the day the peak arrives and how long the burning window stays open, and on that second quantity the observed hourly weather and the reconstructed diurnal curve disagreed by 3.7 hours per day. An agency migrating to FWI2025 with only a 13:00 observation to feed it would inherit that disagreement without any sign of it in the output.</w:t>
      </w:r>
    </w:p>
    <w:p>
      <w:pPr>
        <w:pStyle w:val="BodyText"/>
      </w:pPr>
      <w:r>
        <w:t xml:space="preserve">None of this is attribution. It is a measurement of how much a published Canadian fire danger trend depends on the arithmetic that produced it, made in one basin where the weather record was good enough to ask.</w:t>
      </w:r>
    </w:p>
    <w:bookmarkEnd w:id="91"/>
    <w:bookmarkStart w:id="92" w:name="author-contributions"/>
    <w:p>
      <w:pPr>
        <w:pStyle w:val="Heading1"/>
      </w:pPr>
      <w:r>
        <w:t xml:space="preserve">Author Contributions</w:t>
      </w:r>
    </w:p>
    <w:p>
      <w:pPr>
        <w:pStyle w:val="FirstParagraph"/>
      </w:pPr>
      <w:r>
        <w:t xml:space="preserve">S.M. conceived and designed the study, retrieved and processed the data, wrote the analysis code, ran the analysis and wrote the manuscript.</w:t>
      </w:r>
    </w:p>
    <w:bookmarkEnd w:id="92"/>
    <w:bookmarkStart w:id="93" w:name="funding"/>
    <w:p>
      <w:pPr>
        <w:pStyle w:val="Heading1"/>
      </w:pPr>
      <w:r>
        <w:t xml:space="preserve">Funding</w:t>
      </w:r>
    </w:p>
    <w:p>
      <w:pPr>
        <w:pStyle w:val="FirstParagraph"/>
      </w:pPr>
      <w:r>
        <w:t xml:space="preserve">Not yet declared.</w:t>
      </w:r>
    </w:p>
    <w:bookmarkEnd w:id="93"/>
    <w:bookmarkStart w:id="94" w:name="data-availability"/>
    <w:p>
      <w:pPr>
        <w:pStyle w:val="Heading1"/>
      </w:pPr>
      <w:r>
        <w:t xml:space="preserve">Data Availability</w:t>
      </w:r>
    </w:p>
    <w:p>
      <w:pPr>
        <w:pStyle w:val="FirstParagraph"/>
      </w:pPr>
      <w:r>
        <w:t xml:space="preserve">The hourly fire weather observations are public at the BC Wildfire Service Weather Data Mart</w:t>
      </w:r>
      <w:r>
        <w:t xml:space="preserve"> </w:t>
      </w:r>
      <w:r>
        <w:t xml:space="preserve">(BC Wildfire Service, 2026c)</w:t>
      </w:r>
      <w:r>
        <w:t xml:space="preserve"> </w:t>
      </w:r>
      <w:r>
        <w:t xml:space="preserve">and the incident record, the station locations and the basin boundary at the BC Data Catalogue</w:t>
      </w:r>
      <w:r>
        <w:t xml:space="preserve"> </w:t>
      </w:r>
      <w:r>
        <w:t xml:space="preserve">(BC Wildfire Service, 2026a, 2026b; GeoBC Branch, 2026b)</w:t>
      </w:r>
      <w:r>
        <w:t xml:space="preserve">, all under the licences stated at those sources. The FWI2025 calculation used the Canadian Forest Service reference implementation</w:t>
      </w:r>
      <w:r>
        <w:t xml:space="preserve"> </w:t>
      </w:r>
      <w:r>
        <w:t xml:space="preserve">(Canadian Forest Service Fire Danger Group, 2026)</w:t>
      </w:r>
      <w:r>
        <w:t xml:space="preserve"> </w:t>
      </w:r>
      <w:r>
        <w:t xml:space="preserve">unmodified. The derived tables, the FWI1987 implementation, the retrieval and analysis code, and the source of this document, from which every number in it is computed, are available from the author and will be archived with a persistent identifier on acceptance.</w:t>
      </w:r>
    </w:p>
    <w:bookmarkEnd w:id="94"/>
    <w:bookmarkStart w:id="95" w:name="conflicts-of-interest"/>
    <w:p>
      <w:pPr>
        <w:pStyle w:val="Heading1"/>
      </w:pPr>
      <w:r>
        <w:t xml:space="preserve">Conflicts of Interest</w:t>
      </w:r>
    </w:p>
    <w:p>
      <w:pPr>
        <w:pStyle w:val="FirstParagraph"/>
      </w:pPr>
      <w:r>
        <w:t xml:space="preserve">Not yet declared.</w:t>
      </w:r>
    </w:p>
    <w:bookmarkEnd w:id="95"/>
    <w:bookmarkStart w:id="96" w:name="abstract"/>
    <w:p>
      <w:pPr>
        <w:pStyle w:val="Heading1"/>
      </w:pPr>
      <w:r>
        <w:t xml:space="preserve">Abstract</w:t>
      </w:r>
    </w:p>
    <w:p>
      <w:pPr>
        <w:pStyle w:val="SourceCode"/>
      </w:pPr>
      <w:r>
        <w:rPr>
          <w:rStyle w:val="CommentTok"/>
        </w:rPr>
        <w:t xml:space="preserve"># Composed with sprintf from objects the document already computed. Nothing here</w:t>
      </w:r>
      <w:r>
        <w:br/>
      </w:r>
      <w:r>
        <w:rPr>
          <w:rStyle w:val="CommentTok"/>
        </w:rPr>
        <w:t xml:space="preserve"># is typed. If a result changes, this paragraph changes with it or the render</w:t>
      </w:r>
      <w:r>
        <w:br/>
      </w:r>
      <w:r>
        <w:rPr>
          <w:rStyle w:val="CommentTok"/>
        </w:rPr>
        <w:t xml:space="preserve"># fails, which is the point.</w:t>
      </w:r>
      <w:r>
        <w:br/>
      </w:r>
      <w:r>
        <w:rPr>
          <w:rStyle w:val="NormalTok"/>
        </w:rPr>
        <w:t xml:space="preserve">pull </w:t>
      </w:r>
      <w:r>
        <w:rPr>
          <w:rStyle w:val="OtherTok"/>
        </w:rPr>
        <w:t xml:space="preserve">&lt;-</w:t>
      </w:r>
      <w:r>
        <w:rPr>
          <w:rStyle w:val="NormalTok"/>
        </w:rPr>
        <w:t xml:space="preserve"> </w:t>
      </w:r>
      <w:r>
        <w:rPr>
          <w:rStyle w:val="ControlFlowTok"/>
        </w:rPr>
        <w:t xml:space="preserve">function</w:t>
      </w:r>
      <w:r>
        <w:rPr>
          <w:rStyle w:val="NormalTok"/>
        </w:rPr>
        <w:t xml:space="preserve">(d, s, col) d[[col]][</w:t>
      </w:r>
      <w:r>
        <w:rPr>
          <w:rStyle w:val="FunctionTok"/>
        </w:rPr>
        <w:t xml:space="preserve">grepl</w:t>
      </w:r>
      <w:r>
        <w:rPr>
          <w:rStyle w:val="NormalTok"/>
        </w:rPr>
        <w:t xml:space="preserve">(</w:t>
      </w:r>
      <w:r>
        <w:rPr>
          <w:rStyle w:val="FunctionTok"/>
        </w:rPr>
        <w:t xml:space="preserve">toupper</w:t>
      </w:r>
      <w:r>
        <w:rPr>
          <w:rStyle w:val="NormalTok"/>
        </w:rPr>
        <w:t xml:space="preserve">(s), d</w:t>
      </w:r>
      <w:r>
        <w:rPr>
          <w:rStyle w:val="SpecialCharTok"/>
        </w:rPr>
        <w:t xml:space="preserve">$</w:t>
      </w:r>
      <w:r>
        <w:rPr>
          <w:rStyle w:val="NormalTok"/>
        </w:rPr>
        <w:t xml:space="preserve">Series)]</w:t>
      </w:r>
      <w:r>
        <w:br/>
      </w:r>
      <w:r>
        <w:br/>
      </w:r>
      <w:r>
        <w:rPr>
          <w:rStyle w:val="NormalTok"/>
        </w:rPr>
        <w:t xml:space="preserve">abs_ffmc </w:t>
      </w:r>
      <w:r>
        <w:rPr>
          <w:rStyle w:val="OtherTok"/>
        </w:rPr>
        <w:t xml:space="preserve">&lt;-</w:t>
      </w:r>
      <w:r>
        <w:rPr>
          <w:rStyle w:val="NormalTok"/>
        </w:rPr>
        <w:t xml:space="preserve"> </w:t>
      </w:r>
      <w:r>
        <w:rPr>
          <w:rStyle w:val="FunctionTok"/>
        </w:rPr>
        <w:t xml:space="preserve">subset</w:t>
      </w:r>
      <w:r>
        <w:rPr>
          <w:rStyle w:val="NormalTok"/>
        </w:rPr>
        <w:t xml:space="preserve">(tp, Component </w:t>
      </w:r>
      <w:r>
        <w:rPr>
          <w:rStyle w:val="SpecialCharTok"/>
        </w:rPr>
        <w:t xml:space="preserve">==</w:t>
      </w:r>
      <w:r>
        <w:rPr>
          <w:rStyle w:val="NormalTok"/>
        </w:rPr>
        <w:t xml:space="preserve"> </w:t>
      </w:r>
      <w:r>
        <w:rPr>
          <w:rStyle w:val="StringTok"/>
        </w:rPr>
        <w:t xml:space="preserve">"FFMC"</w:t>
      </w:r>
      <w:r>
        <w:rPr>
          <w:rStyle w:val="NormalTok"/>
        </w:rPr>
        <w:t xml:space="preserve"> </w:t>
      </w:r>
      <w:r>
        <w:rPr>
          <w:rStyle w:val="SpecialCharTok"/>
        </w:rPr>
        <w:t xml:space="preserve">&amp;</w:t>
      </w:r>
      <w:r>
        <w:rPr>
          <w:rStyle w:val="NormalTok"/>
        </w:rPr>
        <w:t xml:space="preserve"> Threshold </w:t>
      </w:r>
      <w:r>
        <w:rPr>
          <w:rStyle w:val="SpecialCharTok"/>
        </w:rPr>
        <w:t xml:space="preserve">==</w:t>
      </w:r>
      <w:r>
        <w:rPr>
          <w:rStyle w:val="NormalTok"/>
        </w:rPr>
        <w:t xml:space="preserve"> </w:t>
      </w:r>
      <w:r>
        <w:rPr>
          <w:rStyle w:val="DecValTok"/>
        </w:rPr>
        <w:t xml:space="preserve">91</w:t>
      </w:r>
      <w:r>
        <w:rPr>
          <w:rStyle w:val="NormalTok"/>
        </w:rPr>
        <w:t xml:space="preserve">)</w:t>
      </w:r>
      <w:r>
        <w:br/>
      </w:r>
      <w:r>
        <w:rPr>
          <w:rStyle w:val="NormalTok"/>
        </w:rPr>
        <w:t xml:space="preserve">abs_p </w:t>
      </w:r>
      <w:r>
        <w:rPr>
          <w:rStyle w:val="OtherTok"/>
        </w:rPr>
        <w:t xml:space="preserve">&lt;-</w:t>
      </w:r>
      <w:r>
        <w:rPr>
          <w:rStyle w:val="NormalTok"/>
        </w:rPr>
        <w:t xml:space="preserve"> </w:t>
      </w:r>
      <w:r>
        <w:rPr>
          <w:rStyle w:val="FunctionTok"/>
        </w:rPr>
        <w:t xml:space="preserve">vapply</w:t>
      </w:r>
      <w:r>
        <w:rPr>
          <w:rStyle w:val="NormalTok"/>
        </w:rPr>
        <w:t xml:space="preserve">(</w:t>
      </w:r>
      <w:r>
        <w:rPr>
          <w:rStyle w:val="FunctionTok"/>
        </w:rPr>
        <w:t xml:space="preserve">c</w:t>
      </w:r>
      <w:r>
        <w:rPr>
          <w:rStyle w:val="NormalTok"/>
        </w:rPr>
        <w:t xml:space="preserve">(</w:t>
      </w:r>
      <w:r>
        <w:rPr>
          <w:rStyle w:val="StringTok"/>
        </w:rPr>
        <w:t xml:space="preserve">"S1"</w:t>
      </w:r>
      <w:r>
        <w:rPr>
          <w:rStyle w:val="NormalTok"/>
        </w:rPr>
        <w:t xml:space="preserve">, </w:t>
      </w:r>
      <w:r>
        <w:rPr>
          <w:rStyle w:val="StringTok"/>
        </w:rPr>
        <w:t xml:space="preserve">"S2"</w:t>
      </w:r>
      <w:r>
        <w:rPr>
          <w:rStyle w:val="NormalTok"/>
        </w:rPr>
        <w:t xml:space="preserve">, </w:t>
      </w:r>
      <w:r>
        <w:rPr>
          <w:rStyle w:val="StringTok"/>
        </w:rPr>
        <w:t xml:space="preserve">"S3"</w:t>
      </w:r>
      <w:r>
        <w:rPr>
          <w:rStyle w:val="NormalTok"/>
        </w:rPr>
        <w:t xml:space="preserve">), </w:t>
      </w:r>
      <w:r>
        <w:rPr>
          <w:rStyle w:val="ControlFlowTok"/>
        </w:rPr>
        <w:t xml:space="preserve">function</w:t>
      </w:r>
      <w:r>
        <w:rPr>
          <w:rStyle w:val="NormalTok"/>
        </w:rPr>
        <w:t xml:space="preserve">(s)</w:t>
      </w:r>
      <w:r>
        <w:br/>
      </w:r>
      <w:r>
        <w:rPr>
          <w:rStyle w:val="NormalTok"/>
        </w:rPr>
        <w:t xml:space="preserve">  </w:t>
      </w:r>
      <w:r>
        <w:rPr>
          <w:rStyle w:val="FunctionTok"/>
        </w:rPr>
        <w:t xml:space="preserve">pull</w:t>
      </w:r>
      <w:r>
        <w:rPr>
          <w:rStyle w:val="NormalTok"/>
        </w:rPr>
        <w:t xml:space="preserve">(abs_ffmc, s, </w:t>
      </w:r>
      <w:r>
        <w:rPr>
          <w:rStyle w:val="StringTok"/>
        </w:rPr>
        <w:t xml:space="preserve">"Percentile of threshold"</w:t>
      </w:r>
      <w:r>
        <w:rPr>
          <w:rStyle w:val="NormalTok"/>
        </w:rPr>
        <w:t xml:space="preserve">),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abs_d </w:t>
      </w:r>
      <w:r>
        <w:rPr>
          <w:rStyle w:val="OtherTok"/>
        </w:rPr>
        <w:t xml:space="preserve">&lt;-</w:t>
      </w:r>
      <w:r>
        <w:rPr>
          <w:rStyle w:val="NormalTok"/>
        </w:rPr>
        <w:t xml:space="preserve"> </w:t>
      </w:r>
      <w:r>
        <w:rPr>
          <w:rStyle w:val="FunctionTok"/>
        </w:rPr>
        <w:t xml:space="preserve">vapply</w:t>
      </w:r>
      <w:r>
        <w:rPr>
          <w:rStyle w:val="NormalTok"/>
        </w:rPr>
        <w:t xml:space="preserve">(</w:t>
      </w:r>
      <w:r>
        <w:rPr>
          <w:rStyle w:val="FunctionTok"/>
        </w:rPr>
        <w:t xml:space="preserve">c</w:t>
      </w:r>
      <w:r>
        <w:rPr>
          <w:rStyle w:val="NormalTok"/>
        </w:rPr>
        <w:t xml:space="preserve">(</w:t>
      </w:r>
      <w:r>
        <w:rPr>
          <w:rStyle w:val="StringTok"/>
        </w:rPr>
        <w:t xml:space="preserve">"S1"</w:t>
      </w:r>
      <w:r>
        <w:rPr>
          <w:rStyle w:val="NormalTok"/>
        </w:rPr>
        <w:t xml:space="preserve">, </w:t>
      </w:r>
      <w:r>
        <w:rPr>
          <w:rStyle w:val="StringTok"/>
        </w:rPr>
        <w:t xml:space="preserve">"S2"</w:t>
      </w:r>
      <w:r>
        <w:rPr>
          <w:rStyle w:val="NormalTok"/>
        </w:rPr>
        <w:t xml:space="preserve">, </w:t>
      </w:r>
      <w:r>
        <w:rPr>
          <w:rStyle w:val="StringTok"/>
        </w:rPr>
        <w:t xml:space="preserve">"S3"</w:t>
      </w:r>
      <w:r>
        <w:rPr>
          <w:rStyle w:val="NormalTok"/>
        </w:rPr>
        <w:t xml:space="preserve">), </w:t>
      </w:r>
      <w:r>
        <w:rPr>
          <w:rStyle w:val="ControlFlowTok"/>
        </w:rPr>
        <w:t xml:space="preserve">function</w:t>
      </w:r>
      <w:r>
        <w:rPr>
          <w:rStyle w:val="NormalTok"/>
        </w:rPr>
        <w:t xml:space="preserve">(s)</w:t>
      </w:r>
      <w:r>
        <w:br/>
      </w:r>
      <w:r>
        <w:rPr>
          <w:rStyle w:val="NormalTok"/>
        </w:rPr>
        <w:t xml:space="preserve">  </w:t>
      </w:r>
      <w:r>
        <w:rPr>
          <w:rStyle w:val="FunctionTok"/>
        </w:rPr>
        <w:t xml:space="preserve">pull</w:t>
      </w:r>
      <w:r>
        <w:rPr>
          <w:rStyle w:val="NormalTok"/>
        </w:rPr>
        <w:t xml:space="preserve">(abs_ffmc, s, </w:t>
      </w:r>
      <w:r>
        <w:rPr>
          <w:rStyle w:val="StringTok"/>
        </w:rPr>
        <w:t xml:space="preserve">"Days per season above"</w:t>
      </w:r>
      <w:r>
        <w:rPr>
          <w:rStyle w:val="NormalTok"/>
        </w:rPr>
        <w:t xml:space="preserve">), </w:t>
      </w:r>
      <w:r>
        <w:rPr>
          <w:rStyle w:val="FunctionTok"/>
        </w:rPr>
        <w:t xml:space="preserve">numeric</w:t>
      </w:r>
      <w:r>
        <w:rPr>
          <w:rStyle w:val="NormalTok"/>
        </w:rPr>
        <w:t xml:space="preserve">(</w:t>
      </w:r>
      <w:r>
        <w:rPr>
          <w:rStyle w:val="DecValTok"/>
        </w:rPr>
        <w:t xml:space="preserve">1</w:t>
      </w:r>
      <w:r>
        <w:rPr>
          <w:rStyle w:val="NormalTok"/>
        </w:rPr>
        <w:t xml:space="preserve">))</w:t>
      </w:r>
      <w:r>
        <w:br/>
      </w:r>
      <w:r>
        <w:br/>
      </w:r>
      <w:r>
        <w:rPr>
          <w:rStyle w:val="CommentTok"/>
        </w:rPr>
        <w:t xml:space="preserve"># The migration contrast, absolute against relative thresholding.</w:t>
      </w:r>
      <w:r>
        <w:br/>
      </w:r>
      <w:r>
        <w:rPr>
          <w:rStyle w:val="NormalTok"/>
        </w:rPr>
        <w:t xml:space="preserve">mig_rows </w:t>
      </w:r>
      <w:r>
        <w:rPr>
          <w:rStyle w:val="OtherTok"/>
        </w:rPr>
        <w:t xml:space="preserve">&lt;-</w:t>
      </w:r>
      <w:r>
        <w:rPr>
          <w:rStyle w:val="NormalTok"/>
        </w:rPr>
        <w:t xml:space="preserve"> sdiff[sdiff</w:t>
      </w:r>
      <w:r>
        <w:rPr>
          <w:rStyle w:val="SpecialCharTok"/>
        </w:rPr>
        <w:t xml:space="preserve">$</w:t>
      </w:r>
      <w:r>
        <w:rPr>
          <w:rStyle w:val="NormalTok"/>
        </w:rPr>
        <w:t xml:space="preserve">contrast </w:t>
      </w:r>
      <w:r>
        <w:rPr>
          <w:rStyle w:val="SpecialCharTok"/>
        </w:rPr>
        <w:t xml:space="preserve">==</w:t>
      </w:r>
      <w:r>
        <w:rPr>
          <w:rStyle w:val="NormalTok"/>
        </w:rPr>
        <w:t xml:space="preserve"> mig_label, ]</w:t>
      </w:r>
      <w:r>
        <w:br/>
      </w:r>
      <w:r>
        <w:rPr>
          <w:rStyle w:val="NormalTok"/>
        </w:rPr>
        <w:t xml:space="preserve">abs_mig </w:t>
      </w:r>
      <w:r>
        <w:rPr>
          <w:rStyle w:val="OtherTok"/>
        </w:rPr>
        <w:t xml:space="preserve">&lt;-</w:t>
      </w:r>
      <w:r>
        <w:rPr>
          <w:rStyle w:val="NormalTok"/>
        </w:rPr>
        <w:t xml:space="preserve"> mig_rows[mig_rows</w:t>
      </w:r>
      <w:r>
        <w:rPr>
          <w:rStyle w:val="SpecialCharTok"/>
        </w:rPr>
        <w:t xml:space="preserve">$</w:t>
      </w:r>
      <w:r>
        <w:rPr>
          <w:rStyle w:val="NormalTok"/>
        </w:rPr>
        <w:t xml:space="preserve">scheme </w:t>
      </w:r>
      <w:r>
        <w:rPr>
          <w:rStyle w:val="SpecialCharTok"/>
        </w:rPr>
        <w:t xml:space="preserve">==</w:t>
      </w:r>
      <w:r>
        <w:rPr>
          <w:rStyle w:val="NormalTok"/>
        </w:rPr>
        <w:t xml:space="preserve"> </w:t>
      </w:r>
      <w:r>
        <w:rPr>
          <w:rStyle w:val="StringTok"/>
        </w:rPr>
        <w:t xml:space="preserve">"absolute"</w:t>
      </w:r>
      <w:r>
        <w:rPr>
          <w:rStyle w:val="NormalTok"/>
        </w:rPr>
        <w:t xml:space="preserve">, ]</w:t>
      </w:r>
      <w:r>
        <w:br/>
      </w:r>
      <w:r>
        <w:rPr>
          <w:rStyle w:val="NormalTok"/>
        </w:rPr>
        <w:t xml:space="preserve">rel_mig </w:t>
      </w:r>
      <w:r>
        <w:rPr>
          <w:rStyle w:val="OtherTok"/>
        </w:rPr>
        <w:t xml:space="preserve">&lt;-</w:t>
      </w:r>
      <w:r>
        <w:rPr>
          <w:rStyle w:val="NormalTok"/>
        </w:rPr>
        <w:t xml:space="preserve"> mig_rows[mig_rows</w:t>
      </w:r>
      <w:r>
        <w:rPr>
          <w:rStyle w:val="SpecialCharTok"/>
        </w:rPr>
        <w:t xml:space="preserve">$</w:t>
      </w:r>
      <w:r>
        <w:rPr>
          <w:rStyle w:val="NormalTok"/>
        </w:rPr>
        <w:t xml:space="preserve">scheme </w:t>
      </w:r>
      <w:r>
        <w:rPr>
          <w:rStyle w:val="SpecialCharTok"/>
        </w:rPr>
        <w:t xml:space="preserve">==</w:t>
      </w:r>
      <w:r>
        <w:rPr>
          <w:rStyle w:val="NormalTok"/>
        </w:rPr>
        <w:t xml:space="preserve"> </w:t>
      </w:r>
      <w:r>
        <w:rPr>
          <w:rStyle w:val="StringTok"/>
        </w:rPr>
        <w:t xml:space="preserve">"relative"</w:t>
      </w:r>
      <w:r>
        <w:rPr>
          <w:rStyle w:val="NormalTok"/>
        </w:rPr>
        <w:t xml:space="preserve">, ]</w:t>
      </w:r>
      <w:r>
        <w:br/>
      </w:r>
      <w:r>
        <w:rPr>
          <w:rStyle w:val="NormalTok"/>
        </w:rPr>
        <w:t xml:space="preserve">n_abs_sig </w:t>
      </w:r>
      <w:r>
        <w:rPr>
          <w:rStyle w:val="OtherTok"/>
        </w:rPr>
        <w:t xml:space="preserve">&lt;-</w:t>
      </w:r>
      <w:r>
        <w:rPr>
          <w:rStyle w:val="NormalTok"/>
        </w:rPr>
        <w:t xml:space="preserve"> </w:t>
      </w:r>
      <w:r>
        <w:rPr>
          <w:rStyle w:val="FunctionTok"/>
        </w:rPr>
        <w:t xml:space="preserve">sum</w:t>
      </w:r>
      <w:r>
        <w:rPr>
          <w:rStyle w:val="NormalTok"/>
        </w:rPr>
        <w:t xml:space="preserve">(abs_mig</w:t>
      </w:r>
      <w:r>
        <w:rPr>
          <w:rStyle w:val="SpecialCharTok"/>
        </w:rPr>
        <w:t xml:space="preserve">$</w:t>
      </w:r>
      <w:r>
        <w:rPr>
          <w:rStyle w:val="NormalTok"/>
        </w:rPr>
        <w:t xml:space="preserve">lower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abs_mig</w:t>
      </w:r>
      <w:r>
        <w:rPr>
          <w:rStyle w:val="SpecialCharTok"/>
        </w:rPr>
        <w:t xml:space="preserve">$</w:t>
      </w:r>
      <w:r>
        <w:rPr>
          <w:rStyle w:val="NormalTok"/>
        </w:rPr>
        <w:t xml:space="preserve">upper </w:t>
      </w:r>
      <w:r>
        <w:rPr>
          <w:rStyle w:val="SpecialCharTok"/>
        </w:rPr>
        <w:t xml:space="preserve">&lt;</w:t>
      </w:r>
      <w:r>
        <w:rPr>
          <w:rStyle w:val="NormalTok"/>
        </w:rPr>
        <w:t xml:space="preserve"> </w:t>
      </w:r>
      <w:r>
        <w:rPr>
          <w:rStyle w:val="DecValTok"/>
        </w:rPr>
        <w:t xml:space="preserve">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n_rel_sig </w:t>
      </w:r>
      <w:r>
        <w:rPr>
          <w:rStyle w:val="OtherTok"/>
        </w:rPr>
        <w:t xml:space="preserve">&lt;-</w:t>
      </w:r>
      <w:r>
        <w:rPr>
          <w:rStyle w:val="NormalTok"/>
        </w:rPr>
        <w:t xml:space="preserve"> </w:t>
      </w:r>
      <w:r>
        <w:rPr>
          <w:rStyle w:val="FunctionTok"/>
        </w:rPr>
        <w:t xml:space="preserve">sum</w:t>
      </w:r>
      <w:r>
        <w:rPr>
          <w:rStyle w:val="NormalTok"/>
        </w:rPr>
        <w:t xml:space="preserve">(rel_mig</w:t>
      </w:r>
      <w:r>
        <w:rPr>
          <w:rStyle w:val="SpecialCharTok"/>
        </w:rPr>
        <w:t xml:space="preserve">$</w:t>
      </w:r>
      <w:r>
        <w:rPr>
          <w:rStyle w:val="NormalTok"/>
        </w:rPr>
        <w:t xml:space="preserve">lower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rel_mig</w:t>
      </w:r>
      <w:r>
        <w:rPr>
          <w:rStyle w:val="SpecialCharTok"/>
        </w:rPr>
        <w:t xml:space="preserve">$</w:t>
      </w:r>
      <w:r>
        <w:rPr>
          <w:rStyle w:val="NormalTok"/>
        </w:rPr>
        <w:t xml:space="preserve">upper </w:t>
      </w:r>
      <w:r>
        <w:rPr>
          <w:rStyle w:val="SpecialCharTok"/>
        </w:rPr>
        <w:t xml:space="preserve">&lt;</w:t>
      </w:r>
      <w:r>
        <w:rPr>
          <w:rStyle w:val="NormalTok"/>
        </w:rPr>
        <w:t xml:space="preserve"> </w:t>
      </w:r>
      <w:r>
        <w:rPr>
          <w:rStyle w:val="DecValTok"/>
        </w:rPr>
        <w:t xml:space="preserve">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CommentTok"/>
        </w:rPr>
        <w:t xml:space="preserve"># Ignition skill, on the lightning series.</w:t>
      </w:r>
      <w:r>
        <w:br/>
      </w:r>
      <w:r>
        <w:rPr>
          <w:rStyle w:val="NormalTok"/>
        </w:rPr>
        <w:t xml:space="preserve">lig </w:t>
      </w:r>
      <w:r>
        <w:rPr>
          <w:rStyle w:val="OtherTok"/>
        </w:rPr>
        <w:t xml:space="preserve">&lt;-</w:t>
      </w:r>
      <w:r>
        <w:rPr>
          <w:rStyle w:val="NormalTok"/>
        </w:rPr>
        <w:t xml:space="preserve"> ign_res[ign_res</w:t>
      </w:r>
      <w:r>
        <w:rPr>
          <w:rStyle w:val="SpecialCharTok"/>
        </w:rPr>
        <w:t xml:space="preserve">$</w:t>
      </w:r>
      <w:r>
        <w:rPr>
          <w:rStyle w:val="NormalTok"/>
        </w:rPr>
        <w:t xml:space="preserve">response </w:t>
      </w:r>
      <w:r>
        <w:rPr>
          <w:rStyle w:val="SpecialCharTok"/>
        </w:rPr>
        <w:t xml:space="preserve">==</w:t>
      </w:r>
      <w:r>
        <w:rPr>
          <w:rStyle w:val="NormalTok"/>
        </w:rPr>
        <w:t xml:space="preserve"> </w:t>
      </w:r>
      <w:r>
        <w:rPr>
          <w:rStyle w:val="StringTok"/>
        </w:rPr>
        <w:t xml:space="preserve">"n_lightning_all"</w:t>
      </w:r>
      <w:r>
        <w:rPr>
          <w:rStyle w:val="NormalTok"/>
        </w:rPr>
        <w:t xml:space="preserve">, ]</w:t>
      </w:r>
      <w:r>
        <w:br/>
      </w:r>
      <w:r>
        <w:rPr>
          <w:rStyle w:val="NormalTok"/>
        </w:rPr>
        <w:t xml:space="preserve">lig </w:t>
      </w:r>
      <w:r>
        <w:rPr>
          <w:rStyle w:val="OtherTok"/>
        </w:rPr>
        <w:t xml:space="preserve">&lt;-</w:t>
      </w:r>
      <w:r>
        <w:rPr>
          <w:rStyle w:val="NormalTok"/>
        </w:rPr>
        <w:t xml:space="preserve"> lig[</w:t>
      </w:r>
      <w:r>
        <w:rPr>
          <w:rStyle w:val="FunctionTok"/>
        </w:rPr>
        <w:t xml:space="preserve">order</w:t>
      </w:r>
      <w:r>
        <w:rPr>
          <w:rStyle w:val="NormalTok"/>
        </w:rPr>
        <w:t xml:space="preserve">(</w:t>
      </w:r>
      <w:r>
        <w:rPr>
          <w:rStyle w:val="SpecialCharTok"/>
        </w:rPr>
        <w:t xml:space="preserve">-</w:t>
      </w:r>
      <w:r>
        <w:rPr>
          <w:rStyle w:val="NormalTok"/>
        </w:rPr>
        <w:t xml:space="preserve">lig</w:t>
      </w:r>
      <w:r>
        <w:rPr>
          <w:rStyle w:val="SpecialCharTok"/>
        </w:rPr>
        <w:t xml:space="preserve">$</w:t>
      </w:r>
      <w:r>
        <w:rPr>
          <w:rStyle w:val="NormalTok"/>
        </w:rPr>
        <w:t xml:space="preserve">loso_loglik), ]</w:t>
      </w:r>
      <w:r>
        <w:br/>
      </w:r>
      <w:r>
        <w:br/>
      </w:r>
      <w:r>
        <w:rPr>
          <w:rStyle w:val="NormalTok"/>
        </w:rPr>
        <w:t xml:space="preserve">abstract_text </w:t>
      </w:r>
      <w:r>
        <w:rPr>
          <w:rStyle w:val="OtherTok"/>
        </w:rPr>
        <w:t xml:space="preserve">&lt;-</w:t>
      </w:r>
      <w:r>
        <w:rPr>
          <w:rStyle w:val="NormalTok"/>
        </w:rPr>
        <w:t xml:space="preserve"> </w:t>
      </w:r>
      <w:r>
        <w:rPr>
          <w:rStyle w:val="FunctionTok"/>
        </w:rPr>
        <w:t xml:space="preserve">sprintf</w:t>
      </w:r>
      <w:r>
        <w:rPr>
          <w:rStyle w:val="NormalTok"/>
        </w:rPr>
        <w:t xml:space="preserve">(</w:t>
      </w:r>
      <w:r>
        <w:br/>
      </w:r>
      <w:r>
        <w:rPr>
          <w:rStyle w:val="StringTok"/>
        </w:rPr>
        <w:t xml:space="preserve">"Almost every published Canadian fire danger trend is expressed in the units of</w:t>
      </w:r>
      <w:r>
        <w:br/>
      </w:r>
      <w:r>
        <w:rPr>
          <w:rStyle w:val="StringTok"/>
        </w:rPr>
        <w:t xml:space="preserve">the 1987 Fire Weather Index System, which the Canadian Forest Service replaced in</w:t>
      </w:r>
      <w:r>
        <w:br/>
      </w:r>
      <w:r>
        <w:rPr>
          <w:rStyle w:val="StringTok"/>
        </w:rPr>
        <w:t xml:space="preserve">2025 with a version that changed the calculation and the resolution of the</w:t>
      </w:r>
      <w:r>
        <w:br/>
      </w:r>
      <w:r>
        <w:rPr>
          <w:rStyle w:val="StringTok"/>
        </w:rPr>
        <w:t xml:space="preserve">weather driving it at once, so a straight comparison cannot attribute a</w:t>
      </w:r>
      <w:r>
        <w:br/>
      </w:r>
      <w:r>
        <w:rPr>
          <w:rStyle w:val="StringTok"/>
        </w:rPr>
        <w:t xml:space="preserve">difference to either change, and no study has separated them. This study</w:t>
      </w:r>
      <w:r>
        <w:br/>
      </w:r>
      <w:r>
        <w:rPr>
          <w:rStyle w:val="StringTok"/>
        </w:rPr>
        <w:t xml:space="preserve">computed three danger series from one hourly weather record (%d fire weather</w:t>
      </w:r>
      <w:r>
        <w:br/>
      </w:r>
      <w:r>
        <w:rPr>
          <w:rStyle w:val="StringTok"/>
        </w:rPr>
        <w:t xml:space="preserve">stations, %s station-seasons, %d fire seasons, %d to %d, Canadian Okanagan basin,</w:t>
      </w:r>
      <w:r>
        <w:br/>
      </w:r>
      <w:r>
        <w:rPr>
          <w:rStyle w:val="StringTok"/>
        </w:rPr>
        <w:t xml:space="preserve">British Columbia), FWI1987 from the 13:00 observation, FWI2025 from the same</w:t>
      </w:r>
      <w:r>
        <w:br/>
      </w:r>
      <w:r>
        <w:rPr>
          <w:rStyle w:val="StringTok"/>
        </w:rPr>
        <w:t xml:space="preserve">observation through the legacy pathway, and FWI2025 from observed hourly weather.</w:t>
      </w:r>
      <w:r>
        <w:br/>
      </w:r>
      <w:r>
        <w:rPr>
          <w:rStyle w:val="StringTok"/>
        </w:rPr>
        <w:t xml:space="preserve">Trends were estimated with the Theil-Sen slope and the Mann-Kendall test under</w:t>
      </w:r>
      <w:r>
        <w:br/>
      </w:r>
      <w:r>
        <w:rPr>
          <w:rStyle w:val="StringTok"/>
        </w:rPr>
        <w:t xml:space="preserve">the Hamed and Rao correction, series differences were bootstrapped over blocks of</w:t>
      </w:r>
      <w:r>
        <w:br/>
      </w:r>
      <w:r>
        <w:rPr>
          <w:rStyle w:val="StringTok"/>
        </w:rPr>
        <w:t xml:space="preserve">consecutive seasons, and daily ignition counts were modelled as negative binomial with</w:t>
      </w:r>
      <w:r>
        <w:br/>
      </w:r>
      <w:r>
        <w:rPr>
          <w:rStyle w:val="StringTok"/>
        </w:rPr>
        <w:t xml:space="preserve">season as a fixed effect. The comparability claimed by the 2025 report held for</w:t>
      </w:r>
      <w:r>
        <w:br/>
      </w:r>
      <w:r>
        <w:rPr>
          <w:rStyle w:val="StringTok"/>
        </w:rPr>
        <w:t xml:space="preserve">levels and failed for tails, in that a Fine Fuel Moisture Code of 91 sat at percentile</w:t>
      </w:r>
      <w:r>
        <w:br/>
      </w:r>
      <w:r>
        <w:rPr>
          <w:rStyle w:val="StringTok"/>
        </w:rPr>
        <w:t xml:space="preserve">%.1f of the legacy series and percentile %.1f of the hourly series, %.0f</w:t>
      </w:r>
      <w:r>
        <w:br/>
      </w:r>
      <w:r>
        <w:rPr>
          <w:rStyle w:val="StringTok"/>
        </w:rPr>
        <w:t xml:space="preserve">against %.0f days per season. Of %d station-metric combinations under absolute</w:t>
      </w:r>
      <w:r>
        <w:br/>
      </w:r>
      <w:r>
        <w:rPr>
          <w:rStyle w:val="StringTok"/>
        </w:rPr>
        <w:t xml:space="preserve">thresholds, %d gave a migration slope difference excluding zero, against %d of</w:t>
      </w:r>
      <w:r>
        <w:br/>
      </w:r>
      <w:r>
        <w:rPr>
          <w:rStyle w:val="StringTok"/>
        </w:rPr>
        <w:t xml:space="preserve">%d under percentile thresholds, at a resolution of about %.1f days over the</w:t>
      </w:r>
      <w:r>
        <w:br/>
      </w:r>
      <w:r>
        <w:rPr>
          <w:rStyle w:val="StringTok"/>
        </w:rPr>
        <w:t xml:space="preserve">window, so the version change was a shift in level rather than in slope. On</w:t>
      </w:r>
      <w:r>
        <w:br/>
      </w:r>
      <w:r>
        <w:rPr>
          <w:rStyle w:val="StringTok"/>
        </w:rPr>
        <w:t xml:space="preserve">held-out seasons the three series differed by %.4f in mean log likelihood per</w:t>
      </w:r>
      <w:r>
        <w:br/>
      </w:r>
      <w:r>
        <w:rPr>
          <w:rStyle w:val="StringTok"/>
        </w:rPr>
        <w:t xml:space="preserve">day, %s. Fire danger trends should therefore be reported as percentile</w:t>
      </w:r>
      <w:r>
        <w:br/>
      </w:r>
      <w:r>
        <w:rPr>
          <w:rStyle w:val="StringTok"/>
        </w:rPr>
        <w:t xml:space="preserve">exceedances with the version of the System stated, because a fixed danger class</w:t>
      </w:r>
      <w:r>
        <w:br/>
      </w:r>
      <w:r>
        <w:rPr>
          <w:rStyle w:val="StringTok"/>
        </w:rPr>
        <w:t xml:space="preserve">did not carry across the change and a percentile threshold did.</w:t>
      </w:r>
      <w:r>
        <w:rPr>
          <w:rStyle w:val="SpecialCharTok"/>
        </w:rPr>
        <w:t xml:space="preserve">\n</w:t>
      </w:r>
      <w:r>
        <w:rPr>
          <w:rStyle w:val="StringTok"/>
        </w:rPr>
        <w:t xml:space="preserve">"</w:t>
      </w:r>
      <w:r>
        <w:rPr>
          <w:rStyle w:val="NormalTok"/>
        </w:rPr>
        <w:t xml:space="preserve">,</w:t>
      </w:r>
      <w:r>
        <w:br/>
      </w:r>
      <w:r>
        <w:rPr>
          <w:rStyle w:val="NormalTok"/>
        </w:rPr>
        <w:t xml:space="preserve">  n_stations_kept, </w:t>
      </w:r>
      <w:r>
        <w:rPr>
          <w:rStyle w:val="FunctionTok"/>
        </w:rPr>
        <w:t xml:space="preserve">format</w:t>
      </w:r>
      <w:r>
        <w:rPr>
          <w:rStyle w:val="NormalTok"/>
        </w:rPr>
        <w:t xml:space="preserve">(n_kept, </w:t>
      </w:r>
      <w:r>
        <w:rPr>
          <w:rStyle w:val="AttributeTok"/>
        </w:rPr>
        <w:t xml:space="preserve">big.mark =</w:t>
      </w:r>
      <w:r>
        <w:rPr>
          <w:rStyle w:val="NormalTok"/>
        </w:rPr>
        <w:t xml:space="preserve"> </w:t>
      </w:r>
      <w:r>
        <w:rPr>
          <w:rStyle w:val="StringTok"/>
        </w:rPr>
        <w:t xml:space="preserve">","</w:t>
      </w:r>
      <w:r>
        <w:rPr>
          <w:rStyle w:val="NormalTok"/>
        </w:rPr>
        <w:t xml:space="preserve">), n_seasons, yr_first, yr_last,</w:t>
      </w:r>
      <w:r>
        <w:br/>
      </w:r>
      <w:r>
        <w:rPr>
          <w:rStyle w:val="NormalTok"/>
        </w:rPr>
        <w:t xml:space="preserve">  abs_p[[</w:t>
      </w:r>
      <w:r>
        <w:rPr>
          <w:rStyle w:val="StringTok"/>
        </w:rPr>
        <w:t xml:space="preserve">"S1"</w:t>
      </w:r>
      <w:r>
        <w:rPr>
          <w:rStyle w:val="NormalTok"/>
        </w:rPr>
        <w:t xml:space="preserve">]], abs_p[[</w:t>
      </w:r>
      <w:r>
        <w:rPr>
          <w:rStyle w:val="StringTok"/>
        </w:rPr>
        <w:t xml:space="preserve">"S3"</w:t>
      </w:r>
      <w:r>
        <w:rPr>
          <w:rStyle w:val="NormalTok"/>
        </w:rPr>
        <w:t xml:space="preserve">]], abs_d[[</w:t>
      </w:r>
      <w:r>
        <w:rPr>
          <w:rStyle w:val="StringTok"/>
        </w:rPr>
        <w:t xml:space="preserve">"S1"</w:t>
      </w:r>
      <w:r>
        <w:rPr>
          <w:rStyle w:val="NormalTok"/>
        </w:rPr>
        <w:t xml:space="preserve">]], abs_d[[</w:t>
      </w:r>
      <w:r>
        <w:rPr>
          <w:rStyle w:val="StringTok"/>
        </w:rPr>
        <w:t xml:space="preserve">"S3"</w:t>
      </w:r>
      <w:r>
        <w:rPr>
          <w:rStyle w:val="NormalTok"/>
        </w:rPr>
        <w:t xml:space="preserve">]],</w:t>
      </w:r>
      <w:r>
        <w:br/>
      </w:r>
      <w:r>
        <w:rPr>
          <w:rStyle w:val="NormalTok"/>
        </w:rPr>
        <w:t xml:space="preserve">  </w:t>
      </w:r>
      <w:r>
        <w:rPr>
          <w:rStyle w:val="FunctionTok"/>
        </w:rPr>
        <w:t xml:space="preserve">nrow</w:t>
      </w:r>
      <w:r>
        <w:rPr>
          <w:rStyle w:val="NormalTok"/>
        </w:rPr>
        <w:t xml:space="preserve">(abs_mig), n_abs_sig, n_rel_sig, </w:t>
      </w:r>
      <w:r>
        <w:rPr>
          <w:rStyle w:val="FunctionTok"/>
        </w:rPr>
        <w:t xml:space="preserve">nrow</w:t>
      </w:r>
      <w:r>
        <w:rPr>
          <w:rStyle w:val="NormalTok"/>
        </w:rPr>
        <w:t xml:space="preserve">(rel_mig),</w:t>
      </w:r>
      <w:r>
        <w:br/>
      </w:r>
      <w:r>
        <w:rPr>
          <w:rStyle w:val="NormalTok"/>
        </w:rPr>
        <w:t xml:space="preserve">  res_abs </w:t>
      </w:r>
      <w:r>
        <w:rPr>
          <w:rStyle w:val="SpecialCharTok"/>
        </w:rPr>
        <w:t xml:space="preserve">*</w:t>
      </w:r>
      <w:r>
        <w:rPr>
          <w:rStyle w:val="NormalTok"/>
        </w:rPr>
        <w:t xml:space="preserve"> (yr_last </w:t>
      </w:r>
      <w:r>
        <w:rPr>
          <w:rStyle w:val="SpecialCharTok"/>
        </w:rPr>
        <w:t xml:space="preserve">-</w:t>
      </w:r>
      <w:r>
        <w:rPr>
          <w:rStyle w:val="NormalTok"/>
        </w:rPr>
        <w:t xml:space="preserve"> yr_first),</w:t>
      </w:r>
      <w:r>
        <w:br/>
      </w:r>
      <w:r>
        <w:rPr>
          <w:rStyle w:val="NormalTok"/>
        </w:rPr>
        <w:t xml:space="preserve">  </w:t>
      </w:r>
      <w:r>
        <w:rPr>
          <w:rStyle w:val="FunctionTok"/>
        </w:rPr>
        <w:t xml:space="preserve">diff</w:t>
      </w:r>
      <w:r>
        <w:rPr>
          <w:rStyle w:val="NormalTok"/>
        </w:rPr>
        <w:t xml:space="preserve">(</w:t>
      </w:r>
      <w:r>
        <w:rPr>
          <w:rStyle w:val="FunctionTok"/>
        </w:rPr>
        <w:t xml:space="preserve">range</w:t>
      </w:r>
      <w:r>
        <w:rPr>
          <w:rStyle w:val="NormalTok"/>
        </w:rPr>
        <w:t xml:space="preserve">(lig</w:t>
      </w:r>
      <w:r>
        <w:rPr>
          <w:rStyle w:val="SpecialCharTok"/>
        </w:rPr>
        <w:t xml:space="preserve">$</w:t>
      </w:r>
      <w:r>
        <w:rPr>
          <w:rStyle w:val="NormalTok"/>
        </w:rPr>
        <w:t xml:space="preserve">loso_loglik)),</w:t>
      </w:r>
      <w:r>
        <w:br/>
      </w:r>
      <w:r>
        <w:rPr>
          <w:rStyle w:val="NormalTok"/>
        </w:rPr>
        <w:t xml:space="preserve">  </w:t>
      </w:r>
      <w:r>
        <w:rPr>
          <w:rStyle w:val="FunctionTok"/>
        </w:rPr>
        <w:t xml:space="preserve">sprintf</w:t>
      </w:r>
      <w:r>
        <w:rPr>
          <w:rStyle w:val="NormalTok"/>
        </w:rPr>
        <w:t xml:space="preserve">(</w:t>
      </w:r>
      <w:r>
        <w:rPr>
          <w:rStyle w:val="StringTok"/>
        </w:rPr>
        <w:t xml:space="preserve">"with %s ranking first"</w:t>
      </w:r>
      <w:r>
        <w:rPr>
          <w:rStyle w:val="NormalTok"/>
        </w:rPr>
        <w:t xml:space="preserve">, </w:t>
      </w:r>
      <w:r>
        <w:rPr>
          <w:rStyle w:val="FunctionTok"/>
        </w:rPr>
        <w:t xml:space="preserve">unname</w:t>
      </w:r>
      <w:r>
        <w:rPr>
          <w:rStyle w:val="NormalTok"/>
        </w:rPr>
        <w:t xml:space="preserve">(SERIES_PROSE[lig</w:t>
      </w:r>
      <w:r>
        <w:rPr>
          <w:rStyle w:val="SpecialCharTok"/>
        </w:rPr>
        <w:t xml:space="preserve">$</w:t>
      </w:r>
      <w:r>
        <w:rPr>
          <w:rStyle w:val="NormalTok"/>
        </w:rPr>
        <w:t xml:space="preserve">series[</w:t>
      </w:r>
      <w:r>
        <w:rPr>
          <w:rStyle w:val="DecValTok"/>
        </w:rPr>
        <w:t xml:space="preserve">1</w:t>
      </w:r>
      <w:r>
        <w:rPr>
          <w:rStyle w:val="NormalTok"/>
        </w:rPr>
        <w:t xml:space="preserve">]]))</w:t>
      </w:r>
      <w:r>
        <w:br/>
      </w:r>
      <w:r>
        <w:rPr>
          <w:rStyle w:val="NormalTok"/>
        </w:rPr>
        <w:t xml:space="preserve">)</w:t>
      </w:r>
      <w:r>
        <w:br/>
      </w:r>
      <w:r>
        <w:rPr>
          <w:rStyle w:val="FunctionTok"/>
        </w:rPr>
        <w:t xml:space="preserve">cat</w:t>
      </w:r>
      <w:r>
        <w:rPr>
          <w:rStyle w:val="NormalTok"/>
        </w:rPr>
        <w:t xml:space="preserve">(abstract_text)</w:t>
      </w:r>
    </w:p>
    <w:p>
      <w:pPr>
        <w:pStyle w:val="FirstParagraph"/>
      </w:pPr>
      <w:r>
        <w:t xml:space="preserve">Almost every published Canadian fire danger trend is expressed in the units of</w:t>
      </w:r>
      <w:r>
        <w:t xml:space="preserve"> </w:t>
      </w:r>
      <w:r>
        <w:t xml:space="preserve">the 1987 Fire Weather Index System, which the Canadian Forest Service replaced in</w:t>
      </w:r>
      <w:r>
        <w:t xml:space="preserve"> </w:t>
      </w:r>
      <w:r>
        <w:t xml:space="preserve">2025 with a version that changed the calculation and the resolution of the</w:t>
      </w:r>
      <w:r>
        <w:t xml:space="preserve"> </w:t>
      </w:r>
      <w:r>
        <w:t xml:space="preserve">weather driving it at once, so a straight comparison cannot attribute a</w:t>
      </w:r>
      <w:r>
        <w:t xml:space="preserve"> </w:t>
      </w:r>
      <w:r>
        <w:t xml:space="preserve">difference to either change, and no study has separated them. This study</w:t>
      </w:r>
      <w:r>
        <w:t xml:space="preserve"> </w:t>
      </w:r>
      <w:r>
        <w:t xml:space="preserve">computed three danger series from one hourly weather record (5 fire weather</w:t>
      </w:r>
      <w:r>
        <w:t xml:space="preserve"> </w:t>
      </w:r>
      <w:r>
        <w:t xml:space="preserve">stations, 104 station-seasons, 31 fire seasons, 1991 to 2025, Canadian Okanagan basin,</w:t>
      </w:r>
      <w:r>
        <w:t xml:space="preserve"> </w:t>
      </w:r>
      <w:r>
        <w:t xml:space="preserve">British Columbia), FWI1987 from the 13:00 observation, FWI2025 from the same</w:t>
      </w:r>
      <w:r>
        <w:t xml:space="preserve"> </w:t>
      </w:r>
      <w:r>
        <w:t xml:space="preserve">observation through the legacy pathway, and FWI2025 from observed hourly weather.</w:t>
      </w:r>
      <w:r>
        <w:t xml:space="preserve"> </w:t>
      </w:r>
      <w:r>
        <w:t xml:space="preserve">Trends were estimated with the Theil-Sen slope and the Mann-Kendall test under</w:t>
      </w:r>
      <w:r>
        <w:t xml:space="preserve"> </w:t>
      </w:r>
      <w:r>
        <w:t xml:space="preserve">the Hamed and Rao correction, series differences were bootstrapped over blocks of</w:t>
      </w:r>
      <w:r>
        <w:t xml:space="preserve"> </w:t>
      </w:r>
      <w:r>
        <w:t xml:space="preserve">consecutive seasons, and daily ignition counts were modelled as negative binomial with</w:t>
      </w:r>
      <w:r>
        <w:t xml:space="preserve"> </w:t>
      </w:r>
      <w:r>
        <w:t xml:space="preserve">season as a fixed effect. The comparability claimed by the 2025 report held for</w:t>
      </w:r>
      <w:r>
        <w:t xml:space="preserve"> </w:t>
      </w:r>
      <w:r>
        <w:t xml:space="preserve">levels and failed for tails, in that a Fine Fuel Moisture Code of 91 sat at percentile</w:t>
      </w:r>
      <w:r>
        <w:t xml:space="preserve"> </w:t>
      </w:r>
      <w:r>
        <w:t xml:space="preserve">65.1 of the legacy series and percentile 62.5 of the hourly series, 57</w:t>
      </w:r>
      <w:r>
        <w:t xml:space="preserve"> </w:t>
      </w:r>
      <w:r>
        <w:t xml:space="preserve">against 62 days per season. Of 12 station-metric combinations under absolute</w:t>
      </w:r>
      <w:r>
        <w:t xml:space="preserve"> </w:t>
      </w:r>
      <w:r>
        <w:t xml:space="preserve">thresholds, 0 gave a migration slope difference excluding zero, against 0 of</w:t>
      </w:r>
      <w:r>
        <w:t xml:space="preserve"> </w:t>
      </w:r>
      <w:r>
        <w:t xml:space="preserve">8 under percentile thresholds, at a resolution of about 16.8 days over the</w:t>
      </w:r>
      <w:r>
        <w:t xml:space="preserve"> </w:t>
      </w:r>
      <w:r>
        <w:t xml:space="preserve">window, so the version change was a shift in level rather than in slope. On</w:t>
      </w:r>
      <w:r>
        <w:t xml:space="preserve"> </w:t>
      </w:r>
      <w:r>
        <w:t xml:space="preserve">held-out seasons the three series differed by 0.0005 in mean log likelihood per</w:t>
      </w:r>
      <w:r>
        <w:t xml:space="preserve"> </w:t>
      </w:r>
      <w:r>
        <w:t xml:space="preserve">day, with FWI1987 on the 13:00 observation ranking first. Fire danger trends should therefore be reported as percentile</w:t>
      </w:r>
      <w:r>
        <w:t xml:space="preserve"> </w:t>
      </w:r>
      <w:r>
        <w:t xml:space="preserve">exceedances with the version of the System stated, because a fixed danger class</w:t>
      </w:r>
      <w:r>
        <w:t xml:space="preserve"> </w:t>
      </w:r>
      <w:r>
        <w:t xml:space="preserve">did not carry across the change and a percentile threshold did.</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**Keywords:** fire danger; Canadian Forest Fire Weather Index System;"</w:t>
      </w:r>
      <w:r>
        <w:rPr>
          <w:rStyle w:val="NormalTok"/>
        </w:rPr>
        <w:t xml:space="preserve">,</w:t>
      </w:r>
      <w:r>
        <w:br/>
      </w:r>
      <w:r>
        <w:rPr>
          <w:rStyle w:val="NormalTok"/>
        </w:rPr>
        <w:t xml:space="preserve">    </w:t>
      </w:r>
      <w:r>
        <w:rPr>
          <w:rStyle w:val="StringTok"/>
        </w:rPr>
        <w:t xml:space="preserve">"FWI2025; trend detection; Theil-Sen; Okanagan; British Columbia</w:t>
      </w:r>
      <w:r>
        <w:rPr>
          <w:rStyle w:val="SpecialCharTok"/>
        </w:rPr>
        <w:t xml:space="preserve">\n</w:t>
      </w:r>
      <w:r>
        <w:rPr>
          <w:rStyle w:val="StringTok"/>
        </w:rPr>
        <w:t xml:space="preserve">"</w:t>
      </w:r>
      <w:r>
        <w:rPr>
          <w:rStyle w:val="NormalTok"/>
        </w:rPr>
        <w:t xml:space="preserve">)</w:t>
      </w:r>
    </w:p>
    <w:p>
      <w:pPr>
        <w:pStyle w:val="FirstParagraph"/>
      </w:pPr>
      <w:r>
        <w:rPr>
          <w:b/>
          <w:bCs/>
        </w:rPr>
        <w:t xml:space="preserve">Keywords:</w:t>
      </w:r>
      <w:r>
        <w:t xml:space="preserve"> </w:t>
      </w:r>
      <w:r>
        <w:t xml:space="preserve">fire danger; Canadian Forest Fire Weather Index System; FWI2025; trend detection; Theil-Sen; Okanagan; British Columbia</w:t>
      </w:r>
    </w:p>
    <w:p>
      <w:pPr>
        <w:pStyle w:val="SourceCode"/>
      </w:pPr>
      <w:r>
        <w:rPr>
          <w:rStyle w:val="CommentTok"/>
        </w:rPr>
        <w:t xml:space="preserve"># Everything the root README shows is written out here, from the same objects the</w:t>
      </w:r>
      <w:r>
        <w:br/>
      </w:r>
      <w:r>
        <w:rPr>
          <w:rStyle w:val="CommentTok"/>
        </w:rPr>
        <w:t xml:space="preserve"># document displayed, so the README cannot drift from the manuscript. It is a</w:t>
      </w:r>
      <w:r>
        <w:br/>
      </w:r>
      <w:r>
        <w:rPr>
          <w:rStyle w:val="CommentTok"/>
        </w:rPr>
        <w:t xml:space="preserve"># view of this render, not a second telling of it.</w:t>
      </w:r>
      <w:r>
        <w:br/>
      </w:r>
      <w:r>
        <w:rPr>
          <w:rStyle w:val="NormalTok"/>
        </w:rPr>
        <w:t xml:space="preserve">tbl_dir </w:t>
      </w:r>
      <w:r>
        <w:rPr>
          <w:rStyle w:val="OtherTok"/>
        </w:rPr>
        <w:t xml:space="preserve">&lt;-</w:t>
      </w:r>
      <w:r>
        <w:rPr>
          <w:rStyle w:val="NormalTok"/>
        </w:rPr>
        <w:t xml:space="preserve"> </w:t>
      </w:r>
      <w:r>
        <w:rPr>
          <w:rStyle w:val="FunctionTok"/>
        </w:rPr>
        <w:t xml:space="preserve">file.path</w:t>
      </w:r>
      <w:r>
        <w:rPr>
          <w:rStyle w:val="NormalTok"/>
        </w:rPr>
        <w:t xml:space="preserve">(outputs, </w:t>
      </w:r>
      <w:r>
        <w:rPr>
          <w:rStyle w:val="StringTok"/>
        </w:rPr>
        <w:t xml:space="preserve">"tables"</w:t>
      </w:r>
      <w:r>
        <w:rPr>
          <w:rStyle w:val="NormalTok"/>
        </w:rPr>
        <w:t xml:space="preserve">)</w:t>
      </w:r>
      <w:r>
        <w:br/>
      </w:r>
      <w:r>
        <w:rPr>
          <w:rStyle w:val="NormalTok"/>
        </w:rPr>
        <w:t xml:space="preserve">fig_dir </w:t>
      </w:r>
      <w:r>
        <w:rPr>
          <w:rStyle w:val="OtherTok"/>
        </w:rPr>
        <w:t xml:space="preserve">&lt;-</w:t>
      </w:r>
      <w:r>
        <w:rPr>
          <w:rStyle w:val="NormalTok"/>
        </w:rPr>
        <w:t xml:space="preserve"> </w:t>
      </w:r>
      <w:r>
        <w:rPr>
          <w:rStyle w:val="FunctionTok"/>
        </w:rPr>
        <w:t xml:space="preserve">file.path</w:t>
      </w:r>
      <w:r>
        <w:rPr>
          <w:rStyle w:val="NormalTok"/>
        </w:rPr>
        <w:t xml:space="preserve">(outputs, </w:t>
      </w:r>
      <w:r>
        <w:rPr>
          <w:rStyle w:val="StringTok"/>
        </w:rPr>
        <w:t xml:space="preserve">"figures"</w:t>
      </w:r>
      <w:r>
        <w:rPr>
          <w:rStyle w:val="NormalTok"/>
        </w:rPr>
        <w:t xml:space="preserve">)</w:t>
      </w:r>
      <w:r>
        <w:br/>
      </w:r>
      <w:r>
        <w:rPr>
          <w:rStyle w:val="FunctionTok"/>
        </w:rPr>
        <w:t xml:space="preserve">dir.create</w:t>
      </w:r>
      <w:r>
        <w:rPr>
          <w:rStyle w:val="NormalTok"/>
        </w:rPr>
        <w:t xml:space="preserve">(tbl_dir, </w:t>
      </w:r>
      <w:r>
        <w:rPr>
          <w:rStyle w:val="AttributeTok"/>
        </w:rPr>
        <w:t xml:space="preserve">recursive =</w:t>
      </w:r>
      <w:r>
        <w:rPr>
          <w:rStyle w:val="NormalTok"/>
        </w:rPr>
        <w:t xml:space="preserve"> </w:t>
      </w:r>
      <w:r>
        <w:rPr>
          <w:rStyle w:val="ConstantTok"/>
        </w:rPr>
        <w:t xml:space="preserve">TRUE</w:t>
      </w:r>
      <w:r>
        <w:rPr>
          <w:rStyle w:val="NormalTok"/>
        </w:rPr>
        <w:t xml:space="preserve">, </w:t>
      </w:r>
      <w:r>
        <w:rPr>
          <w:rStyle w:val="AttributeTok"/>
        </w:rPr>
        <w:t xml:space="preserve">showWarnings =</w:t>
      </w:r>
      <w:r>
        <w:rPr>
          <w:rStyle w:val="NormalTok"/>
        </w:rPr>
        <w:t xml:space="preserve"> </w:t>
      </w:r>
      <w:r>
        <w:rPr>
          <w:rStyle w:val="ConstantTok"/>
        </w:rPr>
        <w:t xml:space="preserve">FALSE</w:t>
      </w:r>
      <w:r>
        <w:rPr>
          <w:rStyle w:val="NormalTok"/>
        </w:rPr>
        <w:t xml:space="preserve">)</w:t>
      </w:r>
      <w:r>
        <w:br/>
      </w:r>
      <w:r>
        <w:rPr>
          <w:rStyle w:val="FunctionTok"/>
        </w:rPr>
        <w:t xml:space="preserve">dir.create</w:t>
      </w:r>
      <w:r>
        <w:rPr>
          <w:rStyle w:val="NormalTok"/>
        </w:rPr>
        <w:t xml:space="preserve">(fig_dir, </w:t>
      </w:r>
      <w:r>
        <w:rPr>
          <w:rStyle w:val="AttributeTok"/>
        </w:rPr>
        <w:t xml:space="preserve">recursive =</w:t>
      </w:r>
      <w:r>
        <w:rPr>
          <w:rStyle w:val="NormalTok"/>
        </w:rPr>
        <w:t xml:space="preserve"> </w:t>
      </w:r>
      <w:r>
        <w:rPr>
          <w:rStyle w:val="ConstantTok"/>
        </w:rPr>
        <w:t xml:space="preserve">TRUE</w:t>
      </w:r>
      <w:r>
        <w:rPr>
          <w:rStyle w:val="NormalTok"/>
        </w:rPr>
        <w:t xml:space="preserve">, </w:t>
      </w:r>
      <w:r>
        <w:rPr>
          <w:rStyle w:val="AttributeTok"/>
        </w:rPr>
        <w:t xml:space="preserve">showWarnings =</w:t>
      </w:r>
      <w:r>
        <w:rPr>
          <w:rStyle w:val="NormalTok"/>
        </w:rPr>
        <w:t xml:space="preserve"> </w:t>
      </w:r>
      <w:r>
        <w:rPr>
          <w:rStyle w:val="ConstantTok"/>
        </w:rPr>
        <w:t xml:space="preserve">FALSE</w:t>
      </w:r>
      <w:r>
        <w:rPr>
          <w:rStyle w:val="NormalTok"/>
        </w:rPr>
        <w:t xml:space="preserve">)</w:t>
      </w:r>
      <w:r>
        <w:br/>
      </w:r>
      <w:r>
        <w:br/>
      </w:r>
      <w:r>
        <w:rPr>
          <w:rStyle w:val="FunctionTok"/>
        </w:rPr>
        <w:t xml:space="preserve">writeLines</w:t>
      </w:r>
      <w:r>
        <w:rPr>
          <w:rStyle w:val="NormalTok"/>
        </w:rPr>
        <w:t xml:space="preserve">(abstract_text, </w:t>
      </w:r>
      <w:r>
        <w:rPr>
          <w:rStyle w:val="FunctionTok"/>
        </w:rPr>
        <w:t xml:space="preserve">file.path</w:t>
      </w:r>
      <w:r>
        <w:rPr>
          <w:rStyle w:val="NormalTok"/>
        </w:rPr>
        <w:t xml:space="preserve">(outputs, </w:t>
      </w:r>
      <w:r>
        <w:rPr>
          <w:rStyle w:val="StringTok"/>
        </w:rPr>
        <w:t xml:space="preserve">"abstract.txt"</w:t>
      </w:r>
      <w:r>
        <w:rPr>
          <w:rStyle w:val="NormalTok"/>
        </w:rPr>
        <w:t xml:space="preserve">))</w:t>
      </w:r>
      <w:r>
        <w:br/>
      </w:r>
      <w:r>
        <w:rPr>
          <w:rStyle w:val="NormalTok"/>
        </w:rPr>
        <w:t xml:space="preserve">meta_or </w:t>
      </w:r>
      <w:r>
        <w:rPr>
          <w:rStyle w:val="OtherTok"/>
        </w:rPr>
        <w:t xml:space="preserve">&lt;-</w:t>
      </w:r>
      <w:r>
        <w:rPr>
          <w:rStyle w:val="NormalTok"/>
        </w:rPr>
        <w:t xml:space="preserve"> </w:t>
      </w:r>
      <w:r>
        <w:rPr>
          <w:rStyle w:val="ControlFlowTok"/>
        </w:rPr>
        <w:t xml:space="preserve">function</w:t>
      </w:r>
      <w:r>
        <w:rPr>
          <w:rStyle w:val="NormalTok"/>
        </w:rPr>
        <w:t xml:space="preserve">(field, fallback) {</w:t>
      </w:r>
      <w:r>
        <w:br/>
      </w:r>
      <w:r>
        <w:rPr>
          <w:rStyle w:val="NormalTok"/>
        </w:rPr>
        <w:t xml:space="preserve">  v </w:t>
      </w:r>
      <w:r>
        <w:rPr>
          <w:rStyle w:val="OtherTok"/>
        </w:rPr>
        <w:t xml:space="preserve">&lt;-</w:t>
      </w:r>
      <w:r>
        <w:rPr>
          <w:rStyle w:val="NormalTok"/>
        </w:rPr>
        <w:t xml:space="preserve"> </w:t>
      </w:r>
      <w:r>
        <w:rPr>
          <w:rStyle w:val="FunctionTok"/>
        </w:rPr>
        <w:t xml:space="preserve">tryCatch</w:t>
      </w:r>
      <w:r>
        <w:rPr>
          <w:rStyle w:val="NormalTok"/>
        </w:rPr>
        <w:t xml:space="preserve">(rmarkdown</w:t>
      </w:r>
      <w:r>
        <w:rPr>
          <w:rStyle w:val="SpecialCharTok"/>
        </w:rPr>
        <w:t xml:space="preserve">::</w:t>
      </w:r>
      <w:r>
        <w:rPr>
          <w:rStyle w:val="NormalTok"/>
        </w:rPr>
        <w:t xml:space="preserve">metadata[[field]], </w:t>
      </w:r>
      <w:r>
        <w:rPr>
          <w:rStyle w:val="AttributeTok"/>
        </w:rPr>
        <w:t xml:space="preserve">error =</w:t>
      </w:r>
      <w:r>
        <w:rPr>
          <w:rStyle w:val="NormalTok"/>
        </w:rPr>
        <w:t xml:space="preserve"> </w:t>
      </w:r>
      <w:r>
        <w:rPr>
          <w:rStyle w:val="ControlFlowTok"/>
        </w:rPr>
        <w:t xml:space="preserve">function</w:t>
      </w:r>
      <w:r>
        <w:rPr>
          <w:rStyle w:val="NormalTok"/>
        </w:rPr>
        <w:t xml:space="preserve">(e) </w:t>
      </w:r>
      <w:r>
        <w:rPr>
          <w:rStyle w:val="ConstantTok"/>
        </w:rPr>
        <w:t xml:space="preserve">NULL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is.null</w:t>
      </w:r>
      <w:r>
        <w:rPr>
          <w:rStyle w:val="NormalTok"/>
        </w:rPr>
        <w:t xml:space="preserve">(v) </w:t>
      </w:r>
      <w:r>
        <w:rPr>
          <w:rStyle w:val="SpecialCharTok"/>
        </w:rPr>
        <w:t xml:space="preserve">||</w:t>
      </w:r>
      <w:r>
        <w:rPr>
          <w:rStyle w:val="NormalTok"/>
        </w:rPr>
        <w:t xml:space="preserve"> </w:t>
      </w:r>
      <w:r>
        <w:rPr>
          <w:rStyle w:val="SpecialCharTok"/>
        </w:rPr>
        <w:t xml:space="preserve">!</w:t>
      </w:r>
      <w:r>
        <w:rPr>
          <w:rStyle w:val="FunctionTok"/>
        </w:rPr>
        <w:t xml:space="preserve">nzchar</w:t>
      </w:r>
      <w:r>
        <w:rPr>
          <w:rStyle w:val="NormalTok"/>
        </w:rPr>
        <w:t xml:space="preserve">(v)) fallback </w:t>
      </w:r>
      <w:r>
        <w:rPr>
          <w:rStyle w:val="ControlFlowTok"/>
        </w:rPr>
        <w:t xml:space="preserve">else</w:t>
      </w:r>
      <w:r>
        <w:rPr>
          <w:rStyle w:val="NormalTok"/>
        </w:rPr>
        <w:t xml:space="preserve"> v</w:t>
      </w:r>
      <w:r>
        <w:br/>
      </w:r>
      <w:r>
        <w:rPr>
          <w:rStyle w:val="NormalTok"/>
        </w:rPr>
        <w:t xml:space="preserve">}</w:t>
      </w:r>
      <w:r>
        <w:br/>
      </w:r>
      <w:r>
        <w:rPr>
          <w:rStyle w:val="FunctionTok"/>
        </w:rPr>
        <w:t xml:space="preserve">writeLines</w:t>
      </w:r>
      <w:r>
        <w:rPr>
          <w:rStyle w:val="NormalTok"/>
        </w:rPr>
        <w:t xml:space="preserve">(</w:t>
      </w:r>
      <w:r>
        <w:rPr>
          <w:rStyle w:val="FunctionTok"/>
        </w:rPr>
        <w:t xml:space="preserve">meta_or</w:t>
      </w:r>
      <w:r>
        <w:rPr>
          <w:rStyle w:val="NormalTok"/>
        </w:rPr>
        <w:t xml:space="preserve">(</w:t>
      </w:r>
      <w:r>
        <w:rPr>
          <w:rStyle w:val="StringTok"/>
        </w:rPr>
        <w:t xml:space="preserve">"title"</w:t>
      </w:r>
      <w:r>
        <w:rPr>
          <w:rStyle w:val="NormalTok"/>
        </w:rPr>
        <w:t xml:space="preserve">,</w:t>
      </w:r>
      <w:r>
        <w:br/>
      </w:r>
      <w:r>
        <w:rPr>
          <w:rStyle w:val="NormalTok"/>
        </w:rPr>
        <w:t xml:space="preserve">  </w:t>
      </w:r>
      <w:r>
        <w:rPr>
          <w:rStyle w:val="StringTok"/>
        </w:rPr>
        <w:t xml:space="preserve">"Version-contingent fire danger trends in the Okanagan basin"</w:t>
      </w:r>
      <w:r>
        <w:rPr>
          <w:rStyle w:val="NormalTok"/>
        </w:rPr>
        <w:t xml:space="preserve">),</w:t>
      </w:r>
      <w:r>
        <w:br/>
      </w:r>
      <w:r>
        <w:rPr>
          <w:rStyle w:val="NormalTok"/>
        </w:rPr>
        <w:t xml:space="preserve">  </w:t>
      </w:r>
      <w:r>
        <w:rPr>
          <w:rStyle w:val="FunctionTok"/>
        </w:rPr>
        <w:t xml:space="preserve">file.path</w:t>
      </w:r>
      <w:r>
        <w:rPr>
          <w:rStyle w:val="NormalTok"/>
        </w:rPr>
        <w:t xml:space="preserve">(outputs, </w:t>
      </w:r>
      <w:r>
        <w:rPr>
          <w:rStyle w:val="StringTok"/>
        </w:rPr>
        <w:t xml:space="preserve">"title.txt"</w:t>
      </w:r>
      <w:r>
        <w:rPr>
          <w:rStyle w:val="NormalTok"/>
        </w:rPr>
        <w:t xml:space="preserve">))</w:t>
      </w:r>
      <w:r>
        <w:br/>
      </w:r>
      <w:r>
        <w:rPr>
          <w:rStyle w:val="FunctionTok"/>
        </w:rPr>
        <w:t xml:space="preserve">writeLines</w:t>
      </w:r>
      <w:r>
        <w:rPr>
          <w:rStyle w:val="NormalTok"/>
        </w:rPr>
        <w:t xml:space="preserve">(</w:t>
      </w:r>
      <w:r>
        <w:rPr>
          <w:rStyle w:val="FunctionTok"/>
        </w:rPr>
        <w:t xml:space="preserve">meta_or</w:t>
      </w:r>
      <w:r>
        <w:rPr>
          <w:rStyle w:val="NormalTok"/>
        </w:rPr>
        <w:t xml:space="preserve">(</w:t>
      </w:r>
      <w:r>
        <w:rPr>
          <w:rStyle w:val="StringTok"/>
        </w:rPr>
        <w:t xml:space="preserve">"subtitle"</w:t>
      </w:r>
      <w:r>
        <w:rPr>
          <w:rStyle w:val="NormalTok"/>
        </w:rPr>
        <w:t xml:space="preserve">,</w:t>
      </w:r>
      <w:r>
        <w:br/>
      </w:r>
      <w:r>
        <w:rPr>
          <w:rStyle w:val="NormalTok"/>
        </w:rPr>
        <w:t xml:space="preserve">  </w:t>
      </w:r>
      <w:r>
        <w:rPr>
          <w:rStyle w:val="FunctionTok"/>
        </w:rPr>
        <w:t xml:space="preserve">paste</w:t>
      </w:r>
      <w:r>
        <w:rPr>
          <w:rStyle w:val="NormalTok"/>
        </w:rPr>
        <w:t xml:space="preserve">(</w:t>
      </w:r>
      <w:r>
        <w:rPr>
          <w:rStyle w:val="StringTok"/>
        </w:rPr>
        <w:t xml:space="preserve">"What the 2025 update to the Canadian Forest Fire Weather Index System"</w:t>
      </w:r>
      <w:r>
        <w:rPr>
          <w:rStyle w:val="NormalTok"/>
        </w:rPr>
        <w:t xml:space="preserve">,</w:t>
      </w:r>
      <w:r>
        <w:br/>
      </w:r>
      <w:r>
        <w:rPr>
          <w:rStyle w:val="NormalTok"/>
        </w:rPr>
        <w:t xml:space="preserve">        </w:t>
      </w:r>
      <w:r>
        <w:rPr>
          <w:rStyle w:val="StringTok"/>
        </w:rPr>
        <w:t xml:space="preserve">"does to a trend estimate"</w:t>
      </w:r>
      <w:r>
        <w:rPr>
          <w:rStyle w:val="NormalTok"/>
        </w:rPr>
        <w:t xml:space="preserve">)),</w:t>
      </w:r>
      <w:r>
        <w:br/>
      </w:r>
      <w:r>
        <w:rPr>
          <w:rStyle w:val="NormalTok"/>
        </w:rPr>
        <w:t xml:space="preserve">  </w:t>
      </w:r>
      <w:r>
        <w:rPr>
          <w:rStyle w:val="FunctionTok"/>
        </w:rPr>
        <w:t xml:space="preserve">file.path</w:t>
      </w:r>
      <w:r>
        <w:rPr>
          <w:rStyle w:val="NormalTok"/>
        </w:rPr>
        <w:t xml:space="preserve">(outputs, </w:t>
      </w:r>
      <w:r>
        <w:rPr>
          <w:rStyle w:val="StringTok"/>
        </w:rPr>
        <w:t xml:space="preserve">"subtitle.txt"</w:t>
      </w:r>
      <w:r>
        <w:rPr>
          <w:rStyle w:val="NormalTok"/>
        </w:rPr>
        <w:t xml:space="preserve">))</w:t>
      </w:r>
      <w:r>
        <w:br/>
      </w:r>
      <w:r>
        <w:br/>
      </w:r>
      <w:r>
        <w:rPr>
          <w:rStyle w:val="CommentTok"/>
        </w:rPr>
        <w:t xml:space="preserve"># Table label, the data frame the table was built from, and its caption. The</w:t>
      </w:r>
      <w:r>
        <w:br/>
      </w:r>
      <w:r>
        <w:rPr>
          <w:rStyle w:val="CommentTok"/>
        </w:rPr>
        <w:t xml:space="preserve"># captions are repeated here rather than parsed back out of the chunk options,</w:t>
      </w:r>
      <w:r>
        <w:br/>
      </w:r>
      <w:r>
        <w:rPr>
          <w:rStyle w:val="CommentTok"/>
        </w:rPr>
        <w:t xml:space="preserve"># which is the one duplication in this file and is why they are kept short.</w:t>
      </w:r>
      <w:r>
        <w:br/>
      </w:r>
      <w:r>
        <w:rPr>
          <w:rStyle w:val="CommentTok"/>
        </w:rPr>
        <w:t xml:space="preserve"># A table that its own chunk did not build is skipped rather than faked; the</w:t>
      </w:r>
      <w:r>
        <w:br/>
      </w:r>
      <w:r>
        <w:rPr>
          <w:rStyle w:val="CommentTok"/>
        </w:rPr>
        <w:t xml:space="preserve"># README then simply does not show it, which is visible, instead of showing an</w:t>
      </w:r>
      <w:r>
        <w:br/>
      </w:r>
      <w:r>
        <w:rPr>
          <w:rStyle w:val="CommentTok"/>
        </w:rPr>
        <w:t xml:space="preserve"># empty frame, which is not.</w:t>
      </w:r>
      <w:r>
        <w:br/>
      </w:r>
      <w:r>
        <w:rPr>
          <w:rStyle w:val="ControlFlowTok"/>
        </w:rPr>
        <w:t xml:space="preserve">if</w:t>
      </w:r>
      <w:r>
        <w:rPr>
          <w:rStyle w:val="NormalTok"/>
        </w:rPr>
        <w:t xml:space="preserve"> (</w:t>
      </w:r>
      <w:r>
        <w:rPr>
          <w:rStyle w:val="SpecialCharTok"/>
        </w:rPr>
        <w:t xml:space="preserve">!</w:t>
      </w:r>
      <w:r>
        <w:rPr>
          <w:rStyle w:val="FunctionTok"/>
        </w:rPr>
        <w:t xml:space="preserve">exists</w:t>
      </w:r>
      <w:r>
        <w:rPr>
          <w:rStyle w:val="NormalTok"/>
        </w:rPr>
        <w:t xml:space="preserve">(</w:t>
      </w:r>
      <w:r>
        <w:rPr>
          <w:rStyle w:val="StringTok"/>
        </w:rPr>
        <w:t xml:space="preserve">"ct"</w:t>
      </w:r>
      <w:r>
        <w:rPr>
          <w:rStyle w:val="NormalTok"/>
        </w:rPr>
        <w:t xml:space="preserve">)) ct </w:t>
      </w:r>
      <w:r>
        <w:rPr>
          <w:rStyle w:val="OtherTok"/>
        </w:rPr>
        <w:t xml:space="preserve">&lt;-</w:t>
      </w:r>
      <w:r>
        <w:rPr>
          <w:rStyle w:val="NormalTok"/>
        </w:rPr>
        <w:t xml:space="preserve"> </w:t>
      </w:r>
      <w:r>
        <w:rPr>
          <w:rStyle w:val="ConstantTok"/>
        </w:rPr>
        <w:t xml:space="preserve">NULL</w:t>
      </w:r>
      <w:r>
        <w:br/>
      </w:r>
      <w:r>
        <w:rPr>
          <w:rStyle w:val="ControlFlowTok"/>
        </w:rPr>
        <w:t xml:space="preserve">if</w:t>
      </w:r>
      <w:r>
        <w:rPr>
          <w:rStyle w:val="NormalTok"/>
        </w:rPr>
        <w:t xml:space="preserve"> (</w:t>
      </w:r>
      <w:r>
        <w:rPr>
          <w:rStyle w:val="SpecialCharTok"/>
        </w:rPr>
        <w:t xml:space="preserve">!</w:t>
      </w:r>
      <w:r>
        <w:rPr>
          <w:rStyle w:val="FunctionTok"/>
        </w:rPr>
        <w:t xml:space="preserve">exists</w:t>
      </w:r>
      <w:r>
        <w:rPr>
          <w:rStyle w:val="NormalTok"/>
        </w:rPr>
        <w:t xml:space="preserve">(</w:t>
      </w:r>
      <w:r>
        <w:rPr>
          <w:rStyle w:val="StringTok"/>
        </w:rPr>
        <w:t xml:space="preserve">"sens"</w:t>
      </w:r>
      <w:r>
        <w:rPr>
          <w:rStyle w:val="NormalTok"/>
        </w:rPr>
        <w:t xml:space="preserve">)) sens </w:t>
      </w:r>
      <w:r>
        <w:rPr>
          <w:rStyle w:val="OtherTok"/>
        </w:rPr>
        <w:t xml:space="preserve">&lt;-</w:t>
      </w:r>
      <w:r>
        <w:rPr>
          <w:rStyle w:val="NormalTok"/>
        </w:rPr>
        <w:t xml:space="preserve"> </w:t>
      </w:r>
      <w:r>
        <w:rPr>
          <w:rStyle w:val="ConstantTok"/>
        </w:rPr>
        <w:t xml:space="preserve">NULL</w:t>
      </w:r>
      <w:r>
        <w:br/>
      </w:r>
      <w:r>
        <w:br/>
      </w:r>
      <w:r>
        <w:rPr>
          <w:rStyle w:val="NormalTok"/>
        </w:rPr>
        <w:t xml:space="preserve">EXPORTS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list</w:t>
      </w:r>
      <w:r>
        <w:rPr>
          <w:rStyle w:val="NormalTok"/>
        </w:rPr>
        <w:t xml:space="preserve">(</w:t>
      </w:r>
      <w:r>
        <w:rPr>
          <w:rStyle w:val="StringTok"/>
        </w:rPr>
        <w:t xml:space="preserve">"tbl-stations"</w:t>
      </w:r>
      <w:r>
        <w:rPr>
          <w:rStyle w:val="NormalTok"/>
        </w:rPr>
        <w:t xml:space="preserve">, agg, </w:t>
      </w:r>
      <w:r>
        <w:rPr>
          <w:rStyle w:val="StringTok"/>
        </w:rPr>
        <w:t xml:space="preserve">"The weather record. Coverage is the share of the 1 April to 30 September hours in which temperature, humidity and wind were all observed, before any gap filling."</w:t>
      </w:r>
      <w:r>
        <w:rPr>
          <w:rStyle w:val="NormalTok"/>
        </w:rPr>
        <w:t xml:space="preserve">),</w:t>
      </w:r>
      <w:r>
        <w:br/>
      </w:r>
      <w:r>
        <w:rPr>
          <w:rStyle w:val="NormalTok"/>
        </w:rPr>
        <w:t xml:space="preserve">  </w:t>
      </w:r>
      <w:r>
        <w:rPr>
          <w:rStyle w:val="FunctionTok"/>
        </w:rPr>
        <w:t xml:space="preserve">list</w:t>
      </w:r>
      <w:r>
        <w:rPr>
          <w:rStyle w:val="NormalTok"/>
        </w:rPr>
        <w:t xml:space="preserve">(</w:t>
      </w:r>
      <w:r>
        <w:rPr>
          <w:rStyle w:val="StringTok"/>
        </w:rPr>
        <w:t xml:space="preserve">"tbl-completeness"</w:t>
      </w:r>
      <w:r>
        <w:rPr>
          <w:rStyle w:val="NormalTok"/>
        </w:rPr>
        <w:t xml:space="preserve">, cd, </w:t>
      </w:r>
      <w:r>
        <w:rPr>
          <w:rStyle w:val="StringTok"/>
        </w:rPr>
        <w:t xml:space="preserve">"Completeness of the ignition record by decade. Both dating and cause attribution fall sharply after 2000."</w:t>
      </w:r>
      <w:r>
        <w:rPr>
          <w:rStyle w:val="NormalTok"/>
        </w:rPr>
        <w:t xml:space="preserve">),</w:t>
      </w:r>
      <w:r>
        <w:br/>
      </w:r>
      <w:r>
        <w:rPr>
          <w:rStyle w:val="NormalTok"/>
        </w:rPr>
        <w:t xml:space="preserve">  </w:t>
      </w:r>
      <w:r>
        <w:rPr>
          <w:rStyle w:val="FunctionTok"/>
        </w:rPr>
        <w:t xml:space="preserve">list</w:t>
      </w:r>
      <w:r>
        <w:rPr>
          <w:rStyle w:val="NormalTok"/>
        </w:rPr>
        <w:t xml:space="preserve">(</w:t>
      </w:r>
      <w:r>
        <w:rPr>
          <w:rStyle w:val="StringTok"/>
        </w:rPr>
        <w:t xml:space="preserve">"tbl-verify"</w:t>
      </w:r>
      <w:r>
        <w:rPr>
          <w:rStyle w:val="NormalTok"/>
        </w:rPr>
        <w:t xml:space="preserve">, </w:t>
      </w:r>
      <w:r>
        <w:rPr>
          <w:rStyle w:val="FunctionTok"/>
        </w:rPr>
        <w:t xml:space="preserve">rbind</w:t>
      </w:r>
      <w:r>
        <w:rPr>
          <w:rStyle w:val="NormalTok"/>
        </w:rPr>
        <w:t xml:space="preserve">(blk1, op_agg), </w:t>
      </w:r>
      <w:r>
        <w:rPr>
          <w:rStyle w:val="StringTok"/>
        </w:rPr>
        <w:t xml:space="preserve">"Verification of the FWI1987 implementation against the CRAN package cffdrs and against the codes BC Wildfire Service computed operationally."</w:t>
      </w:r>
      <w:r>
        <w:rPr>
          <w:rStyle w:val="NormalTok"/>
        </w:rPr>
        <w:t xml:space="preserve">),</w:t>
      </w:r>
      <w:r>
        <w:br/>
      </w:r>
      <w:r>
        <w:rPr>
          <w:rStyle w:val="NormalTok"/>
        </w:rPr>
        <w:t xml:space="preserve">  </w:t>
      </w:r>
      <w:r>
        <w:rPr>
          <w:rStyle w:val="FunctionTok"/>
        </w:rPr>
        <w:t xml:space="preserve">list</w:t>
      </w:r>
      <w:r>
        <w:rPr>
          <w:rStyle w:val="NormalTok"/>
        </w:rPr>
        <w:t xml:space="preserve">(</w:t>
      </w:r>
      <w:r>
        <w:rPr>
          <w:rStyle w:val="StringTok"/>
        </w:rPr>
        <w:t xml:space="preserve">"tbl-thresholds"</w:t>
      </w:r>
      <w:r>
        <w:rPr>
          <w:rStyle w:val="NormalTok"/>
        </w:rPr>
        <w:t xml:space="preserve">, tp, </w:t>
      </w:r>
      <w:r>
        <w:rPr>
          <w:rStyle w:val="StringTok"/>
        </w:rPr>
        <w:t xml:space="preserve">"Where each absolute threshold falls in each series' own 1991 to 2020 reference distribution."</w:t>
      </w:r>
      <w:r>
        <w:rPr>
          <w:rStyle w:val="NormalTok"/>
        </w:rPr>
        <w:t xml:space="preserve">),</w:t>
      </w:r>
      <w:r>
        <w:br/>
      </w:r>
      <w:r>
        <w:rPr>
          <w:rStyle w:val="NormalTok"/>
        </w:rPr>
        <w:t xml:space="preserve">  </w:t>
      </w:r>
      <w:r>
        <w:rPr>
          <w:rStyle w:val="FunctionTok"/>
        </w:rPr>
        <w:t xml:space="preserve">list</w:t>
      </w:r>
      <w:r>
        <w:rPr>
          <w:rStyle w:val="NormalTok"/>
        </w:rPr>
        <w:t xml:space="preserve">(</w:t>
      </w:r>
      <w:r>
        <w:rPr>
          <w:rStyle w:val="StringTok"/>
        </w:rPr>
        <w:t xml:space="preserve">"tbl-capability"</w:t>
      </w:r>
      <w:r>
        <w:rPr>
          <w:rStyle w:val="NormalTok"/>
        </w:rPr>
        <w:t xml:space="preserve">, ct, </w:t>
      </w:r>
      <w:r>
        <w:rPr>
          <w:rStyle w:val="StringTok"/>
        </w:rPr>
        <w:t xml:space="preserve">"The two quantities FWI2025 reports and FWI1987 cannot: when peak burning conditions occur and how long the burning window stays open."</w:t>
      </w:r>
      <w:r>
        <w:rPr>
          <w:rStyle w:val="NormalTok"/>
        </w:rPr>
        <w:t xml:space="preserve">),</w:t>
      </w:r>
      <w:r>
        <w:br/>
      </w:r>
      <w:r>
        <w:rPr>
          <w:rStyle w:val="NormalTok"/>
        </w:rPr>
        <w:t xml:space="preserve">  </w:t>
      </w:r>
      <w:r>
        <w:rPr>
          <w:rStyle w:val="FunctionTok"/>
        </w:rPr>
        <w:t xml:space="preserve">list</w:t>
      </w:r>
      <w:r>
        <w:rPr>
          <w:rStyle w:val="NormalTok"/>
        </w:rPr>
        <w:t xml:space="preserve">(</w:t>
      </w:r>
      <w:r>
        <w:rPr>
          <w:rStyle w:val="StringTok"/>
        </w:rPr>
        <w:t xml:space="preserve">"tbl-trends"</w:t>
      </w:r>
      <w:r>
        <w:rPr>
          <w:rStyle w:val="NormalTok"/>
        </w:rPr>
        <w:t xml:space="preserve">, tr, </w:t>
      </w:r>
      <w:r>
        <w:rPr>
          <w:rStyle w:val="StringTok"/>
        </w:rPr>
        <w:t xml:space="preserve">"Theil-Sen slopes per season for each seasonal metric under each series, pooled across stations."</w:t>
      </w:r>
      <w:r>
        <w:rPr>
          <w:rStyle w:val="NormalTok"/>
        </w:rPr>
        <w:t xml:space="preserve">),</w:t>
      </w:r>
      <w:r>
        <w:br/>
      </w:r>
      <w:r>
        <w:rPr>
          <w:rStyle w:val="NormalTok"/>
        </w:rPr>
        <w:t xml:space="preserve">  </w:t>
      </w:r>
      <w:r>
        <w:rPr>
          <w:rStyle w:val="FunctionTok"/>
        </w:rPr>
        <w:t xml:space="preserve">list</w:t>
      </w:r>
      <w:r>
        <w:rPr>
          <w:rStyle w:val="NormalTok"/>
        </w:rPr>
        <w:t xml:space="preserve">(</w:t>
      </w:r>
      <w:r>
        <w:rPr>
          <w:rStyle w:val="StringTok"/>
        </w:rPr>
        <w:t xml:space="preserve">"tbl-slopediff"</w:t>
      </w:r>
      <w:r>
        <w:rPr>
          <w:rStyle w:val="NormalTok"/>
        </w:rPr>
        <w:t xml:space="preserve">, sd_tab, </w:t>
      </w:r>
      <w:r>
        <w:rPr>
          <w:rStyle w:val="StringTok"/>
        </w:rPr>
        <w:t xml:space="preserve">"Difference in Theil-Sen slope between series, by metric and contrast, with paired bootstrap intervals."</w:t>
      </w:r>
      <w:r>
        <w:rPr>
          <w:rStyle w:val="NormalTok"/>
        </w:rPr>
        <w:t xml:space="preserve">),</w:t>
      </w:r>
      <w:r>
        <w:br/>
      </w:r>
      <w:r>
        <w:rPr>
          <w:rStyle w:val="NormalTok"/>
        </w:rPr>
        <w:t xml:space="preserve">  </w:t>
      </w:r>
      <w:r>
        <w:rPr>
          <w:rStyle w:val="FunctionTok"/>
        </w:rPr>
        <w:t xml:space="preserve">list</w:t>
      </w:r>
      <w:r>
        <w:rPr>
          <w:rStyle w:val="NormalTok"/>
        </w:rPr>
        <w:t xml:space="preserve">(</w:t>
      </w:r>
      <w:r>
        <w:rPr>
          <w:rStyle w:val="StringTok"/>
        </w:rPr>
        <w:t xml:space="preserve">"tbl-sensitivity"</w:t>
      </w:r>
      <w:r>
        <w:rPr>
          <w:rStyle w:val="NormalTok"/>
        </w:rPr>
        <w:t xml:space="preserve">, sens, </w:t>
      </w:r>
      <w:r>
        <w:rPr>
          <w:rStyle w:val="StringTok"/>
        </w:rPr>
        <w:t xml:space="preserve">"Sensitivity of the absolute extreme-day counts to how an hourly series is reduced to a daily value."</w:t>
      </w:r>
      <w:r>
        <w:rPr>
          <w:rStyle w:val="NormalTok"/>
        </w:rPr>
        <w:t xml:space="preserve">),</w:t>
      </w:r>
      <w:r>
        <w:br/>
      </w:r>
      <w:r>
        <w:rPr>
          <w:rStyle w:val="NormalTok"/>
        </w:rPr>
        <w:t xml:space="preserve">  </w:t>
      </w:r>
      <w:r>
        <w:rPr>
          <w:rStyle w:val="FunctionTok"/>
        </w:rPr>
        <w:t xml:space="preserve">list</w:t>
      </w:r>
      <w:r>
        <w:rPr>
          <w:rStyle w:val="NormalTok"/>
        </w:rPr>
        <w:t xml:space="preserve">(</w:t>
      </w:r>
      <w:r>
        <w:rPr>
          <w:rStyle w:val="StringTok"/>
        </w:rPr>
        <w:t xml:space="preserve">"tbl-ignition"</w:t>
      </w:r>
      <w:r>
        <w:rPr>
          <w:rStyle w:val="NormalTok"/>
        </w:rPr>
        <w:t xml:space="preserve">, it, </w:t>
      </w:r>
      <w:r>
        <w:rPr>
          <w:rStyle w:val="StringTok"/>
        </w:rPr>
        <w:t xml:space="preserve">"Negative binomial models of daily ignition counts on daily basin Fire Weather Index."</w:t>
      </w:r>
      <w:r>
        <w:rPr>
          <w:rStyle w:val="NormalTok"/>
        </w:rPr>
        <w:t xml:space="preserve">),</w:t>
      </w:r>
      <w:r>
        <w:br/>
      </w:r>
      <w:r>
        <w:rPr>
          <w:rStyle w:val="NormalTok"/>
        </w:rPr>
        <w:t xml:space="preserve">  </w:t>
      </w:r>
      <w:r>
        <w:rPr>
          <w:rStyle w:val="FunctionTok"/>
        </w:rPr>
        <w:t xml:space="preserve">list</w:t>
      </w:r>
      <w:r>
        <w:rPr>
          <w:rStyle w:val="NormalTok"/>
        </w:rPr>
        <w:t xml:space="preserve">(</w:t>
      </w:r>
      <w:r>
        <w:rPr>
          <w:rStyle w:val="StringTok"/>
        </w:rPr>
        <w:t xml:space="preserve">"tbl-stationarity"</w:t>
      </w:r>
      <w:r>
        <w:rPr>
          <w:rStyle w:val="NormalTok"/>
        </w:rPr>
        <w:t xml:space="preserve">, st, </w:t>
      </w:r>
      <w:r>
        <w:rPr>
          <w:rStyle w:val="StringTok"/>
        </w:rPr>
        <w:t xml:space="preserve">"Test of whether the within-season danger to ignition relationship changes across the record."</w:t>
      </w:r>
      <w:r>
        <w:rPr>
          <w:rStyle w:val="NormalTok"/>
        </w:rPr>
        <w:t xml:space="preserve">),</w:t>
      </w:r>
      <w:r>
        <w:br/>
      </w:r>
      <w:r>
        <w:rPr>
          <w:rStyle w:val="NormalTok"/>
        </w:rPr>
        <w:t xml:space="preserve">  </w:t>
      </w:r>
      <w:r>
        <w:rPr>
          <w:rStyle w:val="FunctionTok"/>
        </w:rPr>
        <w:t xml:space="preserve">list</w:t>
      </w:r>
      <w:r>
        <w:rPr>
          <w:rStyle w:val="NormalTok"/>
        </w:rPr>
        <w:t xml:space="preserve">(</w:t>
      </w:r>
      <w:r>
        <w:rPr>
          <w:rStyle w:val="StringTok"/>
        </w:rPr>
        <w:t xml:space="preserve">"tbl-shift"</w:t>
      </w:r>
      <w:r>
        <w:rPr>
          <w:rStyle w:val="NormalTok"/>
        </w:rPr>
        <w:t xml:space="preserve">, sh, </w:t>
      </w:r>
      <w:r>
        <w:rPr>
          <w:rStyle w:val="StringTok"/>
        </w:rPr>
        <w:t xml:space="preserve">"How each change moves the seasonal count of extreme days, in days per season."</w:t>
      </w:r>
      <w:r>
        <w:rPr>
          <w:rStyle w:val="NormalTok"/>
        </w:rPr>
        <w:t xml:space="preserve">),</w:t>
      </w:r>
      <w:r>
        <w:br/>
      </w:r>
      <w:r>
        <w:rPr>
          <w:rStyle w:val="NormalTok"/>
        </w:rPr>
        <w:t xml:space="preserve">  </w:t>
      </w:r>
      <w:r>
        <w:rPr>
          <w:rStyle w:val="FunctionTok"/>
        </w:rPr>
        <w:t xml:space="preserve">list</w:t>
      </w:r>
      <w:r>
        <w:rPr>
          <w:rStyle w:val="NormalTok"/>
        </w:rPr>
        <w:t xml:space="preserve">(</w:t>
      </w:r>
      <w:r>
        <w:rPr>
          <w:rStyle w:val="StringTok"/>
        </w:rPr>
        <w:t xml:space="preserve">"tbl-limits"</w:t>
      </w:r>
      <w:r>
        <w:rPr>
          <w:rStyle w:val="NormalTok"/>
        </w:rPr>
        <w:t xml:space="preserve">, lim, </w:t>
      </w:r>
      <w:r>
        <w:rPr>
          <w:rStyle w:val="StringTok"/>
        </w:rPr>
        <w:t xml:space="preserve">"What a window of this length can and cannot resolve."</w:t>
      </w:r>
      <w:r>
        <w:rPr>
          <w:rStyle w:val="NormalTok"/>
        </w:rPr>
        <w:t xml:space="preserve">)</w:t>
      </w:r>
      <w:r>
        <w:br/>
      </w:r>
      <w:r>
        <w:rPr>
          <w:rStyle w:val="NormalTok"/>
        </w:rPr>
        <w:t xml:space="preserve">)</w:t>
      </w:r>
      <w:r>
        <w:br/>
      </w:r>
      <w:r>
        <w:rPr>
          <w:rStyle w:val="ControlFlowTok"/>
        </w:rPr>
        <w:t xml:space="preserve">for</w:t>
      </w:r>
      <w:r>
        <w:rPr>
          <w:rStyle w:val="NormalTok"/>
        </w:rPr>
        <w:t xml:space="preserve"> (e </w:t>
      </w:r>
      <w:r>
        <w:rPr>
          <w:rStyle w:val="ControlFlowTok"/>
        </w:rPr>
        <w:t xml:space="preserve">in</w:t>
      </w:r>
      <w:r>
        <w:rPr>
          <w:rStyle w:val="NormalTok"/>
        </w:rPr>
        <w:t xml:space="preserve"> EXPORTS) {</w:t>
      </w:r>
      <w:r>
        <w:br/>
      </w:r>
      <w:r>
        <w:rPr>
          <w:rStyle w:val="NormalTok"/>
        </w:rPr>
        <w:t xml:space="preserve">  </w:t>
      </w:r>
      <w:r>
        <w:rPr>
          <w:rStyle w:val="ControlFlowTok"/>
        </w:rPr>
        <w:t xml:space="preserve">if</w:t>
      </w:r>
      <w:r>
        <w:rPr>
          <w:rStyle w:val="NormalTok"/>
        </w:rPr>
        <w:t xml:space="preserve"> (</w:t>
      </w:r>
      <w:r>
        <w:rPr>
          <w:rStyle w:val="FunctionTok"/>
        </w:rPr>
        <w:t xml:space="preserve">is.null</w:t>
      </w:r>
      <w:r>
        <w:rPr>
          <w:rStyle w:val="NormalTok"/>
        </w:rPr>
        <w:t xml:space="preserve">(e[[</w:t>
      </w:r>
      <w:r>
        <w:rPr>
          <w:rStyle w:val="DecValTok"/>
        </w:rPr>
        <w:t xml:space="preserve">2</w:t>
      </w:r>
      <w:r>
        <w:rPr>
          <w:rStyle w:val="NormalTok"/>
        </w:rPr>
        <w:t xml:space="preserve">]]) </w:t>
      </w:r>
      <w:r>
        <w:rPr>
          <w:rStyle w:val="SpecialCharTok"/>
        </w:rPr>
        <w:t xml:space="preserve">||</w:t>
      </w:r>
      <w:r>
        <w:rPr>
          <w:rStyle w:val="NormalTok"/>
        </w:rPr>
        <w:t xml:space="preserve"> </w:t>
      </w:r>
      <w:r>
        <w:rPr>
          <w:rStyle w:val="SpecialCharTok"/>
        </w:rPr>
        <w:t xml:space="preserve">!</w:t>
      </w:r>
      <w:r>
        <w:rPr>
          <w:rStyle w:val="FunctionTok"/>
        </w:rPr>
        <w:t xml:space="preserve">nrow</w:t>
      </w:r>
      <w:r>
        <w:rPr>
          <w:rStyle w:val="NormalTok"/>
        </w:rPr>
        <w:t xml:space="preserve">(e[[</w:t>
      </w:r>
      <w:r>
        <w:rPr>
          <w:rStyle w:val="DecValTok"/>
        </w:rPr>
        <w:t xml:space="preserve">2</w:t>
      </w:r>
      <w:r>
        <w:rPr>
          <w:rStyle w:val="NormalTok"/>
        </w:rPr>
        <w:t xml:space="preserve">]])) </w:t>
      </w:r>
      <w:r>
        <w:rPr>
          <w:rStyle w:val="ControlFlowTok"/>
        </w:rPr>
        <w:t xml:space="preserve">next</w:t>
      </w:r>
      <w:r>
        <w:br/>
      </w:r>
      <w:r>
        <w:rPr>
          <w:rStyle w:val="NormalTok"/>
        </w:rPr>
        <w:t xml:space="preserve">  </w:t>
      </w:r>
      <w:r>
        <w:rPr>
          <w:rStyle w:val="FunctionTok"/>
        </w:rPr>
        <w:t xml:space="preserve">write.csv</w:t>
      </w:r>
      <w:r>
        <w:rPr>
          <w:rStyle w:val="NormalTok"/>
        </w:rPr>
        <w:t xml:space="preserve">(e[[</w:t>
      </w:r>
      <w:r>
        <w:rPr>
          <w:rStyle w:val="DecValTok"/>
        </w:rPr>
        <w:t xml:space="preserve">2</w:t>
      </w:r>
      <w:r>
        <w:rPr>
          <w:rStyle w:val="NormalTok"/>
        </w:rPr>
        <w:t xml:space="preserve">]], </w:t>
      </w:r>
      <w:r>
        <w:rPr>
          <w:rStyle w:val="FunctionTok"/>
        </w:rPr>
        <w:t xml:space="preserve">file.path</w:t>
      </w:r>
      <w:r>
        <w:rPr>
          <w:rStyle w:val="NormalTok"/>
        </w:rPr>
        <w:t xml:space="preserve">(tbl_dir, </w:t>
      </w:r>
      <w:r>
        <w:rPr>
          <w:rStyle w:val="FunctionTok"/>
        </w:rPr>
        <w:t xml:space="preserve">paste0</w:t>
      </w:r>
      <w:r>
        <w:rPr>
          <w:rStyle w:val="NormalTok"/>
        </w:rPr>
        <w:t xml:space="preserve">(e[[</w:t>
      </w:r>
      <w:r>
        <w:rPr>
          <w:rStyle w:val="DecValTok"/>
        </w:rPr>
        <w:t xml:space="preserve">1</w:t>
      </w:r>
      <w:r>
        <w:rPr>
          <w:rStyle w:val="NormalTok"/>
        </w:rPr>
        <w:t xml:space="preserve">]], </w:t>
      </w:r>
      <w:r>
        <w:rPr>
          <w:rStyle w:val="StringTok"/>
        </w:rPr>
        <w:t xml:space="preserve">".csv"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writeLines</w:t>
      </w:r>
      <w:r>
        <w:rPr>
          <w:rStyle w:val="NormalTok"/>
        </w:rPr>
        <w:t xml:space="preserve">(e[[</w:t>
      </w:r>
      <w:r>
        <w:rPr>
          <w:rStyle w:val="DecValTok"/>
        </w:rPr>
        <w:t xml:space="preserve">3</w:t>
      </w:r>
      <w:r>
        <w:rPr>
          <w:rStyle w:val="NormalTok"/>
        </w:rPr>
        <w:t xml:space="preserve">]], </w:t>
      </w:r>
      <w:r>
        <w:rPr>
          <w:rStyle w:val="FunctionTok"/>
        </w:rPr>
        <w:t xml:space="preserve">file.path</w:t>
      </w:r>
      <w:r>
        <w:rPr>
          <w:rStyle w:val="NormalTok"/>
        </w:rPr>
        <w:t xml:space="preserve">(tbl_dir, </w:t>
      </w:r>
      <w:r>
        <w:rPr>
          <w:rStyle w:val="FunctionTok"/>
        </w:rPr>
        <w:t xml:space="preserve">paste0</w:t>
      </w:r>
      <w:r>
        <w:rPr>
          <w:rStyle w:val="NormalTok"/>
        </w:rPr>
        <w:t xml:space="preserve">(e[[</w:t>
      </w:r>
      <w:r>
        <w:rPr>
          <w:rStyle w:val="DecValTok"/>
        </w:rPr>
        <w:t xml:space="preserve">1</w:t>
      </w:r>
      <w:r>
        <w:rPr>
          <w:rStyle w:val="NormalTok"/>
        </w:rPr>
        <w:t xml:space="preserve">]], </w:t>
      </w:r>
      <w:r>
        <w:rPr>
          <w:rStyle w:val="StringTok"/>
        </w:rPr>
        <w:t xml:space="preserve">".caption.txt"</w:t>
      </w:r>
      <w:r>
        <w:rPr>
          <w:rStyle w:val="NormalTok"/>
        </w:rPr>
        <w:t xml:space="preserve">)))</w:t>
      </w:r>
      <w:r>
        <w:br/>
      </w:r>
      <w:r>
        <w:rPr>
          <w:rStyle w:val="NormalTok"/>
        </w:rPr>
        <w:t xml:space="preserve">}</w:t>
      </w:r>
      <w:r>
        <w:br/>
      </w:r>
      <w:r>
        <w:br/>
      </w:r>
      <w:r>
        <w:rPr>
          <w:rStyle w:val="CommentTok"/>
        </w:rPr>
        <w:t xml:space="preserve"># Figure captions, keyed by label, so the README can carry them.</w:t>
      </w:r>
      <w:r>
        <w:br/>
      </w:r>
      <w:r>
        <w:rPr>
          <w:rStyle w:val="NormalTok"/>
        </w:rPr>
        <w:t xml:space="preserve">FIGCAPS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"fig-coverage"</w:t>
      </w:r>
      <w:r>
        <w:rPr>
          <w:rStyle w:val="NormalTok"/>
        </w:rPr>
        <w:t xml:space="preserve"> </w:t>
      </w:r>
      <w:r>
        <w:rPr>
          <w:rStyle w:val="OtherTok"/>
        </w:rPr>
        <w:t xml:space="preserve">=</w:t>
      </w:r>
      <w:r>
        <w:rPr>
          <w:rStyle w:val="NormalTok"/>
        </w:rPr>
        <w:t xml:space="preserve"> </w:t>
      </w:r>
      <w:r>
        <w:rPr>
          <w:rStyle w:val="StringTok"/>
        </w:rPr>
        <w:t xml:space="preserve">"Station reporting by season: each cell is one station-season shaded by the share of hours observed; outlined cells were kept, crossed cells dropped for coverage, blank cells not reporting."</w:t>
      </w:r>
      <w:r>
        <w:rPr>
          <w:rStyle w:val="NormalTok"/>
        </w:rPr>
        <w:t xml:space="preserve">,</w:t>
      </w:r>
      <w:r>
        <w:br/>
      </w:r>
      <w:r>
        <w:rPr>
          <w:rStyle w:val="NormalTok"/>
        </w:rPr>
        <w:t xml:space="preserve">  </w:t>
      </w:r>
      <w:r>
        <w:rPr>
          <w:rStyle w:val="StringTok"/>
        </w:rPr>
        <w:t xml:space="preserve">"fig-ignitions"</w:t>
      </w:r>
      <w:r>
        <w:rPr>
          <w:rStyle w:val="NormalTok"/>
        </w:rPr>
        <w:t xml:space="preserve"> </w:t>
      </w:r>
      <w:r>
        <w:rPr>
          <w:rStyle w:val="OtherTok"/>
        </w:rPr>
        <w:t xml:space="preserve">=</w:t>
      </w:r>
      <w:r>
        <w:rPr>
          <w:rStyle w:val="NormalTok"/>
        </w:rPr>
        <w:t xml:space="preserve"> </w:t>
      </w:r>
      <w:r>
        <w:rPr>
          <w:rStyle w:val="StringTok"/>
        </w:rPr>
        <w:t xml:space="preserve">"Ignitions by season stacked by reported cause, with the share of incidents dated and the share attributed to a cause below."</w:t>
      </w:r>
      <w:r>
        <w:rPr>
          <w:rStyle w:val="NormalTok"/>
        </w:rPr>
        <w:t xml:space="preserve">,</w:t>
      </w:r>
      <w:r>
        <w:br/>
      </w:r>
      <w:r>
        <w:rPr>
          <w:rStyle w:val="NormalTok"/>
        </w:rPr>
        <w:t xml:space="preserve">  </w:t>
      </w:r>
      <w:r>
        <w:rPr>
          <w:rStyle w:val="StringTok"/>
        </w:rPr>
        <w:t xml:space="preserve">"fig-study-area"</w:t>
      </w:r>
      <w:r>
        <w:rPr>
          <w:rStyle w:val="NormalTok"/>
        </w:rPr>
        <w:t xml:space="preserve"> </w:t>
      </w:r>
      <w:r>
        <w:rPr>
          <w:rStyle w:val="OtherTok"/>
        </w:rPr>
        <w:t xml:space="preserve">=</w:t>
      </w:r>
      <w:r>
        <w:rPr>
          <w:rStyle w:val="NormalTok"/>
        </w:rPr>
        <w:t xml:space="preserve"> </w:t>
      </w:r>
      <w:r>
        <w:rPr>
          <w:rStyle w:val="StringTok"/>
        </w:rPr>
        <w:t xml:space="preserve">"Study area, ignition record and weather record. Points are the wildfire incidents recorded inside the basin, coloured by reported cause; triangles are the five BC Wildfire Service fire weather stations, which are the entire weather record used here. Coordinate reference system NAD83 / BC Albers, EPSG:3005."</w:t>
      </w:r>
      <w:r>
        <w:rPr>
          <w:rStyle w:val="NormalTok"/>
        </w:rPr>
        <w:t xml:space="preserve">,</w:t>
      </w:r>
      <w:r>
        <w:br/>
      </w:r>
      <w:r>
        <w:rPr>
          <w:rStyle w:val="NormalTok"/>
        </w:rPr>
        <w:t xml:space="preserve">  </w:t>
      </w:r>
      <w:r>
        <w:rPr>
          <w:rStyle w:val="StringTok"/>
        </w:rPr>
        <w:t xml:space="preserve">"fig-distributions"</w:t>
      </w:r>
      <w:r>
        <w:rPr>
          <w:rStyle w:val="NormalTok"/>
        </w:rPr>
        <w:t xml:space="preserve"> </w:t>
      </w:r>
      <w:r>
        <w:rPr>
          <w:rStyle w:val="OtherTok"/>
        </w:rPr>
        <w:t xml:space="preserve">=</w:t>
      </w:r>
      <w:r>
        <w:rPr>
          <w:rStyle w:val="NormalTok"/>
        </w:rPr>
        <w:t xml:space="preserve"> </w:t>
      </w:r>
      <w:r>
        <w:rPr>
          <w:rStyle w:val="StringTok"/>
        </w:rPr>
        <w:t xml:space="preserve">"Distribution of the daily Fine Fuel Moisture Code and the daily Fire Weather Index over all kept station-days under the three series, with the absolute thresholds marked."</w:t>
      </w:r>
      <w:r>
        <w:rPr>
          <w:rStyle w:val="NormalTok"/>
        </w:rPr>
        <w:t xml:space="preserve">,</w:t>
      </w:r>
      <w:r>
        <w:br/>
      </w:r>
      <w:r>
        <w:rPr>
          <w:rStyle w:val="NormalTok"/>
        </w:rPr>
        <w:t xml:space="preserve">  </w:t>
      </w:r>
      <w:r>
        <w:rPr>
          <w:rStyle w:val="StringTok"/>
        </w:rPr>
        <w:t xml:space="preserve">"fig-mechanism"</w:t>
      </w:r>
      <w:r>
        <w:rPr>
          <w:rStyle w:val="NormalTok"/>
        </w:rPr>
        <w:t xml:space="preserve"> </w:t>
      </w:r>
      <w:r>
        <w:rPr>
          <w:rStyle w:val="OtherTok"/>
        </w:rPr>
        <w:t xml:space="preserve">=</w:t>
      </w:r>
      <w:r>
        <w:rPr>
          <w:rStyle w:val="NormalTok"/>
        </w:rPr>
        <w:t xml:space="preserve"> </w:t>
      </w:r>
      <w:r>
        <w:rPr>
          <w:rStyle w:val="StringTok"/>
        </w:rPr>
        <w:t xml:space="preserve">"Ten days of the hourly Fine Fuel Moisture Code at Penticton RS in August 2003 under FWI2025 driven by observed hourly weather and by the 13:00 observation alone. Both are the same system on the same days."</w:t>
      </w:r>
      <w:r>
        <w:rPr>
          <w:rStyle w:val="NormalTok"/>
        </w:rPr>
        <w:t xml:space="preserve">,</w:t>
      </w:r>
      <w:r>
        <w:br/>
      </w:r>
      <w:r>
        <w:rPr>
          <w:rStyle w:val="NormalTok"/>
        </w:rPr>
        <w:t xml:space="preserve">  </w:t>
      </w:r>
      <w:r>
        <w:rPr>
          <w:rStyle w:val="StringTok"/>
        </w:rPr>
        <w:t xml:space="preserve">"fig-trends"</w:t>
      </w:r>
      <w:r>
        <w:rPr>
          <w:rStyle w:val="NormalTok"/>
        </w:rPr>
        <w:t xml:space="preserve"> </w:t>
      </w:r>
      <w:r>
        <w:rPr>
          <w:rStyle w:val="OtherTok"/>
        </w:rPr>
        <w:t xml:space="preserve">=</w:t>
      </w:r>
      <w:r>
        <w:rPr>
          <w:rStyle w:val="NormalTok"/>
        </w:rPr>
        <w:t xml:space="preserve"> </w:t>
      </w:r>
      <w:r>
        <w:rPr>
          <w:rStyle w:val="StringTok"/>
        </w:rPr>
        <w:t xml:space="preserve">"Seasonal metrics by season under the three series, pooled across stations, with the Theil-Sen line for each."</w:t>
      </w:r>
      <w:r>
        <w:rPr>
          <w:rStyle w:val="NormalTok"/>
        </w:rPr>
        <w:t xml:space="preserve">,</w:t>
      </w:r>
      <w:r>
        <w:br/>
      </w:r>
      <w:r>
        <w:rPr>
          <w:rStyle w:val="NormalTok"/>
        </w:rPr>
        <w:t xml:space="preserve">  </w:t>
      </w:r>
      <w:r>
        <w:rPr>
          <w:rStyle w:val="StringTok"/>
        </w:rPr>
        <w:t xml:space="preserve">"fig-slopediff"</w:t>
      </w:r>
      <w:r>
        <w:rPr>
          <w:rStyle w:val="NormalTok"/>
        </w:rPr>
        <w:t xml:space="preserve"> </w:t>
      </w:r>
      <w:r>
        <w:rPr>
          <w:rStyle w:val="OtherTok"/>
        </w:rPr>
        <w:t xml:space="preserve">=</w:t>
      </w:r>
      <w:r>
        <w:rPr>
          <w:rStyle w:val="NormalTok"/>
        </w:rPr>
        <w:t xml:space="preserve"> </w:t>
      </w:r>
      <w:r>
        <w:rPr>
          <w:rStyle w:val="StringTok"/>
        </w:rPr>
        <w:t xml:space="preserve">"Difference in Theil-Sen slope between series for the five extreme-day counts. Points are station estimates, bars are paired bootstrap 95 per cent intervals."</w:t>
      </w:r>
      <w:r>
        <w:rPr>
          <w:rStyle w:val="NormalTok"/>
        </w:rPr>
        <w:t xml:space="preserve">,</w:t>
      </w:r>
      <w:r>
        <w:br/>
      </w:r>
      <w:r>
        <w:rPr>
          <w:rStyle w:val="NormalTok"/>
        </w:rPr>
        <w:t xml:space="preserve">  </w:t>
      </w:r>
      <w:r>
        <w:rPr>
          <w:rStyle w:val="StringTok"/>
        </w:rPr>
        <w:t xml:space="preserve">"fig-ignition"</w:t>
      </w:r>
      <w:r>
        <w:rPr>
          <w:rStyle w:val="NormalTok"/>
        </w:rPr>
        <w:t xml:space="preserve"> </w:t>
      </w:r>
      <w:r>
        <w:rPr>
          <w:rStyle w:val="OtherTok"/>
        </w:rPr>
        <w:t xml:space="preserve">=</w:t>
      </w:r>
      <w:r>
        <w:rPr>
          <w:rStyle w:val="NormalTok"/>
        </w:rPr>
        <w:t xml:space="preserve"> </w:t>
      </w:r>
      <w:r>
        <w:rPr>
          <w:rStyle w:val="StringTok"/>
        </w:rPr>
        <w:t xml:space="preserve">"Observed and fitted daily lightning ignition rate against daily basin Fire Weather Index under the three series."</w:t>
      </w:r>
      <w:r>
        <w:br/>
      </w:r>
      <w:r>
        <w:rPr>
          <w:rStyle w:val="NormalTok"/>
        </w:rPr>
        <w:t xml:space="preserve">)</w:t>
      </w:r>
      <w:r>
        <w:br/>
      </w:r>
      <w:r>
        <w:rPr>
          <w:rStyle w:val="FunctionTok"/>
        </w:rPr>
        <w:t xml:space="preserve">writeLines</w:t>
      </w:r>
      <w:r>
        <w:rPr>
          <w:rStyle w:val="NormalTok"/>
        </w:rPr>
        <w:t xml:space="preserve">(</w:t>
      </w:r>
      <w:r>
        <w:rPr>
          <w:rStyle w:val="FunctionTok"/>
        </w:rPr>
        <w:t xml:space="preserve">paste</w:t>
      </w:r>
      <w:r>
        <w:rPr>
          <w:rStyle w:val="NormalTok"/>
        </w:rPr>
        <w:t xml:space="preserve">(</w:t>
      </w:r>
      <w:r>
        <w:rPr>
          <w:rStyle w:val="FunctionTok"/>
        </w:rPr>
        <w:t xml:space="preserve">names</w:t>
      </w:r>
      <w:r>
        <w:rPr>
          <w:rStyle w:val="NormalTok"/>
        </w:rPr>
        <w:t xml:space="preserve">(FIGCAPS), FIGCAPS, </w:t>
      </w:r>
      <w:r>
        <w:rPr>
          <w:rStyle w:val="AttributeTok"/>
        </w:rPr>
        <w:t xml:space="preserve">sep =</w:t>
      </w:r>
      <w:r>
        <w:rPr>
          <w:rStyle w:val="NormalTok"/>
        </w:rPr>
        <w:t xml:space="preserve"> </w:t>
      </w:r>
      <w:r>
        <w:rPr>
          <w:rStyle w:val="StringTok"/>
        </w:rPr>
        <w:t xml:space="preserve">"</w:t>
      </w:r>
      <w:r>
        <w:rPr>
          <w:rStyle w:val="SpecialCharTok"/>
        </w:rPr>
        <w:t xml:space="preserve">\t</w:t>
      </w:r>
      <w:r>
        <w:rPr>
          <w:rStyle w:val="StringTok"/>
        </w:rPr>
        <w:t xml:space="preserve">"</w:t>
      </w:r>
      <w:r>
        <w:rPr>
          <w:rStyle w:val="NormalTok"/>
        </w:rPr>
        <w:t xml:space="preserve">),</w:t>
      </w:r>
      <w:r>
        <w:br/>
      </w:r>
      <w:r>
        <w:rPr>
          <w:rStyle w:val="NormalTok"/>
        </w:rPr>
        <w:t xml:space="preserve">           </w:t>
      </w:r>
      <w:r>
        <w:rPr>
          <w:rStyle w:val="FunctionTok"/>
        </w:rPr>
        <w:t xml:space="preserve">file.path</w:t>
      </w:r>
      <w:r>
        <w:rPr>
          <w:rStyle w:val="NormalTok"/>
        </w:rPr>
        <w:t xml:space="preserve">(fig_dir, </w:t>
      </w:r>
      <w:r>
        <w:rPr>
          <w:rStyle w:val="StringTok"/>
        </w:rPr>
        <w:t xml:space="preserve">"captions.tsv"</w:t>
      </w:r>
      <w:r>
        <w:rPr>
          <w:rStyle w:val="NormalTok"/>
        </w:rPr>
        <w:t xml:space="preserve">))</w:t>
      </w:r>
    </w:p>
    <w:bookmarkEnd w:id="96"/>
    <w:bookmarkStart w:id="374" w:name="references"/>
    <w:p>
      <w:pPr>
        <w:pStyle w:val="Heading1"/>
      </w:pPr>
      <w:r>
        <w:t xml:space="preserve">References</w:t>
      </w:r>
    </w:p>
    <w:bookmarkStart w:id="373" w:name="refs"/>
    <w:bookmarkStart w:id="98" w:name="ref-abbott2018newnormal"/>
    <w:p>
      <w:pPr>
        <w:pStyle w:val="Bibliography"/>
      </w:pPr>
      <w:r>
        <w:t xml:space="preserve">Abbott, G., &amp; Chapman, M. (2018).</w:t>
      </w:r>
      <w:r>
        <w:t xml:space="preserve"> </w:t>
      </w:r>
      <w:r>
        <w:rPr>
          <w:i/>
          <w:iCs/>
        </w:rPr>
        <w:t xml:space="preserve">Addressing the</w:t>
      </w:r>
      <w:r>
        <w:rPr>
          <w:i/>
          <w:iCs/>
        </w:rPr>
        <w:t xml:space="preserve"> </w:t>
      </w:r>
      <w:r>
        <w:rPr>
          <w:i/>
          <w:iCs/>
        </w:rPr>
        <w:t xml:space="preserve">New Normal</w:t>
      </w:r>
      <w:r>
        <w:rPr>
          <w:i/>
          <w:iCs/>
        </w:rPr>
        <w:t xml:space="preserve">: 21st century disaster management in</w:t>
      </w:r>
      <w:r>
        <w:rPr>
          <w:i/>
          <w:iCs/>
        </w:rPr>
        <w:t xml:space="preserve"> </w:t>
      </w:r>
      <w:r>
        <w:rPr>
          <w:i/>
          <w:iCs/>
        </w:rPr>
        <w:t xml:space="preserve">British Columbia</w:t>
      </w:r>
      <w:r>
        <w:rPr>
          <w:i/>
          <w:iCs/>
        </w:rPr>
        <w:t xml:space="preserve">. Report and findings of the BC flood and wildfire review, an independent review examining the 2017 flood and wildfire seasons</w:t>
      </w:r>
      <w:r>
        <w:t xml:space="preserve">. Victoria, British Columbia: Province of British Columbia. Retrieved from</w:t>
      </w:r>
      <w:r>
        <w:t xml:space="preserve"> </w:t>
      </w:r>
      <w:hyperlink r:id="rId97">
        <w:r>
          <w:rPr>
            <w:rStyle w:val="Hyperlink"/>
          </w:rPr>
          <w:t xml:space="preserve">https://www2.gov.bc.ca/assets/gov/public-safety-and-emergency-services/emergency-preparedness-response-recovery/embc/bc-flood-and-wildfire-review-addressing-the-new-normal-21st-century-disaster-management-in-bc-web.pdf</w:t>
        </w:r>
      </w:hyperlink>
    </w:p>
    <w:bookmarkEnd w:id="98"/>
    <w:bookmarkStart w:id="100" w:name="ref-aftergood2022lightning"/>
    <w:p>
      <w:pPr>
        <w:pStyle w:val="Bibliography"/>
      </w:pPr>
      <w:r>
        <w:t xml:space="preserve">Aftergood, O. S. R., &amp; Flannigan, M. D. (2022). Identifying and analyzing spatial and temporal patterns of lightning-ignited wildfires in</w:t>
      </w:r>
      <w:r>
        <w:t xml:space="preserve"> </w:t>
      </w:r>
      <w:r>
        <w:t xml:space="preserve">Western Canada</w:t>
      </w:r>
      <w:r>
        <w:t xml:space="preserve"> </w:t>
      </w:r>
      <w:r>
        <w:t xml:space="preserve">from 1981 to 2018.</w:t>
      </w:r>
      <w:r>
        <w:t xml:space="preserve"> </w:t>
      </w:r>
      <w:r>
        <w:rPr>
          <w:i/>
          <w:iCs/>
        </w:rPr>
        <w:t xml:space="preserve">Canadian Journal of Forest Research</w:t>
      </w:r>
      <w:r>
        <w:t xml:space="preserve">,</w:t>
      </w:r>
      <w:r>
        <w:t xml:space="preserve"> </w:t>
      </w:r>
      <w:r>
        <w:rPr>
          <w:i/>
          <w:iCs/>
        </w:rPr>
        <w:t xml:space="preserve">52</w:t>
      </w:r>
      <w:r>
        <w:t xml:space="preserve">(11), 1399–1411. Canadian Science Publishing. Retrieved from</w:t>
      </w:r>
      <w:r>
        <w:t xml:space="preserve"> </w:t>
      </w:r>
      <w:hyperlink r:id="rId99">
        <w:r>
          <w:rPr>
            <w:rStyle w:val="Hyperlink"/>
          </w:rPr>
          <w:t xml:space="preserve">http://dx.doi.org/10.1139/cjfr-2021-0353</w:t>
        </w:r>
      </w:hyperlink>
    </w:p>
    <w:bookmarkEnd w:id="100"/>
    <w:bookmarkStart w:id="102" w:name="ref-albertgreen2013timing"/>
    <w:p>
      <w:pPr>
        <w:pStyle w:val="Bibliography"/>
      </w:pPr>
      <w:r>
        <w:t xml:space="preserve">Albert-Green, A., Dean, C. B., Martell, D. L., &amp; Woolford, D. G. (2013). A methodology for investigating trends in changes in the timing of the fire season with applications to lightning-caused forest fires in</w:t>
      </w:r>
      <w:r>
        <w:t xml:space="preserve"> </w:t>
      </w:r>
      <w:r>
        <w:t xml:space="preserve">Alberta</w:t>
      </w:r>
      <w:r>
        <w:t xml:space="preserve"> </w:t>
      </w:r>
      <w:r>
        <w:t xml:space="preserve">and</w:t>
      </w:r>
      <w:r>
        <w:t xml:space="preserve"> </w:t>
      </w:r>
      <w:r>
        <w:t xml:space="preserve">Ontario</w:t>
      </w:r>
      <w:r>
        <w:t xml:space="preserve">,</w:t>
      </w:r>
      <w:r>
        <w:t xml:space="preserve"> </w:t>
      </w:r>
      <w:r>
        <w:t xml:space="preserve">Canada</w:t>
      </w:r>
      <w:r>
        <w:t xml:space="preserve">.</w:t>
      </w:r>
      <w:r>
        <w:t xml:space="preserve"> </w:t>
      </w:r>
      <w:r>
        <w:rPr>
          <w:i/>
          <w:iCs/>
        </w:rPr>
        <w:t xml:space="preserve">Canadian Journal of Forest Research</w:t>
      </w:r>
      <w:r>
        <w:t xml:space="preserve">,</w:t>
      </w:r>
      <w:r>
        <w:t xml:space="preserve"> </w:t>
      </w:r>
      <w:r>
        <w:rPr>
          <w:i/>
          <w:iCs/>
        </w:rPr>
        <w:t xml:space="preserve">43</w:t>
      </w:r>
      <w:r>
        <w:t xml:space="preserve">(1), 39–45. Canadian Science Publishing. Retrieved from</w:t>
      </w:r>
      <w:r>
        <w:t xml:space="preserve"> </w:t>
      </w:r>
      <w:hyperlink r:id="rId101">
        <w:r>
          <w:rPr>
            <w:rStyle w:val="Hyperlink"/>
          </w:rPr>
          <w:t xml:space="preserve">http://dx.doi.org/10.1139/cjfr-2011-0432</w:t>
        </w:r>
      </w:hyperlink>
    </w:p>
    <w:bookmarkEnd w:id="102"/>
    <w:bookmarkStart w:id="104" w:name="ref-alves2024portugal"/>
    <w:p>
      <w:pPr>
        <w:pStyle w:val="Bibliography"/>
      </w:pPr>
      <w:r>
        <w:t xml:space="preserve">Alves, D., Almeida, M., Reis, L., Raposo, J., &amp; Viegas, D. X. (2024). The role of field measurements of fine dead fuel moisture content in the</w:t>
      </w:r>
      <w:r>
        <w:t xml:space="preserve"> </w:t>
      </w:r>
      <w:r>
        <w:t xml:space="preserve">Canadian</w:t>
      </w:r>
      <w:r>
        <w:t xml:space="preserve"> </w:t>
      </w:r>
      <w:r>
        <w:t xml:space="preserve">Fire Weather Index</w:t>
      </w:r>
      <w:r>
        <w:t xml:space="preserve"> </w:t>
      </w:r>
      <w:r>
        <w:t xml:space="preserve">System</w:t>
      </w:r>
      <w:r>
        <w:t xml:space="preserve">—a study case in the central region of</w:t>
      </w:r>
      <w:r>
        <w:t xml:space="preserve"> </w:t>
      </w:r>
      <w:r>
        <w:t xml:space="preserve">Portugal</w:t>
      </w:r>
      <w:r>
        <w:t xml:space="preserve">.</w:t>
      </w:r>
      <w:r>
        <w:t xml:space="preserve"> </w:t>
      </w:r>
      <w:r>
        <w:rPr>
          <w:i/>
          <w:iCs/>
        </w:rPr>
        <w:t xml:space="preserve">Forests</w:t>
      </w:r>
      <w:r>
        <w:t xml:space="preserve">,</w:t>
      </w:r>
      <w:r>
        <w:t xml:space="preserve"> </w:t>
      </w:r>
      <w:r>
        <w:rPr>
          <w:i/>
          <w:iCs/>
        </w:rPr>
        <w:t xml:space="preserve">15</w:t>
      </w:r>
      <w:r>
        <w:t xml:space="preserve">(8), 1429. MDPI AG. Retrieved from</w:t>
      </w:r>
      <w:r>
        <w:t xml:space="preserve"> </w:t>
      </w:r>
      <w:hyperlink r:id="rId103">
        <w:r>
          <w:rPr>
            <w:rStyle w:val="Hyperlink"/>
          </w:rPr>
          <w:t xml:space="preserve">http://dx.doi.org/10.3390/f15081429</w:t>
        </w:r>
      </w:hyperlink>
    </w:p>
    <w:bookmarkEnd w:id="104"/>
    <w:bookmarkStart w:id="106" w:name="ref-aws2026terraintiles"/>
    <w:p>
      <w:pPr>
        <w:pStyle w:val="Bibliography"/>
      </w:pPr>
      <w:r>
        <w:t xml:space="preserve">Amazon Web Services. (2026).</w:t>
      </w:r>
      <w:r>
        <w:t xml:space="preserve"> </w:t>
      </w:r>
      <w:r>
        <w:t xml:space="preserve">Terrain Tiles</w:t>
      </w:r>
      <w:r>
        <w:t xml:space="preserve">. Registry of Open Data on AWS, public domain tiles derived from</w:t>
      </w:r>
      <w:r>
        <w:t xml:space="preserve"> </w:t>
      </w:r>
      <w:r>
        <w:t xml:space="preserve">SRTM</w:t>
      </w:r>
      <w:r>
        <w:t xml:space="preserve"> </w:t>
      </w:r>
      <w:r>
        <w:t xml:space="preserve">and national elevation datasets. Retrieved from</w:t>
      </w:r>
      <w:r>
        <w:t xml:space="preserve"> </w:t>
      </w:r>
      <w:hyperlink r:id="rId105">
        <w:r>
          <w:rPr>
            <w:rStyle w:val="Hyperlink"/>
          </w:rPr>
          <w:t xml:space="preserve">https://registry.opendata.aws/terrain-tiles/</w:t>
        </w:r>
      </w:hyperlink>
    </w:p>
    <w:bookmarkEnd w:id="106"/>
    <w:bookmarkStart w:id="108" w:name="ref-anderson1990diffusivity"/>
    <w:p>
      <w:pPr>
        <w:pStyle w:val="Bibliography"/>
      </w:pPr>
      <w:r>
        <w:t xml:space="preserve">Anderson, H. E. (1990). Moisture diffusivity and response time in fine forest fuels.</w:t>
      </w:r>
      <w:r>
        <w:t xml:space="preserve"> </w:t>
      </w:r>
      <w:r>
        <w:rPr>
          <w:i/>
          <w:iCs/>
        </w:rPr>
        <w:t xml:space="preserve">Canadian Journal of Forest Research</w:t>
      </w:r>
      <w:r>
        <w:t xml:space="preserve">,</w:t>
      </w:r>
      <w:r>
        <w:t xml:space="preserve"> </w:t>
      </w:r>
      <w:r>
        <w:rPr>
          <w:i/>
          <w:iCs/>
        </w:rPr>
        <w:t xml:space="preserve">20</w:t>
      </w:r>
      <w:r>
        <w:t xml:space="preserve">(3), 315–325. Canadian Science Publishing. Retrieved from</w:t>
      </w:r>
      <w:r>
        <w:t xml:space="preserve"> </w:t>
      </w:r>
      <w:hyperlink r:id="rId107">
        <w:r>
          <w:rPr>
            <w:rStyle w:val="Hyperlink"/>
          </w:rPr>
          <w:t xml:space="preserve">http://dx.doi.org/10.1139/x90-046</w:t>
        </w:r>
      </w:hyperlink>
    </w:p>
    <w:bookmarkEnd w:id="108"/>
    <w:bookmarkStart w:id="110" w:name="ref-bayazit2007prewhiten"/>
    <w:p>
      <w:pPr>
        <w:pStyle w:val="Bibliography"/>
      </w:pPr>
      <w:r>
        <w:t xml:space="preserve">Bayazit, M., &amp; Önöz, B. (2007). To prewhiten or not to prewhiten in trend analysis?</w:t>
      </w:r>
      <w:r>
        <w:t xml:space="preserve"> </w:t>
      </w:r>
      <w:r>
        <w:rPr>
          <w:i/>
          <w:iCs/>
        </w:rPr>
        <w:t xml:space="preserve">Hydrological Sciences Journal</w:t>
      </w:r>
      <w:r>
        <w:t xml:space="preserve">,</w:t>
      </w:r>
      <w:r>
        <w:t xml:space="preserve"> </w:t>
      </w:r>
      <w:r>
        <w:rPr>
          <w:i/>
          <w:iCs/>
        </w:rPr>
        <w:t xml:space="preserve">52</w:t>
      </w:r>
      <w:r>
        <w:t xml:space="preserve">(4), 611–624. Informa UK Limited. Retrieved from</w:t>
      </w:r>
      <w:r>
        <w:t xml:space="preserve"> </w:t>
      </w:r>
      <w:hyperlink r:id="rId109">
        <w:r>
          <w:rPr>
            <w:rStyle w:val="Hyperlink"/>
          </w:rPr>
          <w:t xml:space="preserve">http://dx.doi.org/10.1623/hysj.52.4.611</w:t>
        </w:r>
      </w:hyperlink>
    </w:p>
    <w:bookmarkEnd w:id="110"/>
    <w:bookmarkStart w:id="112" w:name="ref-bcws2026datamart"/>
    <w:p>
      <w:pPr>
        <w:pStyle w:val="Bibliography"/>
      </w:pPr>
      <w:r>
        <w:t xml:space="preserve">BC Wildfire Service. (2026c).</w:t>
      </w:r>
      <w:r>
        <w:t xml:space="preserve"> </w:t>
      </w:r>
      <w:r>
        <w:t xml:space="preserve">BCWS</w:t>
      </w:r>
      <w:r>
        <w:t xml:space="preserve"> </w:t>
      </w:r>
      <w:r>
        <w:t xml:space="preserve">weather data mart: Hourly fire weather station observations. BC Ministry of Forests public file directory. Retrieved from</w:t>
      </w:r>
      <w:r>
        <w:t xml:space="preserve"> </w:t>
      </w:r>
      <w:hyperlink r:id="rId111">
        <w:r>
          <w:rPr>
            <w:rStyle w:val="Hyperlink"/>
          </w:rPr>
          <w:t xml:space="preserve">https://www.for.gov.bc.ca/ftp/HPR/external/!publish/BCWS_DATA_MART/</w:t>
        </w:r>
      </w:hyperlink>
    </w:p>
    <w:bookmarkEnd w:id="112"/>
    <w:bookmarkStart w:id="114" w:name="ref-bcws2026incidents"/>
    <w:p>
      <w:pPr>
        <w:pStyle w:val="Bibliography"/>
      </w:pPr>
      <w:r>
        <w:t xml:space="preserve">BC Wildfire Service. (2026a). Fire incident locations, historical (</w:t>
      </w:r>
      <w:r>
        <w:t xml:space="preserve">WHSE_LAND_AND_NATURAL_RESOURCE.PROT_HISTORICAL_INCIDENTS_SP</w:t>
      </w:r>
      <w:r>
        <w:t xml:space="preserve">). BC Data Catalogue, Open Government Licence – British Columbia. Retrieved from</w:t>
      </w:r>
      <w:r>
        <w:t xml:space="preserve"> </w:t>
      </w:r>
      <w:hyperlink r:id="rId113">
        <w:r>
          <w:rPr>
            <w:rStyle w:val="Hyperlink"/>
          </w:rPr>
          <w:t xml:space="preserve">https://catalogue.data.gov.bc.ca/dataset/bc-wildfire-fire-incident-locations-historical</w:t>
        </w:r>
      </w:hyperlink>
    </w:p>
    <w:bookmarkEnd w:id="114"/>
    <w:bookmarkStart w:id="116" w:name="ref-bcws2026stations"/>
    <w:p>
      <w:pPr>
        <w:pStyle w:val="Bibliography"/>
      </w:pPr>
      <w:r>
        <w:t xml:space="preserve">BC Wildfire Service. (2026b).</w:t>
      </w:r>
      <w:r>
        <w:t xml:space="preserve"> </w:t>
      </w:r>
      <w:r>
        <w:t xml:space="preserve">BC Wildfire Active Weather Stations and Data</w:t>
      </w:r>
      <w:r>
        <w:t xml:space="preserve"> </w:t>
      </w:r>
      <w:r>
        <w:t xml:space="preserve">(</w:t>
      </w:r>
      <w:r>
        <w:t xml:space="preserve">WHSE_LAND_AND_NATURAL_RESOURCE.PROT_WEATHER_STATIONS_SP</w:t>
      </w:r>
      <w:r>
        <w:t xml:space="preserve">). BC Data Catalogue, access only. Retrieved from</w:t>
      </w:r>
      <w:r>
        <w:t xml:space="preserve"> </w:t>
      </w:r>
      <w:hyperlink r:id="rId115">
        <w:r>
          <w:rPr>
            <w:rStyle w:val="Hyperlink"/>
          </w:rPr>
          <w:t xml:space="preserve">https://catalogue.data.gov.bc.ca/dataset/bc-wildfire-active-weather-stations</w:t>
        </w:r>
      </w:hyperlink>
    </w:p>
    <w:bookmarkEnd w:id="116"/>
    <w:bookmarkStart w:id="118" w:name="ref-bcws2026psta"/>
    <w:p>
      <w:pPr>
        <w:pStyle w:val="Bibliography"/>
      </w:pPr>
      <w:r>
        <w:t xml:space="preserve">BC Wildfire Service. (2026d).</w:t>
      </w:r>
      <w:r>
        <w:t xml:space="preserve"> </w:t>
      </w:r>
      <w:r>
        <w:t xml:space="preserve">BC Wildfire PSTA Head Fire Intensity</w:t>
      </w:r>
      <w:r>
        <w:t xml:space="preserve">. BC Data Catalogue, access only. Retrieved from</w:t>
      </w:r>
      <w:r>
        <w:t xml:space="preserve"> </w:t>
      </w:r>
      <w:hyperlink r:id="rId117">
        <w:r>
          <w:rPr>
            <w:rStyle w:val="Hyperlink"/>
          </w:rPr>
          <w:t xml:space="preserve">https://catalogue.data.gov.bc.ca/dataset/bc-wildfire-psta-head-fire-intensity</w:t>
        </w:r>
      </w:hyperlink>
    </w:p>
    <w:bookmarkEnd w:id="118"/>
    <w:bookmarkStart w:id="120" w:name="ref-beck1989diurnal"/>
    <w:p>
      <w:pPr>
        <w:pStyle w:val="Bibliography"/>
      </w:pPr>
      <w:r>
        <w:t xml:space="preserve">Beck, J. A., &amp; Trevitt, A. C. F. (1989).</w:t>
      </w:r>
      <w:r>
        <w:t xml:space="preserve"> </w:t>
      </w:r>
      <w:hyperlink r:id="rId119">
        <w:r>
          <w:rPr>
            <w:rStyle w:val="Hyperlink"/>
          </w:rPr>
          <w:t xml:space="preserve">Forecasting diurnal variations in meteorological parameters for predicting fire behaviour</w:t>
        </w:r>
      </w:hyperlink>
      <w:r>
        <w:t xml:space="preserve">.</w:t>
      </w:r>
      <w:r>
        <w:t xml:space="preserve"> </w:t>
      </w:r>
      <w:r>
        <w:rPr>
          <w:i/>
          <w:iCs/>
        </w:rPr>
        <w:t xml:space="preserve">Canadian Journal of Forest Research</w:t>
      </w:r>
      <w:r>
        <w:t xml:space="preserve">,</w:t>
      </w:r>
      <w:r>
        <w:t xml:space="preserve"> </w:t>
      </w:r>
      <w:r>
        <w:rPr>
          <w:i/>
          <w:iCs/>
        </w:rPr>
        <w:t xml:space="preserve">19</w:t>
      </w:r>
      <w:r>
        <w:t xml:space="preserve">(6), 791–797.</w:t>
      </w:r>
    </w:p>
    <w:bookmarkEnd w:id="120"/>
    <w:bookmarkStart w:id="122" w:name="ref-bedia2015global"/>
    <w:p>
      <w:pPr>
        <w:pStyle w:val="Bibliography"/>
      </w:pPr>
      <w:r>
        <w:t xml:space="preserve">Bedia, Joaquín, Herrera, S., Gutiérrez, J. M., Benali, A., Brands, S., Mota, B., &amp; Moreno, J. M. (2015). Global patterns in the sensitivity of burned area to fire-weather: Implications for climate change.</w:t>
      </w:r>
      <w:r>
        <w:t xml:space="preserve"> </w:t>
      </w:r>
      <w:r>
        <w:rPr>
          <w:i/>
          <w:iCs/>
        </w:rPr>
        <w:t xml:space="preserve">Agricultural and Forest Meteorology</w:t>
      </w:r>
      <w:r>
        <w:t xml:space="preserve">,</w:t>
      </w:r>
      <w:r>
        <w:t xml:space="preserve"> </w:t>
      </w:r>
      <w:r>
        <w:rPr>
          <w:i/>
          <w:iCs/>
        </w:rPr>
        <w:t xml:space="preserve">214-215</w:t>
      </w:r>
      <w:r>
        <w:t xml:space="preserve">, 369–379. Elsevier BV. Retrieved from</w:t>
      </w:r>
      <w:r>
        <w:t xml:space="preserve"> </w:t>
      </w:r>
      <w:hyperlink r:id="rId121">
        <w:r>
          <w:rPr>
            <w:rStyle w:val="Hyperlink"/>
          </w:rPr>
          <w:t xml:space="preserve">http://dx.doi.org/10.1016/j.agrformet.2015.09.002</w:t>
        </w:r>
      </w:hyperlink>
    </w:p>
    <w:bookmarkEnd w:id="122"/>
    <w:bookmarkStart w:id="124" w:name="ref-bedia2012reanalysis"/>
    <w:p>
      <w:pPr>
        <w:pStyle w:val="Bibliography"/>
      </w:pPr>
      <w:r>
        <w:t xml:space="preserve">Bedia, J., Herrera, S., Gutiérrez, J. M., Zavala, G., Urbieta, I. R., &amp; Moreno, J. M. (2012). Sensitivity of fire weather index to different reanalysis products in the</w:t>
      </w:r>
      <w:r>
        <w:t xml:space="preserve"> </w:t>
      </w:r>
      <w:r>
        <w:t xml:space="preserve">Iberian Peninsula</w:t>
      </w:r>
      <w:r>
        <w:t xml:space="preserve">.</w:t>
      </w:r>
      <w:r>
        <w:t xml:space="preserve"> </w:t>
      </w:r>
      <w:r>
        <w:rPr>
          <w:i/>
          <w:iCs/>
        </w:rPr>
        <w:t xml:space="preserve">Natural Hazards and Earth System Sciences</w:t>
      </w:r>
      <w:r>
        <w:t xml:space="preserve">,</w:t>
      </w:r>
      <w:r>
        <w:t xml:space="preserve"> </w:t>
      </w:r>
      <w:r>
        <w:rPr>
          <w:i/>
          <w:iCs/>
        </w:rPr>
        <w:t xml:space="preserve">12</w:t>
      </w:r>
      <w:r>
        <w:t xml:space="preserve">(3), 699–708. Copernicus GmbH. Retrieved from</w:t>
      </w:r>
      <w:r>
        <w:t xml:space="preserve"> </w:t>
      </w:r>
      <w:hyperlink r:id="rId123">
        <w:r>
          <w:rPr>
            <w:rStyle w:val="Hyperlink"/>
          </w:rPr>
          <w:t xml:space="preserve">http://dx.doi.org/10.5194/nhess-12-699-2012</w:t>
        </w:r>
      </w:hyperlink>
    </w:p>
    <w:bookmarkEnd w:id="124"/>
    <w:bookmarkStart w:id="126" w:name="ref-bekar2023integrating"/>
    <w:p>
      <w:pPr>
        <w:pStyle w:val="Bibliography"/>
      </w:pPr>
      <w:r>
        <w:t xml:space="preserve">Bekar, İ., Pezzatti, G. B., Conedera, M., Vacik, H., Pausas, J. G., Dupire, S., &amp; Bugmann, H. (2023). Integrating burned area as a complementary performance measure for daily fire danger assessment: A large-scale test.</w:t>
      </w:r>
      <w:r>
        <w:t xml:space="preserve"> </w:t>
      </w:r>
      <w:r>
        <w:rPr>
          <w:i/>
          <w:iCs/>
        </w:rPr>
        <w:t xml:space="preserve">Agricultural and Forest Meteorology</w:t>
      </w:r>
      <w:r>
        <w:t xml:space="preserve">,</w:t>
      </w:r>
      <w:r>
        <w:t xml:space="preserve"> </w:t>
      </w:r>
      <w:r>
        <w:rPr>
          <w:i/>
          <w:iCs/>
        </w:rPr>
        <w:t xml:space="preserve">342</w:t>
      </w:r>
      <w:r>
        <w:t xml:space="preserve">, 109746. Elsevier BV. Retrieved from</w:t>
      </w:r>
      <w:r>
        <w:t xml:space="preserve"> </w:t>
      </w:r>
      <w:hyperlink r:id="rId125">
        <w:r>
          <w:rPr>
            <w:rStyle w:val="Hyperlink"/>
          </w:rPr>
          <w:t xml:space="preserve">http://dx.doi.org/10.1016/j.agrformet.2023.109746</w:t>
        </w:r>
      </w:hyperlink>
    </w:p>
    <w:bookmarkEnd w:id="126"/>
    <w:bookmarkStart w:id="128" w:name="ref-bengtsson2004reanalysis"/>
    <w:p>
      <w:pPr>
        <w:pStyle w:val="Bibliography"/>
      </w:pPr>
      <w:r>
        <w:t xml:space="preserve">Bengtsson, L., Hagemann, S., &amp; Hodges, K. I. (2004). Can climate trends be calculated from reanalysis data?</w:t>
      </w:r>
      <w:r>
        <w:t xml:space="preserve"> </w:t>
      </w:r>
      <w:r>
        <w:rPr>
          <w:i/>
          <w:iCs/>
        </w:rPr>
        <w:t xml:space="preserve">Journal of Geophysical Research: Atmospheres</w:t>
      </w:r>
      <w:r>
        <w:t xml:space="preserve">,</w:t>
      </w:r>
      <w:r>
        <w:t xml:space="preserve"> </w:t>
      </w:r>
      <w:r>
        <w:rPr>
          <w:i/>
          <w:iCs/>
        </w:rPr>
        <w:t xml:space="preserve">109</w:t>
      </w:r>
      <w:r>
        <w:t xml:space="preserve">(D11). American Geophysical Union (AGU). Retrieved from</w:t>
      </w:r>
      <w:r>
        <w:t xml:space="preserve"> </w:t>
      </w:r>
      <w:hyperlink r:id="rId127">
        <w:r>
          <w:rPr>
            <w:rStyle w:val="Hyperlink"/>
          </w:rPr>
          <w:t xml:space="preserve">http://dx.doi.org/10.1029/2004jd004536</w:t>
        </w:r>
      </w:hyperlink>
    </w:p>
    <w:bookmarkEnd w:id="128"/>
    <w:bookmarkStart w:id="130" w:name="ref-benjamini1995fdr"/>
    <w:p>
      <w:pPr>
        <w:pStyle w:val="Bibliography"/>
      </w:pPr>
      <w:r>
        <w:t xml:space="preserve">Benjamini, Y., &amp; Hochberg, Y. (1995).</w:t>
      </w:r>
      <w:r>
        <w:t xml:space="preserve"> </w:t>
      </w:r>
      <w:hyperlink r:id="rId129">
        <w:r>
          <w:rPr>
            <w:rStyle w:val="Hyperlink"/>
          </w:rPr>
          <w:t xml:space="preserve">Controlling the false discovery rate: A practical and powerful approach to multiple testing</w:t>
        </w:r>
      </w:hyperlink>
      <w:r>
        <w:t xml:space="preserve">.</w:t>
      </w:r>
      <w:r>
        <w:t xml:space="preserve"> </w:t>
      </w:r>
      <w:r>
        <w:rPr>
          <w:i/>
          <w:iCs/>
        </w:rPr>
        <w:t xml:space="preserve">Journal of the Royal Statistical Society Series B</w:t>
      </w:r>
      <w:r>
        <w:t xml:space="preserve">,</w:t>
      </w:r>
      <w:r>
        <w:t xml:space="preserve"> </w:t>
      </w:r>
      <w:r>
        <w:rPr>
          <w:i/>
          <w:iCs/>
        </w:rPr>
        <w:t xml:space="preserve">57</w:t>
      </w:r>
      <w:r>
        <w:t xml:space="preserve">(1), 289–300.</w:t>
      </w:r>
    </w:p>
    <w:bookmarkEnd w:id="130"/>
    <w:bookmarkStart w:id="132" w:name="ref-benjamini2001dependency"/>
    <w:p>
      <w:pPr>
        <w:pStyle w:val="Bibliography"/>
      </w:pPr>
      <w:r>
        <w:t xml:space="preserve">Benjamini, Y., &amp; Yekutieli, D. (2001). The control of the false discovery rate in multiple testing under dependency.</w:t>
      </w:r>
      <w:r>
        <w:t xml:space="preserve"> </w:t>
      </w:r>
      <w:r>
        <w:rPr>
          <w:i/>
          <w:iCs/>
        </w:rPr>
        <w:t xml:space="preserve">The Annals of Statistics</w:t>
      </w:r>
      <w:r>
        <w:t xml:space="preserve">,</w:t>
      </w:r>
      <w:r>
        <w:t xml:space="preserve"> </w:t>
      </w:r>
      <w:r>
        <w:rPr>
          <w:i/>
          <w:iCs/>
        </w:rPr>
        <w:t xml:space="preserve">29</w:t>
      </w:r>
      <w:r>
        <w:t xml:space="preserve">(4). Institute of Mathematical Statistics. Retrieved from</w:t>
      </w:r>
      <w:r>
        <w:t xml:space="preserve"> </w:t>
      </w:r>
      <w:hyperlink r:id="rId131">
        <w:r>
          <w:rPr>
            <w:rStyle w:val="Hyperlink"/>
          </w:rPr>
          <w:t xml:space="preserve">http://dx.doi.org/10.1214/aos/1013699998</w:t>
        </w:r>
      </w:hyperlink>
    </w:p>
    <w:bookmarkEnd w:id="132"/>
    <w:bookmarkStart w:id="134" w:name="ref-brookes2021disrupted"/>
    <w:p>
      <w:pPr>
        <w:pStyle w:val="Bibliography"/>
      </w:pPr>
      <w:r>
        <w:t xml:space="preserve">Brookes, W., Daniels, L. D., Copes-Gerbitz, K., Baron, J. N., &amp; Carroll, A. L. (2021). A disrupted historical fire regime in central</w:t>
      </w:r>
      <w:r>
        <w:t xml:space="preserve"> </w:t>
      </w:r>
      <w:r>
        <w:t xml:space="preserve">British Columbia</w:t>
      </w:r>
      <w:r>
        <w:t xml:space="preserve">.</w:t>
      </w:r>
      <w:r>
        <w:t xml:space="preserve"> </w:t>
      </w:r>
      <w:r>
        <w:rPr>
          <w:i/>
          <w:iCs/>
        </w:rPr>
        <w:t xml:space="preserve">Frontiers in Ecology and Evolution</w:t>
      </w:r>
      <w:r>
        <w:t xml:space="preserve">,</w:t>
      </w:r>
      <w:r>
        <w:t xml:space="preserve"> </w:t>
      </w:r>
      <w:r>
        <w:rPr>
          <w:i/>
          <w:iCs/>
        </w:rPr>
        <w:t xml:space="preserve">9</w:t>
      </w:r>
      <w:r>
        <w:t xml:space="preserve">. Frontiers Media SA. Retrieved from</w:t>
      </w:r>
      <w:r>
        <w:t xml:space="preserve"> </w:t>
      </w:r>
      <w:hyperlink r:id="rId133">
        <w:r>
          <w:rPr>
            <w:rStyle w:val="Hyperlink"/>
          </w:rPr>
          <w:t xml:space="preserve">http://dx.doi.org/10.3389/fevo.2021.676961</w:t>
        </w:r>
      </w:hyperlink>
    </w:p>
    <w:bookmarkEnd w:id="134"/>
    <w:bookmarkStart w:id="136" w:name="ref-calheiros2020evolution"/>
    <w:p>
      <w:pPr>
        <w:pStyle w:val="Bibliography"/>
      </w:pPr>
      <w:r>
        <w:t xml:space="preserve">Calheiros, T., Nunes, J. P., &amp; Pereira, M. G. (2020). Recent evolution of spatial and temporal patterns of burnt areas and fire weather risk in the</w:t>
      </w:r>
      <w:r>
        <w:t xml:space="preserve"> </w:t>
      </w:r>
      <w:r>
        <w:t xml:space="preserve">Iberian Peninsula</w:t>
      </w:r>
      <w:r>
        <w:t xml:space="preserve">.</w:t>
      </w:r>
      <w:r>
        <w:t xml:space="preserve"> </w:t>
      </w:r>
      <w:r>
        <w:rPr>
          <w:i/>
          <w:iCs/>
        </w:rPr>
        <w:t xml:space="preserve">Agricultural and Forest Meteorology</w:t>
      </w:r>
      <w:r>
        <w:t xml:space="preserve">,</w:t>
      </w:r>
      <w:r>
        <w:t xml:space="preserve"> </w:t>
      </w:r>
      <w:r>
        <w:rPr>
          <w:i/>
          <w:iCs/>
        </w:rPr>
        <w:t xml:space="preserve">287</w:t>
      </w:r>
      <w:r>
        <w:t xml:space="preserve">, 107923. Elsevier BV. Retrieved from</w:t>
      </w:r>
      <w:r>
        <w:t xml:space="preserve"> </w:t>
      </w:r>
      <w:hyperlink r:id="rId135">
        <w:r>
          <w:rPr>
            <w:rStyle w:val="Hyperlink"/>
          </w:rPr>
          <w:t xml:space="preserve">http://dx.doi.org/10.1016/j.agrformet.2020.107923</w:t>
        </w:r>
      </w:hyperlink>
    </w:p>
    <w:bookmarkEnd w:id="136"/>
    <w:bookmarkStart w:id="138" w:name="ref-cffdg2025fwi2025"/>
    <w:p>
      <w:pPr>
        <w:pStyle w:val="Bibliography"/>
      </w:pPr>
      <w:r>
        <w:t xml:space="preserve">Canadian Forest Service Fire Danger Group. (2025).</w:t>
      </w:r>
      <w:r>
        <w:t xml:space="preserve"> </w:t>
      </w:r>
      <w:r>
        <w:rPr>
          <w:i/>
          <w:iCs/>
        </w:rPr>
        <w:t xml:space="preserve">The 2025 update to the</w:t>
      </w:r>
      <w:r>
        <w:rPr>
          <w:i/>
          <w:iCs/>
        </w:rPr>
        <w:t xml:space="preserve"> </w:t>
      </w:r>
      <w:r>
        <w:rPr>
          <w:i/>
          <w:iCs/>
        </w:rPr>
        <w:t xml:space="preserve">FWI</w:t>
      </w:r>
      <w:r>
        <w:rPr>
          <w:i/>
          <w:iCs/>
        </w:rPr>
        <w:t xml:space="preserve"> </w:t>
      </w:r>
      <w:r>
        <w:rPr>
          <w:i/>
          <w:iCs/>
        </w:rPr>
        <w:t xml:space="preserve">system: Structure, changes and interpretation</w:t>
      </w:r>
      <w:r>
        <w:t xml:space="preserve"> </w:t>
      </w:r>
      <w:r>
        <w:t xml:space="preserve">(Information Report No. GLC-X-42) (p. 58). Natural Resources Canada, Canadian Forest Service, Great Lakes Forestry Centre. Retrieved August 13, 2026, from</w:t>
      </w:r>
      <w:r>
        <w:t xml:space="preserve"> </w:t>
      </w:r>
      <w:hyperlink r:id="rId137">
        <w:r>
          <w:rPr>
            <w:rStyle w:val="Hyperlink"/>
          </w:rPr>
          <w:t xml:space="preserve">https://publications.gc.ca/collections/collection_2026/rncan-nrcan/Fo123-2-42-2025-eng.pdf</w:t>
        </w:r>
      </w:hyperlink>
    </w:p>
    <w:bookmarkEnd w:id="138"/>
    <w:bookmarkStart w:id="140" w:name="ref-nrcan2026cffdrsng"/>
    <w:p>
      <w:pPr>
        <w:pStyle w:val="Bibliography"/>
      </w:pPr>
      <w:r>
        <w:t xml:space="preserve">Canadian Forest Service Fire Danger Group. (2026). Cffdrs-ng: Revisions to the</w:t>
      </w:r>
      <w:r>
        <w:t xml:space="preserve"> </w:t>
      </w:r>
      <w:r>
        <w:t xml:space="preserve">Canadian Forest Fire Danger Rating System</w:t>
      </w:r>
      <w:r>
        <w:t xml:space="preserve">. Software repository, Natural Resources Canada. Retrieved from</w:t>
      </w:r>
      <w:r>
        <w:t xml:space="preserve"> </w:t>
      </w:r>
      <w:hyperlink r:id="rId139">
        <w:r>
          <w:rPr>
            <w:rStyle w:val="Hyperlink"/>
          </w:rPr>
          <w:t xml:space="preserve">https://github.com/nrcan-cfs-fire/cffdrs-ng</w:t>
        </w:r>
      </w:hyperlink>
    </w:p>
    <w:bookmarkEnd w:id="140"/>
    <w:bookmarkStart w:id="142" w:name="ref-castelclavera2025comparative"/>
    <w:p>
      <w:pPr>
        <w:pStyle w:val="Bibliography"/>
      </w:pPr>
      <w:r>
        <w:t xml:space="preserve">Castel-Clavera, J., Pimont, F., Opitz, T., Ruffault, J., Barbero, R., Allard, D., &amp; Dupuy, J.-L. (2025). A comparative analysis of fire-weather indices for enhanced fire activity prediction with probabilistic approaches.</w:t>
      </w:r>
      <w:r>
        <w:t xml:space="preserve"> </w:t>
      </w:r>
      <w:r>
        <w:rPr>
          <w:i/>
          <w:iCs/>
        </w:rPr>
        <w:t xml:space="preserve">Agricultural and Forest Meteorology</w:t>
      </w:r>
      <w:r>
        <w:t xml:space="preserve">,</w:t>
      </w:r>
      <w:r>
        <w:t xml:space="preserve"> </w:t>
      </w:r>
      <w:r>
        <w:rPr>
          <w:i/>
          <w:iCs/>
        </w:rPr>
        <w:t xml:space="preserve">361</w:t>
      </w:r>
      <w:r>
        <w:t xml:space="preserve">, 110315. Elsevier BV. Retrieved from</w:t>
      </w:r>
      <w:r>
        <w:t xml:space="preserve"> </w:t>
      </w:r>
      <w:hyperlink r:id="rId141">
        <w:r>
          <w:rPr>
            <w:rStyle w:val="Hyperlink"/>
          </w:rPr>
          <w:t xml:space="preserve">http://dx.doi.org/10.1016/j.agrformet.2024.110315</w:t>
        </w:r>
      </w:hyperlink>
    </w:p>
    <w:bookmarkEnd w:id="142"/>
    <w:bookmarkStart w:id="144" w:name="ref-chavardes2021drought"/>
    <w:p>
      <w:pPr>
        <w:pStyle w:val="Bibliography"/>
      </w:pPr>
      <w:r>
        <w:t xml:space="preserve">Chavardès, R. D., Daniels, L. D., Harvey, J. E., Greene, G. A., Marcoux, H., Eskelson, B. N. I., Gedalof, Z., et al. (2021). Regional drought synchronised historical fires in dry forests of the</w:t>
      </w:r>
      <w:r>
        <w:t xml:space="preserve"> </w:t>
      </w:r>
      <w:r>
        <w:t xml:space="preserve">Montane Cordillera</w:t>
      </w:r>
      <w:r>
        <w:t xml:space="preserve"> </w:t>
      </w:r>
      <w:r>
        <w:t xml:space="preserve">ecozone,</w:t>
      </w:r>
      <w:r>
        <w:t xml:space="preserve"> </w:t>
      </w:r>
      <w:r>
        <w:t xml:space="preserve">Canada</w:t>
      </w:r>
      <w:r>
        <w:t xml:space="preserve">.</w:t>
      </w:r>
      <w:r>
        <w:t xml:space="preserve"> </w:t>
      </w:r>
      <w:r>
        <w:rPr>
          <w:i/>
          <w:iCs/>
        </w:rPr>
        <w:t xml:space="preserve">International Journal of Wildland Fire</w:t>
      </w:r>
      <w:r>
        <w:t xml:space="preserve">,</w:t>
      </w:r>
      <w:r>
        <w:t xml:space="preserve"> </w:t>
      </w:r>
      <w:r>
        <w:rPr>
          <w:i/>
          <w:iCs/>
        </w:rPr>
        <w:t xml:space="preserve">31</w:t>
      </w:r>
      <w:r>
        <w:t xml:space="preserve">(1), 67–80. CSIRO Publishing. Retrieved from</w:t>
      </w:r>
      <w:r>
        <w:t xml:space="preserve"> </w:t>
      </w:r>
      <w:hyperlink r:id="rId143">
        <w:r>
          <w:rPr>
            <w:rStyle w:val="Hyperlink"/>
          </w:rPr>
          <w:t xml:space="preserve">http://dx.doi.org/10.1071/wf21035</w:t>
        </w:r>
      </w:hyperlink>
    </w:p>
    <w:bookmarkEnd w:id="144"/>
    <w:bookmarkStart w:id="146" w:name="ref-collins2014fire"/>
    <w:p>
      <w:pPr>
        <w:pStyle w:val="Bibliography"/>
      </w:pPr>
      <w:r>
        <w:t xml:space="preserve">Collins, B. M. (2014). Fire weather and large fire potential in the northern</w:t>
      </w:r>
      <w:r>
        <w:t xml:space="preserve"> </w:t>
      </w:r>
      <w:r>
        <w:t xml:space="preserve">Sierra Nevada</w:t>
      </w:r>
      <w:r>
        <w:t xml:space="preserve">.</w:t>
      </w:r>
      <w:r>
        <w:t xml:space="preserve"> </w:t>
      </w:r>
      <w:r>
        <w:rPr>
          <w:i/>
          <w:iCs/>
        </w:rPr>
        <w:t xml:space="preserve">Agricultural and Forest Meteorology</w:t>
      </w:r>
      <w:r>
        <w:t xml:space="preserve">,</w:t>
      </w:r>
      <w:r>
        <w:t xml:space="preserve"> </w:t>
      </w:r>
      <w:r>
        <w:rPr>
          <w:i/>
          <w:iCs/>
        </w:rPr>
        <w:t xml:space="preserve">189-190</w:t>
      </w:r>
      <w:r>
        <w:t xml:space="preserve">, 30–35. Elsevier BV. Retrieved from</w:t>
      </w:r>
      <w:r>
        <w:t xml:space="preserve"> </w:t>
      </w:r>
      <w:hyperlink r:id="rId145">
        <w:r>
          <w:rPr>
            <w:rStyle w:val="Hyperlink"/>
          </w:rPr>
          <w:t xml:space="preserve">http://dx.doi.org/10.1016/j.agrformet.2014.01.005</w:t>
        </w:r>
      </w:hyperlink>
    </w:p>
    <w:bookmarkEnd w:id="146"/>
    <w:bookmarkStart w:id="148" w:name="ref-collins2025decreasing"/>
    <w:p>
      <w:pPr>
        <w:pStyle w:val="Bibliography"/>
      </w:pPr>
      <w:r>
        <w:t xml:space="preserve">Collins, B. M. (2025). Decreasing frequency of low and moderate fire weather days may be contributing to large wildfire occurrence in the northern</w:t>
      </w:r>
      <w:r>
        <w:t xml:space="preserve"> </w:t>
      </w:r>
      <w:r>
        <w:t xml:space="preserve">Sierra Nevada</w:t>
      </w:r>
      <w:r>
        <w:t xml:space="preserve">.</w:t>
      </w:r>
      <w:r>
        <w:t xml:space="preserve"> </w:t>
      </w:r>
      <w:r>
        <w:rPr>
          <w:i/>
          <w:iCs/>
        </w:rPr>
        <w:t xml:space="preserve">Agricultural and Forest Meteorology</w:t>
      </w:r>
      <w:r>
        <w:t xml:space="preserve">,</w:t>
      </w:r>
      <w:r>
        <w:t xml:space="preserve"> </w:t>
      </w:r>
      <w:r>
        <w:rPr>
          <w:i/>
          <w:iCs/>
        </w:rPr>
        <w:t xml:space="preserve">372</w:t>
      </w:r>
      <w:r>
        <w:t xml:space="preserve">, 110688. Elsevier BV. Retrieved from</w:t>
      </w:r>
      <w:r>
        <w:t xml:space="preserve"> </w:t>
      </w:r>
      <w:hyperlink r:id="rId147">
        <w:r>
          <w:rPr>
            <w:rStyle w:val="Hyperlink"/>
          </w:rPr>
          <w:t xml:space="preserve">http://dx.doi.org/10.1016/j.agrformet.2025.110688</w:t>
        </w:r>
      </w:hyperlink>
    </w:p>
    <w:bookmarkEnd w:id="148"/>
    <w:bookmarkStart w:id="150" w:name="ref-coogan2025lightning"/>
    <w:p>
      <w:pPr>
        <w:pStyle w:val="Bibliography"/>
      </w:pPr>
      <w:r>
        <w:t xml:space="preserve">Coogan, S. C. P., Cannon, A. J., &amp; Flannigan, M. D. (2025). Lightning ignition efficiency in</w:t>
      </w:r>
      <w:r>
        <w:t xml:space="preserve"> </w:t>
      </w:r>
      <w:r>
        <w:t xml:space="preserve">Canadian</w:t>
      </w:r>
      <w:r>
        <w:t xml:space="preserve"> </w:t>
      </w:r>
      <w:r>
        <w:t xml:space="preserve">forests.</w:t>
      </w:r>
      <w:r>
        <w:t xml:space="preserve"> </w:t>
      </w:r>
      <w:r>
        <w:rPr>
          <w:i/>
          <w:iCs/>
        </w:rPr>
        <w:t xml:space="preserve">Fire Ecology</w:t>
      </w:r>
      <w:r>
        <w:t xml:space="preserve">,</w:t>
      </w:r>
      <w:r>
        <w:t xml:space="preserve"> </w:t>
      </w:r>
      <w:r>
        <w:rPr>
          <w:i/>
          <w:iCs/>
        </w:rPr>
        <w:t xml:space="preserve">21</w:t>
      </w:r>
      <w:r>
        <w:t xml:space="preserve">(1). Springer Science; Business Media LLC. Retrieved from</w:t>
      </w:r>
      <w:r>
        <w:t xml:space="preserve"> </w:t>
      </w:r>
      <w:hyperlink r:id="rId149">
        <w:r>
          <w:rPr>
            <w:rStyle w:val="Hyperlink"/>
          </w:rPr>
          <w:t xml:space="preserve">http://dx.doi.org/10.1186/s42408-025-00376-1</w:t>
        </w:r>
      </w:hyperlink>
    </w:p>
    <w:bookmarkEnd w:id="150"/>
    <w:bookmarkStart w:id="152" w:name="ref-coops2018burned"/>
    <w:p>
      <w:pPr>
        <w:pStyle w:val="Bibliography"/>
      </w:pPr>
      <w:r>
        <w:t xml:space="preserve">Coops, N. C., Hermosilla, T., Wulder, M. A., White, J. C., &amp; Bolton, D. K. (2018). A thirty year, fine-scale, characterization of area burned in</w:t>
      </w:r>
      <w:r>
        <w:t xml:space="preserve"> </w:t>
      </w:r>
      <w:r>
        <w:t xml:space="preserve">Canadian</w:t>
      </w:r>
      <w:r>
        <w:t xml:space="preserve"> </w:t>
      </w:r>
      <w:r>
        <w:t xml:space="preserve">forests shows evidence of regionally increasing trends in the last decade. (E. G. Lamb, Ed.)</w:t>
      </w:r>
      <w:r>
        <w:rPr>
          <w:i/>
          <w:iCs/>
        </w:rPr>
        <w:t xml:space="preserve">PLOS ONE</w:t>
      </w:r>
      <w:r>
        <w:t xml:space="preserve">,</w:t>
      </w:r>
      <w:r>
        <w:t xml:space="preserve"> </w:t>
      </w:r>
      <w:r>
        <w:rPr>
          <w:i/>
          <w:iCs/>
        </w:rPr>
        <w:t xml:space="preserve">13</w:t>
      </w:r>
      <w:r>
        <w:t xml:space="preserve">(5), e0197218. Public Library of Science (PLoS). Retrieved from</w:t>
      </w:r>
      <w:r>
        <w:t xml:space="preserve"> </w:t>
      </w:r>
      <w:hyperlink r:id="rId151">
        <w:r>
          <w:rPr>
            <w:rStyle w:val="Hyperlink"/>
          </w:rPr>
          <w:t xml:space="preserve">http://dx.doi.org/10.1371/journal.pone.0197218</w:t>
        </w:r>
      </w:hyperlink>
    </w:p>
    <w:bookmarkEnd w:id="152"/>
    <w:bookmarkStart w:id="154" w:name="ref-copesgerbitz2022governance"/>
    <w:p>
      <w:pPr>
        <w:pStyle w:val="Bibliography"/>
      </w:pPr>
      <w:r>
        <w:t xml:space="preserve">Copes-Gerbitz, K., Hagerman, S. M., &amp; Daniels, L. D. (2022). Transforming fire governance in</w:t>
      </w:r>
      <w:r>
        <w:t xml:space="preserve"> </w:t>
      </w:r>
      <w:r>
        <w:t xml:space="preserve">British Columbia</w:t>
      </w:r>
      <w:r>
        <w:t xml:space="preserve">,</w:t>
      </w:r>
      <w:r>
        <w:t xml:space="preserve"> </w:t>
      </w:r>
      <w:r>
        <w:t xml:space="preserve">Canada</w:t>
      </w:r>
      <w:r>
        <w:t xml:space="preserve">: An emerging vision for coexisting with fire.</w:t>
      </w:r>
      <w:r>
        <w:t xml:space="preserve"> </w:t>
      </w:r>
      <w:r>
        <w:rPr>
          <w:i/>
          <w:iCs/>
        </w:rPr>
        <w:t xml:space="preserve">Regional Environmental Change</w:t>
      </w:r>
      <w:r>
        <w:t xml:space="preserve">,</w:t>
      </w:r>
      <w:r>
        <w:t xml:space="preserve"> </w:t>
      </w:r>
      <w:r>
        <w:rPr>
          <w:i/>
          <w:iCs/>
        </w:rPr>
        <w:t xml:space="preserve">22</w:t>
      </w:r>
      <w:r>
        <w:t xml:space="preserve">(2). Springer Science; Business Media LLC. Retrieved from</w:t>
      </w:r>
      <w:r>
        <w:t xml:space="preserve"> </w:t>
      </w:r>
      <w:hyperlink r:id="rId153">
        <w:r>
          <w:rPr>
            <w:rStyle w:val="Hyperlink"/>
          </w:rPr>
          <w:t xml:space="preserve">http://dx.doi.org/10.1007/s10113-022-01895-2</w:t>
        </w:r>
      </w:hyperlink>
    </w:p>
    <w:bookmarkEnd w:id="154"/>
    <w:bookmarkStart w:id="156" w:name="ref-copesgerbitz2022indigenous"/>
    <w:p>
      <w:pPr>
        <w:pStyle w:val="Bibliography"/>
      </w:pPr>
      <w:r>
        <w:t xml:space="preserve">Copes‐Gerbitz, K., Daniels, L. D., &amp; Hagerman, S. M. (2022). The contribution of</w:t>
      </w:r>
      <w:r>
        <w:t xml:space="preserve"> </w:t>
      </w:r>
      <w:r>
        <w:t xml:space="preserve">Indigenous</w:t>
      </w:r>
      <w:r>
        <w:t xml:space="preserve"> </w:t>
      </w:r>
      <w:r>
        <w:t xml:space="preserve">stewardship to an historical mixed‐severity fire regime in</w:t>
      </w:r>
      <w:r>
        <w:t xml:space="preserve"> </w:t>
      </w:r>
      <w:r>
        <w:t xml:space="preserve">British Columbia</w:t>
      </w:r>
      <w:r>
        <w:t xml:space="preserve">,</w:t>
      </w:r>
      <w:r>
        <w:t xml:space="preserve"> </w:t>
      </w:r>
      <w:r>
        <w:t xml:space="preserve">Canada</w:t>
      </w:r>
      <w:r>
        <w:t xml:space="preserve">.</w:t>
      </w:r>
      <w:r>
        <w:t xml:space="preserve"> </w:t>
      </w:r>
      <w:r>
        <w:rPr>
          <w:i/>
          <w:iCs/>
        </w:rPr>
        <w:t xml:space="preserve">Ecological Applications</w:t>
      </w:r>
      <w:r>
        <w:t xml:space="preserve">,</w:t>
      </w:r>
      <w:r>
        <w:t xml:space="preserve"> </w:t>
      </w:r>
      <w:r>
        <w:rPr>
          <w:i/>
          <w:iCs/>
        </w:rPr>
        <w:t xml:space="preserve">33</w:t>
      </w:r>
      <w:r>
        <w:t xml:space="preserve">(1). Wiley. Retrieved from</w:t>
      </w:r>
      <w:r>
        <w:t xml:space="preserve"> </w:t>
      </w:r>
      <w:hyperlink r:id="rId155">
        <w:r>
          <w:rPr>
            <w:rStyle w:val="Hyperlink"/>
          </w:rPr>
          <w:t xml:space="preserve">http://dx.doi.org/10.1002/eap.2736</w:t>
        </w:r>
      </w:hyperlink>
    </w:p>
    <w:bookmarkEnd w:id="156"/>
    <w:bookmarkStart w:id="158" w:name="ref-daniels2011climate"/>
    <w:p>
      <w:pPr>
        <w:pStyle w:val="Bibliography"/>
      </w:pPr>
      <w:r>
        <w:t xml:space="preserve">Daniels, L. D., Maertens, T. B., Stan, A. B., McCloskey, S. P. J., Cochrane, J. D., &amp; Gray, R. W. (2011). Direct and indirect impacts of climate change on forests: Three case studies from</w:t>
      </w:r>
      <w:r>
        <w:t xml:space="preserve"> </w:t>
      </w:r>
      <w:r>
        <w:t xml:space="preserve">British Columbia</w:t>
      </w:r>
      <w:r>
        <w:t xml:space="preserve">.</w:t>
      </w:r>
      <w:r>
        <w:t xml:space="preserve"> </w:t>
      </w:r>
      <w:r>
        <w:rPr>
          <w:i/>
          <w:iCs/>
        </w:rPr>
        <w:t xml:space="preserve">Canadian Journal of Plant Pathology</w:t>
      </w:r>
      <w:r>
        <w:t xml:space="preserve">,</w:t>
      </w:r>
      <w:r>
        <w:t xml:space="preserve"> </w:t>
      </w:r>
      <w:r>
        <w:rPr>
          <w:i/>
          <w:iCs/>
        </w:rPr>
        <w:t xml:space="preserve">33</w:t>
      </w:r>
      <w:r>
        <w:t xml:space="preserve">(2), 108–116. Informa UK Limited. Retrieved from</w:t>
      </w:r>
      <w:r>
        <w:t xml:space="preserve"> </w:t>
      </w:r>
      <w:hyperlink r:id="rId157">
        <w:r>
          <w:rPr>
            <w:rStyle w:val="Hyperlink"/>
          </w:rPr>
          <w:t xml:space="preserve">http://dx.doi.org/10.1080/07060661.2011.563906</w:t>
        </w:r>
      </w:hyperlink>
    </w:p>
    <w:bookmarkEnd w:id="158"/>
    <w:bookmarkStart w:id="160" w:name="ref-diciccio1996bootstrap"/>
    <w:p>
      <w:pPr>
        <w:pStyle w:val="Bibliography"/>
      </w:pPr>
      <w:r>
        <w:t xml:space="preserve">DiCiccio, T. J., &amp; Efron, B. (1996). Bootstrap confidence intervals.</w:t>
      </w:r>
      <w:r>
        <w:t xml:space="preserve"> </w:t>
      </w:r>
      <w:r>
        <w:rPr>
          <w:i/>
          <w:iCs/>
        </w:rPr>
        <w:t xml:space="preserve">Statistical Science</w:t>
      </w:r>
      <w:r>
        <w:t xml:space="preserve">,</w:t>
      </w:r>
      <w:r>
        <w:t xml:space="preserve"> </w:t>
      </w:r>
      <w:r>
        <w:rPr>
          <w:i/>
          <w:iCs/>
        </w:rPr>
        <w:t xml:space="preserve">11</w:t>
      </w:r>
      <w:r>
        <w:t xml:space="preserve">(3). Institute of Mathematical Statistics. Retrieved from</w:t>
      </w:r>
      <w:r>
        <w:t xml:space="preserve"> </w:t>
      </w:r>
      <w:hyperlink r:id="rId159">
        <w:r>
          <w:rPr>
            <w:rStyle w:val="Hyperlink"/>
          </w:rPr>
          <w:t xml:space="preserve">http://dx.doi.org/10.1214/ss/1032280214</w:t>
        </w:r>
      </w:hyperlink>
    </w:p>
    <w:bookmarkEnd w:id="160"/>
    <w:bookmarkStart w:id="162" w:name="ref-dowdy2010sensitivity"/>
    <w:p>
      <w:pPr>
        <w:pStyle w:val="Bibliography"/>
      </w:pPr>
      <w:r>
        <w:t xml:space="preserve">Dowdy, A. J., Mills, G. A., Finkele, K., &amp; Groot, W. de. (2009). Index sensitivity analysis applied to the</w:t>
      </w:r>
      <w:r>
        <w:t xml:space="preserve"> </w:t>
      </w:r>
      <w:r>
        <w:t xml:space="preserve">Canadian Forest Fire Weather Index</w:t>
      </w:r>
      <w:r>
        <w:t xml:space="preserve"> </w:t>
      </w:r>
      <w:r>
        <w:t xml:space="preserve">and the</w:t>
      </w:r>
      <w:r>
        <w:t xml:space="preserve"> </w:t>
      </w:r>
      <w:r>
        <w:t xml:space="preserve">McArthur Forest Fire Danger Index</w:t>
      </w:r>
      <w:r>
        <w:t xml:space="preserve">: INDEX SENSITIVITY ANALYSIS APPLIED TO THE CANADIAN.</w:t>
      </w:r>
      <w:r>
        <w:t xml:space="preserve"> </w:t>
      </w:r>
      <w:r>
        <w:rPr>
          <w:i/>
          <w:iCs/>
        </w:rPr>
        <w:t xml:space="preserve">Meteorological Applications</w:t>
      </w:r>
      <w:r>
        <w:t xml:space="preserve">,</w:t>
      </w:r>
      <w:r>
        <w:t xml:space="preserve"> </w:t>
      </w:r>
      <w:r>
        <w:rPr>
          <w:i/>
          <w:iCs/>
        </w:rPr>
        <w:t xml:space="preserve">17</w:t>
      </w:r>
      <w:r>
        <w:t xml:space="preserve">(3), 298–312. Wiley. Retrieved from</w:t>
      </w:r>
      <w:r>
        <w:t xml:space="preserve"> </w:t>
      </w:r>
      <w:hyperlink r:id="rId161">
        <w:r>
          <w:rPr>
            <w:rStyle w:val="Hyperlink"/>
          </w:rPr>
          <w:t xml:space="preserve">http://dx.doi.org/10.1002/met.170</w:t>
        </w:r>
      </w:hyperlink>
    </w:p>
    <w:bookmarkEnd w:id="162"/>
    <w:bookmarkStart w:id="164" w:name="ref-drobyshev2021trends"/>
    <w:p>
      <w:pPr>
        <w:pStyle w:val="Bibliography"/>
      </w:pPr>
      <w:r>
        <w:t xml:space="preserve">Drobyshev, I., Ryzhkova, N., Eden, J., Kitenberga, M., Pinto, G., Lindberg, H., Krikken, F., et al. (2021). Trends and patterns in annually burned forest areas and fire weather across the</w:t>
      </w:r>
      <w:r>
        <w:t xml:space="preserve"> </w:t>
      </w:r>
      <w:r>
        <w:t xml:space="preserve">European</w:t>
      </w:r>
      <w:r>
        <w:t xml:space="preserve"> </w:t>
      </w:r>
      <w:r>
        <w:t xml:space="preserve">boreal zone in the 20th and early 21st centuries.</w:t>
      </w:r>
      <w:r>
        <w:t xml:space="preserve"> </w:t>
      </w:r>
      <w:r>
        <w:rPr>
          <w:i/>
          <w:iCs/>
        </w:rPr>
        <w:t xml:space="preserve">Agricultural and Forest Meteorology</w:t>
      </w:r>
      <w:r>
        <w:t xml:space="preserve">,</w:t>
      </w:r>
      <w:r>
        <w:t xml:space="preserve"> </w:t>
      </w:r>
      <w:r>
        <w:rPr>
          <w:i/>
          <w:iCs/>
        </w:rPr>
        <w:t xml:space="preserve">306</w:t>
      </w:r>
      <w:r>
        <w:t xml:space="preserve">, 108467. Elsevier BV. Retrieved from</w:t>
      </w:r>
      <w:r>
        <w:t xml:space="preserve"> </w:t>
      </w:r>
      <w:hyperlink r:id="rId163">
        <w:r>
          <w:rPr>
            <w:rStyle w:val="Hyperlink"/>
          </w:rPr>
          <w:t xml:space="preserve">http://dx.doi.org/10.1016/j.agrformet.2021.108467</w:t>
        </w:r>
      </w:hyperlink>
    </w:p>
    <w:bookmarkEnd w:id="164"/>
    <w:bookmarkStart w:id="166" w:name="ref-dunn2022reference"/>
    <w:p>
      <w:pPr>
        <w:pStyle w:val="Bibliography"/>
      </w:pPr>
      <w:r>
        <w:t xml:space="preserve">Dunn, R. J. H., &amp; Morice, C. P. (2022). On the effect of reference periods on trends in percentile-based extreme temperature indices.</w:t>
      </w:r>
      <w:r>
        <w:t xml:space="preserve"> </w:t>
      </w:r>
      <w:r>
        <w:rPr>
          <w:i/>
          <w:iCs/>
        </w:rPr>
        <w:t xml:space="preserve">Environmental Research Letters</w:t>
      </w:r>
      <w:r>
        <w:t xml:space="preserve">,</w:t>
      </w:r>
      <w:r>
        <w:t xml:space="preserve"> </w:t>
      </w:r>
      <w:r>
        <w:rPr>
          <w:i/>
          <w:iCs/>
        </w:rPr>
        <w:t xml:space="preserve">17</w:t>
      </w:r>
      <w:r>
        <w:t xml:space="preserve">(3), 034026. IOP Publishing. Retrieved from</w:t>
      </w:r>
      <w:r>
        <w:t xml:space="preserve"> </w:t>
      </w:r>
      <w:hyperlink r:id="rId165">
        <w:r>
          <w:rPr>
            <w:rStyle w:val="Hyperlink"/>
          </w:rPr>
          <w:t xml:space="preserve">http://dx.doi.org/10.1088/1748-9326/ac52c8</w:t>
        </w:r>
      </w:hyperlink>
    </w:p>
    <w:bookmarkEnd w:id="166"/>
    <w:bookmarkStart w:id="168" w:name="ref-eastaugh2012cautionary"/>
    <w:p>
      <w:pPr>
        <w:pStyle w:val="Bibliography"/>
      </w:pPr>
      <w:r>
        <w:t xml:space="preserve">Eastaugh, C. S., Arpaci, A., &amp; Vacik, H. (2012). A cautionary note regarding comparisons of fire danger indices.</w:t>
      </w:r>
      <w:r>
        <w:t xml:space="preserve"> </w:t>
      </w:r>
      <w:r>
        <w:rPr>
          <w:i/>
          <w:iCs/>
        </w:rPr>
        <w:t xml:space="preserve">Natural Hazards and Earth System Sciences</w:t>
      </w:r>
      <w:r>
        <w:t xml:space="preserve">,</w:t>
      </w:r>
      <w:r>
        <w:t xml:space="preserve"> </w:t>
      </w:r>
      <w:r>
        <w:rPr>
          <w:i/>
          <w:iCs/>
        </w:rPr>
        <w:t xml:space="preserve">12</w:t>
      </w:r>
      <w:r>
        <w:t xml:space="preserve">(4), 927–934. Copernicus GmbH. Retrieved from</w:t>
      </w:r>
      <w:r>
        <w:t xml:space="preserve"> </w:t>
      </w:r>
      <w:hyperlink r:id="rId167">
        <w:r>
          <w:rPr>
            <w:rStyle w:val="Hyperlink"/>
          </w:rPr>
          <w:t xml:space="preserve">http://dx.doi.org/10.5194/nhess-12-927-2012</w:t>
        </w:r>
      </w:hyperlink>
    </w:p>
    <w:bookmarkEnd w:id="168"/>
    <w:bookmarkStart w:id="170" w:name="ref-efron1987better"/>
    <w:p>
      <w:pPr>
        <w:pStyle w:val="Bibliography"/>
      </w:pPr>
      <w:r>
        <w:t xml:space="preserve">Efron, B. (1987). Better bootstrap confidence intervals.</w:t>
      </w:r>
      <w:r>
        <w:t xml:space="preserve"> </w:t>
      </w:r>
      <w:r>
        <w:rPr>
          <w:i/>
          <w:iCs/>
        </w:rPr>
        <w:t xml:space="preserve">Journal of the American Statistical Association</w:t>
      </w:r>
      <w:r>
        <w:t xml:space="preserve">,</w:t>
      </w:r>
      <w:r>
        <w:t xml:space="preserve"> </w:t>
      </w:r>
      <w:r>
        <w:rPr>
          <w:i/>
          <w:iCs/>
        </w:rPr>
        <w:t xml:space="preserve">82</w:t>
      </w:r>
      <w:r>
        <w:t xml:space="preserve">(397), 171–185. Informa UK Limited. Retrieved from</w:t>
      </w:r>
      <w:r>
        <w:t xml:space="preserve"> </w:t>
      </w:r>
      <w:hyperlink r:id="rId169">
        <w:r>
          <w:rPr>
            <w:rStyle w:val="Hyperlink"/>
          </w:rPr>
          <w:t xml:space="preserve">http://dx.doi.org/10.1080/01621459.1987.10478410</w:t>
        </w:r>
      </w:hyperlink>
    </w:p>
    <w:bookmarkEnd w:id="170"/>
    <w:bookmarkStart w:id="172" w:name="ref-wsc2026subsubdrainage"/>
    <w:p>
      <w:pPr>
        <w:pStyle w:val="Bibliography"/>
      </w:pPr>
      <w:r>
        <w:t xml:space="preserve">Environmental Monitoring and Analysis Branch. (2026).</w:t>
      </w:r>
      <w:r>
        <w:t xml:space="preserve"> </w:t>
      </w:r>
      <w:r>
        <w:t xml:space="preserve">Water Survey of Canada</w:t>
      </w:r>
      <w:r>
        <w:t xml:space="preserve"> </w:t>
      </w:r>
      <w:r>
        <w:t xml:space="preserve">Sub-Sub-Drainage Areas</w:t>
      </w:r>
      <w:r>
        <w:t xml:space="preserve"> </w:t>
      </w:r>
      <w:r>
        <w:t xml:space="preserve">(</w:t>
      </w:r>
      <w:r>
        <w:t xml:space="preserve">WHSE_IMAGERY_AND_BASE_MAPS.DRP_SUB_SUB_DRAINAGES_1M_SP</w:t>
      </w:r>
      <w:r>
        <w:t xml:space="preserve">). BC Data Catalogue, Open Government Licence – Canada. Retrieved from</w:t>
      </w:r>
      <w:r>
        <w:t xml:space="preserve"> </w:t>
      </w:r>
      <w:hyperlink r:id="rId171">
        <w:r>
          <w:rPr>
            <w:rStyle w:val="Hyperlink"/>
          </w:rPr>
          <w:t xml:space="preserve">https://catalogue.data.gov.bc.ca/dataset/water-survey-of-canada-sub-sub-drainage-areas</w:t>
        </w:r>
      </w:hyperlink>
    </w:p>
    <w:bookmarkEnd w:id="172"/>
    <w:bookmarkStart w:id="174" w:name="ref-field2020gfwed"/>
    <w:p>
      <w:pPr>
        <w:pStyle w:val="Bibliography"/>
      </w:pPr>
      <w:r>
        <w:t xml:space="preserve">Field, Robert D. (2020). Evaluation of</w:t>
      </w:r>
      <w:r>
        <w:t xml:space="preserve"> </w:t>
      </w:r>
      <w:r>
        <w:t xml:space="preserve">Global Fire Weather Database</w:t>
      </w:r>
      <w:r>
        <w:t xml:space="preserve"> </w:t>
      </w:r>
      <w:r>
        <w:t xml:space="preserve">reanalysis and short-term forecast products.</w:t>
      </w:r>
      <w:r>
        <w:t xml:space="preserve"> </w:t>
      </w:r>
      <w:r>
        <w:rPr>
          <w:i/>
          <w:iCs/>
        </w:rPr>
        <w:t xml:space="preserve">Natural Hazards and Earth System Sciences</w:t>
      </w:r>
      <w:r>
        <w:t xml:space="preserve">,</w:t>
      </w:r>
      <w:r>
        <w:t xml:space="preserve"> </w:t>
      </w:r>
      <w:r>
        <w:rPr>
          <w:i/>
          <w:iCs/>
        </w:rPr>
        <w:t xml:space="preserve">20</w:t>
      </w:r>
      <w:r>
        <w:t xml:space="preserve">(4), 1123–1147. Copernicus GmbH. Retrieved from</w:t>
      </w:r>
      <w:r>
        <w:t xml:space="preserve"> </w:t>
      </w:r>
      <w:hyperlink r:id="rId173">
        <w:r>
          <w:rPr>
            <w:rStyle w:val="Hyperlink"/>
          </w:rPr>
          <w:t xml:space="preserve">http://dx.doi.org/10.5194/nhess-20-1123-2020</w:t>
        </w:r>
      </w:hyperlink>
    </w:p>
    <w:bookmarkEnd w:id="174"/>
    <w:bookmarkStart w:id="176" w:name="ref-field2015gfwed"/>
    <w:p>
      <w:pPr>
        <w:pStyle w:val="Bibliography"/>
      </w:pPr>
      <w:r>
        <w:t xml:space="preserve">Field, R. D., Spessa, A. C., Aziz, N. A., Camia, A., Cantin, A., Carr, R., Groot, W. J. de, et al. (2015). Development of a</w:t>
      </w:r>
      <w:r>
        <w:t xml:space="preserve"> </w:t>
      </w:r>
      <w:r>
        <w:t xml:space="preserve">Global Fire Weather Database</w:t>
      </w:r>
      <w:r>
        <w:t xml:space="preserve">.</w:t>
      </w:r>
      <w:r>
        <w:t xml:space="preserve"> </w:t>
      </w:r>
      <w:r>
        <w:rPr>
          <w:i/>
          <w:iCs/>
        </w:rPr>
        <w:t xml:space="preserve">Natural Hazards and Earth System Sciences</w:t>
      </w:r>
      <w:r>
        <w:t xml:space="preserve">,</w:t>
      </w:r>
      <w:r>
        <w:t xml:space="preserve"> </w:t>
      </w:r>
      <w:r>
        <w:rPr>
          <w:i/>
          <w:iCs/>
        </w:rPr>
        <w:t xml:space="preserve">15</w:t>
      </w:r>
      <w:r>
        <w:t xml:space="preserve">(6), 1407–1423. Copernicus GmbH. Retrieved from</w:t>
      </w:r>
      <w:r>
        <w:t xml:space="preserve"> </w:t>
      </w:r>
      <w:hyperlink r:id="rId175">
        <w:r>
          <w:rPr>
            <w:rStyle w:val="Hyperlink"/>
          </w:rPr>
          <w:t xml:space="preserve">http://dx.doi.org/10.5194/nhess-15-1407-2015</w:t>
        </w:r>
      </w:hyperlink>
    </w:p>
    <w:bookmarkEnd w:id="176"/>
    <w:bookmarkStart w:id="178" w:name="ref-filmon2004firestorm"/>
    <w:p>
      <w:pPr>
        <w:pStyle w:val="Bibliography"/>
      </w:pPr>
      <w:r>
        <w:t xml:space="preserve">Filmon, G. (2004).</w:t>
      </w:r>
      <w:r>
        <w:t xml:space="preserve"> </w:t>
      </w:r>
      <w:r>
        <w:rPr>
          <w:i/>
          <w:iCs/>
        </w:rPr>
        <w:t xml:space="preserve">Firestorm</w:t>
      </w:r>
      <w:r>
        <w:rPr>
          <w:i/>
          <w:iCs/>
        </w:rPr>
        <w:t xml:space="preserve"> </w:t>
      </w:r>
      <w:r>
        <w:rPr>
          <w:i/>
          <w:iCs/>
        </w:rPr>
        <w:t xml:space="preserve">2003</w:t>
      </w:r>
      <w:r>
        <w:rPr>
          <w:i/>
          <w:iCs/>
        </w:rPr>
        <w:t xml:space="preserve"> </w:t>
      </w:r>
      <w:r>
        <w:rPr>
          <w:i/>
          <w:iCs/>
        </w:rPr>
        <w:t xml:space="preserve">Provincial Review</w:t>
      </w:r>
      <w:r>
        <w:t xml:space="preserve">. Victoria, British Columbia: Province of British Columbia. Retrieved from</w:t>
      </w:r>
      <w:r>
        <w:t xml:space="preserve"> </w:t>
      </w:r>
      <w:hyperlink r:id="rId177">
        <w:r>
          <w:rPr>
            <w:rStyle w:val="Hyperlink"/>
          </w:rPr>
          <w:t xml:space="preserve">https://www2.gov.bc.ca/assets/gov/public-safety-and-emergency-services/wildfire-status/governance/bcws_firestormreport_2003.pdf</w:t>
        </w:r>
      </w:hyperlink>
    </w:p>
    <w:bookmarkEnd w:id="178"/>
    <w:bookmarkStart w:id="180" w:name="ref-flannigan1991lightning"/>
    <w:p>
      <w:pPr>
        <w:pStyle w:val="Bibliography"/>
      </w:pPr>
      <w:r>
        <w:t xml:space="preserve">Flannigan, M. D., &amp; Wotton, B. M. (1991). Lightning-ignited forest fires in northwestern</w:t>
      </w:r>
      <w:r>
        <w:t xml:space="preserve"> </w:t>
      </w:r>
      <w:r>
        <w:t xml:space="preserve">Ontario</w:t>
      </w:r>
      <w:r>
        <w:t xml:space="preserve">.</w:t>
      </w:r>
      <w:r>
        <w:t xml:space="preserve"> </w:t>
      </w:r>
      <w:r>
        <w:rPr>
          <w:i/>
          <w:iCs/>
        </w:rPr>
        <w:t xml:space="preserve">Canadian Journal of Forest Research</w:t>
      </w:r>
      <w:r>
        <w:t xml:space="preserve">,</w:t>
      </w:r>
      <w:r>
        <w:t xml:space="preserve"> </w:t>
      </w:r>
      <w:r>
        <w:rPr>
          <w:i/>
          <w:iCs/>
        </w:rPr>
        <w:t xml:space="preserve">21</w:t>
      </w:r>
      <w:r>
        <w:t xml:space="preserve">(3), 277–287. Canadian Science Publishing. Retrieved from</w:t>
      </w:r>
      <w:r>
        <w:t xml:space="preserve"> </w:t>
      </w:r>
      <w:hyperlink r:id="rId179">
        <w:r>
          <w:rPr>
            <w:rStyle w:val="Hyperlink"/>
          </w:rPr>
          <w:t xml:space="preserve">http://dx.doi.org/10.1139/x91-035</w:t>
        </w:r>
      </w:hyperlink>
    </w:p>
    <w:bookmarkEnd w:id="180"/>
    <w:bookmarkStart w:id="182" w:name="ref-fcfdg1992fbp"/>
    <w:p>
      <w:pPr>
        <w:pStyle w:val="Bibliography"/>
      </w:pPr>
      <w:r>
        <w:t xml:space="preserve">Forestry Canada Fire Danger Group. (1992).</w:t>
      </w:r>
      <w:r>
        <w:t xml:space="preserve"> </w:t>
      </w:r>
      <w:r>
        <w:rPr>
          <w:i/>
          <w:iCs/>
        </w:rPr>
        <w:t xml:space="preserve">Development and structure of the</w:t>
      </w:r>
      <w:r>
        <w:rPr>
          <w:i/>
          <w:iCs/>
        </w:rPr>
        <w:t xml:space="preserve"> </w:t>
      </w:r>
      <w:r>
        <w:rPr>
          <w:i/>
          <w:iCs/>
        </w:rPr>
        <w:t xml:space="preserve">Canadian Forest Fire Behaviour Prediction System</w:t>
      </w:r>
      <w:r>
        <w:t xml:space="preserve"> </w:t>
      </w:r>
      <w:r>
        <w:t xml:space="preserve">(Information Report No. ST-X-3). Forestry Canada, Science; Sustainable Development Directorate. Retrieved from</w:t>
      </w:r>
      <w:r>
        <w:t xml:space="preserve"> </w:t>
      </w:r>
      <w:hyperlink r:id="rId181">
        <w:r>
          <w:rPr>
            <w:rStyle w:val="Hyperlink"/>
          </w:rPr>
          <w:t xml:space="preserve">https://ostrnrcan-dostrncan.canada.ca/handle/1845/235421</w:t>
        </w:r>
      </w:hyperlink>
    </w:p>
    <w:bookmarkEnd w:id="182"/>
    <w:bookmarkStart w:id="184" w:name="ref-frei2001rare"/>
    <w:p>
      <w:pPr>
        <w:pStyle w:val="Bibliography"/>
      </w:pPr>
      <w:r>
        <w:t xml:space="preserve">Frei, C., &amp; Schär, C. (2001). Detection probability of trends in rare events: Theory and application to heavy precipitation in the</w:t>
      </w:r>
      <w:r>
        <w:t xml:space="preserve"> </w:t>
      </w:r>
      <w:r>
        <w:t xml:space="preserve">Alpine Region</w:t>
      </w:r>
      <w:r>
        <w:t xml:space="preserve">.</w:t>
      </w:r>
      <w:r>
        <w:t xml:space="preserve"> </w:t>
      </w:r>
      <w:r>
        <w:rPr>
          <w:i/>
          <w:iCs/>
        </w:rPr>
        <w:t xml:space="preserve">Journal of Climate</w:t>
      </w:r>
      <w:r>
        <w:t xml:space="preserve">,</w:t>
      </w:r>
      <w:r>
        <w:t xml:space="preserve"> </w:t>
      </w:r>
      <w:r>
        <w:rPr>
          <w:i/>
          <w:iCs/>
        </w:rPr>
        <w:t xml:space="preserve">14</w:t>
      </w:r>
      <w:r>
        <w:t xml:space="preserve">(7), 1568–1584. American Meteorological Society. Retrieved from</w:t>
      </w:r>
      <w:r>
        <w:t xml:space="preserve"> </w:t>
      </w:r>
      <w:hyperlink r:id="rId183">
        <w:r>
          <w:rPr>
            <w:rStyle w:val="Hyperlink"/>
          </w:rPr>
          <w:t xml:space="preserve">http://dx.doi.org/10.1175/1520-0442(2001)014&lt;1568:dpotir&gt;2.0.co;2</w:t>
        </w:r>
      </w:hyperlink>
    </w:p>
    <w:bookmarkEnd w:id="184"/>
    <w:bookmarkStart w:id="186" w:name="ref-gao2026distinct"/>
    <w:p>
      <w:pPr>
        <w:pStyle w:val="Bibliography"/>
      </w:pPr>
      <w:r>
        <w:t xml:space="preserve">Gao, C., Li, J., Fang, K., Zhang, X., Zhang, Q., &amp; Shi, C. (2026). Distinct seasonality and trends of natural and anthropogenic wildfires in boreal forests.</w:t>
      </w:r>
      <w:r>
        <w:t xml:space="preserve"> </w:t>
      </w:r>
      <w:r>
        <w:rPr>
          <w:i/>
          <w:iCs/>
        </w:rPr>
        <w:t xml:space="preserve">Agricultural and Forest Meteorology</w:t>
      </w:r>
      <w:r>
        <w:t xml:space="preserve">,</w:t>
      </w:r>
      <w:r>
        <w:t xml:space="preserve"> </w:t>
      </w:r>
      <w:r>
        <w:rPr>
          <w:i/>
          <w:iCs/>
        </w:rPr>
        <w:t xml:space="preserve">389</w:t>
      </w:r>
      <w:r>
        <w:t xml:space="preserve">, 111436. Elsevier BV. Retrieved from</w:t>
      </w:r>
      <w:r>
        <w:t xml:space="preserve"> </w:t>
      </w:r>
      <w:hyperlink r:id="rId185">
        <w:r>
          <w:rPr>
            <w:rStyle w:val="Hyperlink"/>
          </w:rPr>
          <w:t xml:space="preserve">http://dx.doi.org/10.1016/j.agrformet.2026.111436</w:t>
        </w:r>
      </w:hyperlink>
    </w:p>
    <w:bookmarkEnd w:id="186"/>
    <w:bookmarkStart w:id="188" w:name="ref-geobc2026fwagroups"/>
    <w:p>
      <w:pPr>
        <w:pStyle w:val="Bibliography"/>
      </w:pPr>
      <w:r>
        <w:t xml:space="preserve">GeoBC Branch. (2026b).</w:t>
      </w:r>
      <w:r>
        <w:t xml:space="preserve"> </w:t>
      </w:r>
      <w:r>
        <w:t xml:space="preserve">Freshwater Atlas</w:t>
      </w:r>
      <w:r>
        <w:t xml:space="preserve"> </w:t>
      </w:r>
      <w:r>
        <w:t xml:space="preserve">–</w:t>
      </w:r>
      <w:r>
        <w:t xml:space="preserve"> </w:t>
      </w:r>
      <w:r>
        <w:t xml:space="preserve">Watershed Groups</w:t>
      </w:r>
      <w:r>
        <w:t xml:space="preserve"> </w:t>
      </w:r>
      <w:r>
        <w:t xml:space="preserve">(</w:t>
      </w:r>
      <w:r>
        <w:t xml:space="preserve">WHSE_BASEMAPPING.FWA_WATERSHED_GROUPS_POLY</w:t>
      </w:r>
      <w:r>
        <w:t xml:space="preserve">). BC Data Catalogue, Open Government Licence – British Columbia. Retrieved from</w:t>
      </w:r>
      <w:r>
        <w:t xml:space="preserve"> </w:t>
      </w:r>
      <w:hyperlink r:id="rId187">
        <w:r>
          <w:rPr>
            <w:rStyle w:val="Hyperlink"/>
          </w:rPr>
          <w:t xml:space="preserve">https://catalogue.data.gov.bc.ca/dataset/freshwater-atlas-watershed-groups</w:t>
        </w:r>
      </w:hyperlink>
    </w:p>
    <w:bookmarkEnd w:id="188"/>
    <w:bookmarkStart w:id="190" w:name="ref-geobc2026fwalakes"/>
    <w:p>
      <w:pPr>
        <w:pStyle w:val="Bibliography"/>
      </w:pPr>
      <w:r>
        <w:t xml:space="preserve">GeoBC Branch. (2026c).</w:t>
      </w:r>
      <w:r>
        <w:t xml:space="preserve"> </w:t>
      </w:r>
      <w:r>
        <w:t xml:space="preserve">Freshwater Atlas</w:t>
      </w:r>
      <w:r>
        <w:t xml:space="preserve"> </w:t>
      </w:r>
      <w:r>
        <w:t xml:space="preserve">–</w:t>
      </w:r>
      <w:r>
        <w:t xml:space="preserve"> </w:t>
      </w:r>
      <w:r>
        <w:t xml:space="preserve">Lakes</w:t>
      </w:r>
      <w:r>
        <w:t xml:space="preserve"> </w:t>
      </w:r>
      <w:r>
        <w:t xml:space="preserve">(</w:t>
      </w:r>
      <w:r>
        <w:t xml:space="preserve">WHSE_BASEMAPPING.FWA_LAKES_POLY</w:t>
      </w:r>
      <w:r>
        <w:t xml:space="preserve">). BC Data Catalogue, Open Government Licence – British Columbia. Retrieved from</w:t>
      </w:r>
      <w:r>
        <w:t xml:space="preserve"> </w:t>
      </w:r>
      <w:hyperlink r:id="rId189">
        <w:r>
          <w:rPr>
            <w:rStyle w:val="Hyperlink"/>
          </w:rPr>
          <w:t xml:space="preserve">https://catalogue.data.gov.bc.ca/dataset/freshwater-atlas-lakes</w:t>
        </w:r>
      </w:hyperlink>
    </w:p>
    <w:bookmarkEnd w:id="190"/>
    <w:bookmarkStart w:id="192" w:name="ref-geobc2026fwastreams"/>
    <w:p>
      <w:pPr>
        <w:pStyle w:val="Bibliography"/>
      </w:pPr>
      <w:r>
        <w:t xml:space="preserve">GeoBC Branch. (2026d).</w:t>
      </w:r>
      <w:r>
        <w:t xml:space="preserve"> </w:t>
      </w:r>
      <w:r>
        <w:t xml:space="preserve">Freshwater Atlas</w:t>
      </w:r>
      <w:r>
        <w:t xml:space="preserve"> </w:t>
      </w:r>
      <w:r>
        <w:t xml:space="preserve">–</w:t>
      </w:r>
      <w:r>
        <w:t xml:space="preserve"> </w:t>
      </w:r>
      <w:r>
        <w:t xml:space="preserve">Stream Network</w:t>
      </w:r>
      <w:r>
        <w:t xml:space="preserve"> </w:t>
      </w:r>
      <w:r>
        <w:t xml:space="preserve">(</w:t>
      </w:r>
      <w:r>
        <w:t xml:space="preserve">WHSE_BASEMAPPING.FWA_STREAM_NETWORKS_SP</w:t>
      </w:r>
      <w:r>
        <w:t xml:space="preserve">). BC Data Catalogue, Open Government Licence – British Columbia. Retrieved from</w:t>
      </w:r>
      <w:r>
        <w:t xml:space="preserve"> </w:t>
      </w:r>
      <w:hyperlink r:id="rId191">
        <w:r>
          <w:rPr>
            <w:rStyle w:val="Hyperlink"/>
          </w:rPr>
          <w:t xml:space="preserve">https://catalogue.data.gov.bc.ca/dataset/freshwater-atlas-stream-network</w:t>
        </w:r>
      </w:hyperlink>
    </w:p>
    <w:bookmarkEnd w:id="192"/>
    <w:bookmarkStart w:id="194" w:name="ref-geobc2026majorwatersheds"/>
    <w:p>
      <w:pPr>
        <w:pStyle w:val="Bibliography"/>
      </w:pPr>
      <w:r>
        <w:t xml:space="preserve">GeoBC Branch. (2026a).</w:t>
      </w:r>
      <w:r>
        <w:t xml:space="preserve"> </w:t>
      </w:r>
      <w:r>
        <w:t xml:space="preserve">BC Major Watersheds</w:t>
      </w:r>
      <w:r>
        <w:t xml:space="preserve"> </w:t>
      </w:r>
      <w:r>
        <w:t xml:space="preserve">(</w:t>
      </w:r>
      <w:r>
        <w:t xml:space="preserve">WHSE_BASEMAPPING.BC_MAJOR_WATERSHEDS</w:t>
      </w:r>
      <w:r>
        <w:t xml:space="preserve">). BC Data Catalogue, Open Government Licence – Canada. Retrieved from</w:t>
      </w:r>
      <w:r>
        <w:t xml:space="preserve"> </w:t>
      </w:r>
      <w:hyperlink r:id="rId193">
        <w:r>
          <w:rPr>
            <w:rStyle w:val="Hyperlink"/>
          </w:rPr>
          <w:t xml:space="preserve">https://catalogue.data.gov.bc.ca/dataset/bc-major-watersheds</w:t>
        </w:r>
      </w:hyperlink>
    </w:p>
    <w:bookmarkEnd w:id="194"/>
    <w:bookmarkStart w:id="196" w:name="ref-giannaros2023changes"/>
    <w:p>
      <w:pPr>
        <w:pStyle w:val="Bibliography"/>
      </w:pPr>
      <w:r>
        <w:t xml:space="preserve">Giannaros, T. M., &amp; Papavasileiou, G. (2023). Changes in</w:t>
      </w:r>
      <w:r>
        <w:t xml:space="preserve"> </w:t>
      </w:r>
      <w:r>
        <w:t xml:space="preserve">European</w:t>
      </w:r>
      <w:r>
        <w:t xml:space="preserve"> </w:t>
      </w:r>
      <w:r>
        <w:t xml:space="preserve">fire weather extremes and related atmospheric drivers.</w:t>
      </w:r>
      <w:r>
        <w:t xml:space="preserve"> </w:t>
      </w:r>
      <w:r>
        <w:rPr>
          <w:i/>
          <w:iCs/>
        </w:rPr>
        <w:t xml:space="preserve">Agricultural and Forest Meteorology</w:t>
      </w:r>
      <w:r>
        <w:t xml:space="preserve">,</w:t>
      </w:r>
      <w:r>
        <w:t xml:space="preserve"> </w:t>
      </w:r>
      <w:r>
        <w:rPr>
          <w:i/>
          <w:iCs/>
        </w:rPr>
        <w:t xml:space="preserve">342</w:t>
      </w:r>
      <w:r>
        <w:t xml:space="preserve">, 109749. Elsevier BV. Retrieved from</w:t>
      </w:r>
      <w:r>
        <w:t xml:space="preserve"> </w:t>
      </w:r>
      <w:hyperlink r:id="rId195">
        <w:r>
          <w:rPr>
            <w:rStyle w:val="Hyperlink"/>
          </w:rPr>
          <w:t xml:space="preserve">http://dx.doi.org/10.1016/j.agrformet.2023.109749</w:t>
        </w:r>
      </w:hyperlink>
    </w:p>
    <w:bookmarkEnd w:id="196"/>
    <w:bookmarkStart w:id="198" w:name="ref-girardin2009summer"/>
    <w:p>
      <w:pPr>
        <w:pStyle w:val="Bibliography"/>
      </w:pPr>
      <w:r>
        <w:t xml:space="preserve">Girardin, M. P., &amp; Wotton, B. M. (2009).</w:t>
      </w:r>
      <w:r>
        <w:t xml:space="preserve"> </w:t>
      </w:r>
      <w:hyperlink r:id="rId197">
        <w:r>
          <w:rPr>
            <w:rStyle w:val="Hyperlink"/>
          </w:rPr>
          <w:t xml:space="preserve">Summer moisture and wildfire risks across</w:t>
        </w:r>
        <w:r>
          <w:rPr>
            <w:rStyle w:val="Hyperlink"/>
          </w:rPr>
          <w:t xml:space="preserve"> </w:t>
        </w:r>
        <w:r>
          <w:rPr>
            <w:rStyle w:val="Hyperlink"/>
          </w:rPr>
          <w:t xml:space="preserve">Canada</w:t>
        </w:r>
      </w:hyperlink>
      <w:r>
        <w:t xml:space="preserve">.</w:t>
      </w:r>
      <w:r>
        <w:t xml:space="preserve"> </w:t>
      </w:r>
      <w:r>
        <w:rPr>
          <w:i/>
          <w:iCs/>
        </w:rPr>
        <w:t xml:space="preserve">Journal of Applied Meteorology and Climatology</w:t>
      </w:r>
      <w:r>
        <w:t xml:space="preserve">,</w:t>
      </w:r>
      <w:r>
        <w:t xml:space="preserve"> </w:t>
      </w:r>
      <w:r>
        <w:rPr>
          <w:i/>
          <w:iCs/>
        </w:rPr>
        <w:t xml:space="preserve">48</w:t>
      </w:r>
      <w:r>
        <w:t xml:space="preserve">(3), 517–533.</w:t>
      </w:r>
    </w:p>
    <w:bookmarkEnd w:id="198"/>
    <w:bookmarkStart w:id="200" w:name="ref-gneiting2007scoring"/>
    <w:p>
      <w:pPr>
        <w:pStyle w:val="Bibliography"/>
      </w:pPr>
      <w:r>
        <w:t xml:space="preserve">Gneiting, T., &amp; Raftery, A. E. (2007). Strictly proper scoring rules, prediction, and estimation.</w:t>
      </w:r>
      <w:r>
        <w:t xml:space="preserve"> </w:t>
      </w:r>
      <w:r>
        <w:rPr>
          <w:i/>
          <w:iCs/>
        </w:rPr>
        <w:t xml:space="preserve">Journal of the American Statistical Association</w:t>
      </w:r>
      <w:r>
        <w:t xml:space="preserve">,</w:t>
      </w:r>
      <w:r>
        <w:t xml:space="preserve"> </w:t>
      </w:r>
      <w:r>
        <w:rPr>
          <w:i/>
          <w:iCs/>
        </w:rPr>
        <w:t xml:space="preserve">102</w:t>
      </w:r>
      <w:r>
        <w:t xml:space="preserve">(477), 359–378. Informa UK Limited. Retrieved from</w:t>
      </w:r>
      <w:r>
        <w:t xml:space="preserve"> </w:t>
      </w:r>
      <w:hyperlink r:id="rId199">
        <w:r>
          <w:rPr>
            <w:rStyle w:val="Hyperlink"/>
          </w:rPr>
          <w:t xml:space="preserve">http://dx.doi.org/10.1198/016214506000001437</w:t>
        </w:r>
      </w:hyperlink>
    </w:p>
    <w:bookmarkEnd w:id="200"/>
    <w:bookmarkStart w:id="202" w:name="ref-bc2026municipalities"/>
    <w:p>
      <w:pPr>
        <w:pStyle w:val="Bibliography"/>
      </w:pPr>
      <w:r>
        <w:t xml:space="preserve">Governance and Structure Branch. (2026). Municipalities –</w:t>
      </w:r>
      <w:r>
        <w:t xml:space="preserve"> </w:t>
      </w:r>
      <w:r>
        <w:t xml:space="preserve">Legally Defined Administrative Areas of BC</w:t>
      </w:r>
      <w:r>
        <w:t xml:space="preserve"> </w:t>
      </w:r>
      <w:r>
        <w:t xml:space="preserve">(</w:t>
      </w:r>
      <w:r>
        <w:t xml:space="preserve">WHSE_LEGAL_ADMIN_BOUNDARIES.ABMS_MUNICIPALITIES_SP</w:t>
      </w:r>
      <w:r>
        <w:t xml:space="preserve">). BC Data Catalogue, Open Government Licence – British Columbia. Retrieved from</w:t>
      </w:r>
      <w:r>
        <w:t xml:space="preserve"> </w:t>
      </w:r>
      <w:hyperlink r:id="rId201">
        <w:r>
          <w:rPr>
            <w:rStyle w:val="Hyperlink"/>
          </w:rPr>
          <w:t xml:space="preserve">https://catalogue.data.gov.bc.ca/dataset/municipalities-legally-defined-administrative-areas-of-bc</w:t>
        </w:r>
      </w:hyperlink>
    </w:p>
    <w:bookmarkEnd w:id="202"/>
    <w:bookmarkStart w:id="204" w:name="ref-granville2026season"/>
    <w:p>
      <w:pPr>
        <w:pStyle w:val="Bibliography"/>
      </w:pPr>
      <w:r>
        <w:t xml:space="preserve">Granville, K., Woolford, D. G., &amp; Dean, C. B. (2026). Using observed fires to study changes in fire season timing across</w:t>
      </w:r>
      <w:r>
        <w:t xml:space="preserve"> </w:t>
      </w:r>
      <w:r>
        <w:t xml:space="preserve">Ontario</w:t>
      </w:r>
      <w:r>
        <w:t xml:space="preserve">,</w:t>
      </w:r>
      <w:r>
        <w:t xml:space="preserve"> </w:t>
      </w:r>
      <w:r>
        <w:t xml:space="preserve">Canada</w:t>
      </w:r>
      <w:r>
        <w:t xml:space="preserve">.</w:t>
      </w:r>
      <w:r>
        <w:t xml:space="preserve"> </w:t>
      </w:r>
      <w:r>
        <w:rPr>
          <w:i/>
          <w:iCs/>
        </w:rPr>
        <w:t xml:space="preserve">International Journal of Wildland Fire</w:t>
      </w:r>
      <w:r>
        <w:t xml:space="preserve">,</w:t>
      </w:r>
      <w:r>
        <w:t xml:space="preserve"> </w:t>
      </w:r>
      <w:r>
        <w:rPr>
          <w:i/>
          <w:iCs/>
        </w:rPr>
        <w:t xml:space="preserve">35</w:t>
      </w:r>
      <w:r>
        <w:t xml:space="preserve">(7). CSIRO Publishing. Retrieved from</w:t>
      </w:r>
      <w:r>
        <w:t xml:space="preserve"> </w:t>
      </w:r>
      <w:hyperlink r:id="rId203">
        <w:r>
          <w:rPr>
            <w:rStyle w:val="Hyperlink"/>
          </w:rPr>
          <w:t xml:space="preserve">http://dx.doi.org/10.1071/wf25164</w:t>
        </w:r>
      </w:hyperlink>
    </w:p>
    <w:bookmarkEnd w:id="204"/>
    <w:bookmarkStart w:id="206" w:name="ref-hall1991guidelines"/>
    <w:p>
      <w:pPr>
        <w:pStyle w:val="Bibliography"/>
      </w:pPr>
      <w:r>
        <w:t xml:space="preserve">Hall, P., &amp; Wilson, S. R. (1991). Two guidelines for bootstrap hypothesis testing.</w:t>
      </w:r>
      <w:r>
        <w:t xml:space="preserve"> </w:t>
      </w:r>
      <w:r>
        <w:rPr>
          <w:i/>
          <w:iCs/>
        </w:rPr>
        <w:t xml:space="preserve">Biometrics</w:t>
      </w:r>
      <w:r>
        <w:t xml:space="preserve">,</w:t>
      </w:r>
      <w:r>
        <w:t xml:space="preserve"> </w:t>
      </w:r>
      <w:r>
        <w:rPr>
          <w:i/>
          <w:iCs/>
        </w:rPr>
        <w:t xml:space="preserve">47</w:t>
      </w:r>
      <w:r>
        <w:t xml:space="preserve">(2), 757. JSTOR. Retrieved from</w:t>
      </w:r>
      <w:r>
        <w:t xml:space="preserve"> </w:t>
      </w:r>
      <w:hyperlink r:id="rId205">
        <w:r>
          <w:rPr>
            <w:rStyle w:val="Hyperlink"/>
          </w:rPr>
          <w:t xml:space="preserve">http://dx.doi.org/10.2307/2532163</w:t>
        </w:r>
      </w:hyperlink>
    </w:p>
    <w:bookmarkEnd w:id="206"/>
    <w:bookmarkStart w:id="208" w:name="ref-hamed1998mmk"/>
    <w:p>
      <w:pPr>
        <w:pStyle w:val="Bibliography"/>
      </w:pPr>
      <w:r>
        <w:t xml:space="preserve">Hamed, K. H., &amp; Rao, A. R. (1998).</w:t>
      </w:r>
      <w:r>
        <w:t xml:space="preserve"> </w:t>
      </w:r>
      <w:hyperlink r:id="rId207">
        <w:r>
          <w:rPr>
            <w:rStyle w:val="Hyperlink"/>
          </w:rPr>
          <w:t xml:space="preserve">A modified</w:t>
        </w:r>
        <w:r>
          <w:rPr>
            <w:rStyle w:val="Hyperlink"/>
          </w:rPr>
          <w:t xml:space="preserve"> </w:t>
        </w:r>
        <w:r>
          <w:rPr>
            <w:rStyle w:val="Hyperlink"/>
          </w:rPr>
          <w:t xml:space="preserve">Mann-Kendall</w:t>
        </w:r>
        <w:r>
          <w:rPr>
            <w:rStyle w:val="Hyperlink"/>
          </w:rPr>
          <w:t xml:space="preserve"> </w:t>
        </w:r>
        <w:r>
          <w:rPr>
            <w:rStyle w:val="Hyperlink"/>
          </w:rPr>
          <w:t xml:space="preserve">trend test for autocorrelated data</w:t>
        </w:r>
      </w:hyperlink>
      <w:r>
        <w:t xml:space="preserve">.</w:t>
      </w:r>
      <w:r>
        <w:t xml:space="preserve"> </w:t>
      </w:r>
      <w:r>
        <w:rPr>
          <w:i/>
          <w:iCs/>
        </w:rPr>
        <w:t xml:space="preserve">Journal of Hydrology</w:t>
      </w:r>
      <w:r>
        <w:t xml:space="preserve">,</w:t>
      </w:r>
      <w:r>
        <w:t xml:space="preserve"> </w:t>
      </w:r>
      <w:r>
        <w:rPr>
          <w:i/>
          <w:iCs/>
        </w:rPr>
        <w:t xml:space="preserve">204</w:t>
      </w:r>
      <w:r>
        <w:t xml:space="preserve">(1-4), 182–196.</w:t>
      </w:r>
    </w:p>
    <w:bookmarkEnd w:id="208"/>
    <w:bookmarkStart w:id="210" w:name="ref-hanes2019regime"/>
    <w:p>
      <w:pPr>
        <w:pStyle w:val="Bibliography"/>
      </w:pPr>
      <w:r>
        <w:t xml:space="preserve">Hanes, C. C., Wang, X., Jain, P., Parisien, M.-A., Little, J. M., &amp; Flannigan, M. D. (2019).</w:t>
      </w:r>
      <w:r>
        <w:t xml:space="preserve"> </w:t>
      </w:r>
      <w:hyperlink r:id="rId209">
        <w:r>
          <w:rPr>
            <w:rStyle w:val="Hyperlink"/>
          </w:rPr>
          <w:t xml:space="preserve">Fire-regime changes in</w:t>
        </w:r>
        <w:r>
          <w:rPr>
            <w:rStyle w:val="Hyperlink"/>
          </w:rPr>
          <w:t xml:space="preserve"> </w:t>
        </w:r>
        <w:r>
          <w:rPr>
            <w:rStyle w:val="Hyperlink"/>
          </w:rPr>
          <w:t xml:space="preserve">Canada</w:t>
        </w:r>
        <w:r>
          <w:rPr>
            <w:rStyle w:val="Hyperlink"/>
          </w:rPr>
          <w:t xml:space="preserve"> </w:t>
        </w:r>
        <w:r>
          <w:rPr>
            <w:rStyle w:val="Hyperlink"/>
          </w:rPr>
          <w:t xml:space="preserve">over the last half century</w:t>
        </w:r>
      </w:hyperlink>
      <w:r>
        <w:t xml:space="preserve">.</w:t>
      </w:r>
      <w:r>
        <w:t xml:space="preserve"> </w:t>
      </w:r>
      <w:r>
        <w:rPr>
          <w:i/>
          <w:iCs/>
        </w:rPr>
        <w:t xml:space="preserve">Canadian Journal of Forest Research</w:t>
      </w:r>
      <w:r>
        <w:t xml:space="preserve">,</w:t>
      </w:r>
      <w:r>
        <w:t xml:space="preserve"> </w:t>
      </w:r>
      <w:r>
        <w:rPr>
          <w:i/>
          <w:iCs/>
        </w:rPr>
        <w:t xml:space="preserve">49</w:t>
      </w:r>
      <w:r>
        <w:t xml:space="preserve">(3), 256–269.</w:t>
      </w:r>
    </w:p>
    <w:bookmarkEnd w:id="210"/>
    <w:bookmarkStart w:id="212" w:name="ref-hanes2023drought"/>
    <w:p>
      <w:pPr>
        <w:pStyle w:val="Bibliography"/>
      </w:pPr>
      <w:r>
        <w:t xml:space="preserve">Hanes, C. C., Wotton, M., Bourgeau-Chavez, L., Woolford, D. G., Bélair, S., Martell, D., &amp; Flannigan, M. D. (2023). Evaluation of new methods for drought estimation in the</w:t>
      </w:r>
      <w:r>
        <w:t xml:space="preserve"> </w:t>
      </w:r>
      <w:r>
        <w:t xml:space="preserve">Canadian Forest Fire Danger Rating System</w:t>
      </w:r>
      <w:r>
        <w:t xml:space="preserve">.</w:t>
      </w:r>
      <w:r>
        <w:t xml:space="preserve"> </w:t>
      </w:r>
      <w:r>
        <w:rPr>
          <w:i/>
          <w:iCs/>
        </w:rPr>
        <w:t xml:space="preserve">International Journal of Wildland Fire</w:t>
      </w:r>
      <w:r>
        <w:t xml:space="preserve">,</w:t>
      </w:r>
      <w:r>
        <w:t xml:space="preserve"> </w:t>
      </w:r>
      <w:r>
        <w:rPr>
          <w:i/>
          <w:iCs/>
        </w:rPr>
        <w:t xml:space="preserve">32</w:t>
      </w:r>
      <w:r>
        <w:t xml:space="preserve">(6), 836–853. CSIRO Publishing. Retrieved from</w:t>
      </w:r>
      <w:r>
        <w:t xml:space="preserve"> </w:t>
      </w:r>
      <w:hyperlink r:id="rId211">
        <w:r>
          <w:rPr>
            <w:rStyle w:val="Hyperlink"/>
          </w:rPr>
          <w:t xml:space="preserve">http://dx.doi.org/10.1071/wf22112</w:t>
        </w:r>
      </w:hyperlink>
    </w:p>
    <w:bookmarkEnd w:id="212"/>
    <w:bookmarkStart w:id="214" w:name="ref-hanes2020overwinter"/>
    <w:p>
      <w:pPr>
        <w:pStyle w:val="Bibliography"/>
      </w:pPr>
      <w:r>
        <w:t xml:space="preserve">Hanes, C., Wotton, M., Woolford, D. G., Martell, D. L., &amp; Flannigan, M. (2020). Preceding fall drought conditions and overwinter precipitation effects on spring wildland fire activity in</w:t>
      </w:r>
      <w:r>
        <w:t xml:space="preserve"> </w:t>
      </w:r>
      <w:r>
        <w:t xml:space="preserve">Canada</w:t>
      </w:r>
      <w:r>
        <w:t xml:space="preserve">.</w:t>
      </w:r>
      <w:r>
        <w:t xml:space="preserve"> </w:t>
      </w:r>
      <w:r>
        <w:rPr>
          <w:i/>
          <w:iCs/>
        </w:rPr>
        <w:t xml:space="preserve">Fire</w:t>
      </w:r>
      <w:r>
        <w:t xml:space="preserve">,</w:t>
      </w:r>
      <w:r>
        <w:t xml:space="preserve"> </w:t>
      </w:r>
      <w:r>
        <w:rPr>
          <w:i/>
          <w:iCs/>
        </w:rPr>
        <w:t xml:space="preserve">3</w:t>
      </w:r>
      <w:r>
        <w:t xml:space="preserve">(2), 24. MDPI AG. Retrieved from</w:t>
      </w:r>
      <w:r>
        <w:t xml:space="preserve"> </w:t>
      </w:r>
      <w:hyperlink r:id="rId213">
        <w:r>
          <w:rPr>
            <w:rStyle w:val="Hyperlink"/>
          </w:rPr>
          <w:t xml:space="preserve">http://dx.doi.org/10.3390/fire3020024</w:t>
        </w:r>
      </w:hyperlink>
    </w:p>
    <w:bookmarkEnd w:id="214"/>
    <w:bookmarkStart w:id="216" w:name="ref-harvey2017interannual"/>
    <w:p>
      <w:pPr>
        <w:pStyle w:val="Bibliography"/>
      </w:pPr>
      <w:r>
        <w:t xml:space="preserve">Harvey, J. E., &amp; Smith, D. J. (2017). Interannual climate variability drives regional fires in west central</w:t>
      </w:r>
      <w:r>
        <w:t xml:space="preserve"> </w:t>
      </w:r>
      <w:r>
        <w:t xml:space="preserve">British Columbia</w:t>
      </w:r>
      <w:r>
        <w:t xml:space="preserve">,</w:t>
      </w:r>
      <w:r>
        <w:t xml:space="preserve"> </w:t>
      </w:r>
      <w:r>
        <w:t xml:space="preserve">Canada</w:t>
      </w:r>
      <w:r>
        <w:t xml:space="preserve">: Fire-climate in central</w:t>
      </w:r>
      <w:r>
        <w:t xml:space="preserve"> </w:t>
      </w:r>
      <w:r>
        <w:t xml:space="preserve">British Columbia</w:t>
      </w:r>
      <w:r>
        <w:t xml:space="preserve">.</w:t>
      </w:r>
      <w:r>
        <w:t xml:space="preserve"> </w:t>
      </w:r>
      <w:r>
        <w:rPr>
          <w:i/>
          <w:iCs/>
        </w:rPr>
        <w:t xml:space="preserve">Journal of Geophysical Research: Biogeosciences</w:t>
      </w:r>
      <w:r>
        <w:t xml:space="preserve">,</w:t>
      </w:r>
      <w:r>
        <w:t xml:space="preserve"> </w:t>
      </w:r>
      <w:r>
        <w:rPr>
          <w:i/>
          <w:iCs/>
        </w:rPr>
        <w:t xml:space="preserve">122</w:t>
      </w:r>
      <w:r>
        <w:t xml:space="preserve">(7), 1759–1774. American Geophysical Union (AGU). Retrieved from</w:t>
      </w:r>
      <w:r>
        <w:t xml:space="preserve"> </w:t>
      </w:r>
      <w:hyperlink r:id="rId215">
        <w:r>
          <w:rPr>
            <w:rStyle w:val="Hyperlink"/>
          </w:rPr>
          <w:t xml:space="preserve">http://dx.doi.org/10.1002/2016jg003661</w:t>
        </w:r>
      </w:hyperlink>
    </w:p>
    <w:bookmarkEnd w:id="216"/>
    <w:bookmarkStart w:id="218" w:name="ref-haughian2012climate"/>
    <w:p>
      <w:pPr>
        <w:pStyle w:val="Bibliography"/>
      </w:pPr>
      <w:r>
        <w:t xml:space="preserve">Haughian, S. R., Burton, P. J., Taylor, S. W., &amp; Curry, C. (2012). Expected effects of climate change on forest disturbance regimes in</w:t>
      </w:r>
      <w:r>
        <w:t xml:space="preserve"> </w:t>
      </w:r>
      <w:r>
        <w:t xml:space="preserve">British Columbia</w:t>
      </w:r>
      <w:r>
        <w:t xml:space="preserve">.</w:t>
      </w:r>
      <w:r>
        <w:t xml:space="preserve"> </w:t>
      </w:r>
      <w:r>
        <w:rPr>
          <w:i/>
          <w:iCs/>
        </w:rPr>
        <w:t xml:space="preserve">Journal of Ecosystems and Management</w:t>
      </w:r>
      <w:r>
        <w:t xml:space="preserve">,</w:t>
      </w:r>
      <w:r>
        <w:t xml:space="preserve"> </w:t>
      </w:r>
      <w:r>
        <w:rPr>
          <w:i/>
          <w:iCs/>
        </w:rPr>
        <w:t xml:space="preserve">13</w:t>
      </w:r>
      <w:r>
        <w:t xml:space="preserve">(1). CISP Journal Services. Retrieved from</w:t>
      </w:r>
      <w:r>
        <w:t xml:space="preserve"> </w:t>
      </w:r>
      <w:hyperlink r:id="rId217">
        <w:r>
          <w:rPr>
            <w:rStyle w:val="Hyperlink"/>
          </w:rPr>
          <w:t xml:space="preserve">http://dx.doi.org/10.22230/jem.2012v13n1a152</w:t>
        </w:r>
      </w:hyperlink>
    </w:p>
    <w:bookmarkEnd w:id="218"/>
    <w:bookmarkStart w:id="220" w:name="ref-herrera2013daily"/>
    <w:p>
      <w:pPr>
        <w:pStyle w:val="Bibliography"/>
      </w:pPr>
      <w:r>
        <w:t xml:space="preserve">Herrera, S., Bedia, J., Gutiérrez, J. M., Fernández, J., &amp; Moreno, J. M. (2013). On the projection of future fire danger conditions with various instantaneous/mean-daily data sources.</w:t>
      </w:r>
      <w:r>
        <w:t xml:space="preserve"> </w:t>
      </w:r>
      <w:r>
        <w:rPr>
          <w:i/>
          <w:iCs/>
        </w:rPr>
        <w:t xml:space="preserve">Climatic Change</w:t>
      </w:r>
      <w:r>
        <w:t xml:space="preserve">,</w:t>
      </w:r>
      <w:r>
        <w:t xml:space="preserve"> </w:t>
      </w:r>
      <w:r>
        <w:rPr>
          <w:i/>
          <w:iCs/>
        </w:rPr>
        <w:t xml:space="preserve">118</w:t>
      </w:r>
      <w:r>
        <w:t xml:space="preserve">(3-4), 827–840. Springer Science; Business Media LLC. Retrieved from</w:t>
      </w:r>
      <w:r>
        <w:t xml:space="preserve"> </w:t>
      </w:r>
      <w:hyperlink r:id="rId219">
        <w:r>
          <w:rPr>
            <w:rStyle w:val="Hyperlink"/>
          </w:rPr>
          <w:t xml:space="preserve">http://dx.doi.org/10.1007/s10584-012-0667-2</w:t>
        </w:r>
      </w:hyperlink>
    </w:p>
    <w:bookmarkEnd w:id="220"/>
    <w:bookmarkStart w:id="222" w:name="ref-hessburg2019resilience"/>
    <w:p>
      <w:pPr>
        <w:pStyle w:val="Bibliography"/>
      </w:pPr>
      <w:r>
        <w:t xml:space="preserve">Hessburg, P. F., Miller, C. L., Parks, S. A., Povak, N. A., Taylor, A. H., Higuera, P. E., Prichard, S. J., et al. (2019). Climate, environment, and disturbance history govern resilience of western north american forests.</w:t>
      </w:r>
      <w:r>
        <w:t xml:space="preserve"> </w:t>
      </w:r>
      <w:r>
        <w:rPr>
          <w:i/>
          <w:iCs/>
        </w:rPr>
        <w:t xml:space="preserve">Frontiers in Ecology and Evolution</w:t>
      </w:r>
      <w:r>
        <w:t xml:space="preserve">,</w:t>
      </w:r>
      <w:r>
        <w:t xml:space="preserve"> </w:t>
      </w:r>
      <w:r>
        <w:rPr>
          <w:i/>
          <w:iCs/>
        </w:rPr>
        <w:t xml:space="preserve">7</w:t>
      </w:r>
      <w:r>
        <w:t xml:space="preserve">. Frontiers Media SA. Retrieved from</w:t>
      </w:r>
      <w:r>
        <w:t xml:space="preserve"> </w:t>
      </w:r>
      <w:hyperlink r:id="rId221">
        <w:r>
          <w:rPr>
            <w:rStyle w:val="Hyperlink"/>
          </w:rPr>
          <w:t xml:space="preserve">http://dx.doi.org/10.3389/fevo.2019.00239</w:t>
        </w:r>
      </w:hyperlink>
    </w:p>
    <w:bookmarkEnd w:id="222"/>
    <w:bookmarkStart w:id="224" w:name="ref-heyerdahl2012mixed"/>
    <w:p>
      <w:pPr>
        <w:pStyle w:val="Bibliography"/>
      </w:pPr>
      <w:r>
        <w:t xml:space="preserve">Heyerdahl, E. K., Lertzman, K., &amp; Wong, C. M. (2012). Mixed-severity fire regimes in dry forests of southern interior</w:t>
      </w:r>
      <w:r>
        <w:t xml:space="preserve"> </w:t>
      </w:r>
      <w:r>
        <w:t xml:space="preserve">British Columbia</w:t>
      </w:r>
      <w:r>
        <w:t xml:space="preserve">,</w:t>
      </w:r>
      <w:r>
        <w:t xml:space="preserve"> </w:t>
      </w:r>
      <w:r>
        <w:t xml:space="preserve">Canada</w:t>
      </w:r>
      <w:r>
        <w:t xml:space="preserve">.</w:t>
      </w:r>
      <w:r>
        <w:t xml:space="preserve"> </w:t>
      </w:r>
      <w:r>
        <w:rPr>
          <w:i/>
          <w:iCs/>
        </w:rPr>
        <w:t xml:space="preserve">Canadian Journal of Forest Research</w:t>
      </w:r>
      <w:r>
        <w:t xml:space="preserve">,</w:t>
      </w:r>
      <w:r>
        <w:t xml:space="preserve"> </w:t>
      </w:r>
      <w:r>
        <w:rPr>
          <w:i/>
          <w:iCs/>
        </w:rPr>
        <w:t xml:space="preserve">42</w:t>
      </w:r>
      <w:r>
        <w:t xml:space="preserve">(1), 88–98. Canadian Science Publishing. Retrieved from</w:t>
      </w:r>
      <w:r>
        <w:t xml:space="preserve"> </w:t>
      </w:r>
      <w:hyperlink r:id="rId223">
        <w:r>
          <w:rPr>
            <w:rStyle w:val="Hyperlink"/>
          </w:rPr>
          <w:t xml:space="preserve">http://dx.doi.org/10.1139/x11-160</w:t>
        </w:r>
      </w:hyperlink>
    </w:p>
    <w:bookmarkEnd w:id="224"/>
    <w:bookmarkStart w:id="226" w:name="ref-hirsch1982trend"/>
    <w:p>
      <w:pPr>
        <w:pStyle w:val="Bibliography"/>
      </w:pPr>
      <w:r>
        <w:t xml:space="preserve">Hirsch, R. M., Slack, J. R., &amp; Smith, R. A. (1982). Techniques of trend analysis for monthly water quality data.</w:t>
      </w:r>
      <w:r>
        <w:t xml:space="preserve"> </w:t>
      </w:r>
      <w:r>
        <w:rPr>
          <w:i/>
          <w:iCs/>
        </w:rPr>
        <w:t xml:space="preserve">Water Resources Research</w:t>
      </w:r>
      <w:r>
        <w:t xml:space="preserve">,</w:t>
      </w:r>
      <w:r>
        <w:t xml:space="preserve"> </w:t>
      </w:r>
      <w:r>
        <w:rPr>
          <w:i/>
          <w:iCs/>
        </w:rPr>
        <w:t xml:space="preserve">18</w:t>
      </w:r>
      <w:r>
        <w:t xml:space="preserve">(1), 107–121. American Geophysical Union (AGU). Retrieved from</w:t>
      </w:r>
      <w:r>
        <w:t xml:space="preserve"> </w:t>
      </w:r>
      <w:hyperlink r:id="rId225">
        <w:r>
          <w:rPr>
            <w:rStyle w:val="Hyperlink"/>
          </w:rPr>
          <w:t xml:space="preserve">http://dx.doi.org/10.1029/wr018i001p00107</w:t>
        </w:r>
      </w:hyperlink>
    </w:p>
    <w:bookmarkEnd w:id="226"/>
    <w:bookmarkStart w:id="228" w:name="ref-jain2024canada2023"/>
    <w:p>
      <w:pPr>
        <w:pStyle w:val="Bibliography"/>
      </w:pPr>
      <w:r>
        <w:t xml:space="preserve">Jain, P., Barber, Q. E., Taylor, S. W., Whitman, E., Castellanos Acuna, D., Boulanger, Y., Chavardès, R. D., et al. (2024).</w:t>
      </w:r>
      <w:r>
        <w:t xml:space="preserve"> </w:t>
      </w:r>
      <w:hyperlink r:id="rId227">
        <w:r>
          <w:rPr>
            <w:rStyle w:val="Hyperlink"/>
          </w:rPr>
          <w:t xml:space="preserve">Drivers and impacts of the record-breaking 2023 wildfire season in</w:t>
        </w:r>
        <w:r>
          <w:rPr>
            <w:rStyle w:val="Hyperlink"/>
          </w:rPr>
          <w:t xml:space="preserve"> </w:t>
        </w:r>
        <w:r>
          <w:rPr>
            <w:rStyle w:val="Hyperlink"/>
          </w:rPr>
          <w:t xml:space="preserve">Canada</w:t>
        </w:r>
      </w:hyperlink>
      <w:r>
        <w:t xml:space="preserve">.</w:t>
      </w:r>
      <w:r>
        <w:t xml:space="preserve"> </w:t>
      </w:r>
      <w:r>
        <w:rPr>
          <w:i/>
          <w:iCs/>
        </w:rPr>
        <w:t xml:space="preserve">Nature Communications</w:t>
      </w:r>
      <w:r>
        <w:t xml:space="preserve">,</w:t>
      </w:r>
      <w:r>
        <w:t xml:space="preserve"> </w:t>
      </w:r>
      <w:r>
        <w:rPr>
          <w:i/>
          <w:iCs/>
        </w:rPr>
        <w:t xml:space="preserve">15</w:t>
      </w:r>
      <w:r>
        <w:t xml:space="preserve">(1).</w:t>
      </w:r>
    </w:p>
    <w:bookmarkEnd w:id="228"/>
    <w:bookmarkStart w:id="230" w:name="ref-jain2024heatdome"/>
    <w:p>
      <w:pPr>
        <w:pStyle w:val="Bibliography"/>
      </w:pPr>
      <w:r>
        <w:t xml:space="preserve">Jain, P., Sharma, A. R., Acuna, D. C., Abatzoglou, J. T., &amp; Flannigan, M. (2024). Record-breaking fire weather in</w:t>
      </w:r>
      <w:r>
        <w:t xml:space="preserve"> </w:t>
      </w:r>
      <w:r>
        <w:t xml:space="preserve">North America</w:t>
      </w:r>
      <w:r>
        <w:t xml:space="preserve"> </w:t>
      </w:r>
      <w:r>
        <w:t xml:space="preserve">in 2021 was initiated by the pacific northwest heat dome.</w:t>
      </w:r>
      <w:r>
        <w:t xml:space="preserve"> </w:t>
      </w:r>
      <w:r>
        <w:rPr>
          <w:i/>
          <w:iCs/>
        </w:rPr>
        <w:t xml:space="preserve">Communications Earth &amp;amp; Environment</w:t>
      </w:r>
      <w:r>
        <w:t xml:space="preserve">,</w:t>
      </w:r>
      <w:r>
        <w:t xml:space="preserve"> </w:t>
      </w:r>
      <w:r>
        <w:rPr>
          <w:i/>
          <w:iCs/>
        </w:rPr>
        <w:t xml:space="preserve">5</w:t>
      </w:r>
      <w:r>
        <w:t xml:space="preserve">(1). Springer Science; Business Media LLC. Retrieved from</w:t>
      </w:r>
      <w:r>
        <w:t xml:space="preserve"> </w:t>
      </w:r>
      <w:hyperlink r:id="rId229">
        <w:r>
          <w:rPr>
            <w:rStyle w:val="Hyperlink"/>
          </w:rPr>
          <w:t xml:space="preserve">http://dx.doi.org/10.1038/s43247-024-01346-2</w:t>
        </w:r>
      </w:hyperlink>
    </w:p>
    <w:bookmarkEnd w:id="230"/>
    <w:bookmarkStart w:id="232" w:name="ref-jain2017seasonlength"/>
    <w:p>
      <w:pPr>
        <w:pStyle w:val="Bibliography"/>
      </w:pPr>
      <w:r>
        <w:t xml:space="preserve">Jain, P., Wang, X., &amp; Flannigan, M. D. (2017). Trend analysis of fire season length and extreme fire weather in</w:t>
      </w:r>
      <w:r>
        <w:t xml:space="preserve"> </w:t>
      </w:r>
      <w:r>
        <w:t xml:space="preserve">North America</w:t>
      </w:r>
      <w:r>
        <w:t xml:space="preserve"> </w:t>
      </w:r>
      <w:r>
        <w:t xml:space="preserve">between 1979 and 2015.</w:t>
      </w:r>
      <w:r>
        <w:t xml:space="preserve"> </w:t>
      </w:r>
      <w:r>
        <w:rPr>
          <w:i/>
          <w:iCs/>
        </w:rPr>
        <w:t xml:space="preserve">International Journal of Wildland Fire</w:t>
      </w:r>
      <w:r>
        <w:t xml:space="preserve">,</w:t>
      </w:r>
      <w:r>
        <w:t xml:space="preserve"> </w:t>
      </w:r>
      <w:r>
        <w:rPr>
          <w:i/>
          <w:iCs/>
        </w:rPr>
        <w:t xml:space="preserve">26</w:t>
      </w:r>
      <w:r>
        <w:t xml:space="preserve">(12), 1009–1020. CSIRO Publishing. Retrieved from</w:t>
      </w:r>
      <w:r>
        <w:t xml:space="preserve"> </w:t>
      </w:r>
      <w:hyperlink r:id="rId231">
        <w:r>
          <w:rPr>
            <w:rStyle w:val="Hyperlink"/>
          </w:rPr>
          <w:t xml:space="preserve">http://dx.doi.org/10.1071/wf17008</w:t>
        </w:r>
      </w:hyperlink>
    </w:p>
    <w:bookmarkEnd w:id="232"/>
    <w:bookmarkStart w:id="234" w:name="ref-jolly2015global"/>
    <w:p>
      <w:pPr>
        <w:pStyle w:val="Bibliography"/>
      </w:pPr>
      <w:r>
        <w:t xml:space="preserve">Jolly, W. M., Cochrane, M. A., Freeborn, P. H., Holden, Z. A., Brown, T. J., Williamson, G. J., &amp; Bowman, D. M. J. S. (2015). Climate-induced variations in global wildfire danger from 1979 to 2013.</w:t>
      </w:r>
      <w:r>
        <w:t xml:space="preserve"> </w:t>
      </w:r>
      <w:r>
        <w:rPr>
          <w:i/>
          <w:iCs/>
        </w:rPr>
        <w:t xml:space="preserve">Nature Communications</w:t>
      </w:r>
      <w:r>
        <w:t xml:space="preserve">,</w:t>
      </w:r>
      <w:r>
        <w:t xml:space="preserve"> </w:t>
      </w:r>
      <w:r>
        <w:rPr>
          <w:i/>
          <w:iCs/>
        </w:rPr>
        <w:t xml:space="preserve">6</w:t>
      </w:r>
      <w:r>
        <w:t xml:space="preserve">(1). Springer Science; Business Media LLC. Retrieved from</w:t>
      </w:r>
      <w:r>
        <w:t xml:space="preserve"> </w:t>
      </w:r>
      <w:hyperlink r:id="rId233">
        <w:r>
          <w:rPr>
            <w:rStyle w:val="Hyperlink"/>
          </w:rPr>
          <w:t xml:space="preserve">http://dx.doi.org/10.1038/ncomms8537</w:t>
        </w:r>
      </w:hyperlink>
    </w:p>
    <w:bookmarkEnd w:id="234"/>
    <w:bookmarkStart w:id="236" w:name="ref-kidnie2015grass"/>
    <w:p>
      <w:pPr>
        <w:pStyle w:val="Bibliography"/>
      </w:pPr>
      <w:r>
        <w:t xml:space="preserve">Kidnie, S., &amp; Wotton, B. M. (2015). Characterisation of the fuel and fire environment in southern</w:t>
      </w:r>
      <w:r>
        <w:t xml:space="preserve"> </w:t>
      </w:r>
      <w:r>
        <w:t xml:space="preserve">Ontario</w:t>
      </w:r>
      <w:r>
        <w:t xml:space="preserve">’s tallgrass prairie.</w:t>
      </w:r>
      <w:r>
        <w:t xml:space="preserve"> </w:t>
      </w:r>
      <w:r>
        <w:rPr>
          <w:i/>
          <w:iCs/>
        </w:rPr>
        <w:t xml:space="preserve">International Journal of Wildland Fire</w:t>
      </w:r>
      <w:r>
        <w:t xml:space="preserve">,</w:t>
      </w:r>
      <w:r>
        <w:t xml:space="preserve"> </w:t>
      </w:r>
      <w:r>
        <w:rPr>
          <w:i/>
          <w:iCs/>
        </w:rPr>
        <w:t xml:space="preserve">24</w:t>
      </w:r>
      <w:r>
        <w:t xml:space="preserve">(8), 1118–1128. CSIRO Publishing. Retrieved from</w:t>
      </w:r>
      <w:r>
        <w:t xml:space="preserve"> </w:t>
      </w:r>
      <w:hyperlink r:id="rId235">
        <w:r>
          <w:rPr>
            <w:rStyle w:val="Hyperlink"/>
          </w:rPr>
          <w:t xml:space="preserve">http://dx.doi.org/10.1071/wf14214</w:t>
        </w:r>
      </w:hyperlink>
    </w:p>
    <w:bookmarkEnd w:id="236"/>
    <w:bookmarkStart w:id="238" w:name="ref-kirchmeieryoung2019attribution"/>
    <w:p>
      <w:pPr>
        <w:pStyle w:val="Bibliography"/>
      </w:pPr>
      <w:r>
        <w:t xml:space="preserve">Kirchmeier-Young, M. C., Gillett, N. P., Zwiers, F. W., Cannon, A. J., &amp; Anslow, F. S. (2019).</w:t>
      </w:r>
      <w:r>
        <w:t xml:space="preserve"> </w:t>
      </w:r>
      <w:hyperlink r:id="rId237">
        <w:r>
          <w:rPr>
            <w:rStyle w:val="Hyperlink"/>
          </w:rPr>
          <w:t xml:space="preserve">Attribution of the influence of human-induced climate change on an extreme fire season</w:t>
        </w:r>
      </w:hyperlink>
      <w:r>
        <w:t xml:space="preserve">.</w:t>
      </w:r>
      <w:r>
        <w:t xml:space="preserve"> </w:t>
      </w:r>
      <w:r>
        <w:rPr>
          <w:i/>
          <w:iCs/>
        </w:rPr>
        <w:t xml:space="preserve">Earth’s Future</w:t>
      </w:r>
      <w:r>
        <w:t xml:space="preserve">,</w:t>
      </w:r>
      <w:r>
        <w:t xml:space="preserve"> </w:t>
      </w:r>
      <w:r>
        <w:rPr>
          <w:i/>
          <w:iCs/>
        </w:rPr>
        <w:t xml:space="preserve">7</w:t>
      </w:r>
      <w:r>
        <w:t xml:space="preserve">(1), 2–10.</w:t>
      </w:r>
    </w:p>
    <w:bookmarkEnd w:id="238"/>
    <w:bookmarkStart w:id="240" w:name="ref-kochtubajda2020cldn"/>
    <w:p>
      <w:pPr>
        <w:pStyle w:val="Bibliography"/>
      </w:pPr>
      <w:r>
        <w:t xml:space="preserve">Kochtubajda, B., &amp; Burrows, W. R. (2020). Cloud-to-ground lightning in</w:t>
      </w:r>
      <w:r>
        <w:t xml:space="preserve"> </w:t>
      </w:r>
      <w:r>
        <w:t xml:space="preserve">Canada</w:t>
      </w:r>
      <w:r>
        <w:t xml:space="preserve">: 20 years of</w:t>
      </w:r>
      <w:r>
        <w:t xml:space="preserve"> </w:t>
      </w:r>
      <w:r>
        <w:t xml:space="preserve">CLDN</w:t>
      </w:r>
      <w:r>
        <w:t xml:space="preserve"> </w:t>
      </w:r>
      <w:r>
        <w:t xml:space="preserve">data.</w:t>
      </w:r>
      <w:r>
        <w:t xml:space="preserve"> </w:t>
      </w:r>
      <w:r>
        <w:rPr>
          <w:i/>
          <w:iCs/>
        </w:rPr>
        <w:t xml:space="preserve">Atmosphere-Ocean</w:t>
      </w:r>
      <w:r>
        <w:t xml:space="preserve">,</w:t>
      </w:r>
      <w:r>
        <w:t xml:space="preserve"> </w:t>
      </w:r>
      <w:r>
        <w:rPr>
          <w:i/>
          <w:iCs/>
        </w:rPr>
        <w:t xml:space="preserve">58</w:t>
      </w:r>
      <w:r>
        <w:t xml:space="preserve">(5), 316–332. Informa UK Limited. Retrieved from</w:t>
      </w:r>
      <w:r>
        <w:t xml:space="preserve"> </w:t>
      </w:r>
      <w:hyperlink r:id="rId239">
        <w:r>
          <w:rPr>
            <w:rStyle w:val="Hyperlink"/>
          </w:rPr>
          <w:t xml:space="preserve">http://dx.doi.org/10.1080/07055900.2020.1845117</w:t>
        </w:r>
      </w:hyperlink>
    </w:p>
    <w:bookmarkEnd w:id="240"/>
    <w:bookmarkStart w:id="242" w:name="ref-kunsch1989bootstrap"/>
    <w:p>
      <w:pPr>
        <w:pStyle w:val="Bibliography"/>
      </w:pPr>
      <w:r>
        <w:t xml:space="preserve">Kunsch, H. R. (1989). The jackknife and the bootstrap for general stationary observations.</w:t>
      </w:r>
      <w:r>
        <w:t xml:space="preserve"> </w:t>
      </w:r>
      <w:r>
        <w:rPr>
          <w:i/>
          <w:iCs/>
        </w:rPr>
        <w:t xml:space="preserve">The Annals of Statistics</w:t>
      </w:r>
      <w:r>
        <w:t xml:space="preserve">,</w:t>
      </w:r>
      <w:r>
        <w:t xml:space="preserve"> </w:t>
      </w:r>
      <w:r>
        <w:rPr>
          <w:i/>
          <w:iCs/>
        </w:rPr>
        <w:t xml:space="preserve">17</w:t>
      </w:r>
      <w:r>
        <w:t xml:space="preserve">(3). Institute of Mathematical Statistics. Retrieved from</w:t>
      </w:r>
      <w:r>
        <w:t xml:space="preserve"> </w:t>
      </w:r>
      <w:hyperlink r:id="rId241">
        <w:r>
          <w:rPr>
            <w:rStyle w:val="Hyperlink"/>
          </w:rPr>
          <w:t xml:space="preserve">http://dx.doi.org/10.1214/aos/1176347265</w:t>
        </w:r>
      </w:hyperlink>
    </w:p>
    <w:bookmarkEnd w:id="242"/>
    <w:bookmarkStart w:id="244" w:name="ref-lawless1987negbin"/>
    <w:p>
      <w:pPr>
        <w:pStyle w:val="Bibliography"/>
      </w:pPr>
      <w:r>
        <w:t xml:space="preserve">Lawless, J. F. (1987). Negative binomial and mixed</w:t>
      </w:r>
      <w:r>
        <w:t xml:space="preserve"> </w:t>
      </w:r>
      <w:r>
        <w:t xml:space="preserve">Poisson</w:t>
      </w:r>
      <w:r>
        <w:t xml:space="preserve"> </w:t>
      </w:r>
      <w:r>
        <w:t xml:space="preserve">regression.</w:t>
      </w:r>
      <w:r>
        <w:t xml:space="preserve"> </w:t>
      </w:r>
      <w:r>
        <w:rPr>
          <w:i/>
          <w:iCs/>
        </w:rPr>
        <w:t xml:space="preserve">Canadian Journal of Statistics</w:t>
      </w:r>
      <w:r>
        <w:t xml:space="preserve">,</w:t>
      </w:r>
      <w:r>
        <w:t xml:space="preserve"> </w:t>
      </w:r>
      <w:r>
        <w:rPr>
          <w:i/>
          <w:iCs/>
        </w:rPr>
        <w:t xml:space="preserve">15</w:t>
      </w:r>
      <w:r>
        <w:t xml:space="preserve">(3), 209–225. Wiley. Retrieved from</w:t>
      </w:r>
      <w:r>
        <w:t xml:space="preserve"> </w:t>
      </w:r>
      <w:hyperlink r:id="rId243">
        <w:r>
          <w:rPr>
            <w:rStyle w:val="Hyperlink"/>
          </w:rPr>
          <w:t xml:space="preserve">http://dx.doi.org/10.2307/3314912</w:t>
        </w:r>
      </w:hyperlink>
    </w:p>
    <w:bookmarkEnd w:id="244"/>
    <w:bookmarkStart w:id="246" w:name="ref-lawson2008weather"/>
    <w:p>
      <w:pPr>
        <w:pStyle w:val="Bibliography"/>
      </w:pPr>
      <w:r>
        <w:t xml:space="preserve">Lawson, B. D., &amp; Armitage, O. B. (2008).</w:t>
      </w:r>
      <w:r>
        <w:t xml:space="preserve"> </w:t>
      </w:r>
      <w:r>
        <w:rPr>
          <w:i/>
          <w:iCs/>
        </w:rPr>
        <w:t xml:space="preserve">Weather guide for the</w:t>
      </w:r>
      <w:r>
        <w:rPr>
          <w:i/>
          <w:iCs/>
        </w:rPr>
        <w:t xml:space="preserve"> </w:t>
      </w:r>
      <w:r>
        <w:rPr>
          <w:i/>
          <w:iCs/>
        </w:rPr>
        <w:t xml:space="preserve">Canadian Forest Fire Danger Rating System</w:t>
      </w:r>
      <w:r>
        <w:t xml:space="preserve">. Edmonton, Alberta: Natural Resources Canada, Canadian Forest Service, Northern Forestry Centre. Retrieved from</w:t>
      </w:r>
      <w:r>
        <w:t xml:space="preserve"> </w:t>
      </w:r>
      <w:hyperlink r:id="rId245">
        <w:r>
          <w:rPr>
            <w:rStyle w:val="Hyperlink"/>
          </w:rPr>
          <w:t xml:space="preserve">https://ostrnrcan-dostrncan.canada.ca/handle/1845/219568</w:t>
        </w:r>
      </w:hyperlink>
    </w:p>
    <w:bookmarkEnd w:id="246"/>
    <w:bookmarkStart w:id="248" w:name="ref-magnussen2012bc"/>
    <w:p>
      <w:pPr>
        <w:pStyle w:val="Bibliography"/>
      </w:pPr>
      <w:r>
        <w:t xml:space="preserve">Magnussen, S., &amp; Taylor, S. W. (2012). Prediction of daily lightning- and human-caused fires in</w:t>
      </w:r>
      <w:r>
        <w:t xml:space="preserve"> </w:t>
      </w:r>
      <w:r>
        <w:t xml:space="preserve">British Columbia</w:t>
      </w:r>
      <w:r>
        <w:t xml:space="preserve">.</w:t>
      </w:r>
      <w:r>
        <w:t xml:space="preserve"> </w:t>
      </w:r>
      <w:r>
        <w:rPr>
          <w:i/>
          <w:iCs/>
        </w:rPr>
        <w:t xml:space="preserve">International Journal of Wildland Fire</w:t>
      </w:r>
      <w:r>
        <w:t xml:space="preserve">,</w:t>
      </w:r>
      <w:r>
        <w:t xml:space="preserve"> </w:t>
      </w:r>
      <w:r>
        <w:rPr>
          <w:i/>
          <w:iCs/>
        </w:rPr>
        <w:t xml:space="preserve">21</w:t>
      </w:r>
      <w:r>
        <w:t xml:space="preserve">(4), 342–356. CSIRO Publishing. Retrieved from</w:t>
      </w:r>
      <w:r>
        <w:t xml:space="preserve"> </w:t>
      </w:r>
      <w:hyperlink r:id="rId247">
        <w:r>
          <w:rPr>
            <w:rStyle w:val="Hyperlink"/>
          </w:rPr>
          <w:t xml:space="preserve">http://dx.doi.org/10.1071/wf11088</w:t>
        </w:r>
      </w:hyperlink>
    </w:p>
    <w:bookmarkEnd w:id="248"/>
    <w:bookmarkStart w:id="250" w:name="ref-mamgain2026satellite"/>
    <w:p>
      <w:pPr>
        <w:pStyle w:val="Bibliography"/>
      </w:pPr>
      <w:r>
        <w:t xml:space="preserve">Mamgain, S., Roy, A., &amp; Karnatak, H. C. (2026). A satellite-based forest fire weather index for characterizing fire danger variability in the</w:t>
      </w:r>
      <w:r>
        <w:t xml:space="preserve"> </w:t>
      </w:r>
      <w:r>
        <w:t xml:space="preserve">Himalaya</w:t>
      </w:r>
      <w:r>
        <w:t xml:space="preserve">.</w:t>
      </w:r>
      <w:r>
        <w:t xml:space="preserve"> </w:t>
      </w:r>
      <w:r>
        <w:rPr>
          <w:i/>
          <w:iCs/>
        </w:rPr>
        <w:t xml:space="preserve">Agricultural and Forest Meteorology</w:t>
      </w:r>
      <w:r>
        <w:t xml:space="preserve">,</w:t>
      </w:r>
      <w:r>
        <w:t xml:space="preserve"> </w:t>
      </w:r>
      <w:r>
        <w:rPr>
          <w:i/>
          <w:iCs/>
        </w:rPr>
        <w:t xml:space="preserve">384</w:t>
      </w:r>
      <w:r>
        <w:t xml:space="preserve">, 111169. Elsevier BV. Retrieved from</w:t>
      </w:r>
      <w:r>
        <w:t xml:space="preserve"> </w:t>
      </w:r>
      <w:hyperlink r:id="rId249">
        <w:r>
          <w:rPr>
            <w:rStyle w:val="Hyperlink"/>
          </w:rPr>
          <w:t xml:space="preserve">http://dx.doi.org/10.1016/j.agrformet.2026.111169</w:t>
        </w:r>
      </w:hyperlink>
    </w:p>
    <w:bookmarkEnd w:id="250"/>
    <w:bookmarkStart w:id="252" w:name="ref-mann1945nonparametric"/>
    <w:p>
      <w:pPr>
        <w:pStyle w:val="Bibliography"/>
      </w:pPr>
      <w:r>
        <w:t xml:space="preserve">Mann, H. B. (1945).</w:t>
      </w:r>
      <w:r>
        <w:t xml:space="preserve"> </w:t>
      </w:r>
      <w:hyperlink r:id="rId251">
        <w:r>
          <w:rPr>
            <w:rStyle w:val="Hyperlink"/>
          </w:rPr>
          <w:t xml:space="preserve">Nonparametric tests against trend</w:t>
        </w:r>
      </w:hyperlink>
      <w:r>
        <w:t xml:space="preserve">.</w:t>
      </w:r>
      <w:r>
        <w:t xml:space="preserve"> </w:t>
      </w:r>
      <w:r>
        <w:rPr>
          <w:i/>
          <w:iCs/>
        </w:rPr>
        <w:t xml:space="preserve">Econometrica</w:t>
      </w:r>
      <w:r>
        <w:t xml:space="preserve">,</w:t>
      </w:r>
      <w:r>
        <w:t xml:space="preserve"> </w:t>
      </w:r>
      <w:r>
        <w:rPr>
          <w:i/>
          <w:iCs/>
        </w:rPr>
        <w:t xml:space="preserve">13</w:t>
      </w:r>
      <w:r>
        <w:t xml:space="preserve">(3), 245–259.</w:t>
      </w:r>
    </w:p>
    <w:bookmarkEnd w:id="252"/>
    <w:bookmarkStart w:id="254" w:name="ref-martell1989seasonal"/>
    <w:p>
      <w:pPr>
        <w:pStyle w:val="Bibliography"/>
      </w:pPr>
      <w:r>
        <w:t xml:space="preserve">Martell, D. L., Bevilacqua, E., &amp; Stocks, B. J. (1989). Modelling seasonal variation in daily people-caused forest fire occurrence.</w:t>
      </w:r>
      <w:r>
        <w:t xml:space="preserve"> </w:t>
      </w:r>
      <w:r>
        <w:rPr>
          <w:i/>
          <w:iCs/>
        </w:rPr>
        <w:t xml:space="preserve">Canadian Journal of Forest Research</w:t>
      </w:r>
      <w:r>
        <w:t xml:space="preserve">,</w:t>
      </w:r>
      <w:r>
        <w:t xml:space="preserve"> </w:t>
      </w:r>
      <w:r>
        <w:rPr>
          <w:i/>
          <w:iCs/>
        </w:rPr>
        <w:t xml:space="preserve">19</w:t>
      </w:r>
      <w:r>
        <w:t xml:space="preserve">(12), 1555–1563. Canadian Science Publishing. Retrieved from</w:t>
      </w:r>
      <w:r>
        <w:t xml:space="preserve"> </w:t>
      </w:r>
      <w:hyperlink r:id="rId253">
        <w:r>
          <w:rPr>
            <w:rStyle w:val="Hyperlink"/>
          </w:rPr>
          <w:t xml:space="preserve">http://dx.doi.org/10.1139/x89-237</w:t>
        </w:r>
      </w:hyperlink>
    </w:p>
    <w:bookmarkEnd w:id="254"/>
    <w:bookmarkStart w:id="256" w:name="ref-martell1987logistic"/>
    <w:p>
      <w:pPr>
        <w:pStyle w:val="Bibliography"/>
      </w:pPr>
      <w:r>
        <w:t xml:space="preserve">Martell, D. L., Otukol, S., &amp; Stocks, B. J. (1987). A logistic model for predicting daily people-caused forest fire occurrence in</w:t>
      </w:r>
      <w:r>
        <w:t xml:space="preserve"> </w:t>
      </w:r>
      <w:r>
        <w:t xml:space="preserve">Ontario</w:t>
      </w:r>
      <w:r>
        <w:t xml:space="preserve">.</w:t>
      </w:r>
      <w:r>
        <w:t xml:space="preserve"> </w:t>
      </w:r>
      <w:r>
        <w:rPr>
          <w:i/>
          <w:iCs/>
        </w:rPr>
        <w:t xml:space="preserve">Canadian Journal of Forest Research</w:t>
      </w:r>
      <w:r>
        <w:t xml:space="preserve">,</w:t>
      </w:r>
      <w:r>
        <w:t xml:space="preserve"> </w:t>
      </w:r>
      <w:r>
        <w:rPr>
          <w:i/>
          <w:iCs/>
        </w:rPr>
        <w:t xml:space="preserve">17</w:t>
      </w:r>
      <w:r>
        <w:t xml:space="preserve">(5), 394–401. Canadian Science Publishing. Retrieved from</w:t>
      </w:r>
      <w:r>
        <w:t xml:space="preserve"> </w:t>
      </w:r>
      <w:hyperlink r:id="rId255">
        <w:r>
          <w:rPr>
            <w:rStyle w:val="Hyperlink"/>
          </w:rPr>
          <w:t xml:space="preserve">http://dx.doi.org/10.1139/x87-068</w:t>
        </w:r>
      </w:hyperlink>
    </w:p>
    <w:bookmarkEnd w:id="256"/>
    <w:bookmarkStart w:id="258" w:name="ref-matthews2009comparison"/>
    <w:p>
      <w:pPr>
        <w:pStyle w:val="Bibliography"/>
      </w:pPr>
      <w:r>
        <w:t xml:space="preserve">Matthews, S. (2009). A comparison of fire danger rating systems for use in forests.</w:t>
      </w:r>
      <w:r>
        <w:t xml:space="preserve"> </w:t>
      </w:r>
      <w:r>
        <w:rPr>
          <w:i/>
          <w:iCs/>
        </w:rPr>
        <w:t xml:space="preserve">Australian Meteorological and Oceanographic Journal</w:t>
      </w:r>
      <w:r>
        <w:t xml:space="preserve">,</w:t>
      </w:r>
      <w:r>
        <w:t xml:space="preserve"> </w:t>
      </w:r>
      <w:r>
        <w:rPr>
          <w:i/>
          <w:iCs/>
        </w:rPr>
        <w:t xml:space="preserve">58</w:t>
      </w:r>
      <w:r>
        <w:t xml:space="preserve">(01), 41–48. CSIRO Publishing. Retrieved from</w:t>
      </w:r>
      <w:r>
        <w:t xml:space="preserve"> </w:t>
      </w:r>
      <w:hyperlink r:id="rId257">
        <w:r>
          <w:rPr>
            <w:rStyle w:val="Hyperlink"/>
          </w:rPr>
          <w:t xml:space="preserve">http://dx.doi.org/10.22499/2.5801.005</w:t>
        </w:r>
      </w:hyperlink>
    </w:p>
    <w:bookmarkEnd w:id="258"/>
    <w:bookmarkStart w:id="260" w:name="ref-mcelhinny2020era5"/>
    <w:p>
      <w:pPr>
        <w:pStyle w:val="Bibliography"/>
      </w:pPr>
      <w:r>
        <w:t xml:space="preserve">McElhinny, M., Beckers, J. F., Hanes, C., Flannigan, M., &amp; Jain, P. (2020). A high-resolution reanalysis of global fire weather from 1979 to 2018 – overwintering the</w:t>
      </w:r>
      <w:r>
        <w:t xml:space="preserve"> </w:t>
      </w:r>
      <w:r>
        <w:t xml:space="preserve">Drought Code</w:t>
      </w:r>
      <w:r>
        <w:t xml:space="preserve">.</w:t>
      </w:r>
      <w:r>
        <w:t xml:space="preserve"> </w:t>
      </w:r>
      <w:r>
        <w:rPr>
          <w:i/>
          <w:iCs/>
        </w:rPr>
        <w:t xml:space="preserve">Earth System Science Data</w:t>
      </w:r>
      <w:r>
        <w:t xml:space="preserve">,</w:t>
      </w:r>
      <w:r>
        <w:t xml:space="preserve"> </w:t>
      </w:r>
      <w:r>
        <w:rPr>
          <w:i/>
          <w:iCs/>
        </w:rPr>
        <w:t xml:space="preserve">12</w:t>
      </w:r>
      <w:r>
        <w:t xml:space="preserve">(3), 1823–1833. Copernicus GmbH. Retrieved from</w:t>
      </w:r>
      <w:r>
        <w:t xml:space="preserve"> </w:t>
      </w:r>
      <w:hyperlink r:id="rId259">
        <w:r>
          <w:rPr>
            <w:rStyle w:val="Hyperlink"/>
          </w:rPr>
          <w:t xml:space="preserve">http://dx.doi.org/10.5194/essd-12-1823-2020</w:t>
        </w:r>
      </w:hyperlink>
    </w:p>
    <w:bookmarkEnd w:id="260"/>
    <w:bookmarkStart w:id="262" w:name="ref-meyn2010spatial"/>
    <w:p>
      <w:pPr>
        <w:pStyle w:val="Bibliography"/>
      </w:pPr>
      <w:r>
        <w:t xml:space="preserve">Meyn, A., Schmidtlein, S., Taylor, S. W., Girardin, M. P., Thonicke, K., &amp; Cramer, W. (2010). Spatial variation of trends in wildfire and summer drought in</w:t>
      </w:r>
      <w:r>
        <w:t xml:space="preserve"> </w:t>
      </w:r>
      <w:r>
        <w:t xml:space="preserve">British Columbia</w:t>
      </w:r>
      <w:r>
        <w:t xml:space="preserve">,</w:t>
      </w:r>
      <w:r>
        <w:t xml:space="preserve"> </w:t>
      </w:r>
      <w:r>
        <w:t xml:space="preserve">Canada</w:t>
      </w:r>
      <w:r>
        <w:t xml:space="preserve">, 1920–2000.</w:t>
      </w:r>
      <w:r>
        <w:t xml:space="preserve"> </w:t>
      </w:r>
      <w:r>
        <w:rPr>
          <w:i/>
          <w:iCs/>
        </w:rPr>
        <w:t xml:space="preserve">International Journal of Wildland Fire</w:t>
      </w:r>
      <w:r>
        <w:t xml:space="preserve">,</w:t>
      </w:r>
      <w:r>
        <w:t xml:space="preserve"> </w:t>
      </w:r>
      <w:r>
        <w:rPr>
          <w:i/>
          <w:iCs/>
        </w:rPr>
        <w:t xml:space="preserve">19</w:t>
      </w:r>
      <w:r>
        <w:t xml:space="preserve">(3), 272–283. CSIRO Publishing. Retrieved from</w:t>
      </w:r>
      <w:r>
        <w:t xml:space="preserve"> </w:t>
      </w:r>
      <w:hyperlink r:id="rId261">
        <w:r>
          <w:rPr>
            <w:rStyle w:val="Hyperlink"/>
          </w:rPr>
          <w:t xml:space="preserve">http://dx.doi.org/10.1071/wf09055</w:t>
        </w:r>
      </w:hyperlink>
    </w:p>
    <w:bookmarkEnd w:id="262"/>
    <w:bookmarkStart w:id="264" w:name="ref-meyn2010oscillations"/>
    <w:p>
      <w:pPr>
        <w:pStyle w:val="Bibliography"/>
      </w:pPr>
      <w:r>
        <w:t xml:space="preserve">Meyn, A., Taylor, S. W., Flannigan, M. D., Thonicke, K., &amp; Cramer, W. (2010).</w:t>
      </w:r>
      <w:r>
        <w:t xml:space="preserve"> </w:t>
      </w:r>
      <w:hyperlink r:id="rId263">
        <w:r>
          <w:rPr>
            <w:rStyle w:val="Hyperlink"/>
          </w:rPr>
          <w:t xml:space="preserve">Relationship between fire, climate oscillations, and drought in</w:t>
        </w:r>
        <w:r>
          <w:rPr>
            <w:rStyle w:val="Hyperlink"/>
          </w:rPr>
          <w:t xml:space="preserve"> </w:t>
        </w:r>
        <w:r>
          <w:rPr>
            <w:rStyle w:val="Hyperlink"/>
          </w:rPr>
          <w:t xml:space="preserve">British Columbia</w:t>
        </w:r>
        <w:r>
          <w:rPr>
            <w:rStyle w:val="Hyperlink"/>
          </w:rPr>
          <w:t xml:space="preserve">,</w:t>
        </w:r>
        <w:r>
          <w:rPr>
            <w:rStyle w:val="Hyperlink"/>
          </w:rPr>
          <w:t xml:space="preserve"> </w:t>
        </w:r>
        <w:r>
          <w:rPr>
            <w:rStyle w:val="Hyperlink"/>
          </w:rPr>
          <w:t xml:space="preserve">Canada</w:t>
        </w:r>
        <w:r>
          <w:rPr>
            <w:rStyle w:val="Hyperlink"/>
          </w:rPr>
          <w:t xml:space="preserve">, 1920–2000</w:t>
        </w:r>
      </w:hyperlink>
      <w:r>
        <w:t xml:space="preserve">.</w:t>
      </w:r>
      <w:r>
        <w:t xml:space="preserve"> </w:t>
      </w:r>
      <w:r>
        <w:rPr>
          <w:i/>
          <w:iCs/>
        </w:rPr>
        <w:t xml:space="preserve">Global Change Biology</w:t>
      </w:r>
      <w:r>
        <w:t xml:space="preserve">,</w:t>
      </w:r>
      <w:r>
        <w:t xml:space="preserve"> </w:t>
      </w:r>
      <w:r>
        <w:rPr>
          <w:i/>
          <w:iCs/>
        </w:rPr>
        <w:t xml:space="preserve">16</w:t>
      </w:r>
      <w:r>
        <w:t xml:space="preserve">(3), 977–989.</w:t>
      </w:r>
    </w:p>
    <w:bookmarkEnd w:id="264"/>
    <w:bookmarkStart w:id="266" w:name="ref-murphy2022cffdrsprototype"/>
    <w:p>
      <w:pPr>
        <w:pStyle w:val="Bibliography"/>
      </w:pPr>
      <w:r>
        <w:t xml:space="preserve">Murphy, S. (2022). Wildfire fuel mapping with the</w:t>
      </w:r>
      <w:r>
        <w:t xml:space="preserve"> </w:t>
      </w:r>
      <w:r>
        <w:t xml:space="preserve">Canadian Forest Fire Danger Rating System</w:t>
      </w:r>
      <w:r>
        <w:t xml:space="preserve">: Proof of concept for the</w:t>
      </w:r>
      <w:r>
        <w:t xml:space="preserve"> </w:t>
      </w:r>
      <w:r>
        <w:t xml:space="preserve">Okanagan</w:t>
      </w:r>
      <w:r>
        <w:t xml:space="preserve"> </w:t>
      </w:r>
      <w:r>
        <w:t xml:space="preserve">watershed. Unpublished work,</w:t>
      </w:r>
      <w:r>
        <w:t xml:space="preserve"> </w:t>
      </w:r>
      <w:r>
        <w:t xml:space="preserve">CabinGIS</w:t>
      </w:r>
      <w:r>
        <w:t xml:space="preserve">; code repository and results page. Retrieved from</w:t>
      </w:r>
      <w:r>
        <w:t xml:space="preserve"> </w:t>
      </w:r>
      <w:hyperlink r:id="rId265">
        <w:r>
          <w:rPr>
            <w:rStyle w:val="Hyperlink"/>
          </w:rPr>
          <w:t xml:space="preserve">https://github.com/seamusrobertmurphy/wildfire-fuel-mapping-CFFDRS-2.0</w:t>
        </w:r>
      </w:hyperlink>
    </w:p>
    <w:bookmarkEnd w:id="266"/>
    <w:bookmarkStart w:id="268" w:name="ref-nitschke2008okanagan"/>
    <w:p>
      <w:pPr>
        <w:pStyle w:val="Bibliography"/>
      </w:pPr>
      <w:r>
        <w:t xml:space="preserve">NITSCHKE, C. R., &amp; INNES, J. L. (2007). Climatic change and fire potential in south‐central</w:t>
      </w:r>
      <w:r>
        <w:t xml:space="preserve"> </w:t>
      </w:r>
      <w:r>
        <w:t xml:space="preserve">British Columbia</w:t>
      </w:r>
      <w:r>
        <w:t xml:space="preserve">,</w:t>
      </w:r>
      <w:r>
        <w:t xml:space="preserve"> </w:t>
      </w:r>
      <w:r>
        <w:t xml:space="preserve">Canada</w:t>
      </w:r>
      <w:r>
        <w:t xml:space="preserve">.</w:t>
      </w:r>
      <w:r>
        <w:t xml:space="preserve"> </w:t>
      </w:r>
      <w:r>
        <w:rPr>
          <w:i/>
          <w:iCs/>
        </w:rPr>
        <w:t xml:space="preserve">Global Change Biology</w:t>
      </w:r>
      <w:r>
        <w:t xml:space="preserve">,</w:t>
      </w:r>
      <w:r>
        <w:t xml:space="preserve"> </w:t>
      </w:r>
      <w:r>
        <w:rPr>
          <w:i/>
          <w:iCs/>
        </w:rPr>
        <w:t xml:space="preserve">14</w:t>
      </w:r>
      <w:r>
        <w:t xml:space="preserve">(4), 841–855. Wiley. Retrieved from</w:t>
      </w:r>
      <w:r>
        <w:t xml:space="preserve"> </w:t>
      </w:r>
      <w:hyperlink r:id="rId267">
        <w:r>
          <w:rPr>
            <w:rStyle w:val="Hyperlink"/>
          </w:rPr>
          <w:t xml:space="preserve">http://dx.doi.org/10.1111/j.1365-2486.2007.01517.x</w:t>
        </w:r>
      </w:hyperlink>
    </w:p>
    <w:bookmarkEnd w:id="268"/>
    <w:bookmarkStart w:id="270" w:name="ref-onoz2012blockbootstrap"/>
    <w:p>
      <w:pPr>
        <w:pStyle w:val="Bibliography"/>
      </w:pPr>
      <w:r>
        <w:t xml:space="preserve">Önöz, B., &amp; Bayazit, M. (2012). Block bootstrap for</w:t>
      </w:r>
      <w:r>
        <w:t xml:space="preserve"> </w:t>
      </w:r>
      <w:r>
        <w:t xml:space="preserve">Mann–Kendall</w:t>
      </w:r>
      <w:r>
        <w:t xml:space="preserve"> </w:t>
      </w:r>
      <w:r>
        <w:t xml:space="preserve">trend test of serially dependent data.</w:t>
      </w:r>
      <w:r>
        <w:t xml:space="preserve"> </w:t>
      </w:r>
      <w:r>
        <w:rPr>
          <w:i/>
          <w:iCs/>
        </w:rPr>
        <w:t xml:space="preserve">Hydrological Processes</w:t>
      </w:r>
      <w:r>
        <w:t xml:space="preserve">,</w:t>
      </w:r>
      <w:r>
        <w:t xml:space="preserve"> </w:t>
      </w:r>
      <w:r>
        <w:rPr>
          <w:i/>
          <w:iCs/>
        </w:rPr>
        <w:t xml:space="preserve">26</w:t>
      </w:r>
      <w:r>
        <w:t xml:space="preserve">(23), 3552–3560. Wiley. Retrieved from</w:t>
      </w:r>
      <w:r>
        <w:t xml:space="preserve"> </w:t>
      </w:r>
      <w:hyperlink r:id="rId269">
        <w:r>
          <w:rPr>
            <w:rStyle w:val="Hyperlink"/>
          </w:rPr>
          <w:t xml:space="preserve">http://dx.doi.org/10.1002/hyp.8438</w:t>
        </w:r>
      </w:hyperlink>
    </w:p>
    <w:bookmarkEnd w:id="270"/>
    <w:bookmarkStart w:id="272" w:name="ref-papagiannaki2020weather"/>
    <w:p>
      <w:pPr>
        <w:pStyle w:val="Bibliography"/>
      </w:pPr>
      <w:r>
        <w:t xml:space="preserve">Papagiannaki, K., Giannaros, T. M., Lykoudis, S., Kotroni, V., &amp; Lagouvardos, K. (2020). Weather-related thresholds for wildfire danger in a</w:t>
      </w:r>
      <w:r>
        <w:t xml:space="preserve"> </w:t>
      </w:r>
      <w:r>
        <w:t xml:space="preserve">Mediterranean</w:t>
      </w:r>
      <w:r>
        <w:t xml:space="preserve"> </w:t>
      </w:r>
      <w:r>
        <w:t xml:space="preserve">region: The case of</w:t>
      </w:r>
      <w:r>
        <w:t xml:space="preserve"> </w:t>
      </w:r>
      <w:r>
        <w:t xml:space="preserve">Greece</w:t>
      </w:r>
      <w:r>
        <w:t xml:space="preserve">.</w:t>
      </w:r>
      <w:r>
        <w:t xml:space="preserve"> </w:t>
      </w:r>
      <w:r>
        <w:rPr>
          <w:i/>
          <w:iCs/>
        </w:rPr>
        <w:t xml:space="preserve">Agricultural and Forest Meteorology</w:t>
      </w:r>
      <w:r>
        <w:t xml:space="preserve">,</w:t>
      </w:r>
      <w:r>
        <w:t xml:space="preserve"> </w:t>
      </w:r>
      <w:r>
        <w:rPr>
          <w:i/>
          <w:iCs/>
        </w:rPr>
        <w:t xml:space="preserve">291</w:t>
      </w:r>
      <w:r>
        <w:t xml:space="preserve">, 108076. Elsevier BV. Retrieved from</w:t>
      </w:r>
      <w:r>
        <w:t xml:space="preserve"> </w:t>
      </w:r>
      <w:hyperlink r:id="rId271">
        <w:r>
          <w:rPr>
            <w:rStyle w:val="Hyperlink"/>
          </w:rPr>
          <w:t xml:space="preserve">http://dx.doi.org/10.1016/j.agrformet.2020.108076</w:t>
        </w:r>
      </w:hyperlink>
    </w:p>
    <w:bookmarkEnd w:id="272"/>
    <w:bookmarkStart w:id="274" w:name="ref-parisien2023abrupt"/>
    <w:p>
      <w:pPr>
        <w:pStyle w:val="Bibliography"/>
      </w:pPr>
      <w:r>
        <w:t xml:space="preserve">Parisien, M.-A., Barber, Q. E., Bourbonnais, M. L., Daniels, L. D., Flannigan, M. D., Gray, R. W., Hoffman, K. M., et al. (2023).</w:t>
      </w:r>
      <w:r>
        <w:t xml:space="preserve"> </w:t>
      </w:r>
      <w:hyperlink r:id="rId273">
        <w:r>
          <w:rPr>
            <w:rStyle w:val="Hyperlink"/>
          </w:rPr>
          <w:t xml:space="preserve">Abrupt, climate-induced increase in wildfires in</w:t>
        </w:r>
        <w:r>
          <w:rPr>
            <w:rStyle w:val="Hyperlink"/>
          </w:rPr>
          <w:t xml:space="preserve"> </w:t>
        </w:r>
        <w:r>
          <w:rPr>
            <w:rStyle w:val="Hyperlink"/>
          </w:rPr>
          <w:t xml:space="preserve">British Columbia</w:t>
        </w:r>
        <w:r>
          <w:rPr>
            <w:rStyle w:val="Hyperlink"/>
          </w:rPr>
          <w:t xml:space="preserve"> </w:t>
        </w:r>
        <w:r>
          <w:rPr>
            <w:rStyle w:val="Hyperlink"/>
          </w:rPr>
          <w:t xml:space="preserve">since the mid-2000s</w:t>
        </w:r>
      </w:hyperlink>
      <w:r>
        <w:t xml:space="preserve">.</w:t>
      </w:r>
      <w:r>
        <w:t xml:space="preserve"> </w:t>
      </w:r>
      <w:r>
        <w:rPr>
          <w:i/>
          <w:iCs/>
        </w:rPr>
        <w:t xml:space="preserve">Communications Earth &amp; Environment</w:t>
      </w:r>
      <w:r>
        <w:t xml:space="preserve">,</w:t>
      </w:r>
      <w:r>
        <w:t xml:space="preserve"> </w:t>
      </w:r>
      <w:r>
        <w:rPr>
          <w:i/>
          <w:iCs/>
        </w:rPr>
        <w:t xml:space="preserve">4</w:t>
      </w:r>
      <w:r>
        <w:t xml:space="preserve">(1).</w:t>
      </w:r>
    </w:p>
    <w:bookmarkEnd w:id="274"/>
    <w:bookmarkStart w:id="276" w:name="ref-perrakis2018bcfueltypes"/>
    <w:p>
      <w:pPr>
        <w:pStyle w:val="Bibliography"/>
      </w:pPr>
      <w:r>
        <w:t xml:space="preserve">Perrakis, D. D. B., Eade, G., &amp; Hicks, D. (2018).</w:t>
      </w:r>
      <w:r>
        <w:t xml:space="preserve"> </w:t>
      </w:r>
      <w:r>
        <w:rPr>
          <w:i/>
          <w:iCs/>
        </w:rPr>
        <w:t xml:space="preserve">British Columbia</w:t>
      </w:r>
      <w:r>
        <w:rPr>
          <w:i/>
          <w:iCs/>
        </w:rPr>
        <w:t xml:space="preserve"> </w:t>
      </w:r>
      <w:r>
        <w:rPr>
          <w:i/>
          <w:iCs/>
        </w:rPr>
        <w:t xml:space="preserve">wildfire fuel typing and fuel type layer description</w:t>
      </w:r>
      <w:r>
        <w:t xml:space="preserve"> </w:t>
      </w:r>
      <w:r>
        <w:t xml:space="preserve">(Information Report No. BC-X-444). Victoria, British Columbia: Natural Resources Canada, Canadian Forest Service, Pacific Forestry Centre. Retrieved from</w:t>
      </w:r>
      <w:r>
        <w:t xml:space="preserve"> </w:t>
      </w:r>
      <w:hyperlink r:id="rId275">
        <w:r>
          <w:rPr>
            <w:rStyle w:val="Hyperlink"/>
          </w:rPr>
          <w:t xml:space="preserve">https://publications.gc.ca/collections/collection_2019/rncan-nrcan/Fo143-2-444-eng.pdf</w:t>
        </w:r>
      </w:hyperlink>
    </w:p>
    <w:bookmarkEnd w:id="276"/>
    <w:bookmarkStart w:id="278" w:name="ref-plucinski2014bushfires"/>
    <w:p>
      <w:pPr>
        <w:pStyle w:val="Bibliography"/>
      </w:pPr>
      <w:r>
        <w:t xml:space="preserve">Plucinski, M. P., McCaw, W. L., Gould, J. S., &amp; Wotton, B. M. (2014). Predicting the number of daily human-caused bushfires to assist suppression planning in south-west western</w:t>
      </w:r>
      <w:r>
        <w:t xml:space="preserve"> </w:t>
      </w:r>
      <w:r>
        <w:t xml:space="preserve">Australia</w:t>
      </w:r>
      <w:r>
        <w:t xml:space="preserve">.</w:t>
      </w:r>
      <w:r>
        <w:t xml:space="preserve"> </w:t>
      </w:r>
      <w:r>
        <w:rPr>
          <w:i/>
          <w:iCs/>
        </w:rPr>
        <w:t xml:space="preserve">International Journal of Wildland Fire</w:t>
      </w:r>
      <w:r>
        <w:t xml:space="preserve">,</w:t>
      </w:r>
      <w:r>
        <w:t xml:space="preserve"> </w:t>
      </w:r>
      <w:r>
        <w:rPr>
          <w:i/>
          <w:iCs/>
        </w:rPr>
        <w:t xml:space="preserve">23</w:t>
      </w:r>
      <w:r>
        <w:t xml:space="preserve">(4), 520–531. CSIRO Publishing. Retrieved from</w:t>
      </w:r>
      <w:r>
        <w:t xml:space="preserve"> </w:t>
      </w:r>
      <w:hyperlink r:id="rId277">
        <w:r>
          <w:rPr>
            <w:rStyle w:val="Hyperlink"/>
          </w:rPr>
          <w:t xml:space="preserve">http://dx.doi.org/10.1071/wf13090</w:t>
        </w:r>
      </w:hyperlink>
    </w:p>
    <w:bookmarkEnd w:id="278"/>
    <w:bookmarkStart w:id="280" w:name="ref-podur2011spread"/>
    <w:p>
      <w:pPr>
        <w:pStyle w:val="Bibliography"/>
      </w:pPr>
      <w:r>
        <w:t xml:space="preserve">Podur, J., &amp; Wotton, B. M. (2011). Defining fire spread event days for fire-growth modelling.</w:t>
      </w:r>
      <w:r>
        <w:t xml:space="preserve"> </w:t>
      </w:r>
      <w:r>
        <w:rPr>
          <w:i/>
          <w:iCs/>
        </w:rPr>
        <w:t xml:space="preserve">International Journal of Wildland Fire</w:t>
      </w:r>
      <w:r>
        <w:t xml:space="preserve">,</w:t>
      </w:r>
      <w:r>
        <w:t xml:space="preserve"> </w:t>
      </w:r>
      <w:r>
        <w:rPr>
          <w:i/>
          <w:iCs/>
        </w:rPr>
        <w:t xml:space="preserve">20</w:t>
      </w:r>
      <w:r>
        <w:t xml:space="preserve">(4), 497–507. CSIRO Publishing. Retrieved from</w:t>
      </w:r>
      <w:r>
        <w:t xml:space="preserve"> </w:t>
      </w:r>
      <w:hyperlink r:id="rId279">
        <w:r>
          <w:rPr>
            <w:rStyle w:val="Hyperlink"/>
          </w:rPr>
          <w:t xml:space="preserve">http://dx.doi.org/10.1071/wf09001</w:t>
        </w:r>
      </w:hyperlink>
    </w:p>
    <w:bookmarkEnd w:id="280"/>
    <w:bookmarkStart w:id="282" w:name="ref-politis1994stationary"/>
    <w:p>
      <w:pPr>
        <w:pStyle w:val="Bibliography"/>
      </w:pPr>
      <w:r>
        <w:t xml:space="preserve">Politis, D. N., &amp; Romano, J. P. (1994). The stationary bootstrap.</w:t>
      </w:r>
      <w:r>
        <w:t xml:space="preserve"> </w:t>
      </w:r>
      <w:r>
        <w:rPr>
          <w:i/>
          <w:iCs/>
        </w:rPr>
        <w:t xml:space="preserve">Journal of the American Statistical Association</w:t>
      </w:r>
      <w:r>
        <w:t xml:space="preserve">,</w:t>
      </w:r>
      <w:r>
        <w:t xml:space="preserve"> </w:t>
      </w:r>
      <w:r>
        <w:rPr>
          <w:i/>
          <w:iCs/>
        </w:rPr>
        <w:t xml:space="preserve">89</w:t>
      </w:r>
      <w:r>
        <w:t xml:space="preserve">(428), 1303–1313. Informa UK Limited. Retrieved from</w:t>
      </w:r>
      <w:r>
        <w:t xml:space="preserve"> </w:t>
      </w:r>
      <w:hyperlink r:id="rId281">
        <w:r>
          <w:rPr>
            <w:rStyle w:val="Hyperlink"/>
          </w:rPr>
          <w:t xml:space="preserve">http://dx.doi.org/10.1080/01621459.1994.10476870</w:t>
        </w:r>
      </w:hyperlink>
    </w:p>
    <w:bookmarkEnd w:id="282"/>
    <w:bookmarkStart w:id="284" w:name="ref-roberts2017crossvalidation"/>
    <w:p>
      <w:pPr>
        <w:pStyle w:val="Bibliography"/>
      </w:pPr>
      <w:r>
        <w:t xml:space="preserve">Roberts, D. R., Bahn, V., Ciuti, S., Boyce, M. S., Elith, J., Guillera‐Arroita, G., Hauenstein, S., et al. (2017). Cross‐validation strategies for data with temporal, spatial, hierarchical, or phylogenetic structure.</w:t>
      </w:r>
      <w:r>
        <w:t xml:space="preserve"> </w:t>
      </w:r>
      <w:r>
        <w:rPr>
          <w:i/>
          <w:iCs/>
        </w:rPr>
        <w:t xml:space="preserve">Ecography</w:t>
      </w:r>
      <w:r>
        <w:t xml:space="preserve">,</w:t>
      </w:r>
      <w:r>
        <w:t xml:space="preserve"> </w:t>
      </w:r>
      <w:r>
        <w:rPr>
          <w:i/>
          <w:iCs/>
        </w:rPr>
        <w:t xml:space="preserve">40</w:t>
      </w:r>
      <w:r>
        <w:t xml:space="preserve">(8), 913–929. Wiley. Retrieved from</w:t>
      </w:r>
      <w:r>
        <w:t xml:space="preserve"> </w:t>
      </w:r>
      <w:hyperlink r:id="rId283">
        <w:r>
          <w:rPr>
            <w:rStyle w:val="Hyperlink"/>
          </w:rPr>
          <w:t xml:space="preserve">http://dx.doi.org/10.1111/ecog.02881</w:t>
        </w:r>
      </w:hyperlink>
    </w:p>
    <w:bookmarkEnd w:id="284"/>
    <w:bookmarkStart w:id="286" w:name="ref-rodell2024hourly"/>
    <w:p>
      <w:pPr>
        <w:pStyle w:val="Bibliography"/>
      </w:pPr>
      <w:r>
        <w:t xml:space="preserve">Rodell, C., Howard, R., Jain, P., Moisseeva, N., Chui, T., &amp; Stull, R. (2024). Forecasting hourly wildfire risk: Enhancing fire danger assessment using numerical weather prediction.</w:t>
      </w:r>
      <w:r>
        <w:t xml:space="preserve"> </w:t>
      </w:r>
      <w:r>
        <w:rPr>
          <w:i/>
          <w:iCs/>
        </w:rPr>
        <w:t xml:space="preserve">Weather and Forecasting</w:t>
      </w:r>
      <w:r>
        <w:t xml:space="preserve">,</w:t>
      </w:r>
      <w:r>
        <w:t xml:space="preserve"> </w:t>
      </w:r>
      <w:r>
        <w:rPr>
          <w:i/>
          <w:iCs/>
        </w:rPr>
        <w:t xml:space="preserve">39</w:t>
      </w:r>
      <w:r>
        <w:t xml:space="preserve">(6), 925–941. American Meteorological Society. Retrieved from</w:t>
      </w:r>
      <w:r>
        <w:t xml:space="preserve"> </w:t>
      </w:r>
      <w:hyperlink r:id="rId285">
        <w:r>
          <w:rPr>
            <w:rStyle w:val="Hyperlink"/>
          </w:rPr>
          <w:t xml:space="preserve">http://dx.doi.org/10.1175/waf-d-23-0226.1</w:t>
        </w:r>
      </w:hyperlink>
    </w:p>
    <w:bookmarkEnd w:id="286"/>
    <w:bookmarkStart w:id="288" w:name="ref-rodrigues2020identifying"/>
    <w:p>
      <w:pPr>
        <w:pStyle w:val="Bibliography"/>
      </w:pPr>
      <w:r>
        <w:t xml:space="preserve">Rodrigues, M., Trigo, R. M., Vega-García, C., &amp; Cardil, A. (2020). Identifying large fire weather typologies in the</w:t>
      </w:r>
      <w:r>
        <w:t xml:space="preserve"> </w:t>
      </w:r>
      <w:r>
        <w:t xml:space="preserve">Iberian Peninsula</w:t>
      </w:r>
      <w:r>
        <w:t xml:space="preserve">.</w:t>
      </w:r>
      <w:r>
        <w:t xml:space="preserve"> </w:t>
      </w:r>
      <w:r>
        <w:rPr>
          <w:i/>
          <w:iCs/>
        </w:rPr>
        <w:t xml:space="preserve">Agricultural and Forest Meteorology</w:t>
      </w:r>
      <w:r>
        <w:t xml:space="preserve">,</w:t>
      </w:r>
      <w:r>
        <w:t xml:space="preserve"> </w:t>
      </w:r>
      <w:r>
        <w:rPr>
          <w:i/>
          <w:iCs/>
        </w:rPr>
        <w:t xml:space="preserve">280</w:t>
      </w:r>
      <w:r>
        <w:t xml:space="preserve">, 107789. Elsevier BV. Retrieved from</w:t>
      </w:r>
      <w:r>
        <w:t xml:space="preserve"> </w:t>
      </w:r>
      <w:hyperlink r:id="rId287">
        <w:r>
          <w:rPr>
            <w:rStyle w:val="Hyperlink"/>
          </w:rPr>
          <w:t xml:space="preserve">http://dx.doi.org/10.1016/j.agrformet.2019.107789</w:t>
        </w:r>
      </w:hyperlink>
    </w:p>
    <w:bookmarkEnd w:id="288"/>
    <w:bookmarkStart w:id="290" w:name="ref-romualdi2023mpb"/>
    <w:p>
      <w:pPr>
        <w:pStyle w:val="Bibliography"/>
      </w:pPr>
      <w:r>
        <w:t xml:space="preserve">Romualdi, D. C., Wilkinson, S. L., &amp; James, P. M. A. (2023). On the limited consensus of mountain pine beetle impacts on wildfire.</w:t>
      </w:r>
      <w:r>
        <w:t xml:space="preserve"> </w:t>
      </w:r>
      <w:r>
        <w:rPr>
          <w:i/>
          <w:iCs/>
        </w:rPr>
        <w:t xml:space="preserve">Landscape Ecology</w:t>
      </w:r>
      <w:r>
        <w:t xml:space="preserve">,</w:t>
      </w:r>
      <w:r>
        <w:t xml:space="preserve"> </w:t>
      </w:r>
      <w:r>
        <w:rPr>
          <w:i/>
          <w:iCs/>
        </w:rPr>
        <w:t xml:space="preserve">38</w:t>
      </w:r>
      <w:r>
        <w:t xml:space="preserve">(9), 2159–2178. Springer Science; Business Media LLC. Retrieved from</w:t>
      </w:r>
      <w:r>
        <w:t xml:space="preserve"> </w:t>
      </w:r>
      <w:hyperlink r:id="rId289">
        <w:r>
          <w:rPr>
            <w:rStyle w:val="Hyperlink"/>
          </w:rPr>
          <w:t xml:space="preserve">http://dx.doi.org/10.1007/s10980-023-01720-z</w:t>
        </w:r>
      </w:hyperlink>
    </w:p>
    <w:bookmarkEnd w:id="290"/>
    <w:bookmarkStart w:id="292" w:name="ref-santer2000trenddiff"/>
    <w:p>
      <w:pPr>
        <w:pStyle w:val="Bibliography"/>
      </w:pPr>
      <w:r>
        <w:t xml:space="preserve">Santer, B. D., Wigley, T. M. L., Boyle, J. S., Gaffen, D. J., Hnilo, J. J., Nychka, D., Parker, D. E., et al. (2000). Statistical significance of trends and trend differences in layer‐average atmospheric temperature time series.</w:t>
      </w:r>
      <w:r>
        <w:t xml:space="preserve"> </w:t>
      </w:r>
      <w:r>
        <w:rPr>
          <w:i/>
          <w:iCs/>
        </w:rPr>
        <w:t xml:space="preserve">Journal of Geophysical Research: Atmospheres</w:t>
      </w:r>
      <w:r>
        <w:t xml:space="preserve">,</w:t>
      </w:r>
      <w:r>
        <w:t xml:space="preserve"> </w:t>
      </w:r>
      <w:r>
        <w:rPr>
          <w:i/>
          <w:iCs/>
        </w:rPr>
        <w:t xml:space="preserve">105</w:t>
      </w:r>
      <w:r>
        <w:t xml:space="preserve">(D6), 7337–7356. American Geophysical Union (AGU). Retrieved from</w:t>
      </w:r>
      <w:r>
        <w:t xml:space="preserve"> </w:t>
      </w:r>
      <w:hyperlink r:id="rId291">
        <w:r>
          <w:rPr>
            <w:rStyle w:val="Hyperlink"/>
          </w:rPr>
          <w:t xml:space="preserve">http://dx.doi.org/10.1029/1999jd901105</w:t>
        </w:r>
      </w:hyperlink>
    </w:p>
    <w:bookmarkEnd w:id="292"/>
    <w:bookmarkStart w:id="294" w:name="ref-schunk2017fine"/>
    <w:p>
      <w:pPr>
        <w:pStyle w:val="Bibliography"/>
      </w:pPr>
      <w:r>
        <w:t xml:space="preserve">Schunk, C., Wastl, C., Leuchner, M., &amp; Menzel, A. (2017). Fine fuel moisture for site- and species-specific fire danger assessment in comparison to fire danger indices.</w:t>
      </w:r>
      <w:r>
        <w:t xml:space="preserve"> </w:t>
      </w:r>
      <w:r>
        <w:rPr>
          <w:i/>
          <w:iCs/>
        </w:rPr>
        <w:t xml:space="preserve">Agricultural and Forest Meteorology</w:t>
      </w:r>
      <w:r>
        <w:t xml:space="preserve">,</w:t>
      </w:r>
      <w:r>
        <w:t xml:space="preserve"> </w:t>
      </w:r>
      <w:r>
        <w:rPr>
          <w:i/>
          <w:iCs/>
        </w:rPr>
        <w:t xml:space="preserve">234-235</w:t>
      </w:r>
      <w:r>
        <w:t xml:space="preserve">, 31–47. Elsevier BV. Retrieved from</w:t>
      </w:r>
      <w:r>
        <w:t xml:space="preserve"> </w:t>
      </w:r>
      <w:hyperlink r:id="rId293">
        <w:r>
          <w:rPr>
            <w:rStyle w:val="Hyperlink"/>
          </w:rPr>
          <w:t xml:space="preserve">http://dx.doi.org/10.1016/j.agrformet.2016.12.007</w:t>
        </w:r>
      </w:hyperlink>
    </w:p>
    <w:bookmarkEnd w:id="294"/>
    <w:bookmarkStart w:id="296" w:name="ref-sen1968slope"/>
    <w:p>
      <w:pPr>
        <w:pStyle w:val="Bibliography"/>
      </w:pPr>
      <w:r>
        <w:t xml:space="preserve">Sen, P. K. (1968).</w:t>
      </w:r>
      <w:r>
        <w:t xml:space="preserve"> </w:t>
      </w:r>
      <w:hyperlink r:id="rId295">
        <w:r>
          <w:rPr>
            <w:rStyle w:val="Hyperlink"/>
          </w:rPr>
          <w:t xml:space="preserve">Estimates of the regression coefficient based on</w:t>
        </w:r>
        <w:r>
          <w:rPr>
            <w:rStyle w:val="Hyperlink"/>
          </w:rPr>
          <w:t xml:space="preserve"> </w:t>
        </w:r>
        <w:r>
          <w:rPr>
            <w:rStyle w:val="Hyperlink"/>
          </w:rPr>
          <w:t xml:space="preserve">Kendall</w:t>
        </w:r>
        <w:r>
          <w:rPr>
            <w:rStyle w:val="Hyperlink"/>
          </w:rPr>
          <w:t xml:space="preserve">’s tau</w:t>
        </w:r>
      </w:hyperlink>
      <w:r>
        <w:t xml:space="preserve">.</w:t>
      </w:r>
      <w:r>
        <w:t xml:space="preserve"> </w:t>
      </w:r>
      <w:r>
        <w:rPr>
          <w:i/>
          <w:iCs/>
        </w:rPr>
        <w:t xml:space="preserve">Journal of the American Statistical Association</w:t>
      </w:r>
      <w:r>
        <w:t xml:space="preserve">,</w:t>
      </w:r>
      <w:r>
        <w:t xml:space="preserve"> </w:t>
      </w:r>
      <w:r>
        <w:rPr>
          <w:i/>
          <w:iCs/>
        </w:rPr>
        <w:t xml:space="preserve">63</w:t>
      </w:r>
      <w:r>
        <w:t xml:space="preserve">(324), 1379–1389.</w:t>
      </w:r>
    </w:p>
    <w:bookmarkEnd w:id="296"/>
    <w:bookmarkStart w:id="298" w:name="ref-silver2025colorado"/>
    <w:p>
      <w:pPr>
        <w:pStyle w:val="Bibliography"/>
      </w:pPr>
      <w:r>
        <w:t xml:space="preserve">Silver, M. M., &amp; Lundquist, J. K. (2025). Contrasting trends in</w:t>
      </w:r>
      <w:r>
        <w:t xml:space="preserve"> </w:t>
      </w:r>
      <w:r>
        <w:t xml:space="preserve">Colorado</w:t>
      </w:r>
      <w:r>
        <w:t xml:space="preserve"> </w:t>
      </w:r>
      <w:r>
        <w:t xml:space="preserve">Fire Weather Index</w:t>
      </w:r>
      <w:r>
        <w:t xml:space="preserve"> </w:t>
      </w:r>
      <w:r>
        <w:t xml:space="preserve">from reanalysis and observations.</w:t>
      </w:r>
      <w:r>
        <w:t xml:space="preserve"> </w:t>
      </w:r>
      <w:r>
        <w:rPr>
          <w:i/>
          <w:iCs/>
        </w:rPr>
        <w:t xml:space="preserve">Journal of Applied Meteorology and Climatology</w:t>
      </w:r>
      <w:r>
        <w:t xml:space="preserve">,</w:t>
      </w:r>
      <w:r>
        <w:t xml:space="preserve"> </w:t>
      </w:r>
      <w:r>
        <w:rPr>
          <w:i/>
          <w:iCs/>
        </w:rPr>
        <w:t xml:space="preserve">64</w:t>
      </w:r>
      <w:r>
        <w:t xml:space="preserve">(2), 197–220. American Meteorological Society. Retrieved from</w:t>
      </w:r>
      <w:r>
        <w:t xml:space="preserve"> </w:t>
      </w:r>
      <w:hyperlink r:id="rId297">
        <w:r>
          <w:rPr>
            <w:rStyle w:val="Hyperlink"/>
          </w:rPr>
          <w:t xml:space="preserve">http://dx.doi.org/10.1175/jamc-d-24-0043.1</w:t>
        </w:r>
      </w:hyperlink>
    </w:p>
    <w:bookmarkEnd w:id="298"/>
    <w:bookmarkStart w:id="300" w:name="ref-stocks1989overview"/>
    <w:p>
      <w:pPr>
        <w:pStyle w:val="Bibliography"/>
      </w:pPr>
      <w:r>
        <w:t xml:space="preserve">Stocks, B. J., Lynham, T. J., Lawson, B. D., Alexander, M. E., Wagner, C. E. V., McAlpine, R. S., &amp; Dubé, D. E. (1989). The</w:t>
      </w:r>
      <w:r>
        <w:t xml:space="preserve"> </w:t>
      </w:r>
      <w:r>
        <w:t xml:space="preserve">Canadian Forest Fire Danger Rating System</w:t>
      </w:r>
      <w:r>
        <w:t xml:space="preserve">: An overview.</w:t>
      </w:r>
      <w:r>
        <w:t xml:space="preserve"> </w:t>
      </w:r>
      <w:r>
        <w:rPr>
          <w:i/>
          <w:iCs/>
        </w:rPr>
        <w:t xml:space="preserve">The Forestry Chronicle</w:t>
      </w:r>
      <w:r>
        <w:t xml:space="preserve">,</w:t>
      </w:r>
      <w:r>
        <w:t xml:space="preserve"> </w:t>
      </w:r>
      <w:r>
        <w:rPr>
          <w:i/>
          <w:iCs/>
        </w:rPr>
        <w:t xml:space="preserve">65</w:t>
      </w:r>
      <w:r>
        <w:t xml:space="preserve">(6), 450–457. Canadian Institute of Forestry. Retrieved from</w:t>
      </w:r>
      <w:r>
        <w:t xml:space="preserve"> </w:t>
      </w:r>
      <w:hyperlink r:id="rId299">
        <w:r>
          <w:rPr>
            <w:rStyle w:val="Hyperlink"/>
          </w:rPr>
          <w:t xml:space="preserve">http://dx.doi.org/10.5558/tfc65450-6</w:t>
        </w:r>
      </w:hyperlink>
    </w:p>
    <w:bookmarkEnd w:id="300"/>
    <w:bookmarkStart w:id="302" w:name="ref-tan2019dynamic"/>
    <w:p>
      <w:pPr>
        <w:pStyle w:val="Bibliography"/>
      </w:pPr>
      <w:r>
        <w:t xml:space="preserve">Tan, X., Chen, S., Gan, T. Y., Liu, B., &amp; Chen, X. (2019). Dynamic and thermodynamic changes conducive to the increased occurrence of extreme spring fire weather over western</w:t>
      </w:r>
      <w:r>
        <w:t xml:space="preserve"> </w:t>
      </w:r>
      <w:r>
        <w:t xml:space="preserve">Canada</w:t>
      </w:r>
      <w:r>
        <w:t xml:space="preserve"> </w:t>
      </w:r>
      <w:r>
        <w:t xml:space="preserve">under possible anthropogenic climate change.</w:t>
      </w:r>
      <w:r>
        <w:t xml:space="preserve"> </w:t>
      </w:r>
      <w:r>
        <w:rPr>
          <w:i/>
          <w:iCs/>
        </w:rPr>
        <w:t xml:space="preserve">Agricultural and Forest Meteorology</w:t>
      </w:r>
      <w:r>
        <w:t xml:space="preserve">,</w:t>
      </w:r>
      <w:r>
        <w:t xml:space="preserve"> </w:t>
      </w:r>
      <w:r>
        <w:rPr>
          <w:i/>
          <w:iCs/>
        </w:rPr>
        <w:t xml:space="preserve">265</w:t>
      </w:r>
      <w:r>
        <w:t xml:space="preserve">, 269–279. Elsevier BV. Retrieved from</w:t>
      </w:r>
      <w:r>
        <w:t xml:space="preserve"> </w:t>
      </w:r>
      <w:hyperlink r:id="rId301">
        <w:r>
          <w:rPr>
            <w:rStyle w:val="Hyperlink"/>
          </w:rPr>
          <w:t xml:space="preserve">http://dx.doi.org/10.1016/j.agrformet.2018.11.026</w:t>
        </w:r>
      </w:hyperlink>
    </w:p>
    <w:bookmarkEnd w:id="302"/>
    <w:bookmarkStart w:id="304" w:name="ref-taylor2006science"/>
    <w:p>
      <w:pPr>
        <w:pStyle w:val="Bibliography"/>
      </w:pPr>
      <w:r>
        <w:t xml:space="preserve">Taylor, Stephen W., &amp; Alexander, M. E. (2006). Science, technology, and human factors in fire danger rating: The</w:t>
      </w:r>
      <w:r>
        <w:t xml:space="preserve"> </w:t>
      </w:r>
      <w:r>
        <w:t xml:space="preserve">Canadian</w:t>
      </w:r>
      <w:r>
        <w:t xml:space="preserve"> </w:t>
      </w:r>
      <w:r>
        <w:t xml:space="preserve">experience.</w:t>
      </w:r>
      <w:r>
        <w:t xml:space="preserve"> </w:t>
      </w:r>
      <w:r>
        <w:rPr>
          <w:i/>
          <w:iCs/>
        </w:rPr>
        <w:t xml:space="preserve">International Journal of Wildland Fire</w:t>
      </w:r>
      <w:r>
        <w:t xml:space="preserve">,</w:t>
      </w:r>
      <w:r>
        <w:t xml:space="preserve"> </w:t>
      </w:r>
      <w:r>
        <w:rPr>
          <w:i/>
          <w:iCs/>
        </w:rPr>
        <w:t xml:space="preserve">15</w:t>
      </w:r>
      <w:r>
        <w:t xml:space="preserve">(1), 121–135. CSIRO Publishing. Retrieved from</w:t>
      </w:r>
      <w:r>
        <w:t xml:space="preserve"> </w:t>
      </w:r>
      <w:hyperlink r:id="rId303">
        <w:r>
          <w:rPr>
            <w:rStyle w:val="Hyperlink"/>
          </w:rPr>
          <w:t xml:space="preserve">http://dx.doi.org/10.1071/wf05021</w:t>
        </w:r>
      </w:hyperlink>
    </w:p>
    <w:bookmarkEnd w:id="304"/>
    <w:bookmarkStart w:id="306" w:name="ref-taylor2013prediction"/>
    <w:p>
      <w:pPr>
        <w:pStyle w:val="Bibliography"/>
      </w:pPr>
      <w:r>
        <w:t xml:space="preserve">Taylor, S. W., Woolford, D. G., Dean, C. B., &amp; Martell, D. L. (2013). Wildfire prediction to inform fire management: Statistical science challenges.</w:t>
      </w:r>
      <w:r>
        <w:t xml:space="preserve"> </w:t>
      </w:r>
      <w:r>
        <w:rPr>
          <w:i/>
          <w:iCs/>
        </w:rPr>
        <w:t xml:space="preserve">Statistical Science</w:t>
      </w:r>
      <w:r>
        <w:t xml:space="preserve">,</w:t>
      </w:r>
      <w:r>
        <w:t xml:space="preserve"> </w:t>
      </w:r>
      <w:r>
        <w:rPr>
          <w:i/>
          <w:iCs/>
        </w:rPr>
        <w:t xml:space="preserve">28</w:t>
      </w:r>
      <w:r>
        <w:t xml:space="preserve">(4). Institute of Mathematical Statistics. Retrieved from</w:t>
      </w:r>
      <w:r>
        <w:t xml:space="preserve"> </w:t>
      </w:r>
      <w:hyperlink r:id="rId305">
        <w:r>
          <w:rPr>
            <w:rStyle w:val="Hyperlink"/>
          </w:rPr>
          <w:t xml:space="preserve">http://dx.doi.org/10.1214/13-sts451</w:t>
        </w:r>
      </w:hyperlink>
    </w:p>
    <w:bookmarkEnd w:id="306"/>
    <w:bookmarkStart w:id="308" w:name="ref-thorne2010reanalysis"/>
    <w:p>
      <w:pPr>
        <w:pStyle w:val="Bibliography"/>
      </w:pPr>
      <w:r>
        <w:t xml:space="preserve">Thorne, P. W., &amp; Vose, R. S. (2010). Reanalyses suitable for characterizing long-term trends.</w:t>
      </w:r>
      <w:r>
        <w:t xml:space="preserve"> </w:t>
      </w:r>
      <w:r>
        <w:rPr>
          <w:i/>
          <w:iCs/>
        </w:rPr>
        <w:t xml:space="preserve">Bulletin of the American Meteorological Society</w:t>
      </w:r>
      <w:r>
        <w:t xml:space="preserve">,</w:t>
      </w:r>
      <w:r>
        <w:t xml:space="preserve"> </w:t>
      </w:r>
      <w:r>
        <w:rPr>
          <w:i/>
          <w:iCs/>
        </w:rPr>
        <w:t xml:space="preserve">91</w:t>
      </w:r>
      <w:r>
        <w:t xml:space="preserve">(3), 353–362. American Meteorological Society. Retrieved from</w:t>
      </w:r>
      <w:r>
        <w:t xml:space="preserve"> </w:t>
      </w:r>
      <w:hyperlink r:id="rId307">
        <w:r>
          <w:rPr>
            <w:rStyle w:val="Hyperlink"/>
          </w:rPr>
          <w:t xml:space="preserve">http://dx.doi.org/10.1175/2009bams2858.1</w:t>
        </w:r>
      </w:hyperlink>
    </w:p>
    <w:bookmarkEnd w:id="308"/>
    <w:bookmarkStart w:id="310" w:name="ref-tiao1990autocorrelation"/>
    <w:p>
      <w:pPr>
        <w:pStyle w:val="Bibliography"/>
      </w:pPr>
      <w:r>
        <w:t xml:space="preserve">Tiao, G. C., Reinsel, G. C., Xu, D., Pedrick, J. H., Zhu, X., Miller, A. J., DeLuisi, J. J., et al. (1990). Effects of autocorrelation and temporal sampling schemes on estimates of trend and spatial correlation.</w:t>
      </w:r>
      <w:r>
        <w:t xml:space="preserve"> </w:t>
      </w:r>
      <w:r>
        <w:rPr>
          <w:i/>
          <w:iCs/>
        </w:rPr>
        <w:t xml:space="preserve">Journal of Geophysical Research: Atmospheres</w:t>
      </w:r>
      <w:r>
        <w:t xml:space="preserve">,</w:t>
      </w:r>
      <w:r>
        <w:t xml:space="preserve"> </w:t>
      </w:r>
      <w:r>
        <w:rPr>
          <w:i/>
          <w:iCs/>
        </w:rPr>
        <w:t xml:space="preserve">95</w:t>
      </w:r>
      <w:r>
        <w:t xml:space="preserve">(D12), 20507–20517. American Geophysical Union (AGU). Retrieved from</w:t>
      </w:r>
      <w:r>
        <w:t xml:space="preserve"> </w:t>
      </w:r>
      <w:hyperlink r:id="rId309">
        <w:r>
          <w:rPr>
            <w:rStyle w:val="Hyperlink"/>
          </w:rPr>
          <w:t xml:space="preserve">http://dx.doi.org/10.1029/jd095id12p20507</w:t>
        </w:r>
      </w:hyperlink>
    </w:p>
    <w:bookmarkEnd w:id="310"/>
    <w:bookmarkStart w:id="312" w:name="ref-tory2024sensitivity"/>
    <w:p>
      <w:pPr>
        <w:pStyle w:val="Bibliography"/>
      </w:pPr>
      <w:r>
        <w:t xml:space="preserve">Tory, K. J., Cruz, M. G., Matthews, S., Kilinc, M., &amp; McCaw, W. L. (2024). On the sensitivity of fire-weather climate projections to empirical fire models.</w:t>
      </w:r>
      <w:r>
        <w:t xml:space="preserve"> </w:t>
      </w:r>
      <w:r>
        <w:rPr>
          <w:i/>
          <w:iCs/>
        </w:rPr>
        <w:t xml:space="preserve">Agricultural and Forest Meteorology</w:t>
      </w:r>
      <w:r>
        <w:t xml:space="preserve">,</w:t>
      </w:r>
      <w:r>
        <w:t xml:space="preserve"> </w:t>
      </w:r>
      <w:r>
        <w:rPr>
          <w:i/>
          <w:iCs/>
        </w:rPr>
        <w:t xml:space="preserve">348</w:t>
      </w:r>
      <w:r>
        <w:t xml:space="preserve">, 109928. Elsevier BV. Retrieved from</w:t>
      </w:r>
      <w:r>
        <w:t xml:space="preserve"> </w:t>
      </w:r>
      <w:hyperlink r:id="rId311">
        <w:r>
          <w:rPr>
            <w:rStyle w:val="Hyperlink"/>
          </w:rPr>
          <w:t xml:space="preserve">http://dx.doi.org/10.1016/j.agrformet.2024.109928</w:t>
        </w:r>
      </w:hyperlink>
    </w:p>
    <w:bookmarkEnd w:id="312"/>
    <w:bookmarkStart w:id="314" w:name="ref-trnka2021observed"/>
    <w:p>
      <w:pPr>
        <w:pStyle w:val="Bibliography"/>
      </w:pPr>
      <w:r>
        <w:t xml:space="preserve">Trnka, M., Možný, M., Jurečka, F., Balek, J., Semerádová, D., Hlavinka, P., Štěpánek, P., et al. (2021). Observed and estimated consequences of climate change for the fire weather regime in the moist-temperate climate of the</w:t>
      </w:r>
      <w:r>
        <w:t xml:space="preserve"> </w:t>
      </w:r>
      <w:r>
        <w:t xml:space="preserve">Czech Republic</w:t>
      </w:r>
      <w:r>
        <w:t xml:space="preserve">.</w:t>
      </w:r>
      <w:r>
        <w:t xml:space="preserve"> </w:t>
      </w:r>
      <w:r>
        <w:rPr>
          <w:i/>
          <w:iCs/>
        </w:rPr>
        <w:t xml:space="preserve">Agricultural and Forest Meteorology</w:t>
      </w:r>
      <w:r>
        <w:t xml:space="preserve">,</w:t>
      </w:r>
      <w:r>
        <w:t xml:space="preserve"> </w:t>
      </w:r>
      <w:r>
        <w:rPr>
          <w:i/>
          <w:iCs/>
        </w:rPr>
        <w:t xml:space="preserve">310</w:t>
      </w:r>
      <w:r>
        <w:t xml:space="preserve">, 108583. Elsevier BV. Retrieved from</w:t>
      </w:r>
      <w:r>
        <w:t xml:space="preserve"> </w:t>
      </w:r>
      <w:hyperlink r:id="rId313">
        <w:r>
          <w:rPr>
            <w:rStyle w:val="Hyperlink"/>
          </w:rPr>
          <w:t xml:space="preserve">http://dx.doi.org/10.1016/j.agrformet.2021.108583</w:t>
        </w:r>
      </w:hyperlink>
    </w:p>
    <w:bookmarkEnd w:id="314"/>
    <w:bookmarkStart w:id="316" w:name="ref-tsinko2018comparisons"/>
    <w:p>
      <w:pPr>
        <w:pStyle w:val="Bibliography"/>
      </w:pPr>
      <w:r>
        <w:t xml:space="preserve">Tsinko, Y., Bakhshaii, A., Johnson, E. A., &amp; Martin, Y. E. (2018). Comparisons of fire weather indices using</w:t>
      </w:r>
      <w:r>
        <w:t xml:space="preserve"> </w:t>
      </w:r>
      <w:r>
        <w:t xml:space="preserve">Canadian</w:t>
      </w:r>
      <w:r>
        <w:t xml:space="preserve"> </w:t>
      </w:r>
      <w:r>
        <w:t xml:space="preserve">raw and homogenized weather data.</w:t>
      </w:r>
      <w:r>
        <w:t xml:space="preserve"> </w:t>
      </w:r>
      <w:r>
        <w:rPr>
          <w:i/>
          <w:iCs/>
        </w:rPr>
        <w:t xml:space="preserve">Agricultural and Forest Meteorology</w:t>
      </w:r>
      <w:r>
        <w:t xml:space="preserve">,</w:t>
      </w:r>
      <w:r>
        <w:t xml:space="preserve"> </w:t>
      </w:r>
      <w:r>
        <w:rPr>
          <w:i/>
          <w:iCs/>
        </w:rPr>
        <w:t xml:space="preserve">262</w:t>
      </w:r>
      <w:r>
        <w:t xml:space="preserve">, 110–119. Elsevier BV. Retrieved from</w:t>
      </w:r>
      <w:r>
        <w:t xml:space="preserve"> </w:t>
      </w:r>
      <w:hyperlink r:id="rId315">
        <w:r>
          <w:rPr>
            <w:rStyle w:val="Hyperlink"/>
          </w:rPr>
          <w:t xml:space="preserve">http://dx.doi.org/10.1016/j.agrformet.2018.07.005</w:t>
        </w:r>
      </w:hyperlink>
    </w:p>
    <w:bookmarkEnd w:id="316"/>
    <w:bookmarkStart w:id="317" w:name="ref-vanwagner1977hourly"/>
    <w:p>
      <w:pPr>
        <w:pStyle w:val="Bibliography"/>
      </w:pPr>
      <w:r>
        <w:t xml:space="preserve">Van Wagner, C. E. (1977).</w:t>
      </w:r>
      <w:r>
        <w:t xml:space="preserve"> </w:t>
      </w:r>
      <w:r>
        <w:rPr>
          <w:i/>
          <w:iCs/>
        </w:rPr>
        <w:t xml:space="preserve">A method of computing fine fuel moisture content throughout the diurnal cycle</w:t>
      </w:r>
      <w:r>
        <w:t xml:space="preserve"> </w:t>
      </w:r>
      <w:r>
        <w:t xml:space="preserve">(Information Report No. PS-X-69). Canadian Forestry Service, Petawawa Forest Experiment Station.</w:t>
      </w:r>
    </w:p>
    <w:bookmarkEnd w:id="317"/>
    <w:bookmarkStart w:id="319" w:name="ref-vanwagner1987fwi"/>
    <w:p>
      <w:pPr>
        <w:pStyle w:val="Bibliography"/>
      </w:pPr>
      <w:r>
        <w:t xml:space="preserve">Van Wagner, C. E. (1987).</w:t>
      </w:r>
      <w:r>
        <w:t xml:space="preserve"> </w:t>
      </w:r>
      <w:r>
        <w:rPr>
          <w:i/>
          <w:iCs/>
        </w:rPr>
        <w:t xml:space="preserve">The development and structure of the</w:t>
      </w:r>
      <w:r>
        <w:rPr>
          <w:i/>
          <w:iCs/>
        </w:rPr>
        <w:t xml:space="preserve"> </w:t>
      </w:r>
      <w:r>
        <w:rPr>
          <w:i/>
          <w:iCs/>
        </w:rPr>
        <w:t xml:space="preserve">Canadian Forest Fire Weather Index System</w:t>
      </w:r>
      <w:r>
        <w:t xml:space="preserve"> </w:t>
      </w:r>
      <w:r>
        <w:t xml:space="preserve">(Forestry Technical Report No. 35). Canadian Forest Service, Petawawa National Forestry Institute. Retrieved from</w:t>
      </w:r>
      <w:r>
        <w:t xml:space="preserve"> </w:t>
      </w:r>
      <w:hyperlink r:id="rId318">
        <w:r>
          <w:rPr>
            <w:rStyle w:val="Hyperlink"/>
          </w:rPr>
          <w:t xml:space="preserve">https://ostrnrcan-dostrncan.canada.ca/handle/1845/228434</w:t>
        </w:r>
      </w:hyperlink>
    </w:p>
    <w:bookmarkEnd w:id="319"/>
    <w:bookmarkStart w:id="320" w:name="ref-vanwagner1985fortran"/>
    <w:p>
      <w:pPr>
        <w:pStyle w:val="Bibliography"/>
      </w:pPr>
      <w:r>
        <w:t xml:space="preserve">Van Wagner, C. E., &amp; Pickett, T. L. (1985).</w:t>
      </w:r>
      <w:r>
        <w:t xml:space="preserve"> </w:t>
      </w:r>
      <w:r>
        <w:rPr>
          <w:i/>
          <w:iCs/>
        </w:rPr>
        <w:t xml:space="preserve">Equations and</w:t>
      </w:r>
      <w:r>
        <w:rPr>
          <w:i/>
          <w:iCs/>
        </w:rPr>
        <w:t xml:space="preserve"> </w:t>
      </w:r>
      <w:r>
        <w:rPr>
          <w:i/>
          <w:iCs/>
        </w:rPr>
        <w:t xml:space="preserve">FORTRAN</w:t>
      </w:r>
      <w:r>
        <w:rPr>
          <w:i/>
          <w:iCs/>
        </w:rPr>
        <w:t xml:space="preserve"> </w:t>
      </w:r>
      <w:r>
        <w:rPr>
          <w:i/>
          <w:iCs/>
        </w:rPr>
        <w:t xml:space="preserve">program for the</w:t>
      </w:r>
      <w:r>
        <w:rPr>
          <w:i/>
          <w:iCs/>
        </w:rPr>
        <w:t xml:space="preserve"> </w:t>
      </w:r>
      <w:r>
        <w:rPr>
          <w:i/>
          <w:iCs/>
        </w:rPr>
        <w:t xml:space="preserve">Canadian Forest Fire Weather Index System</w:t>
      </w:r>
      <w:r>
        <w:t xml:space="preserve"> </w:t>
      </w:r>
      <w:r>
        <w:t xml:space="preserve">(Forestry Technical Report No. 33). Canadian Forestry Service.</w:t>
      </w:r>
    </w:p>
    <w:bookmarkEnd w:id="320"/>
    <w:bookmarkStart w:id="322" w:name="ref-venalainen2014europe"/>
    <w:p>
      <w:pPr>
        <w:pStyle w:val="Bibliography"/>
      </w:pPr>
      <w:r>
        <w:t xml:space="preserve">Venäläinen, A., Korhonen, N., Hyvärinen, O., Koutsias, N., Xystrakis, F., Urbieta, I. R., &amp; Moreno, J. M. (2014). Temporal variations and change in forest fire danger in</w:t>
      </w:r>
      <w:r>
        <w:t xml:space="preserve"> </w:t>
      </w:r>
      <w:r>
        <w:t xml:space="preserve">Europe</w:t>
      </w:r>
      <w:r>
        <w:t xml:space="preserve"> </w:t>
      </w:r>
      <w:r>
        <w:t xml:space="preserve">for 1960–2012.</w:t>
      </w:r>
      <w:r>
        <w:t xml:space="preserve"> </w:t>
      </w:r>
      <w:r>
        <w:rPr>
          <w:i/>
          <w:iCs/>
        </w:rPr>
        <w:t xml:space="preserve">Natural Hazards and Earth System Sciences</w:t>
      </w:r>
      <w:r>
        <w:t xml:space="preserve">,</w:t>
      </w:r>
      <w:r>
        <w:t xml:space="preserve"> </w:t>
      </w:r>
      <w:r>
        <w:rPr>
          <w:i/>
          <w:iCs/>
        </w:rPr>
        <w:t xml:space="preserve">14</w:t>
      </w:r>
      <w:r>
        <w:t xml:space="preserve">(6), 1477–1490. Copernicus GmbH. Retrieved from</w:t>
      </w:r>
      <w:r>
        <w:t xml:space="preserve"> </w:t>
      </w:r>
      <w:hyperlink r:id="rId321">
        <w:r>
          <w:rPr>
            <w:rStyle w:val="Hyperlink"/>
          </w:rPr>
          <w:t xml:space="preserve">http://dx.doi.org/10.5194/nhess-14-1477-2014</w:t>
        </w:r>
      </w:hyperlink>
    </w:p>
    <w:bookmarkEnd w:id="322"/>
    <w:bookmarkStart w:id="324" w:name="ref-venema2012homogenization"/>
    <w:p>
      <w:pPr>
        <w:pStyle w:val="Bibliography"/>
      </w:pPr>
      <w:r>
        <w:t xml:space="preserve">Venema, V. K. C., Mestre, O., Aguilar, E., Auer, I., Guijarro, J. A., Domonkos, P., Vertacnik, G., et al. (2012). Benchmarking homogenization algorithms for monthly data.</w:t>
      </w:r>
      <w:r>
        <w:t xml:space="preserve"> </w:t>
      </w:r>
      <w:r>
        <w:rPr>
          <w:i/>
          <w:iCs/>
        </w:rPr>
        <w:t xml:space="preserve">Climate of the Past</w:t>
      </w:r>
      <w:r>
        <w:t xml:space="preserve">,</w:t>
      </w:r>
      <w:r>
        <w:t xml:space="preserve"> </w:t>
      </w:r>
      <w:r>
        <w:rPr>
          <w:i/>
          <w:iCs/>
        </w:rPr>
        <w:t xml:space="preserve">8</w:t>
      </w:r>
      <w:r>
        <w:t xml:space="preserve">(1), 89–115. Copernicus GmbH. Retrieved from</w:t>
      </w:r>
      <w:r>
        <w:t xml:space="preserve"> </w:t>
      </w:r>
      <w:hyperlink r:id="rId323">
        <w:r>
          <w:rPr>
            <w:rStyle w:val="Hyperlink"/>
          </w:rPr>
          <w:t xml:space="preserve">http://dx.doi.org/10.5194/cp-8-89-2012</w:t>
        </w:r>
      </w:hyperlink>
    </w:p>
    <w:bookmarkEnd w:id="324"/>
    <w:bookmarkStart w:id="326" w:name="ref-vicenteserrano2010spei"/>
    <w:p>
      <w:pPr>
        <w:pStyle w:val="Bibliography"/>
      </w:pPr>
      <w:r>
        <w:t xml:space="preserve">Vicente-Serrano, S. M., Beguería, S., &amp; López-Moreno, J. I. (2010). A multiscalar drought index sensitive to global warming: The</w:t>
      </w:r>
      <w:r>
        <w:t xml:space="preserve"> </w:t>
      </w:r>
      <w:r>
        <w:t xml:space="preserve">Standardized Precipitation Evapotranspiration Index</w:t>
      </w:r>
      <w:r>
        <w:t xml:space="preserve">.</w:t>
      </w:r>
      <w:r>
        <w:t xml:space="preserve"> </w:t>
      </w:r>
      <w:r>
        <w:rPr>
          <w:i/>
          <w:iCs/>
        </w:rPr>
        <w:t xml:space="preserve">Journal of Climate</w:t>
      </w:r>
      <w:r>
        <w:t xml:space="preserve">,</w:t>
      </w:r>
      <w:r>
        <w:t xml:space="preserve"> </w:t>
      </w:r>
      <w:r>
        <w:rPr>
          <w:i/>
          <w:iCs/>
        </w:rPr>
        <w:t xml:space="preserve">23</w:t>
      </w:r>
      <w:r>
        <w:t xml:space="preserve">(7), 1696–1718. American Meteorological Society. Retrieved from</w:t>
      </w:r>
      <w:r>
        <w:t xml:space="preserve"> </w:t>
      </w:r>
      <w:hyperlink r:id="rId325">
        <w:r>
          <w:rPr>
            <w:rStyle w:val="Hyperlink"/>
          </w:rPr>
          <w:t xml:space="preserve">http://dx.doi.org/10.1175/2009jcli2909.1</w:t>
        </w:r>
      </w:hyperlink>
    </w:p>
    <w:bookmarkEnd w:id="326"/>
    <w:bookmarkStart w:id="328" w:name="ref-vitolo2020era5"/>
    <w:p>
      <w:pPr>
        <w:pStyle w:val="Bibliography"/>
      </w:pPr>
      <w:r>
        <w:t xml:space="preserve">Vitolo, C., Di Giuseppe, F., Barnard, C., Coughlan, R., San-Miguel-Ayanz, J., Libertá, G., &amp; Krzeminski, B. (2020).</w:t>
      </w:r>
      <w:r>
        <w:t xml:space="preserve"> </w:t>
      </w:r>
      <w:r>
        <w:t xml:space="preserve">ERA5</w:t>
      </w:r>
      <w:r>
        <w:t xml:space="preserve">-based global meteorological wildfire danger maps.</w:t>
      </w:r>
      <w:r>
        <w:t xml:space="preserve"> </w:t>
      </w:r>
      <w:r>
        <w:rPr>
          <w:i/>
          <w:iCs/>
        </w:rPr>
        <w:t xml:space="preserve">Scientific Data</w:t>
      </w:r>
      <w:r>
        <w:t xml:space="preserve">,</w:t>
      </w:r>
      <w:r>
        <w:t xml:space="preserve"> </w:t>
      </w:r>
      <w:r>
        <w:rPr>
          <w:i/>
          <w:iCs/>
        </w:rPr>
        <w:t xml:space="preserve">7</w:t>
      </w:r>
      <w:r>
        <w:t xml:space="preserve">(1). Springer Science; Business Media LLC. Retrieved from</w:t>
      </w:r>
      <w:r>
        <w:t xml:space="preserve"> </w:t>
      </w:r>
      <w:hyperlink r:id="rId327">
        <w:r>
          <w:rPr>
            <w:rStyle w:val="Hyperlink"/>
          </w:rPr>
          <w:t xml:space="preserve">http://dx.doi.org/10.1038/s41597-020-0554-z</w:t>
        </w:r>
      </w:hyperlink>
    </w:p>
    <w:bookmarkEnd w:id="328"/>
    <w:bookmarkStart w:id="330" w:name="ref-vose2012ushcn"/>
    <w:p>
      <w:pPr>
        <w:pStyle w:val="Bibliography"/>
      </w:pPr>
      <w:r>
        <w:t xml:space="preserve">Vose, R. S., Applequist, S., Menne, M. J., Williams, C. N., &amp; Thorne, P. (2012). An intercomparison of temperature trends in the</w:t>
      </w:r>
      <w:r>
        <w:t xml:space="preserve"> </w:t>
      </w:r>
      <w:r>
        <w:t xml:space="preserve">U.S.</w:t>
      </w:r>
      <w:r>
        <w:t xml:space="preserve"> </w:t>
      </w:r>
      <w:r>
        <w:t xml:space="preserve">Historical Climatology Network</w:t>
      </w:r>
      <w:r>
        <w:t xml:space="preserve"> </w:t>
      </w:r>
      <w:r>
        <w:t xml:space="preserve">and recent atmospheric reanalyses.</w:t>
      </w:r>
      <w:r>
        <w:t xml:space="preserve"> </w:t>
      </w:r>
      <w:r>
        <w:rPr>
          <w:i/>
          <w:iCs/>
        </w:rPr>
        <w:t xml:space="preserve">Geophysical Research Letters</w:t>
      </w:r>
      <w:r>
        <w:t xml:space="preserve">,</w:t>
      </w:r>
      <w:r>
        <w:t xml:space="preserve"> </w:t>
      </w:r>
      <w:r>
        <w:rPr>
          <w:i/>
          <w:iCs/>
        </w:rPr>
        <w:t xml:space="preserve">39</w:t>
      </w:r>
      <w:r>
        <w:t xml:space="preserve">(10). American Geophysical Union (AGU). Retrieved from</w:t>
      </w:r>
      <w:r>
        <w:t xml:space="preserve"> </w:t>
      </w:r>
      <w:hyperlink r:id="rId329">
        <w:r>
          <w:rPr>
            <w:rStyle w:val="Hyperlink"/>
          </w:rPr>
          <w:t xml:space="preserve">http://dx.doi.org/10.1029/2012gl051387</w:t>
        </w:r>
      </w:hyperlink>
    </w:p>
    <w:bookmarkEnd w:id="330"/>
    <w:bookmarkStart w:id="332" w:name="ref-wang2020power"/>
    <w:p>
      <w:pPr>
        <w:pStyle w:val="Bibliography"/>
      </w:pPr>
      <w:r>
        <w:t xml:space="preserve">Wang, F., Shao, W., Yu, H., Kan, G., He, X., Zhang, D., Ren, M., et al. (2020). Re-evaluation of the power of the</w:t>
      </w:r>
      <w:r>
        <w:t xml:space="preserve"> </w:t>
      </w:r>
      <w:r>
        <w:t xml:space="preserve">Mann-Kendall</w:t>
      </w:r>
      <w:r>
        <w:t xml:space="preserve"> </w:t>
      </w:r>
      <w:r>
        <w:t xml:space="preserve">test for detecting monotonic trends in hydrometeorological time series.</w:t>
      </w:r>
      <w:r>
        <w:t xml:space="preserve"> </w:t>
      </w:r>
      <w:r>
        <w:rPr>
          <w:i/>
          <w:iCs/>
        </w:rPr>
        <w:t xml:space="preserve">Frontiers in Earth Science</w:t>
      </w:r>
      <w:r>
        <w:t xml:space="preserve">,</w:t>
      </w:r>
      <w:r>
        <w:t xml:space="preserve"> </w:t>
      </w:r>
      <w:r>
        <w:rPr>
          <w:i/>
          <w:iCs/>
        </w:rPr>
        <w:t xml:space="preserve">8</w:t>
      </w:r>
      <w:r>
        <w:t xml:space="preserve">. Frontiers Media SA. Retrieved from</w:t>
      </w:r>
      <w:r>
        <w:t xml:space="preserve"> </w:t>
      </w:r>
      <w:hyperlink r:id="rId331">
        <w:r>
          <w:rPr>
            <w:rStyle w:val="Hyperlink"/>
          </w:rPr>
          <w:t xml:space="preserve">http://dx.doi.org/10.3389/feart.2020.00014</w:t>
        </w:r>
      </w:hyperlink>
    </w:p>
    <w:bookmarkEnd w:id="332"/>
    <w:bookmarkStart w:id="334" w:name="ref-wang2026cffdrspkg"/>
    <w:p>
      <w:pPr>
        <w:pStyle w:val="Bibliography"/>
      </w:pPr>
      <w:r>
        <w:t xml:space="preserve">Wang, X., Cantin, A., Parisien, M.-A., Wotton, M., Anderson, K., Moore, B., Schiks, T., et al. (2025).</w:t>
      </w:r>
      <w:r>
        <w:t xml:space="preserve"> </w:t>
      </w:r>
      <w:r>
        <w:rPr>
          <w:i/>
          <w:iCs/>
        </w:rPr>
        <w:t xml:space="preserve">Cffdrs:</w:t>
      </w:r>
      <w:r>
        <w:rPr>
          <w:i/>
          <w:iCs/>
        </w:rPr>
        <w:t xml:space="preserve"> </w:t>
      </w:r>
      <w:r>
        <w:rPr>
          <w:i/>
          <w:iCs/>
        </w:rPr>
        <w:t xml:space="preserve">Canadian Forest Fire Danger Rating System</w:t>
      </w:r>
      <w:r>
        <w:t xml:space="preserve">. Retrieved from</w:t>
      </w:r>
      <w:r>
        <w:t xml:space="preserve"> </w:t>
      </w:r>
      <w:hyperlink r:id="rId333">
        <w:r>
          <w:rPr>
            <w:rStyle w:val="Hyperlink"/>
          </w:rPr>
          <w:t xml:space="preserve">https://CRAN.R-project.org/package=cffdrs</w:t>
        </w:r>
      </w:hyperlink>
    </w:p>
    <w:bookmarkEnd w:id="334"/>
    <w:bookmarkStart w:id="336" w:name="ref-wang2017cffdrs"/>
    <w:p>
      <w:pPr>
        <w:pStyle w:val="Bibliography"/>
      </w:pPr>
      <w:r>
        <w:t xml:space="preserve">Wang, X., Wotton, B. M., Cantin, A. S., Parisien, M.-A., Anderson, K., Moore, B., &amp; Flannigan, M. D. (2017).</w:t>
      </w:r>
      <w:r>
        <w:t xml:space="preserve"> </w:t>
      </w:r>
      <w:hyperlink r:id="rId335">
        <w:r>
          <w:rPr>
            <w:rStyle w:val="Hyperlink"/>
          </w:rPr>
          <w:t xml:space="preserve">Cffdrs: An</w:t>
        </w:r>
        <w:r>
          <w:rPr>
            <w:rStyle w:val="Hyperlink"/>
          </w:rPr>
          <w:t xml:space="preserve"> </w:t>
        </w:r>
        <w:r>
          <w:rPr>
            <w:rStyle w:val="Hyperlink"/>
          </w:rPr>
          <w:t xml:space="preserve">R</w:t>
        </w:r>
        <w:r>
          <w:rPr>
            <w:rStyle w:val="Hyperlink"/>
          </w:rPr>
          <w:t xml:space="preserve"> </w:t>
        </w:r>
        <w:r>
          <w:rPr>
            <w:rStyle w:val="Hyperlink"/>
          </w:rPr>
          <w:t xml:space="preserve">package for the</w:t>
        </w:r>
        <w:r>
          <w:rPr>
            <w:rStyle w:val="Hyperlink"/>
          </w:rPr>
          <w:t xml:space="preserve"> </w:t>
        </w:r>
        <w:r>
          <w:rPr>
            <w:rStyle w:val="Hyperlink"/>
          </w:rPr>
          <w:t xml:space="preserve">Canadian Forest Fire Danger Rating System</w:t>
        </w:r>
      </w:hyperlink>
      <w:r>
        <w:t xml:space="preserve">.</w:t>
      </w:r>
      <w:r>
        <w:t xml:space="preserve"> </w:t>
      </w:r>
      <w:r>
        <w:rPr>
          <w:i/>
          <w:iCs/>
        </w:rPr>
        <w:t xml:space="preserve">Ecological Processes</w:t>
      </w:r>
      <w:r>
        <w:t xml:space="preserve">,</w:t>
      </w:r>
      <w:r>
        <w:t xml:space="preserve"> </w:t>
      </w:r>
      <w:r>
        <w:rPr>
          <w:i/>
          <w:iCs/>
        </w:rPr>
        <w:t xml:space="preserve">6</w:t>
      </w:r>
      <w:r>
        <w:t xml:space="preserve">(1).</w:t>
      </w:r>
    </w:p>
    <w:bookmarkEnd w:id="336"/>
    <w:bookmarkStart w:id="338" w:name="ref-wastl2012climate"/>
    <w:p>
      <w:pPr>
        <w:pStyle w:val="Bibliography"/>
      </w:pPr>
      <w:r>
        <w:t xml:space="preserve">Wastl, C., Schunk, C., Leuchner, M., Pezzatti, G. B., &amp; Menzel, A. (2012). Recent climate change: Long-term trends in meteorological forest fire danger in the</w:t>
      </w:r>
      <w:r>
        <w:t xml:space="preserve"> </w:t>
      </w:r>
      <w:r>
        <w:t xml:space="preserve">Alps</w:t>
      </w:r>
      <w:r>
        <w:t xml:space="preserve">.</w:t>
      </w:r>
      <w:r>
        <w:t xml:space="preserve"> </w:t>
      </w:r>
      <w:r>
        <w:rPr>
          <w:i/>
          <w:iCs/>
        </w:rPr>
        <w:t xml:space="preserve">Agricultural and Forest Meteorology</w:t>
      </w:r>
      <w:r>
        <w:t xml:space="preserve">,</w:t>
      </w:r>
      <w:r>
        <w:t xml:space="preserve"> </w:t>
      </w:r>
      <w:r>
        <w:rPr>
          <w:i/>
          <w:iCs/>
        </w:rPr>
        <w:t xml:space="preserve">162-163</w:t>
      </w:r>
      <w:r>
        <w:t xml:space="preserve">, 1–13. Elsevier BV. Retrieved from</w:t>
      </w:r>
      <w:r>
        <w:t xml:space="preserve"> </w:t>
      </w:r>
      <w:hyperlink r:id="rId337">
        <w:r>
          <w:rPr>
            <w:rStyle w:val="Hyperlink"/>
          </w:rPr>
          <w:t xml:space="preserve">http://dx.doi.org/10.1016/j.agrformet.2012.04.001</w:t>
        </w:r>
      </w:hyperlink>
    </w:p>
    <w:bookmarkEnd w:id="338"/>
    <w:bookmarkStart w:id="340" w:name="ref-wastl2013large"/>
    <w:p>
      <w:pPr>
        <w:pStyle w:val="Bibliography"/>
      </w:pPr>
      <w:r>
        <w:t xml:space="preserve">Wastl, C., Schunk, C., Lüpke, M., Cocca, G., Conedera, M., Valese, E., &amp; Menzel, A. (2013). Large-scale weather types, forest fire danger, and wildfire occurrence in the</w:t>
      </w:r>
      <w:r>
        <w:t xml:space="preserve"> </w:t>
      </w:r>
      <w:r>
        <w:t xml:space="preserve">Alps</w:t>
      </w:r>
      <w:r>
        <w:t xml:space="preserve">.</w:t>
      </w:r>
      <w:r>
        <w:t xml:space="preserve"> </w:t>
      </w:r>
      <w:r>
        <w:rPr>
          <w:i/>
          <w:iCs/>
        </w:rPr>
        <w:t xml:space="preserve">Agricultural and Forest Meteorology</w:t>
      </w:r>
      <w:r>
        <w:t xml:space="preserve">,</w:t>
      </w:r>
      <w:r>
        <w:t xml:space="preserve"> </w:t>
      </w:r>
      <w:r>
        <w:rPr>
          <w:i/>
          <w:iCs/>
        </w:rPr>
        <w:t xml:space="preserve">168</w:t>
      </w:r>
      <w:r>
        <w:t xml:space="preserve">, 15–25. Elsevier BV. Retrieved from</w:t>
      </w:r>
      <w:r>
        <w:t xml:space="preserve"> </w:t>
      </w:r>
      <w:hyperlink r:id="rId339">
        <w:r>
          <w:rPr>
            <w:rStyle w:val="Hyperlink"/>
          </w:rPr>
          <w:t xml:space="preserve">http://dx.doi.org/10.1016/j.agrformet.2012.08.011</w:t>
        </w:r>
      </w:hyperlink>
    </w:p>
    <w:bookmarkEnd w:id="340"/>
    <w:bookmarkStart w:id="342" w:name="ref-weatherhead1998detection"/>
    <w:p>
      <w:pPr>
        <w:pStyle w:val="Bibliography"/>
      </w:pPr>
      <w:r>
        <w:t xml:space="preserve">Weatherhead, E. C., Reinsel, G. C., Tiao, G. C., Meng, X., Choi, D., Cheang, W., Keller, T., et al. (1998). Factors affecting the detection of trends: Statistical considerations and applications to environmental data.</w:t>
      </w:r>
      <w:r>
        <w:t xml:space="preserve"> </w:t>
      </w:r>
      <w:r>
        <w:rPr>
          <w:i/>
          <w:iCs/>
        </w:rPr>
        <w:t xml:space="preserve">Journal of Geophysical Research: Atmospheres</w:t>
      </w:r>
      <w:r>
        <w:t xml:space="preserve">,</w:t>
      </w:r>
      <w:r>
        <w:t xml:space="preserve"> </w:t>
      </w:r>
      <w:r>
        <w:rPr>
          <w:i/>
          <w:iCs/>
        </w:rPr>
        <w:t xml:space="preserve">103</w:t>
      </w:r>
      <w:r>
        <w:t xml:space="preserve">(D14), 17149–17161. American Geophysical Union (AGU). Retrieved from</w:t>
      </w:r>
      <w:r>
        <w:t xml:space="preserve"> </w:t>
      </w:r>
      <w:hyperlink r:id="rId341">
        <w:r>
          <w:rPr>
            <w:rStyle w:val="Hyperlink"/>
          </w:rPr>
          <w:t xml:space="preserve">http://dx.doi.org/10.1029/98jd00995</w:t>
        </w:r>
      </w:hyperlink>
    </w:p>
    <w:bookmarkEnd w:id="342"/>
    <w:bookmarkStart w:id="344" w:name="ref-westerling2016increasing"/>
    <w:p>
      <w:pPr>
        <w:pStyle w:val="Bibliography"/>
      </w:pPr>
      <w:r>
        <w:t xml:space="preserve">Westerling, A. L. (2016). Increasing western</w:t>
      </w:r>
      <w:r>
        <w:t xml:space="preserve"> </w:t>
      </w:r>
      <w:r>
        <w:t xml:space="preserve">US</w:t>
      </w:r>
      <w:r>
        <w:t xml:space="preserve"> </w:t>
      </w:r>
      <w:r>
        <w:t xml:space="preserve">forest wildfire activity: Sensitivity to changes in the timing of spring.</w:t>
      </w:r>
      <w:r>
        <w:t xml:space="preserve"> </w:t>
      </w:r>
      <w:r>
        <w:rPr>
          <w:i/>
          <w:iCs/>
        </w:rPr>
        <w:t xml:space="preserve">Philosophical Transactions of the Royal Society B: Biological Sciences</w:t>
      </w:r>
      <w:r>
        <w:t xml:space="preserve">,</w:t>
      </w:r>
      <w:r>
        <w:t xml:space="preserve"> </w:t>
      </w:r>
      <w:r>
        <w:rPr>
          <w:i/>
          <w:iCs/>
        </w:rPr>
        <w:t xml:space="preserve">371</w:t>
      </w:r>
      <w:r>
        <w:t xml:space="preserve">(1696), 20150178. The Royal Society. Retrieved from</w:t>
      </w:r>
      <w:r>
        <w:t xml:space="preserve"> </w:t>
      </w:r>
      <w:hyperlink r:id="rId343">
        <w:r>
          <w:rPr>
            <w:rStyle w:val="Hyperlink"/>
          </w:rPr>
          <w:t xml:space="preserve">http://dx.doi.org/10.1098/rstb.2015.0178</w:t>
        </w:r>
      </w:hyperlink>
    </w:p>
    <w:bookmarkEnd w:id="344"/>
    <w:bookmarkStart w:id="346" w:name="ref-wierzchowski2002lightning"/>
    <w:p>
      <w:pPr>
        <w:pStyle w:val="Bibliography"/>
      </w:pPr>
      <w:r>
        <w:t xml:space="preserve">Wierzchowski, J., Heathcott, M., &amp; Flannigan, M. D. (2002). Lightning and lightning fire, central cordillera,</w:t>
      </w:r>
      <w:r>
        <w:t xml:space="preserve"> </w:t>
      </w:r>
      <w:r>
        <w:t xml:space="preserve">Canada</w:t>
      </w:r>
      <w:r>
        <w:t xml:space="preserve">.</w:t>
      </w:r>
      <w:r>
        <w:t xml:space="preserve"> </w:t>
      </w:r>
      <w:r>
        <w:rPr>
          <w:i/>
          <w:iCs/>
        </w:rPr>
        <w:t xml:space="preserve">International Journal of Wildland Fire</w:t>
      </w:r>
      <w:r>
        <w:t xml:space="preserve">,</w:t>
      </w:r>
      <w:r>
        <w:t xml:space="preserve"> </w:t>
      </w:r>
      <w:r>
        <w:rPr>
          <w:i/>
          <w:iCs/>
        </w:rPr>
        <w:t xml:space="preserve">11</w:t>
      </w:r>
      <w:r>
        <w:t xml:space="preserve">(1), 41–51. CSIRO Publishing. Retrieved from</w:t>
      </w:r>
      <w:r>
        <w:t xml:space="preserve"> </w:t>
      </w:r>
      <w:hyperlink r:id="rId345">
        <w:r>
          <w:rPr>
            <w:rStyle w:val="Hyperlink"/>
          </w:rPr>
          <w:t xml:space="preserve">http://dx.doi.org/10.1071/wf01048</w:t>
        </w:r>
      </w:hyperlink>
    </w:p>
    <w:bookmarkEnd w:id="346"/>
    <w:bookmarkStart w:id="348" w:name="ref-wilks1997resampling"/>
    <w:p>
      <w:pPr>
        <w:pStyle w:val="Bibliography"/>
      </w:pPr>
      <w:r>
        <w:t xml:space="preserve">Wilks, D. S. (1997). Resampling hypothesis tests for autocorrelated fields.</w:t>
      </w:r>
      <w:r>
        <w:t xml:space="preserve"> </w:t>
      </w:r>
      <w:r>
        <w:rPr>
          <w:i/>
          <w:iCs/>
        </w:rPr>
        <w:t xml:space="preserve">Journal of Climate</w:t>
      </w:r>
      <w:r>
        <w:t xml:space="preserve">,</w:t>
      </w:r>
      <w:r>
        <w:t xml:space="preserve"> </w:t>
      </w:r>
      <w:r>
        <w:rPr>
          <w:i/>
          <w:iCs/>
        </w:rPr>
        <w:t xml:space="preserve">10</w:t>
      </w:r>
      <w:r>
        <w:t xml:space="preserve">(1), 65–82. American Meteorological Society. Retrieved from</w:t>
      </w:r>
      <w:r>
        <w:t xml:space="preserve"> </w:t>
      </w:r>
      <w:hyperlink r:id="rId347">
        <w:r>
          <w:rPr>
            <w:rStyle w:val="Hyperlink"/>
          </w:rPr>
          <w:t xml:space="preserve">http://dx.doi.org/10.1175/1520-0442(1997)010&lt;0065:rhtfaf&gt;2.0.co;2</w:t>
        </w:r>
      </w:hyperlink>
    </w:p>
    <w:bookmarkEnd w:id="348"/>
    <w:bookmarkStart w:id="350" w:name="ref-wilks2016stippling"/>
    <w:p>
      <w:pPr>
        <w:pStyle w:val="Bibliography"/>
      </w:pPr>
      <w:r>
        <w:t xml:space="preserve">Wilks, D. S. (2016).</w:t>
      </w:r>
      <w:r>
        <w:t xml:space="preserve"> </w:t>
      </w:r>
      <w:r>
        <w:t xml:space="preserve">“The stippling shows statistically significant grid points”</w:t>
      </w:r>
      <w:r>
        <w:t xml:space="preserve">: How research results are routinely overstated and overinterpreted, and what to do about it.</w:t>
      </w:r>
      <w:r>
        <w:t xml:space="preserve"> </w:t>
      </w:r>
      <w:r>
        <w:rPr>
          <w:i/>
          <w:iCs/>
        </w:rPr>
        <w:t xml:space="preserve">Bulletin of the American Meteorological Society</w:t>
      </w:r>
      <w:r>
        <w:t xml:space="preserve">,</w:t>
      </w:r>
      <w:r>
        <w:t xml:space="preserve"> </w:t>
      </w:r>
      <w:r>
        <w:rPr>
          <w:i/>
          <w:iCs/>
        </w:rPr>
        <w:t xml:space="preserve">97</w:t>
      </w:r>
      <w:r>
        <w:t xml:space="preserve">(12), 2263–2273. American Meteorological Society. Retrieved from</w:t>
      </w:r>
      <w:r>
        <w:t xml:space="preserve"> </w:t>
      </w:r>
      <w:hyperlink r:id="rId349">
        <w:r>
          <w:rPr>
            <w:rStyle w:val="Hyperlink"/>
          </w:rPr>
          <w:t xml:space="preserve">http://dx.doi.org/10.1175/bams-d-15-00267.1</w:t>
        </w:r>
      </w:hyperlink>
    </w:p>
    <w:bookmarkEnd w:id="350"/>
    <w:bookmarkStart w:id="352" w:name="ref-woolford2014lightning"/>
    <w:p>
      <w:pPr>
        <w:pStyle w:val="Bibliography"/>
      </w:pPr>
      <w:r>
        <w:t xml:space="preserve">Woolford, D. G., Dean, C. B., Martell, D. L., Cao, J., &amp; Wotton, B. M. (2014).</w:t>
      </w:r>
      <w:r>
        <w:t xml:space="preserve"> </w:t>
      </w:r>
      <w:hyperlink r:id="rId351">
        <w:r>
          <w:rPr>
            <w:rStyle w:val="Hyperlink"/>
          </w:rPr>
          <w:t xml:space="preserve">Lightning-caused forest fire risk in</w:t>
        </w:r>
        <w:r>
          <w:rPr>
            <w:rStyle w:val="Hyperlink"/>
          </w:rPr>
          <w:t xml:space="preserve"> </w:t>
        </w:r>
        <w:r>
          <w:rPr>
            <w:rStyle w:val="Hyperlink"/>
          </w:rPr>
          <w:t xml:space="preserve">Northwestern Ontario</w:t>
        </w:r>
        <w:r>
          <w:rPr>
            <w:rStyle w:val="Hyperlink"/>
          </w:rPr>
          <w:t xml:space="preserve">,</w:t>
        </w:r>
        <w:r>
          <w:rPr>
            <w:rStyle w:val="Hyperlink"/>
          </w:rPr>
          <w:t xml:space="preserve"> </w:t>
        </w:r>
        <w:r>
          <w:rPr>
            <w:rStyle w:val="Hyperlink"/>
          </w:rPr>
          <w:t xml:space="preserve">Canada</w:t>
        </w:r>
        <w:r>
          <w:rPr>
            <w:rStyle w:val="Hyperlink"/>
          </w:rPr>
          <w:t xml:space="preserve">, is increasing and associated with anomalies in fire weather</w:t>
        </w:r>
      </w:hyperlink>
      <w:r>
        <w:t xml:space="preserve">.</w:t>
      </w:r>
      <w:r>
        <w:t xml:space="preserve"> </w:t>
      </w:r>
      <w:r>
        <w:rPr>
          <w:i/>
          <w:iCs/>
        </w:rPr>
        <w:t xml:space="preserve">Environmetrics</w:t>
      </w:r>
      <w:r>
        <w:t xml:space="preserve">,</w:t>
      </w:r>
      <w:r>
        <w:t xml:space="preserve"> </w:t>
      </w:r>
      <w:r>
        <w:rPr>
          <w:i/>
          <w:iCs/>
        </w:rPr>
        <w:t xml:space="preserve">25</w:t>
      </w:r>
      <w:r>
        <w:t xml:space="preserve">(6), 406–416.</w:t>
      </w:r>
    </w:p>
    <w:bookmarkEnd w:id="352"/>
    <w:bookmarkStart w:id="354" w:name="ref-wotton2007standspecific"/>
    <w:p>
      <w:pPr>
        <w:pStyle w:val="Bibliography"/>
      </w:pPr>
      <w:r>
        <w:t xml:space="preserve">Wotton, B. Mike, &amp; Beverly, J. L. (2007). Stand-specific litter moisture content calibrations for the</w:t>
      </w:r>
      <w:r>
        <w:t xml:space="preserve"> </w:t>
      </w:r>
      <w:r>
        <w:t xml:space="preserve">Canadian</w:t>
      </w:r>
      <w:r>
        <w:t xml:space="preserve"> </w:t>
      </w:r>
      <w:r>
        <w:t xml:space="preserve">Fine Fuel Moisture Code</w:t>
      </w:r>
      <w:r>
        <w:t xml:space="preserve">.</w:t>
      </w:r>
      <w:r>
        <w:t xml:space="preserve"> </w:t>
      </w:r>
      <w:r>
        <w:rPr>
          <w:i/>
          <w:iCs/>
        </w:rPr>
        <w:t xml:space="preserve">International Journal of Wildland Fire</w:t>
      </w:r>
      <w:r>
        <w:t xml:space="preserve">,</w:t>
      </w:r>
      <w:r>
        <w:t xml:space="preserve"> </w:t>
      </w:r>
      <w:r>
        <w:rPr>
          <w:i/>
          <w:iCs/>
        </w:rPr>
        <w:t xml:space="preserve">16</w:t>
      </w:r>
      <w:r>
        <w:t xml:space="preserve">(4), 463–472. CSIRO Publishing. Retrieved from</w:t>
      </w:r>
      <w:r>
        <w:t xml:space="preserve"> </w:t>
      </w:r>
      <w:hyperlink r:id="rId353">
        <w:r>
          <w:rPr>
            <w:rStyle w:val="Hyperlink"/>
          </w:rPr>
          <w:t xml:space="preserve">http://dx.doi.org/10.1071/wf06087</w:t>
        </w:r>
      </w:hyperlink>
    </w:p>
    <w:bookmarkEnd w:id="354"/>
    <w:bookmarkStart w:id="356" w:name="ref-wotton1993seasonlength"/>
    <w:p>
      <w:pPr>
        <w:pStyle w:val="Bibliography"/>
      </w:pPr>
      <w:r>
        <w:t xml:space="preserve">Wotton, B. M., &amp; Flannigan, M. D. (1993).</w:t>
      </w:r>
      <w:r>
        <w:t xml:space="preserve"> </w:t>
      </w:r>
      <w:hyperlink r:id="rId355">
        <w:r>
          <w:rPr>
            <w:rStyle w:val="Hyperlink"/>
          </w:rPr>
          <w:t xml:space="preserve">Length of the fire season in a changing climate</w:t>
        </w:r>
      </w:hyperlink>
      <w:r>
        <w:t xml:space="preserve">.</w:t>
      </w:r>
      <w:r>
        <w:t xml:space="preserve"> </w:t>
      </w:r>
      <w:r>
        <w:rPr>
          <w:i/>
          <w:iCs/>
        </w:rPr>
        <w:t xml:space="preserve">The Forestry Chronicle</w:t>
      </w:r>
      <w:r>
        <w:t xml:space="preserve">,</w:t>
      </w:r>
      <w:r>
        <w:t xml:space="preserve"> </w:t>
      </w:r>
      <w:r>
        <w:rPr>
          <w:i/>
          <w:iCs/>
        </w:rPr>
        <w:t xml:space="preserve">69</w:t>
      </w:r>
      <w:r>
        <w:t xml:space="preserve">(2), 187–192.</w:t>
      </w:r>
    </w:p>
    <w:bookmarkEnd w:id="356"/>
    <w:bookmarkStart w:id="358" w:name="ref-wotton2005lightning"/>
    <w:p>
      <w:pPr>
        <w:pStyle w:val="Bibliography"/>
      </w:pPr>
      <w:r>
        <w:t xml:space="preserve">Wotton, B. M., &amp; Martell, D. L. (2005). A lightning fire occurrence model for</w:t>
      </w:r>
      <w:r>
        <w:t xml:space="preserve"> </w:t>
      </w:r>
      <w:r>
        <w:t xml:space="preserve">Ontario</w:t>
      </w:r>
      <w:r>
        <w:t xml:space="preserve">.</w:t>
      </w:r>
      <w:r>
        <w:t xml:space="preserve"> </w:t>
      </w:r>
      <w:r>
        <w:rPr>
          <w:i/>
          <w:iCs/>
        </w:rPr>
        <w:t xml:space="preserve">Canadian Journal of Forest Research</w:t>
      </w:r>
      <w:r>
        <w:t xml:space="preserve">,</w:t>
      </w:r>
      <w:r>
        <w:t xml:space="preserve"> </w:t>
      </w:r>
      <w:r>
        <w:rPr>
          <w:i/>
          <w:iCs/>
        </w:rPr>
        <w:t xml:space="preserve">35</w:t>
      </w:r>
      <w:r>
        <w:t xml:space="preserve">(6), 1389–1401. Canadian Science Publishing. Retrieved from</w:t>
      </w:r>
      <w:r>
        <w:t xml:space="preserve"> </w:t>
      </w:r>
      <w:hyperlink r:id="rId357">
        <w:r>
          <w:rPr>
            <w:rStyle w:val="Hyperlink"/>
          </w:rPr>
          <w:t xml:space="preserve">http://dx.doi.org/10.1139/x05-071</w:t>
        </w:r>
      </w:hyperlink>
    </w:p>
    <w:bookmarkEnd w:id="358"/>
    <w:bookmarkStart w:id="360" w:name="ref-xiao2015count"/>
    <w:p>
      <w:pPr>
        <w:pStyle w:val="Bibliography"/>
      </w:pPr>
      <w:r>
        <w:t xml:space="preserve">Xiao, Y., Zhang, X., &amp; Ji, P. (2015). Modeling forest fire occurrences using count-data mixed models in</w:t>
      </w:r>
      <w:r>
        <w:t xml:space="preserve"> </w:t>
      </w:r>
      <w:r>
        <w:t xml:space="preserve">Qiannan</w:t>
      </w:r>
      <w:r>
        <w:t xml:space="preserve"> </w:t>
      </w:r>
      <w:r>
        <w:t xml:space="preserve">autonomous prefecture of guizhou province in</w:t>
      </w:r>
      <w:r>
        <w:t xml:space="preserve"> </w:t>
      </w:r>
      <w:r>
        <w:t xml:space="preserve">China</w:t>
      </w:r>
      <w:r>
        <w:t xml:space="preserve">. (M. Hanewinkel, Ed.)</w:t>
      </w:r>
      <w:r>
        <w:rPr>
          <w:i/>
          <w:iCs/>
        </w:rPr>
        <w:t xml:space="preserve">PLOS ONE</w:t>
      </w:r>
      <w:r>
        <w:t xml:space="preserve">,</w:t>
      </w:r>
      <w:r>
        <w:t xml:space="preserve"> </w:t>
      </w:r>
      <w:r>
        <w:rPr>
          <w:i/>
          <w:iCs/>
        </w:rPr>
        <w:t xml:space="preserve">10</w:t>
      </w:r>
      <w:r>
        <w:t xml:space="preserve">(3), e0120621. Public Library of Science (PLoS). Retrieved from</w:t>
      </w:r>
      <w:r>
        <w:t xml:space="preserve"> </w:t>
      </w:r>
      <w:hyperlink r:id="rId359">
        <w:r>
          <w:rPr>
            <w:rStyle w:val="Hyperlink"/>
          </w:rPr>
          <w:t xml:space="preserve">http://dx.doi.org/10.1371/journal.pone.0120621</w:t>
        </w:r>
      </w:hyperlink>
    </w:p>
    <w:bookmarkEnd w:id="360"/>
    <w:bookmarkStart w:id="362" w:name="ref-yue2002autocorrelation"/>
    <w:p>
      <w:pPr>
        <w:pStyle w:val="Bibliography"/>
      </w:pPr>
      <w:r>
        <w:t xml:space="preserve">Yue, S., Pilon, P., Phinney, B., &amp; Cavadias, G. (2002). The influence of autocorrelation on the ability to detect trend in hydrological series.</w:t>
      </w:r>
      <w:r>
        <w:t xml:space="preserve"> </w:t>
      </w:r>
      <w:r>
        <w:rPr>
          <w:i/>
          <w:iCs/>
        </w:rPr>
        <w:t xml:space="preserve">Hydrological Processes</w:t>
      </w:r>
      <w:r>
        <w:t xml:space="preserve">,</w:t>
      </w:r>
      <w:r>
        <w:t xml:space="preserve"> </w:t>
      </w:r>
      <w:r>
        <w:rPr>
          <w:i/>
          <w:iCs/>
        </w:rPr>
        <w:t xml:space="preserve">16</w:t>
      </w:r>
      <w:r>
        <w:t xml:space="preserve">(9), 1807–1829. Wiley. Retrieved from</w:t>
      </w:r>
      <w:r>
        <w:t xml:space="preserve"> </w:t>
      </w:r>
      <w:hyperlink r:id="rId361">
        <w:r>
          <w:rPr>
            <w:rStyle w:val="Hyperlink"/>
          </w:rPr>
          <w:t xml:space="preserve">http://dx.doi.org/10.1002/hyp.1095</w:t>
        </w:r>
      </w:hyperlink>
    </w:p>
    <w:bookmarkEnd w:id="362"/>
    <w:bookmarkStart w:id="364" w:name="ref-yue2002prewhitening"/>
    <w:p>
      <w:pPr>
        <w:pStyle w:val="Bibliography"/>
      </w:pPr>
      <w:r>
        <w:t xml:space="preserve">Yue, S., &amp; Wang, C. Y. (2002).</w:t>
      </w:r>
      <w:r>
        <w:t xml:space="preserve"> </w:t>
      </w:r>
      <w:hyperlink r:id="rId363">
        <w:r>
          <w:rPr>
            <w:rStyle w:val="Hyperlink"/>
          </w:rPr>
          <w:t xml:space="preserve">Applicability of prewhitening to eliminate the influence of serial correlation on the</w:t>
        </w:r>
        <w:r>
          <w:rPr>
            <w:rStyle w:val="Hyperlink"/>
          </w:rPr>
          <w:t xml:space="preserve"> </w:t>
        </w:r>
        <w:r>
          <w:rPr>
            <w:rStyle w:val="Hyperlink"/>
          </w:rPr>
          <w:t xml:space="preserve">Mann-Kendall</w:t>
        </w:r>
        <w:r>
          <w:rPr>
            <w:rStyle w:val="Hyperlink"/>
          </w:rPr>
          <w:t xml:space="preserve"> </w:t>
        </w:r>
        <w:r>
          <w:rPr>
            <w:rStyle w:val="Hyperlink"/>
          </w:rPr>
          <w:t xml:space="preserve">test</w:t>
        </w:r>
      </w:hyperlink>
      <w:r>
        <w:t xml:space="preserve">.</w:t>
      </w:r>
      <w:r>
        <w:t xml:space="preserve"> </w:t>
      </w:r>
      <w:r>
        <w:rPr>
          <w:i/>
          <w:iCs/>
        </w:rPr>
        <w:t xml:space="preserve">Water Resources Research</w:t>
      </w:r>
      <w:r>
        <w:t xml:space="preserve">,</w:t>
      </w:r>
      <w:r>
        <w:t xml:space="preserve"> </w:t>
      </w:r>
      <w:r>
        <w:rPr>
          <w:i/>
          <w:iCs/>
        </w:rPr>
        <w:t xml:space="preserve">38</w:t>
      </w:r>
      <w:r>
        <w:t xml:space="preserve">(6).</w:t>
      </w:r>
    </w:p>
    <w:bookmarkEnd w:id="364"/>
    <w:bookmarkStart w:id="366" w:name="ref-zhang2017hourlyffmc"/>
    <w:p>
      <w:pPr>
        <w:pStyle w:val="Bibliography"/>
      </w:pPr>
      <w:r>
        <w:t xml:space="preserve">Zhang, J., Cui, X., Wei, R., Huang, Y., &amp; Di, X. (2017). Evaluating the applicability of predicting dead fine fuel moisture based on the hourly</w:t>
      </w:r>
      <w:r>
        <w:t xml:space="preserve"> </w:t>
      </w:r>
      <w:r>
        <w:t xml:space="preserve">Fine Fuel Moisture Code</w:t>
      </w:r>
      <w:r>
        <w:t xml:space="preserve"> </w:t>
      </w:r>
      <w:r>
        <w:t xml:space="preserve">in the south-eastern</w:t>
      </w:r>
      <w:r>
        <w:t xml:space="preserve"> </w:t>
      </w:r>
      <w:r>
        <w:t xml:space="preserve">Great Xing’an Mountains</w:t>
      </w:r>
      <w:r>
        <w:t xml:space="preserve"> </w:t>
      </w:r>
      <w:r>
        <w:t xml:space="preserve">of</w:t>
      </w:r>
      <w:r>
        <w:t xml:space="preserve"> </w:t>
      </w:r>
      <w:r>
        <w:t xml:space="preserve">China</w:t>
      </w:r>
      <w:r>
        <w:t xml:space="preserve">.</w:t>
      </w:r>
      <w:r>
        <w:t xml:space="preserve"> </w:t>
      </w:r>
      <w:r>
        <w:rPr>
          <w:i/>
          <w:iCs/>
        </w:rPr>
        <w:t xml:space="preserve">International Journal of Wildland Fire</w:t>
      </w:r>
      <w:r>
        <w:t xml:space="preserve">,</w:t>
      </w:r>
      <w:r>
        <w:t xml:space="preserve"> </w:t>
      </w:r>
      <w:r>
        <w:rPr>
          <w:i/>
          <w:iCs/>
        </w:rPr>
        <w:t xml:space="preserve">26</w:t>
      </w:r>
      <w:r>
        <w:t xml:space="preserve">(2), 167–175. CSIRO Publishing. Retrieved from</w:t>
      </w:r>
      <w:r>
        <w:t xml:space="preserve"> </w:t>
      </w:r>
      <w:hyperlink r:id="rId365">
        <w:r>
          <w:rPr>
            <w:rStyle w:val="Hyperlink"/>
          </w:rPr>
          <w:t xml:space="preserve">http://dx.doi.org/10.1071/wf16040</w:t>
        </w:r>
      </w:hyperlink>
    </w:p>
    <w:bookmarkEnd w:id="366"/>
    <w:bookmarkStart w:id="368" w:name="ref-zhang2011indices"/>
    <w:p>
      <w:pPr>
        <w:pStyle w:val="Bibliography"/>
      </w:pPr>
      <w:r>
        <w:t xml:space="preserve">Zhang, X., Alexander, L., Hegerl, G. C., Jones, P., Tank, A. K., Peterson, T. C., Trewin, B., et al. (2011). Indices for monitoring changes in extremes based on daily temperature and precipitation data.</w:t>
      </w:r>
      <w:r>
        <w:t xml:space="preserve"> </w:t>
      </w:r>
      <w:r>
        <w:rPr>
          <w:i/>
          <w:iCs/>
        </w:rPr>
        <w:t xml:space="preserve">WIREs Climate Change</w:t>
      </w:r>
      <w:r>
        <w:t xml:space="preserve">,</w:t>
      </w:r>
      <w:r>
        <w:t xml:space="preserve"> </w:t>
      </w:r>
      <w:r>
        <w:rPr>
          <w:i/>
          <w:iCs/>
        </w:rPr>
        <w:t xml:space="preserve">2</w:t>
      </w:r>
      <w:r>
        <w:t xml:space="preserve">(6), 851–870. Wiley. Retrieved from</w:t>
      </w:r>
      <w:r>
        <w:t xml:space="preserve"> </w:t>
      </w:r>
      <w:hyperlink r:id="rId367">
        <w:r>
          <w:rPr>
            <w:rStyle w:val="Hyperlink"/>
          </w:rPr>
          <w:t xml:space="preserve">http://dx.doi.org/10.1002/wcc.147</w:t>
        </w:r>
      </w:hyperlink>
    </w:p>
    <w:bookmarkEnd w:id="368"/>
    <w:bookmarkStart w:id="370" w:name="ref-zhang2005percentile"/>
    <w:p>
      <w:pPr>
        <w:pStyle w:val="Bibliography"/>
      </w:pPr>
      <w:r>
        <w:t xml:space="preserve">Zhang, X., Hegerl, G., Zwiers, F. W., &amp; Kenyon, J. (2005). Avoiding inhomogeneity in percentile-based indices of temperature extremes.</w:t>
      </w:r>
      <w:r>
        <w:t xml:space="preserve"> </w:t>
      </w:r>
      <w:r>
        <w:rPr>
          <w:i/>
          <w:iCs/>
        </w:rPr>
        <w:t xml:space="preserve">Journal of Climate</w:t>
      </w:r>
      <w:r>
        <w:t xml:space="preserve">,</w:t>
      </w:r>
      <w:r>
        <w:t xml:space="preserve"> </w:t>
      </w:r>
      <w:r>
        <w:rPr>
          <w:i/>
          <w:iCs/>
        </w:rPr>
        <w:t xml:space="preserve">18</w:t>
      </w:r>
      <w:r>
        <w:t xml:space="preserve">(11), 1641–1651. American Meteorological Society. Retrieved from</w:t>
      </w:r>
      <w:r>
        <w:t xml:space="preserve"> </w:t>
      </w:r>
      <w:hyperlink r:id="rId369">
        <w:r>
          <w:rPr>
            <w:rStyle w:val="Hyperlink"/>
          </w:rPr>
          <w:t xml:space="preserve">http://dx.doi.org/10.1175/jcli3366.1</w:t>
        </w:r>
      </w:hyperlink>
    </w:p>
    <w:bookmarkEnd w:id="370"/>
    <w:bookmarkStart w:id="372" w:name="ref-zhao2025multifactorial"/>
    <w:p>
      <w:pPr>
        <w:pStyle w:val="Bibliography"/>
      </w:pPr>
      <w:r>
        <w:t xml:space="preserve">Zhao, H., Zhang, Z., Zhen, S., Wang, X., &amp; Yin, Y. (2025). Multifactorial interactions contribute to contrasting wildfire trends at mid–high latitudes of the</w:t>
      </w:r>
      <w:r>
        <w:t xml:space="preserve"> </w:t>
      </w:r>
      <w:r>
        <w:t xml:space="preserve">Northern Hemisphere</w:t>
      </w:r>
      <w:r>
        <w:t xml:space="preserve">.</w:t>
      </w:r>
      <w:r>
        <w:t xml:space="preserve"> </w:t>
      </w:r>
      <w:r>
        <w:rPr>
          <w:i/>
          <w:iCs/>
        </w:rPr>
        <w:t xml:space="preserve">Agricultural and Forest Meteorology</w:t>
      </w:r>
      <w:r>
        <w:t xml:space="preserve">,</w:t>
      </w:r>
      <w:r>
        <w:t xml:space="preserve"> </w:t>
      </w:r>
      <w:r>
        <w:rPr>
          <w:i/>
          <w:iCs/>
        </w:rPr>
        <w:t xml:space="preserve">367</w:t>
      </w:r>
      <w:r>
        <w:t xml:space="preserve">, 110507. Elsevier BV. Retrieved from</w:t>
      </w:r>
      <w:r>
        <w:t xml:space="preserve"> </w:t>
      </w:r>
      <w:hyperlink r:id="rId371">
        <w:r>
          <w:rPr>
            <w:rStyle w:val="Hyperlink"/>
          </w:rPr>
          <w:t xml:space="preserve">http://dx.doi.org/10.1016/j.agrformet.2025.110507</w:t>
        </w:r>
      </w:hyperlink>
    </w:p>
    <w:bookmarkEnd w:id="372"/>
    <w:bookmarkEnd w:id="373"/>
    <w:bookmarkEnd w:id="374"/>
    <w:sectPr w:rsidR="00144330" w:rsidSect="00B13028">
      <w:footerReference r:id="rId10" w:type="default"/>
      <w:footerReference r:id="rId9" w:type="first"/>
      <w:pgSz w:h="15840" w:w="12240"/>
      <w:pgMar w:bottom="1440" w:footer="720" w:gutter="0" w:header="720" w:left="1440" w:right="1440" w:top="1440"/>
      <w:lnNumType w:countBy="1" w:restart="continuous"/>
      <w:pgNumType w:start="1"/>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2845A1E-80C2-DD49-BFFE-5A041FC475F6}"/>
    <w:embedBold r:id="rId2" w:fontKey="{8EC1B0A3-5DFC-074E-AB26-8E0A4704184E}"/>
    <w:embedItalic r:id="rId3" w:fontKey="{026CE58A-4BD4-B949-94B0-64C5B3AAA710}"/>
    <w:embedBoldItalic r:id="rId4" w:fontKey="{ADA87FDB-A1E0-E142-B9A2-3987325F811F}"/>
  </w:font>
  <w:font w:name="Courier New">
    <w:panose1 w:val="02070309020205020404"/>
    <w:charset w:val="00"/>
    <w:family w:val="modern"/>
    <w:pitch w:val="fixed"/>
    <w:sig w:usb0="E0002AFF" w:usb1="C0007843" w:usb2="00000009" w:usb3="00000000" w:csb0="000001FF" w:csb1="00000000"/>
    <w:embedRegular r:id="rId5" w:fontKey="{56EB9350-1F45-B84F-946F-4DF334BB94AE}"/>
  </w:font>
  <w:font w:name="Wingdings">
    <w:panose1 w:val="05000000000000000000"/>
    <w:charset w:val="4D"/>
    <w:family w:val="decorative"/>
    <w:pitch w:val="variable"/>
    <w:sig w:usb0="00000003" w:usb1="00000000" w:usb2="00000000" w:usb3="00000000" w:csb0="80000001" w:csb1="00000000"/>
    <w:embedRegular r:id="rId6" w:fontKey="{1FC2A76C-4A9B-1542-A3D9-FFE6F0963414}"/>
  </w:font>
  <w:font w:name="Symbol">
    <w:panose1 w:val="05050102010706020507"/>
    <w:charset w:val="02"/>
    <w:family w:val="decorative"/>
    <w:pitch w:val="variable"/>
    <w:sig w:usb0="00000000" w:usb1="10000000" w:usb2="00000000" w:usb3="00000000" w:csb0="80000000" w:csb1="00000000"/>
    <w:embedRegular r:id="rId7" w:fontKey="{C094118A-930F-554C-80B1-F9B558A00D9B}"/>
  </w:font>
  <w:font w:name="Ubuntu">
    <w:panose1 w:val="020B0504030602030204"/>
    <w:charset w:val="00"/>
    <w:family w:val="swiss"/>
    <w:pitch w:val="variable"/>
    <w:sig w:usb0="E00002FF" w:usb1="5000205B" w:usb2="00000000" w:usb3="00000000" w:csb0="0000009F" w:csb1="00000000"/>
    <w:embedRegular r:id="rId8" w:fontKey="{C54FCEC9-FBF0-F74F-91D1-6AF142B4075E}"/>
  </w:font>
  <w:font w:name="Arial">
    <w:panose1 w:val="020B0604020202020204"/>
    <w:charset w:val="00"/>
    <w:family w:val="swiss"/>
    <w:pitch w:val="variable"/>
    <w:sig w:usb0="E0002EFF" w:usb1="C000785B" w:usb2="00000009" w:usb3="00000000" w:csb0="000001FF" w:csb1="00000000"/>
    <w:embedRegular r:id="rId9" w:fontKey="{EB26E98C-5D9D-A04F-B3A9-B627D6424F53}"/>
    <w:embedBold r:id="rId10" w:fontKey="{83ECF4B3-B9A2-FF43-ABA3-BE7A7B098443}"/>
    <w:embedItalic r:id="rId11" w:fontKey="{E93B3AE5-7D37-794D-A402-91482DB6F1B0}"/>
    <w:embedBoldItalic r:id="rId12" w:fontKey="{4248FB19-4F84-1145-B56E-911A9D97B57A}"/>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5" w:fontKey="{59A46FFC-15EA-0F41-BFEE-C63762DA7985}"/>
    <w:embedBold r:id="rId16" w:fontKey="{D13F686D-F4D4-A24B-A6BF-C4EF12220186}"/>
    <w:embedItalic r:id="rId17" w:fontKey="{9001C5E8-90F0-3947-A2F2-41118C1AB2E3}"/>
    <w:embedBoldItalic r:id="rId18" w:fontKey="{12E45CD3-0ED3-8948-A448-269FFAE2C338}"/>
  </w:font>
  <w:font w:name="Aptos Display">
    <w:panose1 w:val="020B0004020202020204"/>
    <w:charset w:val="00"/>
    <w:family w:val="swiss"/>
    <w:pitch w:val="variable"/>
    <w:sig w:usb0="20000287" w:usb1="00000003" w:usb2="00000000" w:usb3="00000000" w:csb0="0000019F" w:csb1="00000000"/>
    <w:embedRegular r:id="rId19" w:fontKey="{AEDF951E-CFF6-0044-80FB-4AAABF7D7E49}"/>
    <w:embedBold r:id="rId20" w:fontKey="{8B1DE7EC-3E49-A742-9B06-B546A6DA4B0D}"/>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embedRegular r:id="rId21" w:fontKey="{01E7991A-1DED-FC43-BADC-D5F66C34F32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BF21" w14:textId="6D7FB1A0" w:rsidR="000B55EB" w:rsidRDefault="00000000" w:rsidP="00D648AE">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4B435" w14:textId="77777777" w:rsidR="000B55EB" w:rsidRDefault="000B55EB" w:rsidP="00D648AE"/>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536786"/>
    <w:multiLevelType w:val="multilevel"/>
    <w:tmpl w:val="81A64DD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
    <w:nsid w:val="036851CF"/>
    <w:multiLevelType w:val="hybridMultilevel"/>
    <w:tmpl w:val="AF2A710C"/>
    <w:lvl w:ilvl="0" w:tplc="0409000F">
      <w:start w:val="1"/>
      <w:numFmt w:val="decimal"/>
      <w:lvlText w:val="%1."/>
      <w:lvlJc w:val="left"/>
      <w:pPr>
        <w:ind w:hanging="360" w:left="360"/>
      </w:pPr>
      <w:rPr>
        <w:rFonts w:hint="default"/>
      </w:rPr>
    </w:lvl>
    <w:lvl w:ilvl="1" w:tentative="1" w:tplc="FFFFFFFF">
      <w:start w:val="1"/>
      <w:numFmt w:val="bullet"/>
      <w:lvlText w:val="o"/>
      <w:lvlJc w:val="left"/>
      <w:pPr>
        <w:ind w:hanging="360" w:left="1080"/>
      </w:pPr>
      <w:rPr>
        <w:rFonts w:ascii="Courier New" w:hAnsi="Courier New" w:hint="default"/>
      </w:rPr>
    </w:lvl>
    <w:lvl w:ilvl="2" w:tentative="1" w:tplc="FFFFFFFF">
      <w:start w:val="1"/>
      <w:numFmt w:val="bullet"/>
      <w:lvlText w:val=""/>
      <w:lvlJc w:val="left"/>
      <w:pPr>
        <w:ind w:hanging="360" w:left="1800"/>
      </w:pPr>
      <w:rPr>
        <w:rFonts w:ascii="Wingdings" w:hAnsi="Wingdings" w:hint="default"/>
      </w:rPr>
    </w:lvl>
    <w:lvl w:ilvl="3" w:tentative="1" w:tplc="FFFFFFFF">
      <w:start w:val="1"/>
      <w:numFmt w:val="bullet"/>
      <w:lvlText w:val=""/>
      <w:lvlJc w:val="left"/>
      <w:pPr>
        <w:ind w:hanging="360" w:left="2520"/>
      </w:pPr>
      <w:rPr>
        <w:rFonts w:ascii="Symbol" w:hAnsi="Symbol" w:hint="default"/>
      </w:rPr>
    </w:lvl>
    <w:lvl w:ilvl="4" w:tentative="1" w:tplc="FFFFFFFF">
      <w:start w:val="1"/>
      <w:numFmt w:val="bullet"/>
      <w:lvlText w:val="o"/>
      <w:lvlJc w:val="left"/>
      <w:pPr>
        <w:ind w:hanging="360" w:left="3240"/>
      </w:pPr>
      <w:rPr>
        <w:rFonts w:ascii="Courier New" w:hAnsi="Courier New" w:hint="default"/>
      </w:rPr>
    </w:lvl>
    <w:lvl w:ilvl="5" w:tentative="1" w:tplc="FFFFFFFF">
      <w:start w:val="1"/>
      <w:numFmt w:val="bullet"/>
      <w:lvlText w:val=""/>
      <w:lvlJc w:val="left"/>
      <w:pPr>
        <w:ind w:hanging="360" w:left="3960"/>
      </w:pPr>
      <w:rPr>
        <w:rFonts w:ascii="Wingdings" w:hAnsi="Wingdings" w:hint="default"/>
      </w:rPr>
    </w:lvl>
    <w:lvl w:ilvl="6" w:tentative="1" w:tplc="FFFFFFFF">
      <w:start w:val="1"/>
      <w:numFmt w:val="bullet"/>
      <w:lvlText w:val=""/>
      <w:lvlJc w:val="left"/>
      <w:pPr>
        <w:ind w:hanging="360" w:left="4680"/>
      </w:pPr>
      <w:rPr>
        <w:rFonts w:ascii="Symbol" w:hAnsi="Symbol" w:hint="default"/>
      </w:rPr>
    </w:lvl>
    <w:lvl w:ilvl="7" w:tentative="1" w:tplc="FFFFFFFF">
      <w:start w:val="1"/>
      <w:numFmt w:val="bullet"/>
      <w:lvlText w:val="o"/>
      <w:lvlJc w:val="left"/>
      <w:pPr>
        <w:ind w:hanging="360" w:left="5400"/>
      </w:pPr>
      <w:rPr>
        <w:rFonts w:ascii="Courier New" w:hAnsi="Courier New" w:hint="default"/>
      </w:rPr>
    </w:lvl>
    <w:lvl w:ilvl="8" w:tentative="1" w:tplc="FFFFFFFF">
      <w:start w:val="1"/>
      <w:numFmt w:val="bullet"/>
      <w:lvlText w:val=""/>
      <w:lvlJc w:val="left"/>
      <w:pPr>
        <w:ind w:hanging="360" w:left="6120"/>
      </w:pPr>
      <w:rPr>
        <w:rFonts w:ascii="Wingdings" w:hAnsi="Wingdings" w:hint="default"/>
      </w:rPr>
    </w:lvl>
  </w:abstractNum>
  <w:abstractNum w15:restartNumberingAfterBreak="0" w:abstractNumId="2">
    <w:nsid w:val="171A0667"/>
    <w:multiLevelType w:val="hybridMultilevel"/>
    <w:tmpl w:val="AB988C6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
    <w:nsid w:val="1744454D"/>
    <w:multiLevelType w:val="multilevel"/>
    <w:tmpl w:val="BEA2E0AA"/>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
    <w:nsid w:val="1D5040A3"/>
    <w:multiLevelType w:val="multilevel"/>
    <w:tmpl w:val="E8DC037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
    <w:nsid w:val="29EA41D8"/>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
    <w:nsid w:val="2D7802DA"/>
    <w:multiLevelType w:val="multilevel"/>
    <w:tmpl w:val="0CC420B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7">
    <w:nsid w:val="2E5524F5"/>
    <w:multiLevelType w:val="multilevel"/>
    <w:tmpl w:val="244E3E7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8">
    <w:nsid w:val="30FC0002"/>
    <w:multiLevelType w:val="hybridMultilevel"/>
    <w:tmpl w:val="007AAE82"/>
    <w:lvl w:ilvl="0" w:tplc="0409000F">
      <w:start w:val="1"/>
      <w:numFmt w:val="decimal"/>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9">
    <w:nsid w:val="44E96C8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0">
    <w:nsid w:val="485A5F5D"/>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49127D73"/>
    <w:multiLevelType w:val="multilevel"/>
    <w:tmpl w:val="1736CE22"/>
    <w:lvl w:ilvl="0">
      <w:start w:val="1"/>
      <w:numFmt w:val="bullet"/>
      <w:lvlText w:val=""/>
      <w:lvlJc w:val="left"/>
      <w:pPr>
        <w:ind w:hanging="360" w:left="720"/>
      </w:pPr>
      <w:rPr>
        <w:rFonts w:ascii="Symbol" w:hAnsi="Symbol" w:hint="default"/>
      </w:rPr>
    </w:lvl>
    <w:lvl w:ilvl="1">
      <w:start w:val="1"/>
      <w:numFmt w:val="decimal"/>
      <w:isLgl/>
      <w:lvlText w:val="%1.%2"/>
      <w:lvlJc w:val="left"/>
      <w:pPr>
        <w:ind w:hanging="360" w:left="72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12">
    <w:nsid w:val="4D0460AB"/>
    <w:multiLevelType w:val="multilevel"/>
    <w:tmpl w:val="8638B9EE"/>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13">
    <w:nsid w:val="5583452F"/>
    <w:multiLevelType w:val="hybridMultilevel"/>
    <w:tmpl w:val="099ABA20"/>
    <w:lvl w:ilvl="0" w:tplc="AF0AA18C">
      <w:start w:val="1"/>
      <w:numFmt w:val="decimal"/>
      <w:lvlText w:val="%1."/>
      <w:lvlJc w:val="left"/>
      <w:pPr>
        <w:ind w:hanging="360" w:left="420"/>
      </w:pPr>
      <w:rPr>
        <w:rFonts w:ascii="Times New Roman" w:cs="Times New Roman" w:hAnsi="Times New Roman" w:hint="default"/>
      </w:rPr>
    </w:lvl>
    <w:lvl w:ilvl="1" w:tentative="1" w:tplc="04090019">
      <w:start w:val="1"/>
      <w:numFmt w:val="lowerLetter"/>
      <w:lvlText w:val="%2."/>
      <w:lvlJc w:val="left"/>
      <w:pPr>
        <w:ind w:hanging="360" w:left="1140"/>
      </w:pPr>
    </w:lvl>
    <w:lvl w:ilvl="2" w:tentative="1" w:tplc="0409001B">
      <w:start w:val="1"/>
      <w:numFmt w:val="lowerRoman"/>
      <w:lvlText w:val="%3."/>
      <w:lvlJc w:val="right"/>
      <w:pPr>
        <w:ind w:hanging="180" w:left="1860"/>
      </w:pPr>
    </w:lvl>
    <w:lvl w:ilvl="3" w:tentative="1" w:tplc="0409000F">
      <w:start w:val="1"/>
      <w:numFmt w:val="decimal"/>
      <w:lvlText w:val="%4."/>
      <w:lvlJc w:val="left"/>
      <w:pPr>
        <w:ind w:hanging="360" w:left="2580"/>
      </w:pPr>
    </w:lvl>
    <w:lvl w:ilvl="4" w:tentative="1" w:tplc="04090019">
      <w:start w:val="1"/>
      <w:numFmt w:val="lowerLetter"/>
      <w:lvlText w:val="%5."/>
      <w:lvlJc w:val="left"/>
      <w:pPr>
        <w:ind w:hanging="360" w:left="3300"/>
      </w:pPr>
    </w:lvl>
    <w:lvl w:ilvl="5" w:tentative="1" w:tplc="0409001B">
      <w:start w:val="1"/>
      <w:numFmt w:val="lowerRoman"/>
      <w:lvlText w:val="%6."/>
      <w:lvlJc w:val="right"/>
      <w:pPr>
        <w:ind w:hanging="180" w:left="4020"/>
      </w:pPr>
    </w:lvl>
    <w:lvl w:ilvl="6" w:tentative="1" w:tplc="0409000F">
      <w:start w:val="1"/>
      <w:numFmt w:val="decimal"/>
      <w:lvlText w:val="%7."/>
      <w:lvlJc w:val="left"/>
      <w:pPr>
        <w:ind w:hanging="360" w:left="4740"/>
      </w:pPr>
    </w:lvl>
    <w:lvl w:ilvl="7" w:tentative="1" w:tplc="04090019">
      <w:start w:val="1"/>
      <w:numFmt w:val="lowerLetter"/>
      <w:lvlText w:val="%8."/>
      <w:lvlJc w:val="left"/>
      <w:pPr>
        <w:ind w:hanging="360" w:left="5460"/>
      </w:pPr>
    </w:lvl>
    <w:lvl w:ilvl="8" w:tentative="1" w:tplc="0409001B">
      <w:start w:val="1"/>
      <w:numFmt w:val="lowerRoman"/>
      <w:lvlText w:val="%9."/>
      <w:lvlJc w:val="right"/>
      <w:pPr>
        <w:ind w:hanging="180" w:left="6180"/>
      </w:pPr>
    </w:lvl>
  </w:abstractNum>
  <w:abstractNum w15:restartNumberingAfterBreak="0" w:abstractNumId="14">
    <w:nsid w:val="56942631"/>
    <w:multiLevelType w:val="multilevel"/>
    <w:tmpl w:val="D4041BC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5">
    <w:nsid w:val="59CB1727"/>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6">
    <w:nsid w:val="5AF76DF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7">
    <w:nsid w:val="5CAE3D11"/>
    <w:multiLevelType w:val="multilevel"/>
    <w:tmpl w:val="D038AA8E"/>
    <w:lvl w:ilvl="0">
      <w:start w:val="1"/>
      <w:numFmt w:val="decimal"/>
      <w:lvlText w:val="%1."/>
      <w:lvlJc w:val="left"/>
      <w:pPr>
        <w:ind w:hanging="360" w:left="720"/>
      </w:pPr>
      <w:rPr>
        <w:rFonts w:ascii="Ubuntu" w:cs="Ubuntu" w:eastAsia="Ubuntu" w:hAnsi="Ubuntu"/>
        <w:color w:val="465360"/>
        <w:sz w:val="21"/>
        <w:szCs w:val="21"/>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18">
    <w:nsid w:val="613D3456"/>
    <w:multiLevelType w:val="hybridMultilevel"/>
    <w:tmpl w:val="0E88C840"/>
    <w:lvl w:ilvl="0" w:tplc="04090001">
      <w:start w:val="1"/>
      <w:numFmt w:val="bullet"/>
      <w:lvlText w:val=""/>
      <w:lvlJc w:val="left"/>
      <w:pPr>
        <w:ind w:hanging="360" w:left="360"/>
      </w:pPr>
      <w:rPr>
        <w:rFonts w:ascii="Symbol" w:hAnsi="Symbol" w:hint="default"/>
      </w:rPr>
    </w:lvl>
    <w:lvl w:ilvl="1" w:tentative="1" w:tplc="04090003">
      <w:start w:val="1"/>
      <w:numFmt w:val="bullet"/>
      <w:lvlText w:val="o"/>
      <w:lvlJc w:val="left"/>
      <w:pPr>
        <w:ind w:hanging="360" w:left="1080"/>
      </w:pPr>
      <w:rPr>
        <w:rFonts w:ascii="Courier New" w:hAnsi="Courier New" w:hint="default"/>
      </w:rPr>
    </w:lvl>
    <w:lvl w:ilvl="2" w:tentative="1" w:tplc="04090005">
      <w:start w:val="1"/>
      <w:numFmt w:val="bullet"/>
      <w:lvlText w:val=""/>
      <w:lvlJc w:val="left"/>
      <w:pPr>
        <w:ind w:hanging="360" w:left="1800"/>
      </w:pPr>
      <w:rPr>
        <w:rFonts w:ascii="Wingdings" w:hAnsi="Wingdings" w:hint="default"/>
      </w:rPr>
    </w:lvl>
    <w:lvl w:ilvl="3" w:tentative="1" w:tplc="04090001">
      <w:start w:val="1"/>
      <w:numFmt w:val="bullet"/>
      <w:lvlText w:val=""/>
      <w:lvlJc w:val="left"/>
      <w:pPr>
        <w:ind w:hanging="360" w:left="2520"/>
      </w:pPr>
      <w:rPr>
        <w:rFonts w:ascii="Symbol" w:hAnsi="Symbol" w:hint="default"/>
      </w:rPr>
    </w:lvl>
    <w:lvl w:ilvl="4" w:tentative="1" w:tplc="04090003">
      <w:start w:val="1"/>
      <w:numFmt w:val="bullet"/>
      <w:lvlText w:val="o"/>
      <w:lvlJc w:val="left"/>
      <w:pPr>
        <w:ind w:hanging="360" w:left="3240"/>
      </w:pPr>
      <w:rPr>
        <w:rFonts w:ascii="Courier New" w:hAnsi="Courier New" w:hint="default"/>
      </w:rPr>
    </w:lvl>
    <w:lvl w:ilvl="5" w:tentative="1" w:tplc="04090005">
      <w:start w:val="1"/>
      <w:numFmt w:val="bullet"/>
      <w:lvlText w:val=""/>
      <w:lvlJc w:val="left"/>
      <w:pPr>
        <w:ind w:hanging="360" w:left="3960"/>
      </w:pPr>
      <w:rPr>
        <w:rFonts w:ascii="Wingdings" w:hAnsi="Wingdings" w:hint="default"/>
      </w:rPr>
    </w:lvl>
    <w:lvl w:ilvl="6" w:tentative="1" w:tplc="04090001">
      <w:start w:val="1"/>
      <w:numFmt w:val="bullet"/>
      <w:lvlText w:val=""/>
      <w:lvlJc w:val="left"/>
      <w:pPr>
        <w:ind w:hanging="360" w:left="4680"/>
      </w:pPr>
      <w:rPr>
        <w:rFonts w:ascii="Symbol" w:hAnsi="Symbol" w:hint="default"/>
      </w:rPr>
    </w:lvl>
    <w:lvl w:ilvl="7" w:tentative="1" w:tplc="04090003">
      <w:start w:val="1"/>
      <w:numFmt w:val="bullet"/>
      <w:lvlText w:val="o"/>
      <w:lvlJc w:val="left"/>
      <w:pPr>
        <w:ind w:hanging="360" w:left="5400"/>
      </w:pPr>
      <w:rPr>
        <w:rFonts w:ascii="Courier New" w:hAnsi="Courier New" w:hint="default"/>
      </w:rPr>
    </w:lvl>
    <w:lvl w:ilvl="8" w:tentative="1" w:tplc="04090005">
      <w:start w:val="1"/>
      <w:numFmt w:val="bullet"/>
      <w:lvlText w:val=""/>
      <w:lvlJc w:val="left"/>
      <w:pPr>
        <w:ind w:hanging="360" w:left="6120"/>
      </w:pPr>
      <w:rPr>
        <w:rFonts w:ascii="Wingdings" w:hAnsi="Wingdings" w:hint="default"/>
      </w:rPr>
    </w:lvl>
  </w:abstractNum>
  <w:abstractNum w15:restartNumberingAfterBreak="0" w:abstractNumId="19">
    <w:nsid w:val="63F157A6"/>
    <w:multiLevelType w:val="multilevel"/>
    <w:tmpl w:val="90C4552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
    <w:nsid w:val="66CD1B99"/>
    <w:multiLevelType w:val="multilevel"/>
    <w:tmpl w:val="D2DCC01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1">
    <w:nsid w:val="6A0B63B6"/>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718F48A8"/>
    <w:multiLevelType w:val="hybridMultilevel"/>
    <w:tmpl w:val="F718D7FE"/>
    <w:lvl w:ilvl="0" w:tplc="70E0DDFE">
      <w:start w:val="1"/>
      <w:numFmt w:val="bullet"/>
      <w:lvlText w:val="-"/>
      <w:lvlJc w:val="left"/>
      <w:pPr>
        <w:ind w:hanging="360" w:left="720"/>
      </w:pPr>
      <w:rPr>
        <w:rFonts w:ascii="Arial" w:cs="Arial" w:eastAsia="Times New Roman" w:hAnsi="Aria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3">
    <w:nsid w:val="73FC48F6"/>
    <w:multiLevelType w:val="multilevel"/>
    <w:tmpl w:val="7C6CC4B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4">
    <w:nsid w:val="7D980FE5"/>
    <w:multiLevelType w:val="multilevel"/>
    <w:tmpl w:val="EDDA6E4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5760883" w:numId="1">
    <w:abstractNumId w:val="12"/>
  </w:num>
  <w:num w16cid:durableId="1229654886" w:numId="2">
    <w:abstractNumId w:val="4"/>
  </w:num>
  <w:num w16cid:durableId="1780876995" w:numId="3">
    <w:abstractNumId w:val="14"/>
  </w:num>
  <w:num w16cid:durableId="974025194" w:numId="4">
    <w:abstractNumId w:val="20"/>
  </w:num>
  <w:num w16cid:durableId="559169265" w:numId="5">
    <w:abstractNumId w:val="3"/>
  </w:num>
  <w:num w16cid:durableId="749277374" w:numId="6">
    <w:abstractNumId w:val="6"/>
  </w:num>
  <w:num w16cid:durableId="1982688459" w:numId="7">
    <w:abstractNumId w:val="17"/>
  </w:num>
  <w:num w16cid:durableId="777025906" w:numId="8">
    <w:abstractNumId w:val="7"/>
  </w:num>
  <w:num w16cid:durableId="1683047266" w:numId="9">
    <w:abstractNumId w:val="24"/>
  </w:num>
  <w:num w16cid:durableId="1989626730" w:numId="10">
    <w:abstractNumId w:val="0"/>
  </w:num>
  <w:num w16cid:durableId="1157310178" w:numId="11">
    <w:abstractNumId w:val="13"/>
  </w:num>
  <w:num w16cid:durableId="2135756243" w:numId="12">
    <w:abstractNumId w:val="11"/>
  </w:num>
  <w:num w16cid:durableId="1483307824" w:numId="13">
    <w:abstractNumId w:val="22"/>
  </w:num>
  <w:num w16cid:durableId="666329526" w:numId="14">
    <w:abstractNumId w:val="1"/>
  </w:num>
  <w:num w16cid:durableId="361440534" w:numId="15">
    <w:abstractNumId w:val="16"/>
  </w:num>
  <w:num w16cid:durableId="760414313" w:numId="16">
    <w:abstractNumId w:val="19"/>
  </w:num>
  <w:num w16cid:durableId="2113938833" w:numId="17">
    <w:abstractNumId w:val="15"/>
  </w:num>
  <w:num w16cid:durableId="196820457" w:numId="18">
    <w:abstractNumId w:val="9"/>
  </w:num>
  <w:num w16cid:durableId="1028726134" w:numId="19">
    <w:abstractNumId w:val="18"/>
  </w:num>
  <w:num w16cid:durableId="192043067" w:numId="20">
    <w:abstractNumId w:val="5"/>
  </w:num>
  <w:num w16cid:durableId="910313393" w:numId="21">
    <w:abstractNumId w:val="2"/>
  </w:num>
  <w:num w16cid:durableId="329673323" w:numId="22">
    <w:abstractNumId w:val="10"/>
  </w:num>
  <w:num w16cid:durableId="569272857" w:numId="23">
    <w:abstractNumId w:val="8"/>
  </w:num>
  <w:num w16cid:durableId="1467820160" w:numId="24">
    <w:abstractNumId w:val="23"/>
  </w:num>
  <w:num w16cid:durableId="1134904917" w:numId="25">
    <w:abstractNumId w:val="2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4"/>
  <w:embedTrueTypeFonts/>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ADC"/>
    <w:rsid w:val="00203233"/>
    <w:rsid w:val="00217880"/>
    <w:rsid w:val="00231BCB"/>
    <w:rsid w:val="0023705F"/>
    <w:rsid w:val="00242606"/>
    <w:rsid w:val="002442B9"/>
    <w:rsid w:val="0029044E"/>
    <w:rsid w:val="00292A06"/>
    <w:rsid w:val="002D7B74"/>
    <w:rsid w:val="003216E7"/>
    <w:rsid w:val="00341564"/>
    <w:rsid w:val="00344F3C"/>
    <w:rsid w:val="003532A2"/>
    <w:rsid w:val="0035418C"/>
    <w:rsid w:val="003675D9"/>
    <w:rsid w:val="00371E39"/>
    <w:rsid w:val="003B69D9"/>
    <w:rsid w:val="003D4BC8"/>
    <w:rsid w:val="003E6821"/>
    <w:rsid w:val="00405520"/>
    <w:rsid w:val="00406AB7"/>
    <w:rsid w:val="00430EE7"/>
    <w:rsid w:val="00436042"/>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34CE1"/>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2A23"/>
    <w:rsid w:val="009C7401"/>
    <w:rsid w:val="00A022FE"/>
    <w:rsid w:val="00A06140"/>
    <w:rsid w:val="00A32FF7"/>
    <w:rsid w:val="00A4105A"/>
    <w:rsid w:val="00A52831"/>
    <w:rsid w:val="00A544C0"/>
    <w:rsid w:val="00A65F91"/>
    <w:rsid w:val="00A856B1"/>
    <w:rsid w:val="00A90027"/>
    <w:rsid w:val="00AA0BEB"/>
    <w:rsid w:val="00AD6A50"/>
    <w:rsid w:val="00AE1B7C"/>
    <w:rsid w:val="00AE32F6"/>
    <w:rsid w:val="00AE4A30"/>
    <w:rsid w:val="00B0410B"/>
    <w:rsid w:val="00B13028"/>
    <w:rsid w:val="00B210DB"/>
    <w:rsid w:val="00B216AA"/>
    <w:rsid w:val="00B40CC0"/>
    <w:rsid w:val="00B569FF"/>
    <w:rsid w:val="00BD1EA8"/>
    <w:rsid w:val="00C25662"/>
    <w:rsid w:val="00C639D2"/>
    <w:rsid w:val="00C73C02"/>
    <w:rsid w:val="00C914B4"/>
    <w:rsid w:val="00CA0A60"/>
    <w:rsid w:val="00CB42C7"/>
    <w:rsid w:val="00D009B1"/>
    <w:rsid w:val="00D14A85"/>
    <w:rsid w:val="00D61E09"/>
    <w:rsid w:val="00D63120"/>
    <w:rsid w:val="00D648AE"/>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522CE"/>
    <w:rsid w:val="00FD0CA0"/>
    <w:rsid w:val="00FD5249"/>
    <w:rsid w:val="00FE15DB"/>
    <w:rsid w:val="00FE1AE2"/>
    <w:rsid w:val="00FE608E"/>
  </w:rsids>
  <w:themeFontLang w:val="en-CA"/>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2"/>
        <w:szCs w:val="22"/>
        <w:lang w:bidi="ar-SA" w:eastAsia="en-US" w:val="en"/>
      </w:rPr>
    </w:rPrDefault>
    <w:pPrDefault>
      <w:pPr>
        <w:spacing w:after="180" w:before="180"/>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648AE"/>
    <w:rPr>
      <w:rFonts w:ascii="Arial" w:cs="Arial" w:hAnsi="Arial"/>
    </w:rPr>
  </w:style>
  <w:style w:styleId="Heading1" w:type="paragraph">
    <w:name w:val="heading 1"/>
    <w:basedOn w:val="Normal"/>
    <w:next w:val="Normal"/>
    <w:link w:val="Heading1Char"/>
    <w:uiPriority w:val="9"/>
    <w:qFormat/>
    <w:rsid w:val="00242606"/>
    <w:pPr>
      <w:keepNext/>
      <w:keepLines/>
      <w:spacing w:after="80" w:before="360"/>
      <w:outlineLvl w:val="0"/>
    </w:pPr>
    <w:rPr>
      <w:rFonts w:ascii="Play" w:cs="Play" w:eastAsia="Play" w:hAnsi="Play"/>
      <w:b/>
      <w:sz w:val="28"/>
      <w:szCs w:val="40"/>
    </w:rPr>
  </w:style>
  <w:style w:styleId="Heading2" w:type="paragraph">
    <w:name w:val="heading 2"/>
    <w:basedOn w:val="Normal"/>
    <w:next w:val="Normal"/>
    <w:link w:val="Heading2Char"/>
    <w:uiPriority w:val="9"/>
    <w:unhideWhenUsed/>
    <w:qFormat/>
    <w:rsid w:val="00242606"/>
    <w:pPr>
      <w:keepNext/>
      <w:keepLines/>
      <w:spacing w:after="80" w:before="160"/>
      <w:outlineLvl w:val="1"/>
    </w:pPr>
    <w:rPr>
      <w:b/>
      <w:color w:themeColor="text1" w:val="000000"/>
      <w:sz w:val="26"/>
      <w:szCs w:val="28"/>
    </w:rPr>
  </w:style>
  <w:style w:styleId="Heading3" w:type="paragraph">
    <w:name w:val="heading 3"/>
    <w:basedOn w:val="Normal"/>
    <w:next w:val="Normal"/>
    <w:link w:val="Heading3Char"/>
    <w:uiPriority w:val="9"/>
    <w:unhideWhenUsed/>
    <w:qFormat/>
    <w:rsid w:val="00242606"/>
    <w:pPr>
      <w:keepNext/>
      <w:keepLines/>
      <w:spacing w:after="80" w:before="160"/>
      <w:outlineLvl w:val="2"/>
    </w:pPr>
    <w:rPr>
      <w:b/>
      <w:sz w:val="24"/>
      <w:szCs w:val="24"/>
    </w:rPr>
  </w:style>
  <w:style w:styleId="Heading4" w:type="paragraph">
    <w:name w:val="heading 4"/>
    <w:basedOn w:val="Normal"/>
    <w:next w:val="Normal"/>
    <w:link w:val="Heading4Char"/>
    <w:uiPriority w:val="9"/>
    <w:unhideWhenUsed/>
    <w:qFormat/>
    <w:pPr>
      <w:keepNext/>
      <w:keepLines/>
      <w:spacing w:after="120" w:before="80"/>
      <w:outlineLvl w:val="3"/>
    </w:pPr>
    <w:rPr>
      <w:i/>
      <w:color w:val="0F4761"/>
    </w:rPr>
  </w:style>
  <w:style w:styleId="Heading5" w:type="paragraph">
    <w:name w:val="heading 5"/>
    <w:basedOn w:val="Normal"/>
    <w:next w:val="Normal"/>
    <w:link w:val="Heading5Char"/>
    <w:uiPriority w:val="9"/>
    <w:unhideWhenUsed/>
    <w:qFormat/>
    <w:pPr>
      <w:keepNext/>
      <w:keepLines/>
      <w:spacing w:after="40" w:before="80"/>
      <w:outlineLvl w:val="4"/>
    </w:pPr>
    <w:rPr>
      <w:color w:val="0F4761"/>
    </w:rPr>
  </w:style>
  <w:style w:styleId="Heading6" w:type="paragraph">
    <w:name w:val="heading 6"/>
    <w:basedOn w:val="Normal"/>
    <w:next w:val="Normal"/>
    <w:link w:val="Heading6Char"/>
    <w:uiPriority w:val="9"/>
    <w:unhideWhenUsed/>
    <w:qFormat/>
    <w:pPr>
      <w:keepNext/>
      <w:keepLines/>
      <w:spacing w:after="0" w:before="40"/>
      <w:jc w:val="center"/>
      <w:outlineLvl w:val="5"/>
    </w:pPr>
    <w:rPr>
      <w:i/>
      <w:color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bleNormal0" w:type="table">
    <w:name w:val="TableNormal"/>
    <w:tblPr>
      <w:tblCellMar>
        <w:top w:type="dxa" w:w="0"/>
        <w:left w:type="dxa" w:w="0"/>
        <w:bottom w:type="dxa" w:w="0"/>
        <w:right w:type="dxa" w:w="0"/>
      </w:tblCellMar>
    </w:tblPr>
  </w:style>
  <w:style w:styleId="Title" w:type="paragraph">
    <w:name w:val="Title"/>
    <w:basedOn w:val="Normal"/>
    <w:next w:val="Normal"/>
    <w:link w:val="TitleChar"/>
    <w:uiPriority w:val="10"/>
    <w:qFormat/>
    <w:rsid w:val="00242606"/>
    <w:pPr>
      <w:spacing w:after="80"/>
      <w:jc w:val="center"/>
    </w:pPr>
    <w:rPr>
      <w:rFonts w:cs="Play" w:eastAsia="Play"/>
      <w:b/>
      <w:sz w:val="28"/>
      <w:szCs w:val="56"/>
    </w:rPr>
  </w:style>
  <w:style w:styleId="BodyText" w:type="paragraph">
    <w:name w:val="Body Text"/>
    <w:basedOn w:val="Normal"/>
    <w:qFormat/>
    <w:rsid w:val="00242606"/>
    <w:pPr>
      <w:spacing w:line="360" w:lineRule="auto"/>
    </w:pPr>
  </w:style>
  <w:style w:customStyle="1" w:styleId="FirstParagraph" w:type="paragraph">
    <w:name w:val="First Paragraph"/>
    <w:basedOn w:val="BodyText"/>
    <w:next w:val="BodyText"/>
    <w:qFormat/>
  </w:style>
  <w:style w:customStyle="1" w:styleId="Compact" w:type="paragraph">
    <w:name w:val="Compact"/>
    <w:basedOn w:val="BodyText"/>
    <w:qFormat/>
    <w:rsid w:val="00DE287C"/>
    <w:pPr>
      <w:spacing w:after="36" w:before="36"/>
    </w:pPr>
    <w:rPr>
      <w:sz w:val="18"/>
    </w:rPr>
  </w:style>
  <w:style w:customStyle="1" w:styleId="TitleChar" w:type="character">
    <w:name w:val="Title Char"/>
    <w:basedOn w:val="DefaultParagraphFont"/>
    <w:link w:val="Title"/>
    <w:uiPriority w:val="10"/>
    <w:rsid w:val="00242606"/>
    <w:rPr>
      <w:rFonts w:ascii="Arial" w:cs="Play" w:eastAsia="Play" w:hAnsi="Arial"/>
      <w:b/>
      <w:sz w:val="28"/>
      <w:szCs w:val="5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rsid w:val="00834CE1"/>
    <w:pPr>
      <w:keepNext/>
      <w:keepLines/>
      <w:jc w:val="left"/>
    </w:pPr>
    <w:rPr>
      <w:rFonts w:ascii="Arial" w:cs="Arial" w:hAnsi="Arial"/>
      <w:sz w:val="21"/>
      <w:szCs w:val="21"/>
    </w:rPr>
  </w:style>
  <w:style w:styleId="Date" w:type="paragraph">
    <w:name w:val="Date"/>
    <w:basedOn w:val="BodyText"/>
    <w:next w:val="BodyText"/>
    <w:qFormat/>
    <w:rsid w:val="00203233"/>
    <w:pPr>
      <w:jc w:val="left"/>
    </w:pPr>
    <w:rPr>
      <w:sz w:val="21"/>
      <w:szCs w:val="21"/>
    </w:rPr>
  </w:style>
  <w:style w:customStyle="1" w:styleId="AbstractTitle" w:type="paragraph">
    <w:name w:val="Abstract Title"/>
    <w:basedOn w:val="Normal"/>
    <w:next w:val="Abstract"/>
    <w:qFormat/>
    <w:rsid w:val="005D7AAD"/>
    <w:pPr>
      <w:keepNext/>
      <w:keepLines/>
      <w:spacing w:after="0" w:before="0" w:line="360" w:lineRule="auto"/>
      <w:jc w:val="left"/>
    </w:pPr>
    <w:rPr>
      <w:i/>
      <w:sz w:val="21"/>
      <w:szCs w:val="20"/>
    </w:rPr>
  </w:style>
  <w:style w:customStyle="1" w:styleId="Abstract" w:type="paragraph">
    <w:name w:val="Abstract"/>
    <w:basedOn w:val="Normal"/>
    <w:next w:val="BodyText"/>
    <w:qFormat/>
    <w:rsid w:val="00701179"/>
    <w:pPr>
      <w:keepNext/>
      <w:keepLines/>
      <w:spacing w:after="300" w:before="100" w:line="360" w:lineRule="auto"/>
    </w:pPr>
    <w:rPr>
      <w:sz w:val="20"/>
      <w:szCs w:val="20"/>
    </w:rPr>
  </w:style>
  <w:style w:styleId="Bibliography" w:type="paragraph">
    <w:name w:val="Bibliography"/>
    <w:basedOn w:val="Normal"/>
    <w:qFormat/>
    <w:rsid w:val="00242606"/>
  </w:style>
  <w:style w:customStyle="1" w:styleId="Heading1Char" w:type="character">
    <w:name w:val="Heading 1 Char"/>
    <w:basedOn w:val="DefaultParagraphFont"/>
    <w:link w:val="Heading1"/>
    <w:uiPriority w:val="9"/>
    <w:rsid w:val="00242606"/>
    <w:rPr>
      <w:rFonts w:ascii="Play" w:cs="Play" w:eastAsia="Play" w:hAnsi="Play"/>
      <w:b/>
      <w:sz w:val="28"/>
      <w:szCs w:val="40"/>
    </w:rPr>
  </w:style>
  <w:style w:customStyle="1" w:styleId="Heading2Char" w:type="character">
    <w:name w:val="Heading 2 Char"/>
    <w:basedOn w:val="DefaultParagraphFont"/>
    <w:link w:val="Heading2"/>
    <w:uiPriority w:val="9"/>
    <w:rsid w:val="00242606"/>
    <w:rPr>
      <w:rFonts w:ascii="Arial" w:hAnsi="Arial"/>
      <w:b/>
      <w:color w:themeColor="text1" w:val="000000"/>
      <w:sz w:val="26"/>
      <w:szCs w:val="28"/>
    </w:rPr>
  </w:style>
  <w:style w:customStyle="1" w:styleId="Heading3Char" w:type="character">
    <w:name w:val="Heading 3 Char"/>
    <w:basedOn w:val="DefaultParagraphFont"/>
    <w:link w:val="Heading3"/>
    <w:uiPriority w:val="9"/>
    <w:rsid w:val="00242606"/>
    <w:rPr>
      <w:rFonts w:ascii="Arial" w:hAnsi="Arial"/>
      <w:b/>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AbstractTitle"/>
    <w:link w:val="CaptionChar"/>
    <w:rsid w:val="00436042"/>
    <w:pPr>
      <w:spacing w:line="240" w:lineRule="auto"/>
    </w:pPr>
  </w:style>
  <w:style w:customStyle="1" w:styleId="TableCaption" w:type="paragraph">
    <w:name w:val="Table Caption"/>
    <w:basedOn w:val="Caption"/>
  </w:style>
  <w:style w:customStyle="1" w:styleId="ImageCaption" w:type="paragraph">
    <w:name w:val="Image Caption"/>
    <w:basedOn w:val="AbstractTitle"/>
    <w:rsid w:val="00436042"/>
    <w:pPr>
      <w:spacing w:line="240" w:lineRule="auto"/>
    </w:pPr>
  </w:style>
  <w:style w:customStyle="1" w:styleId="Figure" w:type="paragraph">
    <w:name w:val="Figure"/>
    <w:basedOn w:val="Normal"/>
    <w:rsid w:val="00242606"/>
  </w:style>
  <w:style w:customStyle="1" w:styleId="CaptionedFigure" w:type="paragraph">
    <w:name w:val="Captioned Figure"/>
    <w:basedOn w:val="Figure"/>
    <w:pPr>
      <w:keepNext/>
    </w:pPr>
  </w:style>
  <w:style w:customStyle="1" w:styleId="CaptionChar" w:type="character">
    <w:name w:val="Caption Char"/>
    <w:basedOn w:val="DefaultParagraphFont"/>
    <w:link w:val="Caption"/>
    <w:rsid w:val="00436042"/>
    <w:rPr>
      <w:rFonts w:ascii="Arial" w:cs="Arial" w:hAnsi="Arial"/>
      <w:i/>
      <w:sz w:val="21"/>
      <w:szCs w:val="20"/>
    </w:rPr>
  </w:style>
  <w:style w:customStyle="1" w:styleId="VerbatimChar" w:type="character">
    <w:name w:val="Verbatim Char"/>
    <w:basedOn w:val="CaptionChar"/>
    <w:link w:val="SourceCode"/>
    <w:rPr>
      <w:rFonts w:ascii="Consolas" w:cs="Arial" w:hAnsi="Consolas"/>
      <w:i/>
      <w:sz w:val="16"/>
      <w:szCs w:val="16"/>
    </w:rPr>
  </w:style>
  <w:style w:customStyle="1" w:styleId="SectionNumber" w:type="character">
    <w:name w:val="Section Number"/>
    <w:basedOn w:val="CaptionChar"/>
    <w:rPr>
      <w:rFonts w:ascii="Arial" w:cs="Arial" w:hAnsi="Arial"/>
      <w:i/>
      <w:sz w:val="21"/>
      <w:szCs w:val="20"/>
    </w:rPr>
  </w:style>
  <w:style w:styleId="FootnoteReference" w:type="character">
    <w:name w:val="footnote reference"/>
    <w:basedOn w:val="CaptionChar"/>
    <w:rsid w:val="00242606"/>
    <w:rPr>
      <w:rFonts w:ascii="Arial" w:cs="Arial" w:hAnsi="Arial"/>
      <w:i/>
      <w:sz w:val="21"/>
      <w:szCs w:val="20"/>
      <w:vertAlign w:val="superscript"/>
    </w:rPr>
  </w:style>
  <w:style w:styleId="Hyperlink" w:type="character">
    <w:name w:val="Hyperlink"/>
    <w:basedOn w:val="CaptionChar"/>
    <w:uiPriority w:val="99"/>
    <w:rPr>
      <w:rFonts w:ascii="Arial" w:cs="Arial" w:hAnsi="Arial"/>
      <w:i/>
      <w:color w:themeColor="accent1" w:val="156082"/>
      <w:sz w:val="21"/>
      <w:szCs w:val="20"/>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8F8F8" w:val="clear"/>
      <w:wordWrap w:val="0"/>
      <w:jc w:val="left"/>
    </w:pPr>
    <w:rPr>
      <w:sz w:val="16"/>
      <w:szCs w:val="16"/>
    </w:rPr>
  </w:style>
  <w:style w:customStyle="1" w:styleId="KeywordTok" w:type="character">
    <w:name w:val="KeywordTok"/>
    <w:basedOn w:val="VerbatimChar"/>
    <w:rPr>
      <w:rFonts w:ascii="Consolas" w:cs="Arial" w:hAnsi="Consolas"/>
      <w:b/>
      <w:i/>
      <w:color w:val="204A87"/>
      <w:sz w:val="16"/>
      <w:szCs w:val="16"/>
      <w:shd w:color="auto" w:fill="F8F8F8" w:val="clear"/>
    </w:rPr>
  </w:style>
  <w:style w:customStyle="1" w:styleId="DataTypeTok" w:type="character">
    <w:name w:val="DataTypeTok"/>
    <w:basedOn w:val="VerbatimChar"/>
    <w:rPr>
      <w:rFonts w:ascii="Consolas" w:cs="Arial" w:hAnsi="Consolas"/>
      <w:i/>
      <w:color w:val="204A87"/>
      <w:sz w:val="16"/>
      <w:szCs w:val="16"/>
      <w:shd w:color="auto" w:fill="F8F8F8" w:val="clear"/>
    </w:rPr>
  </w:style>
  <w:style w:customStyle="1" w:styleId="DecValTok" w:type="character">
    <w:name w:val="DecValTok"/>
    <w:basedOn w:val="VerbatimChar"/>
    <w:rPr>
      <w:rFonts w:ascii="Consolas" w:cs="Arial" w:hAnsi="Consolas"/>
      <w:i/>
      <w:color w:val="0000CF"/>
      <w:sz w:val="16"/>
      <w:szCs w:val="16"/>
      <w:shd w:color="auto" w:fill="F8F8F8" w:val="clear"/>
    </w:rPr>
  </w:style>
  <w:style w:customStyle="1" w:styleId="BaseNTok" w:type="character">
    <w:name w:val="BaseNTok"/>
    <w:basedOn w:val="VerbatimChar"/>
    <w:rPr>
      <w:rFonts w:ascii="Consolas" w:cs="Arial" w:hAnsi="Consolas"/>
      <w:i/>
      <w:color w:val="0000CF"/>
      <w:sz w:val="16"/>
      <w:szCs w:val="16"/>
      <w:shd w:color="auto" w:fill="F8F8F8" w:val="clear"/>
    </w:rPr>
  </w:style>
  <w:style w:customStyle="1" w:styleId="FloatTok" w:type="character">
    <w:name w:val="FloatTok"/>
    <w:basedOn w:val="VerbatimChar"/>
    <w:rPr>
      <w:rFonts w:ascii="Consolas" w:cs="Arial" w:hAnsi="Consolas"/>
      <w:i/>
      <w:color w:val="0000CF"/>
      <w:sz w:val="16"/>
      <w:szCs w:val="16"/>
      <w:shd w:color="auto" w:fill="F8F8F8" w:val="clear"/>
    </w:rPr>
  </w:style>
  <w:style w:customStyle="1" w:styleId="ConstantTok" w:type="character">
    <w:name w:val="ConstantTok"/>
    <w:basedOn w:val="VerbatimChar"/>
    <w:rPr>
      <w:rFonts w:ascii="Consolas" w:cs="Arial" w:hAnsi="Consolas"/>
      <w:i/>
      <w:color w:val="8F5902"/>
      <w:sz w:val="16"/>
      <w:szCs w:val="16"/>
      <w:shd w:color="auto" w:fill="F8F8F8" w:val="clear"/>
    </w:rPr>
  </w:style>
  <w:style w:customStyle="1" w:styleId="CharTok" w:type="character">
    <w:name w:val="CharTok"/>
    <w:basedOn w:val="VerbatimChar"/>
    <w:rPr>
      <w:rFonts w:ascii="Consolas" w:cs="Arial" w:hAnsi="Consolas"/>
      <w:i/>
      <w:color w:val="4E9A06"/>
      <w:sz w:val="16"/>
      <w:szCs w:val="16"/>
      <w:shd w:color="auto" w:fill="F8F8F8" w:val="clear"/>
    </w:rPr>
  </w:style>
  <w:style w:customStyle="1" w:styleId="SpecialCharTok" w:type="character">
    <w:name w:val="SpecialCharTok"/>
    <w:basedOn w:val="VerbatimChar"/>
    <w:rPr>
      <w:rFonts w:ascii="Consolas" w:cs="Arial" w:hAnsi="Consolas"/>
      <w:b/>
      <w:i/>
      <w:color w:val="CE5C00"/>
      <w:sz w:val="16"/>
      <w:szCs w:val="16"/>
      <w:shd w:color="auto" w:fill="F8F8F8" w:val="clear"/>
    </w:rPr>
  </w:style>
  <w:style w:customStyle="1" w:styleId="StringTok" w:type="character">
    <w:name w:val="StringTok"/>
    <w:basedOn w:val="VerbatimChar"/>
    <w:rPr>
      <w:rFonts w:ascii="Consolas" w:cs="Arial" w:hAnsi="Consolas"/>
      <w:i/>
      <w:color w:val="4E9A06"/>
      <w:sz w:val="16"/>
      <w:szCs w:val="16"/>
      <w:shd w:color="auto" w:fill="F8F8F8" w:val="clear"/>
    </w:rPr>
  </w:style>
  <w:style w:customStyle="1" w:styleId="VerbatimStringTok" w:type="character">
    <w:name w:val="VerbatimStringTok"/>
    <w:basedOn w:val="VerbatimChar"/>
    <w:rPr>
      <w:rFonts w:ascii="Consolas" w:cs="Arial" w:hAnsi="Consolas"/>
      <w:i/>
      <w:color w:val="4E9A06"/>
      <w:sz w:val="16"/>
      <w:szCs w:val="16"/>
      <w:shd w:color="auto" w:fill="F8F8F8" w:val="clear"/>
    </w:rPr>
  </w:style>
  <w:style w:customStyle="1" w:styleId="SpecialStringTok" w:type="character">
    <w:name w:val="SpecialStringTok"/>
    <w:basedOn w:val="VerbatimChar"/>
    <w:rPr>
      <w:rFonts w:ascii="Consolas" w:cs="Arial" w:hAnsi="Consolas"/>
      <w:i/>
      <w:color w:val="4E9A06"/>
      <w:sz w:val="16"/>
      <w:szCs w:val="16"/>
      <w:shd w:color="auto" w:fill="F8F8F8" w:val="clear"/>
    </w:rPr>
  </w:style>
  <w:style w:customStyle="1" w:styleId="ImportTok" w:type="character">
    <w:name w:val="ImportTok"/>
    <w:basedOn w:val="VerbatimChar"/>
    <w:rPr>
      <w:rFonts w:ascii="Consolas" w:cs="Arial" w:hAnsi="Consolas"/>
      <w:i/>
      <w:sz w:val="16"/>
      <w:szCs w:val="16"/>
      <w:shd w:color="auto" w:fill="F8F8F8" w:val="clear"/>
    </w:rPr>
  </w:style>
  <w:style w:customStyle="1" w:styleId="CommentTok" w:type="character">
    <w:name w:val="CommentTok"/>
    <w:basedOn w:val="VerbatimChar"/>
    <w:rPr>
      <w:rFonts w:ascii="Consolas" w:cs="Arial" w:hAnsi="Consolas"/>
      <w:i w:val="0"/>
      <w:color w:val="8F5902"/>
      <w:sz w:val="16"/>
      <w:szCs w:val="16"/>
      <w:shd w:color="auto" w:fill="F8F8F8" w:val="clear"/>
    </w:rPr>
  </w:style>
  <w:style w:customStyle="1" w:styleId="DocumentationTok" w:type="character">
    <w:name w:val="DocumentationTok"/>
    <w:basedOn w:val="VerbatimChar"/>
    <w:rPr>
      <w:rFonts w:ascii="Consolas" w:cs="Arial" w:hAnsi="Consolas"/>
      <w:b/>
      <w:i w:val="0"/>
      <w:color w:val="8F5902"/>
      <w:sz w:val="16"/>
      <w:szCs w:val="16"/>
      <w:shd w:color="auto" w:fill="F8F8F8" w:val="clear"/>
    </w:rPr>
  </w:style>
  <w:style w:customStyle="1" w:styleId="AnnotationTok" w:type="character">
    <w:name w:val="AnnotationTok"/>
    <w:basedOn w:val="VerbatimChar"/>
    <w:rPr>
      <w:rFonts w:ascii="Consolas" w:cs="Arial" w:hAnsi="Consolas"/>
      <w:b/>
      <w:i w:val="0"/>
      <w:color w:val="8F5902"/>
      <w:sz w:val="16"/>
      <w:szCs w:val="16"/>
      <w:shd w:color="auto" w:fill="F8F8F8" w:val="clear"/>
    </w:rPr>
  </w:style>
  <w:style w:customStyle="1" w:styleId="CommentVarTok" w:type="character">
    <w:name w:val="CommentVarTok"/>
    <w:basedOn w:val="VerbatimChar"/>
    <w:rPr>
      <w:rFonts w:ascii="Consolas" w:cs="Arial" w:hAnsi="Consolas"/>
      <w:b/>
      <w:i w:val="0"/>
      <w:color w:val="8F5902"/>
      <w:sz w:val="16"/>
      <w:szCs w:val="16"/>
      <w:shd w:color="auto" w:fill="F8F8F8" w:val="clear"/>
    </w:rPr>
  </w:style>
  <w:style w:customStyle="1" w:styleId="OtherTok" w:type="character">
    <w:name w:val="OtherTok"/>
    <w:basedOn w:val="VerbatimChar"/>
    <w:rPr>
      <w:rFonts w:ascii="Consolas" w:cs="Arial" w:hAnsi="Consolas"/>
      <w:i/>
      <w:color w:val="8F5902"/>
      <w:sz w:val="16"/>
      <w:szCs w:val="16"/>
      <w:shd w:color="auto" w:fill="F8F8F8" w:val="clear"/>
    </w:rPr>
  </w:style>
  <w:style w:customStyle="1" w:styleId="FunctionTok" w:type="character">
    <w:name w:val="FunctionTok"/>
    <w:basedOn w:val="VerbatimChar"/>
    <w:rPr>
      <w:rFonts w:ascii="Consolas" w:cs="Arial" w:hAnsi="Consolas"/>
      <w:b/>
      <w:i/>
      <w:color w:val="204A87"/>
      <w:sz w:val="16"/>
      <w:szCs w:val="16"/>
      <w:shd w:color="auto" w:fill="F8F8F8" w:val="clear"/>
    </w:rPr>
  </w:style>
  <w:style w:customStyle="1" w:styleId="VariableTok" w:type="character">
    <w:name w:val="VariableTok"/>
    <w:basedOn w:val="VerbatimChar"/>
    <w:rPr>
      <w:rFonts w:ascii="Consolas" w:cs="Arial" w:hAnsi="Consolas"/>
      <w:i/>
      <w:color w:val="000000"/>
      <w:sz w:val="16"/>
      <w:szCs w:val="16"/>
      <w:shd w:color="auto" w:fill="F8F8F8" w:val="clear"/>
    </w:rPr>
  </w:style>
  <w:style w:customStyle="1" w:styleId="ControlFlowTok" w:type="character">
    <w:name w:val="ControlFlowTok"/>
    <w:basedOn w:val="VerbatimChar"/>
    <w:rPr>
      <w:rFonts w:ascii="Consolas" w:cs="Arial" w:hAnsi="Consolas"/>
      <w:b/>
      <w:i/>
      <w:color w:val="204A87"/>
      <w:sz w:val="16"/>
      <w:szCs w:val="16"/>
      <w:shd w:color="auto" w:fill="F8F8F8" w:val="clear"/>
    </w:rPr>
  </w:style>
  <w:style w:customStyle="1" w:styleId="OperatorTok" w:type="character">
    <w:name w:val="OperatorTok"/>
    <w:basedOn w:val="VerbatimChar"/>
    <w:rPr>
      <w:rFonts w:ascii="Consolas" w:cs="Arial" w:hAnsi="Consolas"/>
      <w:b/>
      <w:i/>
      <w:color w:val="CE5C00"/>
      <w:sz w:val="16"/>
      <w:szCs w:val="16"/>
      <w:shd w:color="auto" w:fill="F8F8F8" w:val="clear"/>
    </w:rPr>
  </w:style>
  <w:style w:customStyle="1" w:styleId="BuiltInTok" w:type="character">
    <w:name w:val="BuiltInTok"/>
    <w:basedOn w:val="VerbatimChar"/>
    <w:rPr>
      <w:rFonts w:ascii="Consolas" w:cs="Arial" w:hAnsi="Consolas"/>
      <w:i/>
      <w:sz w:val="16"/>
      <w:szCs w:val="16"/>
      <w:shd w:color="auto" w:fill="F8F8F8" w:val="clear"/>
    </w:rPr>
  </w:style>
  <w:style w:customStyle="1" w:styleId="ExtensionTok" w:type="character">
    <w:name w:val="ExtensionTok"/>
    <w:basedOn w:val="VerbatimChar"/>
    <w:rPr>
      <w:rFonts w:ascii="Consolas" w:cs="Arial" w:hAnsi="Consolas"/>
      <w:i/>
      <w:sz w:val="16"/>
      <w:szCs w:val="16"/>
      <w:shd w:color="auto" w:fill="F8F8F8" w:val="clear"/>
    </w:rPr>
  </w:style>
  <w:style w:customStyle="1" w:styleId="PreprocessorTok" w:type="character">
    <w:name w:val="PreprocessorTok"/>
    <w:basedOn w:val="VerbatimChar"/>
    <w:rPr>
      <w:rFonts w:ascii="Consolas" w:cs="Arial" w:hAnsi="Consolas"/>
      <w:i w:val="0"/>
      <w:color w:val="8F5902"/>
      <w:sz w:val="16"/>
      <w:szCs w:val="16"/>
      <w:shd w:color="auto" w:fill="F8F8F8" w:val="clear"/>
    </w:rPr>
  </w:style>
  <w:style w:customStyle="1" w:styleId="AttributeTok" w:type="character">
    <w:name w:val="AttributeTok"/>
    <w:basedOn w:val="VerbatimChar"/>
    <w:rPr>
      <w:rFonts w:ascii="Consolas" w:cs="Arial" w:hAnsi="Consolas"/>
      <w:i/>
      <w:color w:val="204A87"/>
      <w:sz w:val="16"/>
      <w:szCs w:val="16"/>
      <w:shd w:color="auto" w:fill="F8F8F8" w:val="clear"/>
    </w:rPr>
  </w:style>
  <w:style w:customStyle="1" w:styleId="RegionMarkerTok" w:type="character">
    <w:name w:val="RegionMarkerTok"/>
    <w:basedOn w:val="VerbatimChar"/>
    <w:rPr>
      <w:rFonts w:ascii="Consolas" w:cs="Arial" w:hAnsi="Consolas"/>
      <w:i/>
      <w:sz w:val="16"/>
      <w:szCs w:val="16"/>
      <w:shd w:color="auto" w:fill="F8F8F8" w:val="clear"/>
    </w:rPr>
  </w:style>
  <w:style w:customStyle="1" w:styleId="InformationTok" w:type="character">
    <w:name w:val="InformationTok"/>
    <w:basedOn w:val="VerbatimChar"/>
    <w:rPr>
      <w:rFonts w:ascii="Consolas" w:cs="Arial" w:hAnsi="Consolas"/>
      <w:b/>
      <w:i w:val="0"/>
      <w:color w:val="8F5902"/>
      <w:sz w:val="16"/>
      <w:szCs w:val="16"/>
      <w:shd w:color="auto" w:fill="F8F8F8" w:val="clear"/>
    </w:rPr>
  </w:style>
  <w:style w:customStyle="1" w:styleId="WarningTok" w:type="character">
    <w:name w:val="WarningTok"/>
    <w:basedOn w:val="VerbatimChar"/>
    <w:rPr>
      <w:rFonts w:ascii="Consolas" w:cs="Arial" w:hAnsi="Consolas"/>
      <w:b/>
      <w:i w:val="0"/>
      <w:color w:val="8F5902"/>
      <w:sz w:val="16"/>
      <w:szCs w:val="16"/>
      <w:shd w:color="auto" w:fill="F8F8F8" w:val="clear"/>
    </w:rPr>
  </w:style>
  <w:style w:customStyle="1" w:styleId="AlertTok" w:type="character">
    <w:name w:val="AlertTok"/>
    <w:basedOn w:val="VerbatimChar"/>
    <w:rPr>
      <w:rFonts w:ascii="Consolas" w:cs="Arial" w:hAnsi="Consolas"/>
      <w:i/>
      <w:color w:val="EF2929"/>
      <w:sz w:val="16"/>
      <w:szCs w:val="16"/>
      <w:shd w:color="auto" w:fill="F8F8F8" w:val="clear"/>
    </w:rPr>
  </w:style>
  <w:style w:customStyle="1" w:styleId="ErrorTok" w:type="character">
    <w:name w:val="ErrorTok"/>
    <w:basedOn w:val="VerbatimChar"/>
    <w:rPr>
      <w:rFonts w:ascii="Consolas" w:cs="Arial" w:hAnsi="Consolas"/>
      <w:b/>
      <w:i/>
      <w:color w:val="A40000"/>
      <w:sz w:val="16"/>
      <w:szCs w:val="16"/>
      <w:shd w:color="auto" w:fill="F8F8F8" w:val="clear"/>
    </w:rPr>
  </w:style>
  <w:style w:customStyle="1" w:styleId="NormalTok" w:type="character">
    <w:name w:val="NormalTok"/>
    <w:basedOn w:val="VerbatimChar"/>
    <w:rPr>
      <w:rFonts w:ascii="Consolas" w:cs="Arial" w:hAnsi="Consolas"/>
      <w:i/>
      <w:sz w:val="16"/>
      <w:szCs w:val="16"/>
      <w:shd w:color="auto" w:fill="F8F8F8" w:val="clear"/>
    </w:rPr>
  </w:style>
  <w:style w:styleId="TOC2" w:type="paragraph">
    <w:name w:val="toc 2"/>
    <w:basedOn w:val="Normal"/>
    <w:next w:val="Normal"/>
    <w:autoRedefine/>
    <w:uiPriority w:val="39"/>
    <w:rsid w:val="001D239F"/>
    <w:pPr>
      <w:spacing w:after="0"/>
    </w:pPr>
    <w:rPr>
      <w:b/>
      <w:bCs/>
      <w:smallCaps/>
    </w:rPr>
  </w:style>
  <w:style w:styleId="TOC3" w:type="paragraph">
    <w:name w:val="toc 3"/>
    <w:basedOn w:val="Normal"/>
    <w:next w:val="Normal"/>
    <w:autoRedefine/>
    <w:uiPriority w:val="39"/>
    <w:rsid w:val="001D239F"/>
    <w:pPr>
      <w:spacing w:after="0"/>
    </w:pPr>
    <w:rPr>
      <w:smallCaps/>
    </w:rPr>
  </w:style>
  <w:style w:styleId="TOC1" w:type="paragraph">
    <w:name w:val="toc 1"/>
    <w:basedOn w:val="Normal"/>
    <w:next w:val="Normal"/>
    <w:autoRedefine/>
    <w:rsid w:val="001D239F"/>
    <w:pPr>
      <w:spacing w:after="360" w:before="360"/>
    </w:pPr>
    <w:rPr>
      <w:b/>
      <w:bCs/>
      <w:caps/>
      <w:u w:val="single"/>
    </w:rPr>
  </w:style>
  <w:style w:styleId="TOC4" w:type="paragraph">
    <w:name w:val="toc 4"/>
    <w:basedOn w:val="Normal"/>
    <w:next w:val="Normal"/>
    <w:autoRedefine/>
    <w:uiPriority w:val="39"/>
    <w:rsid w:val="001D239F"/>
    <w:pPr>
      <w:spacing w:after="0"/>
    </w:pPr>
  </w:style>
  <w:style w:styleId="TOC5" w:type="paragraph">
    <w:name w:val="toc 5"/>
    <w:basedOn w:val="Normal"/>
    <w:next w:val="Normal"/>
    <w:autoRedefine/>
    <w:uiPriority w:val="39"/>
    <w:rsid w:val="001D239F"/>
    <w:pPr>
      <w:spacing w:after="0"/>
    </w:pPr>
  </w:style>
  <w:style w:styleId="TOC6" w:type="paragraph">
    <w:name w:val="toc 6"/>
    <w:basedOn w:val="Normal"/>
    <w:next w:val="Normal"/>
    <w:autoRedefine/>
    <w:rsid w:val="001D239F"/>
    <w:pPr>
      <w:spacing w:after="0"/>
    </w:pPr>
  </w:style>
  <w:style w:styleId="TOC7" w:type="paragraph">
    <w:name w:val="toc 7"/>
    <w:basedOn w:val="Normal"/>
    <w:next w:val="Normal"/>
    <w:autoRedefine/>
    <w:rsid w:val="001D239F"/>
    <w:pPr>
      <w:spacing w:after="0"/>
    </w:pPr>
  </w:style>
  <w:style w:styleId="TOC8" w:type="paragraph">
    <w:name w:val="toc 8"/>
    <w:basedOn w:val="Normal"/>
    <w:next w:val="Normal"/>
    <w:autoRedefine/>
    <w:rsid w:val="001D239F"/>
    <w:pPr>
      <w:spacing w:after="0"/>
    </w:pPr>
  </w:style>
  <w:style w:styleId="TOC9" w:type="paragraph">
    <w:name w:val="toc 9"/>
    <w:basedOn w:val="Normal"/>
    <w:next w:val="Normal"/>
    <w:autoRedefine/>
    <w:rsid w:val="001D239F"/>
    <w:pPr>
      <w:spacing w:after="0"/>
    </w:pPr>
  </w:style>
  <w:style w:styleId="Subtitle" w:type="paragraph">
    <w:name w:val="Subtitle"/>
    <w:basedOn w:val="Normal"/>
    <w:next w:val="Normal"/>
    <w:link w:val="SubtitleChar"/>
    <w:uiPriority w:val="11"/>
    <w:qFormat/>
    <w:pPr>
      <w:spacing w:after="80"/>
      <w:jc w:val="center"/>
    </w:pPr>
    <w:rPr>
      <w:rFonts w:ascii="Play" w:cs="Play" w:eastAsia="Play" w:hAnsi="Play"/>
      <w:sz w:val="28"/>
      <w:szCs w:val="28"/>
    </w:rPr>
  </w:style>
  <w:style w:customStyle="1" w:styleId="a" w:type="table">
    <w:basedOn w:val="TableNormal"/>
    <w:tblPr>
      <w:tblStyleRowBandSize w:val="1"/>
      <w:tblStyleColBandSize w:val="1"/>
    </w:tblPr>
    <w:tblStylePr w:type="firstRow">
      <w:tblPr/>
      <w:tcPr>
        <w:tcBorders>
          <w:bottom w:val="nil"/>
        </w:tcBorders>
        <w:vAlign w:val="bottom"/>
      </w:tcPr>
    </w:tblStylePr>
  </w:style>
  <w:style w:customStyle="1" w:styleId="a0" w:type="table">
    <w:basedOn w:val="TableNormal"/>
    <w:tblPr>
      <w:tblStyleRowBandSize w:val="1"/>
      <w:tblStyleColBandSize w:val="1"/>
    </w:tblPr>
    <w:tblStylePr w:type="firstRow">
      <w:tblPr/>
      <w:tcPr>
        <w:tcBorders>
          <w:bottom w:val="nil"/>
        </w:tcBorders>
        <w:vAlign w:val="bottom"/>
      </w:tcPr>
    </w:tblStylePr>
  </w:style>
  <w:style w:customStyle="1" w:styleId="a1" w:type="table">
    <w:basedOn w:val="TableNormal"/>
    <w:tblPr>
      <w:tblStyleRowBandSize w:val="1"/>
      <w:tblStyleColBandSize w:val="1"/>
    </w:tblPr>
    <w:tblStylePr w:type="firstRow">
      <w:tblPr/>
      <w:tcPr>
        <w:tcBorders>
          <w:bottom w:val="nil"/>
        </w:tcBorders>
        <w:vAlign w:val="bottom"/>
      </w:tcPr>
    </w:tblStylePr>
  </w:style>
  <w:style w:customStyle="1" w:styleId="a2" w:type="table">
    <w:basedOn w:val="TableNormal"/>
    <w:tblPr>
      <w:tblStyleRowBandSize w:val="1"/>
      <w:tblStyleColBandSize w:val="1"/>
      <w:tblCellMar>
        <w:top w:type="dxa" w:w="100"/>
        <w:left w:type="dxa" w:w="100"/>
        <w:bottom w:type="dxa" w:w="100"/>
        <w:right w:type="dxa" w:w="100"/>
      </w:tblCellMar>
    </w:tblPr>
  </w:style>
  <w:style w:customStyle="1" w:styleId="a3" w:type="table">
    <w:basedOn w:val="TableNormal"/>
    <w:tblPr>
      <w:tblStyleRowBandSize w:val="1"/>
      <w:tblStyleColBandSize w:val="1"/>
      <w:tblCellMar>
        <w:top w:type="dxa" w:w="100"/>
        <w:left w:type="dxa" w:w="100"/>
        <w:bottom w:type="dxa" w:w="100"/>
        <w:right w:type="dxa" w:w="100"/>
      </w:tblCellMar>
    </w:tblPr>
  </w:style>
  <w:style w:customStyle="1" w:styleId="a4" w:type="table">
    <w:basedOn w:val="TableNormal"/>
    <w:tblPr>
      <w:tblStyleRowBandSize w:val="1"/>
      <w:tblStyleColBandSize w:val="1"/>
      <w:tblCellMar>
        <w:top w:type="dxa" w:w="100"/>
        <w:left w:type="dxa" w:w="100"/>
        <w:bottom w:type="dxa" w:w="100"/>
        <w:right w:type="dxa" w:w="100"/>
      </w:tblCellMar>
    </w:tblPr>
  </w:style>
  <w:style w:customStyle="1" w:styleId="a5" w:type="table">
    <w:basedOn w:val="TableNormal"/>
    <w:tblPr>
      <w:tblStyleRowBandSize w:val="1"/>
      <w:tblStyleColBandSize w:val="1"/>
      <w:tblCellMar>
        <w:top w:type="dxa" w:w="100"/>
        <w:left w:type="dxa" w:w="100"/>
        <w:bottom w:type="dxa" w:w="100"/>
        <w:right w:type="dxa" w:w="100"/>
      </w:tblCellMar>
    </w:tblPr>
  </w:style>
  <w:style w:customStyle="1" w:styleId="a6" w:type="table">
    <w:basedOn w:val="TableNormal"/>
    <w:tblPr>
      <w:tblStyleRowBandSize w:val="1"/>
      <w:tblStyleColBandSize w:val="1"/>
      <w:tblCellMar>
        <w:top w:type="dxa" w:w="100"/>
        <w:left w:type="dxa" w:w="100"/>
        <w:bottom w:type="dxa" w:w="100"/>
        <w:right w:type="dxa" w:w="100"/>
      </w:tblCellMar>
    </w:tblPr>
  </w:style>
  <w:style w:styleId="TOAHeading" w:type="paragraph">
    <w:name w:val="toa heading"/>
    <w:basedOn w:val="Normal"/>
    <w:next w:val="Normal"/>
    <w:rsid w:val="00AD6A50"/>
    <w:pPr>
      <w:spacing w:after="60" w:before="60"/>
      <w:jc w:val="center"/>
    </w:pPr>
    <w:rPr>
      <w:rFonts w:asciiTheme="majorHAnsi" w:cstheme="majorBidi" w:eastAsiaTheme="majorEastAsia" w:hAnsiTheme="majorHAnsi"/>
      <w:b/>
      <w:bCs/>
      <w:sz w:val="21"/>
      <w:szCs w:val="24"/>
      <w:lang w:eastAsia="zh-CN" w:val="en-US"/>
    </w:rPr>
  </w:style>
  <w:style w:styleId="Strong" w:type="character">
    <w:name w:val="Strong"/>
    <w:basedOn w:val="DefaultParagraphFont"/>
    <w:uiPriority w:val="22"/>
    <w:qFormat/>
    <w:rsid w:val="00DE287C"/>
    <w:rPr>
      <w:b/>
      <w:bCs/>
    </w:rPr>
  </w:style>
  <w:style w:styleId="ListParagraph" w:type="paragraph">
    <w:name w:val="List Paragraph"/>
    <w:basedOn w:val="Normal"/>
    <w:uiPriority w:val="34"/>
    <w:qFormat/>
    <w:rsid w:val="00701179"/>
    <w:pPr>
      <w:ind w:left="720"/>
      <w:contextualSpacing/>
    </w:pPr>
  </w:style>
  <w:style w:styleId="Quote" w:type="paragraph">
    <w:name w:val="Quote"/>
    <w:basedOn w:val="Normal"/>
    <w:next w:val="Normal"/>
    <w:link w:val="QuoteChar"/>
    <w:uiPriority w:val="29"/>
    <w:qFormat/>
    <w:rsid w:val="00201ADC"/>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201ADC"/>
    <w:rPr>
      <w:i/>
      <w:iCs/>
      <w:color w:themeColor="text1" w:themeTint="BF" w:val="404040"/>
    </w:rPr>
  </w:style>
  <w:style w:styleId="NoSpacing" w:type="paragraph">
    <w:name w:val="No Spacing"/>
    <w:uiPriority w:val="1"/>
    <w:qFormat/>
    <w:rsid w:val="00201ADC"/>
    <w:pPr>
      <w:spacing w:after="0" w:before="0" w:line="360" w:lineRule="auto"/>
    </w:pPr>
    <w:rPr>
      <w:rFonts w:ascii="Arial" w:hAnsi="Arial"/>
    </w:rPr>
  </w:style>
  <w:style w:styleId="NormalWeb" w:type="paragraph">
    <w:name w:val="Normal (Web)"/>
    <w:basedOn w:val="Normal"/>
    <w:uiPriority w:val="99"/>
    <w:unhideWhenUsed/>
    <w:rsid w:val="00D84195"/>
    <w:pPr>
      <w:spacing w:after="100" w:afterAutospacing="1" w:before="100" w:beforeAutospacing="1"/>
      <w:jc w:val="left"/>
    </w:pPr>
    <w:rPr>
      <w:sz w:val="24"/>
      <w:szCs w:val="24"/>
      <w:lang w:val="en-CA"/>
    </w:rPr>
  </w:style>
  <w:style w:styleId="Emphasis" w:type="character">
    <w:name w:val="Emphasis"/>
    <w:basedOn w:val="DefaultParagraphFont"/>
    <w:uiPriority w:val="20"/>
    <w:qFormat/>
    <w:rsid w:val="005B0C1C"/>
    <w:rPr>
      <w:i/>
      <w:iCs/>
    </w:rPr>
  </w:style>
  <w:style w:styleId="LineNumber" w:type="character">
    <w:name w:val="line number"/>
    <w:basedOn w:val="DefaultParagraphFont"/>
    <w:uiPriority w:val="99"/>
    <w:semiHidden/>
    <w:unhideWhenUsed/>
    <w:rsid w:val="00B13028"/>
  </w:style>
  <w:style w:styleId="BookTitle" w:type="character">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29" Target="media/rId29.png" /><Relationship Type="http://schemas.openxmlformats.org/officeDocument/2006/relationships/image" Id="rId52" Target="media/rId52.png" /><Relationship Type="http://schemas.openxmlformats.org/officeDocument/2006/relationships/image" Id="rId78" Target="media/rId78.png" /><Relationship Type="http://schemas.openxmlformats.org/officeDocument/2006/relationships/image" Id="rId37" Target="media/rId37.png" /><Relationship Type="http://schemas.openxmlformats.org/officeDocument/2006/relationships/image" Id="rId57" Target="media/rId57.png" /><Relationship Type="http://schemas.openxmlformats.org/officeDocument/2006/relationships/image" Id="rId70" Target="media/rId70.png" /><Relationship Type="http://schemas.openxmlformats.org/officeDocument/2006/relationships/image" Id="rId22" Target="media/rId22.png" /><Relationship Type="http://schemas.openxmlformats.org/officeDocument/2006/relationships/image" Id="rId64" Target="media/rId64.png" /><Relationship Type="http://schemas.openxmlformats.org/officeDocument/2006/relationships/hyperlink" Id="rId215" Target="http://dx.doi.org/10.1002/2016jg003661" TargetMode="External" /><Relationship Type="http://schemas.openxmlformats.org/officeDocument/2006/relationships/hyperlink" Id="rId155" Target="http://dx.doi.org/10.1002/eap.2736" TargetMode="External" /><Relationship Type="http://schemas.openxmlformats.org/officeDocument/2006/relationships/hyperlink" Id="rId361" Target="http://dx.doi.org/10.1002/hyp.1095" TargetMode="External" /><Relationship Type="http://schemas.openxmlformats.org/officeDocument/2006/relationships/hyperlink" Id="rId269" Target="http://dx.doi.org/10.1002/hyp.8438" TargetMode="External" /><Relationship Type="http://schemas.openxmlformats.org/officeDocument/2006/relationships/hyperlink" Id="rId161" Target="http://dx.doi.org/10.1002/met.170" TargetMode="External" /><Relationship Type="http://schemas.openxmlformats.org/officeDocument/2006/relationships/hyperlink" Id="rId367" Target="http://dx.doi.org/10.1002/wcc.147" TargetMode="External" /><Relationship Type="http://schemas.openxmlformats.org/officeDocument/2006/relationships/hyperlink" Id="rId153" Target="http://dx.doi.org/10.1007/s10113-022-01895-2" TargetMode="External" /><Relationship Type="http://schemas.openxmlformats.org/officeDocument/2006/relationships/hyperlink" Id="rId219" Target="http://dx.doi.org/10.1007/s10584-012-0667-2" TargetMode="External" /><Relationship Type="http://schemas.openxmlformats.org/officeDocument/2006/relationships/hyperlink" Id="rId289" Target="http://dx.doi.org/10.1007/s10980-023-01720-z" TargetMode="External" /><Relationship Type="http://schemas.openxmlformats.org/officeDocument/2006/relationships/hyperlink" Id="rId337" Target="http://dx.doi.org/10.1016/j.agrformet.2012.04.001" TargetMode="External" /><Relationship Type="http://schemas.openxmlformats.org/officeDocument/2006/relationships/hyperlink" Id="rId339" Target="http://dx.doi.org/10.1016/j.agrformet.2012.08.011" TargetMode="External" /><Relationship Type="http://schemas.openxmlformats.org/officeDocument/2006/relationships/hyperlink" Id="rId145" Target="http://dx.doi.org/10.1016/j.agrformet.2014.01.005" TargetMode="External" /><Relationship Type="http://schemas.openxmlformats.org/officeDocument/2006/relationships/hyperlink" Id="rId121" Target="http://dx.doi.org/10.1016/j.agrformet.2015.09.002" TargetMode="External" /><Relationship Type="http://schemas.openxmlformats.org/officeDocument/2006/relationships/hyperlink" Id="rId293" Target="http://dx.doi.org/10.1016/j.agrformet.2016.12.007" TargetMode="External" /><Relationship Type="http://schemas.openxmlformats.org/officeDocument/2006/relationships/hyperlink" Id="rId315" Target="http://dx.doi.org/10.1016/j.agrformet.2018.07.005" TargetMode="External" /><Relationship Type="http://schemas.openxmlformats.org/officeDocument/2006/relationships/hyperlink" Id="rId301" Target="http://dx.doi.org/10.1016/j.agrformet.2018.11.026" TargetMode="External" /><Relationship Type="http://schemas.openxmlformats.org/officeDocument/2006/relationships/hyperlink" Id="rId287" Target="http://dx.doi.org/10.1016/j.agrformet.2019.107789" TargetMode="External" /><Relationship Type="http://schemas.openxmlformats.org/officeDocument/2006/relationships/hyperlink" Id="rId135" Target="http://dx.doi.org/10.1016/j.agrformet.2020.107923" TargetMode="External" /><Relationship Type="http://schemas.openxmlformats.org/officeDocument/2006/relationships/hyperlink" Id="rId271" Target="http://dx.doi.org/10.1016/j.agrformet.2020.108076" TargetMode="External" /><Relationship Type="http://schemas.openxmlformats.org/officeDocument/2006/relationships/hyperlink" Id="rId163" Target="http://dx.doi.org/10.1016/j.agrformet.2021.108467" TargetMode="External" /><Relationship Type="http://schemas.openxmlformats.org/officeDocument/2006/relationships/hyperlink" Id="rId313" Target="http://dx.doi.org/10.1016/j.agrformet.2021.108583" TargetMode="External" /><Relationship Type="http://schemas.openxmlformats.org/officeDocument/2006/relationships/hyperlink" Id="rId125" Target="http://dx.doi.org/10.1016/j.agrformet.2023.109746" TargetMode="External" /><Relationship Type="http://schemas.openxmlformats.org/officeDocument/2006/relationships/hyperlink" Id="rId195" Target="http://dx.doi.org/10.1016/j.agrformet.2023.109749" TargetMode="External" /><Relationship Type="http://schemas.openxmlformats.org/officeDocument/2006/relationships/hyperlink" Id="rId311" Target="http://dx.doi.org/10.1016/j.agrformet.2024.109928" TargetMode="External" /><Relationship Type="http://schemas.openxmlformats.org/officeDocument/2006/relationships/hyperlink" Id="rId141" Target="http://dx.doi.org/10.1016/j.agrformet.2024.110315" TargetMode="External" /><Relationship Type="http://schemas.openxmlformats.org/officeDocument/2006/relationships/hyperlink" Id="rId371" Target="http://dx.doi.org/10.1016/j.agrformet.2025.110507" TargetMode="External" /><Relationship Type="http://schemas.openxmlformats.org/officeDocument/2006/relationships/hyperlink" Id="rId147" Target="http://dx.doi.org/10.1016/j.agrformet.2025.110688" TargetMode="External" /><Relationship Type="http://schemas.openxmlformats.org/officeDocument/2006/relationships/hyperlink" Id="rId249" Target="http://dx.doi.org/10.1016/j.agrformet.2026.111169" TargetMode="External" /><Relationship Type="http://schemas.openxmlformats.org/officeDocument/2006/relationships/hyperlink" Id="rId185" Target="http://dx.doi.org/10.1016/j.agrformet.2026.111436" TargetMode="External" /><Relationship Type="http://schemas.openxmlformats.org/officeDocument/2006/relationships/hyperlink" Id="rId291" Target="http://dx.doi.org/10.1029/1999jd901105" TargetMode="External" /><Relationship Type="http://schemas.openxmlformats.org/officeDocument/2006/relationships/hyperlink" Id="rId127" Target="http://dx.doi.org/10.1029/2004jd004536" TargetMode="External" /><Relationship Type="http://schemas.openxmlformats.org/officeDocument/2006/relationships/hyperlink" Id="rId329" Target="http://dx.doi.org/10.1029/2012gl051387" TargetMode="External" /><Relationship Type="http://schemas.openxmlformats.org/officeDocument/2006/relationships/hyperlink" Id="rId341" Target="http://dx.doi.org/10.1029/98jd00995" TargetMode="External" /><Relationship Type="http://schemas.openxmlformats.org/officeDocument/2006/relationships/hyperlink" Id="rId309" Target="http://dx.doi.org/10.1029/jd095id12p20507" TargetMode="External" /><Relationship Type="http://schemas.openxmlformats.org/officeDocument/2006/relationships/hyperlink" Id="rId225" Target="http://dx.doi.org/10.1029/wr018i001p00107" TargetMode="External" /><Relationship Type="http://schemas.openxmlformats.org/officeDocument/2006/relationships/hyperlink" Id="rId233" Target="http://dx.doi.org/10.1038/ncomms8537" TargetMode="External" /><Relationship Type="http://schemas.openxmlformats.org/officeDocument/2006/relationships/hyperlink" Id="rId327" Target="http://dx.doi.org/10.1038/s41597-020-0554-z" TargetMode="External" /><Relationship Type="http://schemas.openxmlformats.org/officeDocument/2006/relationships/hyperlink" Id="rId229" Target="http://dx.doi.org/10.1038/s43247-024-01346-2" TargetMode="External" /><Relationship Type="http://schemas.openxmlformats.org/officeDocument/2006/relationships/hyperlink" Id="rId345" Target="http://dx.doi.org/10.1071/wf01048" TargetMode="External" /><Relationship Type="http://schemas.openxmlformats.org/officeDocument/2006/relationships/hyperlink" Id="rId303" Target="http://dx.doi.org/10.1071/wf05021" TargetMode="External" /><Relationship Type="http://schemas.openxmlformats.org/officeDocument/2006/relationships/hyperlink" Id="rId353" Target="http://dx.doi.org/10.1071/wf06087" TargetMode="External" /><Relationship Type="http://schemas.openxmlformats.org/officeDocument/2006/relationships/hyperlink" Id="rId279" Target="http://dx.doi.org/10.1071/wf09001" TargetMode="External" /><Relationship Type="http://schemas.openxmlformats.org/officeDocument/2006/relationships/hyperlink" Id="rId261" Target="http://dx.doi.org/10.1071/wf09055" TargetMode="External" /><Relationship Type="http://schemas.openxmlformats.org/officeDocument/2006/relationships/hyperlink" Id="rId247" Target="http://dx.doi.org/10.1071/wf11088" TargetMode="External" /><Relationship Type="http://schemas.openxmlformats.org/officeDocument/2006/relationships/hyperlink" Id="rId277" Target="http://dx.doi.org/10.1071/wf13090" TargetMode="External" /><Relationship Type="http://schemas.openxmlformats.org/officeDocument/2006/relationships/hyperlink" Id="rId235" Target="http://dx.doi.org/10.1071/wf14214" TargetMode="External" /><Relationship Type="http://schemas.openxmlformats.org/officeDocument/2006/relationships/hyperlink" Id="rId365" Target="http://dx.doi.org/10.1071/wf16040" TargetMode="External" /><Relationship Type="http://schemas.openxmlformats.org/officeDocument/2006/relationships/hyperlink" Id="rId231" Target="http://dx.doi.org/10.1071/wf17008" TargetMode="External" /><Relationship Type="http://schemas.openxmlformats.org/officeDocument/2006/relationships/hyperlink" Id="rId143" Target="http://dx.doi.org/10.1071/wf21035" TargetMode="External" /><Relationship Type="http://schemas.openxmlformats.org/officeDocument/2006/relationships/hyperlink" Id="rId211" Target="http://dx.doi.org/10.1071/wf22112" TargetMode="External" /><Relationship Type="http://schemas.openxmlformats.org/officeDocument/2006/relationships/hyperlink" Id="rId203" Target="http://dx.doi.org/10.1071/wf25164" TargetMode="External" /><Relationship Type="http://schemas.openxmlformats.org/officeDocument/2006/relationships/hyperlink" Id="rId169" Target="http://dx.doi.org/10.1080/01621459.1987.10478410" TargetMode="External" /><Relationship Type="http://schemas.openxmlformats.org/officeDocument/2006/relationships/hyperlink" Id="rId281" Target="http://dx.doi.org/10.1080/01621459.1994.10476870" TargetMode="External" /><Relationship Type="http://schemas.openxmlformats.org/officeDocument/2006/relationships/hyperlink" Id="rId239" Target="http://dx.doi.org/10.1080/07055900.2020.1845117" TargetMode="External" /><Relationship Type="http://schemas.openxmlformats.org/officeDocument/2006/relationships/hyperlink" Id="rId157" Target="http://dx.doi.org/10.1080/07060661.2011.563906" TargetMode="External" /><Relationship Type="http://schemas.openxmlformats.org/officeDocument/2006/relationships/hyperlink" Id="rId165" Target="http://dx.doi.org/10.1088/1748-9326/ac52c8" TargetMode="External" /><Relationship Type="http://schemas.openxmlformats.org/officeDocument/2006/relationships/hyperlink" Id="rId343" Target="http://dx.doi.org/10.1098/rstb.2015.0178" TargetMode="External" /><Relationship Type="http://schemas.openxmlformats.org/officeDocument/2006/relationships/hyperlink" Id="rId283" Target="http://dx.doi.org/10.1111/ecog.02881" TargetMode="External" /><Relationship Type="http://schemas.openxmlformats.org/officeDocument/2006/relationships/hyperlink" Id="rId267" Target="http://dx.doi.org/10.1111/j.1365-2486.2007.01517.x" TargetMode="External" /><Relationship Type="http://schemas.openxmlformats.org/officeDocument/2006/relationships/hyperlink" Id="rId101" Target="http://dx.doi.org/10.1139/cjfr-2011-0432" TargetMode="External" /><Relationship Type="http://schemas.openxmlformats.org/officeDocument/2006/relationships/hyperlink" Id="rId99" Target="http://dx.doi.org/10.1139/cjfr-2021-0353" TargetMode="External" /><Relationship Type="http://schemas.openxmlformats.org/officeDocument/2006/relationships/hyperlink" Id="rId357" Target="http://dx.doi.org/10.1139/x05-071" TargetMode="External" /><Relationship Type="http://schemas.openxmlformats.org/officeDocument/2006/relationships/hyperlink" Id="rId223" Target="http://dx.doi.org/10.1139/x11-160" TargetMode="External" /><Relationship Type="http://schemas.openxmlformats.org/officeDocument/2006/relationships/hyperlink" Id="rId255" Target="http://dx.doi.org/10.1139/x87-068" TargetMode="External" /><Relationship Type="http://schemas.openxmlformats.org/officeDocument/2006/relationships/hyperlink" Id="rId253" Target="http://dx.doi.org/10.1139/x89-237" TargetMode="External" /><Relationship Type="http://schemas.openxmlformats.org/officeDocument/2006/relationships/hyperlink" Id="rId107" Target="http://dx.doi.org/10.1139/x90-046" TargetMode="External" /><Relationship Type="http://schemas.openxmlformats.org/officeDocument/2006/relationships/hyperlink" Id="rId179" Target="http://dx.doi.org/10.1139/x91-035" TargetMode="External" /><Relationship Type="http://schemas.openxmlformats.org/officeDocument/2006/relationships/hyperlink" Id="rId347" Target="http://dx.doi.org/10.1175/1520-0442(1997)010&lt;0065:rhtfaf&gt;2.0.co;2" TargetMode="External" /><Relationship Type="http://schemas.openxmlformats.org/officeDocument/2006/relationships/hyperlink" Id="rId183" Target="http://dx.doi.org/10.1175/1520-0442(2001)014&lt;1568:dpotir&gt;2.0.co;2" TargetMode="External" /><Relationship Type="http://schemas.openxmlformats.org/officeDocument/2006/relationships/hyperlink" Id="rId307" Target="http://dx.doi.org/10.1175/2009bams2858.1" TargetMode="External" /><Relationship Type="http://schemas.openxmlformats.org/officeDocument/2006/relationships/hyperlink" Id="rId325" Target="http://dx.doi.org/10.1175/2009jcli2909.1" TargetMode="External" /><Relationship Type="http://schemas.openxmlformats.org/officeDocument/2006/relationships/hyperlink" Id="rId349" Target="http://dx.doi.org/10.1175/bams-d-15-00267.1" TargetMode="External" /><Relationship Type="http://schemas.openxmlformats.org/officeDocument/2006/relationships/hyperlink" Id="rId297" Target="http://dx.doi.org/10.1175/jamc-d-24-0043.1" TargetMode="External" /><Relationship Type="http://schemas.openxmlformats.org/officeDocument/2006/relationships/hyperlink" Id="rId369" Target="http://dx.doi.org/10.1175/jcli3366.1" TargetMode="External" /><Relationship Type="http://schemas.openxmlformats.org/officeDocument/2006/relationships/hyperlink" Id="rId285" Target="http://dx.doi.org/10.1175/waf-d-23-0226.1" TargetMode="External" /><Relationship Type="http://schemas.openxmlformats.org/officeDocument/2006/relationships/hyperlink" Id="rId149" Target="http://dx.doi.org/10.1186/s42408-025-00376-1" TargetMode="External" /><Relationship Type="http://schemas.openxmlformats.org/officeDocument/2006/relationships/hyperlink" Id="rId199" Target="http://dx.doi.org/10.1198/016214506000001437" TargetMode="External" /><Relationship Type="http://schemas.openxmlformats.org/officeDocument/2006/relationships/hyperlink" Id="rId305" Target="http://dx.doi.org/10.1214/13-sts451" TargetMode="External" /><Relationship Type="http://schemas.openxmlformats.org/officeDocument/2006/relationships/hyperlink" Id="rId131" Target="http://dx.doi.org/10.1214/aos/1013699998" TargetMode="External" /><Relationship Type="http://schemas.openxmlformats.org/officeDocument/2006/relationships/hyperlink" Id="rId241" Target="http://dx.doi.org/10.1214/aos/1176347265" TargetMode="External" /><Relationship Type="http://schemas.openxmlformats.org/officeDocument/2006/relationships/hyperlink" Id="rId159" Target="http://dx.doi.org/10.1214/ss/1032280214" TargetMode="External" /><Relationship Type="http://schemas.openxmlformats.org/officeDocument/2006/relationships/hyperlink" Id="rId359" Target="http://dx.doi.org/10.1371/journal.pone.0120621" TargetMode="External" /><Relationship Type="http://schemas.openxmlformats.org/officeDocument/2006/relationships/hyperlink" Id="rId151" Target="http://dx.doi.org/10.1371/journal.pone.0197218" TargetMode="External" /><Relationship Type="http://schemas.openxmlformats.org/officeDocument/2006/relationships/hyperlink" Id="rId109" Target="http://dx.doi.org/10.1623/hysj.52.4.611" TargetMode="External" /><Relationship Type="http://schemas.openxmlformats.org/officeDocument/2006/relationships/hyperlink" Id="rId217" Target="http://dx.doi.org/10.22230/jem.2012v13n1a152" TargetMode="External" /><Relationship Type="http://schemas.openxmlformats.org/officeDocument/2006/relationships/hyperlink" Id="rId257" Target="http://dx.doi.org/10.22499/2.5801.005" TargetMode="External" /><Relationship Type="http://schemas.openxmlformats.org/officeDocument/2006/relationships/hyperlink" Id="rId205" Target="http://dx.doi.org/10.2307/2532163" TargetMode="External" /><Relationship Type="http://schemas.openxmlformats.org/officeDocument/2006/relationships/hyperlink" Id="rId243" Target="http://dx.doi.org/10.2307/3314912" TargetMode="External" /><Relationship Type="http://schemas.openxmlformats.org/officeDocument/2006/relationships/hyperlink" Id="rId331" Target="http://dx.doi.org/10.3389/feart.2020.00014" TargetMode="External" /><Relationship Type="http://schemas.openxmlformats.org/officeDocument/2006/relationships/hyperlink" Id="rId221" Target="http://dx.doi.org/10.3389/fevo.2019.00239" TargetMode="External" /><Relationship Type="http://schemas.openxmlformats.org/officeDocument/2006/relationships/hyperlink" Id="rId133" Target="http://dx.doi.org/10.3389/fevo.2021.676961" TargetMode="External" /><Relationship Type="http://schemas.openxmlformats.org/officeDocument/2006/relationships/hyperlink" Id="rId103" Target="http://dx.doi.org/10.3390/f15081429" TargetMode="External" /><Relationship Type="http://schemas.openxmlformats.org/officeDocument/2006/relationships/hyperlink" Id="rId213" Target="http://dx.doi.org/10.3390/fire3020024" TargetMode="External" /><Relationship Type="http://schemas.openxmlformats.org/officeDocument/2006/relationships/hyperlink" Id="rId323" Target="http://dx.doi.org/10.5194/cp-8-89-2012" TargetMode="External" /><Relationship Type="http://schemas.openxmlformats.org/officeDocument/2006/relationships/hyperlink" Id="rId259" Target="http://dx.doi.org/10.5194/essd-12-1823-2020" TargetMode="External" /><Relationship Type="http://schemas.openxmlformats.org/officeDocument/2006/relationships/hyperlink" Id="rId123" Target="http://dx.doi.org/10.5194/nhess-12-699-2012" TargetMode="External" /><Relationship Type="http://schemas.openxmlformats.org/officeDocument/2006/relationships/hyperlink" Id="rId167" Target="http://dx.doi.org/10.5194/nhess-12-927-2012" TargetMode="External" /><Relationship Type="http://schemas.openxmlformats.org/officeDocument/2006/relationships/hyperlink" Id="rId321" Target="http://dx.doi.org/10.5194/nhess-14-1477-2014" TargetMode="External" /><Relationship Type="http://schemas.openxmlformats.org/officeDocument/2006/relationships/hyperlink" Id="rId175" Target="http://dx.doi.org/10.5194/nhess-15-1407-2015" TargetMode="External" /><Relationship Type="http://schemas.openxmlformats.org/officeDocument/2006/relationships/hyperlink" Id="rId173" Target="http://dx.doi.org/10.5194/nhess-20-1123-2020" TargetMode="External" /><Relationship Type="http://schemas.openxmlformats.org/officeDocument/2006/relationships/hyperlink" Id="rId299" Target="http://dx.doi.org/10.5558/tfc65450-6" TargetMode="External" /><Relationship Type="http://schemas.openxmlformats.org/officeDocument/2006/relationships/hyperlink" Id="rId333" Target="https://CRAN.R-project.org/package=cffdrs" TargetMode="External" /><Relationship Type="http://schemas.openxmlformats.org/officeDocument/2006/relationships/hyperlink" Id="rId193" Target="https://catalogue.data.gov.bc.ca/dataset/bc-major-watersheds" TargetMode="External" /><Relationship Type="http://schemas.openxmlformats.org/officeDocument/2006/relationships/hyperlink" Id="rId115" Target="https://catalogue.data.gov.bc.ca/dataset/bc-wildfire-active-weather-stations" TargetMode="External" /><Relationship Type="http://schemas.openxmlformats.org/officeDocument/2006/relationships/hyperlink" Id="rId113" Target="https://catalogue.data.gov.bc.ca/dataset/bc-wildfire-fire-incident-locations-historical" TargetMode="External" /><Relationship Type="http://schemas.openxmlformats.org/officeDocument/2006/relationships/hyperlink" Id="rId117" Target="https://catalogue.data.gov.bc.ca/dataset/bc-wildfire-psta-head-fire-intensity" TargetMode="External" /><Relationship Type="http://schemas.openxmlformats.org/officeDocument/2006/relationships/hyperlink" Id="rId189" Target="https://catalogue.data.gov.bc.ca/dataset/freshwater-atlas-lakes" TargetMode="External" /><Relationship Type="http://schemas.openxmlformats.org/officeDocument/2006/relationships/hyperlink" Id="rId191" Target="https://catalogue.data.gov.bc.ca/dataset/freshwater-atlas-stream-network" TargetMode="External" /><Relationship Type="http://schemas.openxmlformats.org/officeDocument/2006/relationships/hyperlink" Id="rId187" Target="https://catalogue.data.gov.bc.ca/dataset/freshwater-atlas-watershed-groups" TargetMode="External" /><Relationship Type="http://schemas.openxmlformats.org/officeDocument/2006/relationships/hyperlink" Id="rId201" Target="https://catalogue.data.gov.bc.ca/dataset/municipalities-legally-defined-administrative-areas-of-bc" TargetMode="External" /><Relationship Type="http://schemas.openxmlformats.org/officeDocument/2006/relationships/hyperlink" Id="rId171" Target="https://catalogue.data.gov.bc.ca/dataset/water-survey-of-canada-sub-sub-drainage-areas" TargetMode="External" /><Relationship Type="http://schemas.openxmlformats.org/officeDocument/2006/relationships/hyperlink" Id="rId351" Target="https://doi.org/10.1002/env.2278" TargetMode="External" /><Relationship Type="http://schemas.openxmlformats.org/officeDocument/2006/relationships/hyperlink" Id="rId207" Target="https://doi.org/10.1016/S0022-1694(97)00125-X" TargetMode="External" /><Relationship Type="http://schemas.openxmlformats.org/officeDocument/2006/relationships/hyperlink" Id="rId363" Target="https://doi.org/10.1029/2001WR000861" TargetMode="External" /><Relationship Type="http://schemas.openxmlformats.org/officeDocument/2006/relationships/hyperlink" Id="rId237" Target="https://doi.org/10.1029/2018EF001050" TargetMode="External" /><Relationship Type="http://schemas.openxmlformats.org/officeDocument/2006/relationships/hyperlink" Id="rId227" Target="https://doi.org/10.1038/s41467-024-51154-7" TargetMode="External" /><Relationship Type="http://schemas.openxmlformats.org/officeDocument/2006/relationships/hyperlink" Id="rId273" Target="https://doi.org/10.1038/s43247-023-00977-1" TargetMode="External" /><Relationship Type="http://schemas.openxmlformats.org/officeDocument/2006/relationships/hyperlink" Id="rId295" Target="https://doi.org/10.1080/01621459.1968.10480934" TargetMode="External" /><Relationship Type="http://schemas.openxmlformats.org/officeDocument/2006/relationships/hyperlink" Id="rId263" Target="https://doi.org/10.1111/j.1365-2486.2009.02061.x" TargetMode="External" /><Relationship Type="http://schemas.openxmlformats.org/officeDocument/2006/relationships/hyperlink" Id="rId129" Target="https://doi.org/10.1111/j.2517-6161.1995.tb02031.x" TargetMode="External" /><Relationship Type="http://schemas.openxmlformats.org/officeDocument/2006/relationships/hyperlink" Id="rId209" Target="https://doi.org/10.1139/cjfr-2018-0293" TargetMode="External" /><Relationship Type="http://schemas.openxmlformats.org/officeDocument/2006/relationships/hyperlink" Id="rId119" Target="https://doi.org/10.1139/x89-120" TargetMode="External" /><Relationship Type="http://schemas.openxmlformats.org/officeDocument/2006/relationships/hyperlink" Id="rId197" Target="https://doi.org/10.1175/2008JAMC1996.1" TargetMode="External" /><Relationship Type="http://schemas.openxmlformats.org/officeDocument/2006/relationships/hyperlink" Id="rId335" Target="https://doi.org/10.1186/s13717-017-0070-z" TargetMode="External" /><Relationship Type="http://schemas.openxmlformats.org/officeDocument/2006/relationships/hyperlink" Id="rId251" Target="https://doi.org/10.2307/1907187" TargetMode="External" /><Relationship Type="http://schemas.openxmlformats.org/officeDocument/2006/relationships/hyperlink" Id="rId355" Target="https://doi.org/10.5558/tfc69187-2" TargetMode="External" /><Relationship Type="http://schemas.openxmlformats.org/officeDocument/2006/relationships/hyperlink" Id="rId139" Target="https://github.com/nrcan-cfs-fire/cffdrs-ng" TargetMode="External" /><Relationship Type="http://schemas.openxmlformats.org/officeDocument/2006/relationships/hyperlink" Id="rId265" Target="https://github.com/seamusrobertmurphy/wildfire-fuel-mapping-CFFDRS-2.0" TargetMode="External" /><Relationship Type="http://schemas.openxmlformats.org/officeDocument/2006/relationships/hyperlink" Id="rId245" Target="https://ostrnrcan-dostrncan.canada.ca/handle/1845/219568" TargetMode="External" /><Relationship Type="http://schemas.openxmlformats.org/officeDocument/2006/relationships/hyperlink" Id="rId318" Target="https://ostrnrcan-dostrncan.canada.ca/handle/1845/228434" TargetMode="External" /><Relationship Type="http://schemas.openxmlformats.org/officeDocument/2006/relationships/hyperlink" Id="rId181" Target="https://ostrnrcan-dostrncan.canada.ca/handle/1845/235421" TargetMode="External" /><Relationship Type="http://schemas.openxmlformats.org/officeDocument/2006/relationships/hyperlink" Id="rId275" Target="https://publications.gc.ca/collections/collection_2019/rncan-nrcan/Fo143-2-444-eng.pdf" TargetMode="External" /><Relationship Type="http://schemas.openxmlformats.org/officeDocument/2006/relationships/hyperlink" Id="rId137" Target="https://publications.gc.ca/collections/collection_2026/rncan-nrcan/Fo123-2-42-2025-eng.pdf" TargetMode="External" /><Relationship Type="http://schemas.openxmlformats.org/officeDocument/2006/relationships/hyperlink" Id="rId105" Target="https://registry.opendata.aws/terrain-tiles/" TargetMode="External" /><Relationship Type="http://schemas.openxmlformats.org/officeDocument/2006/relationships/hyperlink" Id="rId111" Target="https://www.for.gov.bc.ca/ftp/HPR/external/!publish/BCWS_DATA_MART/" TargetMode="External" /><Relationship Type="http://schemas.openxmlformats.org/officeDocument/2006/relationships/hyperlink" Id="rId97" Target="https://www2.gov.bc.ca/assets/gov/public-safety-and-emergency-services/emergency-preparedness-response-recovery/embc/bc-flood-and-wildfire-review-addressing-the-new-normal-21st-century-disaster-management-in-bc-web.pdf" TargetMode="External" /><Relationship Type="http://schemas.openxmlformats.org/officeDocument/2006/relationships/hyperlink" Id="rId177" Target="https://www2.gov.bc.ca/assets/gov/public-safety-and-emergency-services/wildfire-status/governance/bcws_firestormreport_2003.pdf" TargetMode="External"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Relationships xmlns="http://schemas.openxmlformats.org/package/2006/relationships"><Relationship Type="http://schemas.openxmlformats.org/officeDocument/2006/relationships/hyperlink" Id="rId215" Target="http://dx.doi.org/10.1002/2016jg003661" TargetMode="External" /><Relationship Type="http://schemas.openxmlformats.org/officeDocument/2006/relationships/hyperlink" Id="rId155" Target="http://dx.doi.org/10.1002/eap.2736" TargetMode="External" /><Relationship Type="http://schemas.openxmlformats.org/officeDocument/2006/relationships/hyperlink" Id="rId361" Target="http://dx.doi.org/10.1002/hyp.1095" TargetMode="External" /><Relationship Type="http://schemas.openxmlformats.org/officeDocument/2006/relationships/hyperlink" Id="rId269" Target="http://dx.doi.org/10.1002/hyp.8438" TargetMode="External" /><Relationship Type="http://schemas.openxmlformats.org/officeDocument/2006/relationships/hyperlink" Id="rId161" Target="http://dx.doi.org/10.1002/met.170" TargetMode="External" /><Relationship Type="http://schemas.openxmlformats.org/officeDocument/2006/relationships/hyperlink" Id="rId367" Target="http://dx.doi.org/10.1002/wcc.147" TargetMode="External" /><Relationship Type="http://schemas.openxmlformats.org/officeDocument/2006/relationships/hyperlink" Id="rId153" Target="http://dx.doi.org/10.1007/s10113-022-01895-2" TargetMode="External" /><Relationship Type="http://schemas.openxmlformats.org/officeDocument/2006/relationships/hyperlink" Id="rId219" Target="http://dx.doi.org/10.1007/s10584-012-0667-2" TargetMode="External" /><Relationship Type="http://schemas.openxmlformats.org/officeDocument/2006/relationships/hyperlink" Id="rId289" Target="http://dx.doi.org/10.1007/s10980-023-01720-z" TargetMode="External" /><Relationship Type="http://schemas.openxmlformats.org/officeDocument/2006/relationships/hyperlink" Id="rId337" Target="http://dx.doi.org/10.1016/j.agrformet.2012.04.001" TargetMode="External" /><Relationship Type="http://schemas.openxmlformats.org/officeDocument/2006/relationships/hyperlink" Id="rId339" Target="http://dx.doi.org/10.1016/j.agrformet.2012.08.011" TargetMode="External" /><Relationship Type="http://schemas.openxmlformats.org/officeDocument/2006/relationships/hyperlink" Id="rId145" Target="http://dx.doi.org/10.1016/j.agrformet.2014.01.005" TargetMode="External" /><Relationship Type="http://schemas.openxmlformats.org/officeDocument/2006/relationships/hyperlink" Id="rId121" Target="http://dx.doi.org/10.1016/j.agrformet.2015.09.002" TargetMode="External" /><Relationship Type="http://schemas.openxmlformats.org/officeDocument/2006/relationships/hyperlink" Id="rId293" Target="http://dx.doi.org/10.1016/j.agrformet.2016.12.007" TargetMode="External" /><Relationship Type="http://schemas.openxmlformats.org/officeDocument/2006/relationships/hyperlink" Id="rId315" Target="http://dx.doi.org/10.1016/j.agrformet.2018.07.005" TargetMode="External" /><Relationship Type="http://schemas.openxmlformats.org/officeDocument/2006/relationships/hyperlink" Id="rId301" Target="http://dx.doi.org/10.1016/j.agrformet.2018.11.026" TargetMode="External" /><Relationship Type="http://schemas.openxmlformats.org/officeDocument/2006/relationships/hyperlink" Id="rId287" Target="http://dx.doi.org/10.1016/j.agrformet.2019.107789" TargetMode="External" /><Relationship Type="http://schemas.openxmlformats.org/officeDocument/2006/relationships/hyperlink" Id="rId135" Target="http://dx.doi.org/10.1016/j.agrformet.2020.107923" TargetMode="External" /><Relationship Type="http://schemas.openxmlformats.org/officeDocument/2006/relationships/hyperlink" Id="rId271" Target="http://dx.doi.org/10.1016/j.agrformet.2020.108076" TargetMode="External" /><Relationship Type="http://schemas.openxmlformats.org/officeDocument/2006/relationships/hyperlink" Id="rId163" Target="http://dx.doi.org/10.1016/j.agrformet.2021.108467" TargetMode="External" /><Relationship Type="http://schemas.openxmlformats.org/officeDocument/2006/relationships/hyperlink" Id="rId313" Target="http://dx.doi.org/10.1016/j.agrformet.2021.108583" TargetMode="External" /><Relationship Type="http://schemas.openxmlformats.org/officeDocument/2006/relationships/hyperlink" Id="rId125" Target="http://dx.doi.org/10.1016/j.agrformet.2023.109746" TargetMode="External" /><Relationship Type="http://schemas.openxmlformats.org/officeDocument/2006/relationships/hyperlink" Id="rId195" Target="http://dx.doi.org/10.1016/j.agrformet.2023.109749" TargetMode="External" /><Relationship Type="http://schemas.openxmlformats.org/officeDocument/2006/relationships/hyperlink" Id="rId311" Target="http://dx.doi.org/10.1016/j.agrformet.2024.109928" TargetMode="External" /><Relationship Type="http://schemas.openxmlformats.org/officeDocument/2006/relationships/hyperlink" Id="rId141" Target="http://dx.doi.org/10.1016/j.agrformet.2024.110315" TargetMode="External" /><Relationship Type="http://schemas.openxmlformats.org/officeDocument/2006/relationships/hyperlink" Id="rId371" Target="http://dx.doi.org/10.1016/j.agrformet.2025.110507" TargetMode="External" /><Relationship Type="http://schemas.openxmlformats.org/officeDocument/2006/relationships/hyperlink" Id="rId147" Target="http://dx.doi.org/10.1016/j.agrformet.2025.110688" TargetMode="External" /><Relationship Type="http://schemas.openxmlformats.org/officeDocument/2006/relationships/hyperlink" Id="rId249" Target="http://dx.doi.org/10.1016/j.agrformet.2026.111169" TargetMode="External" /><Relationship Type="http://schemas.openxmlformats.org/officeDocument/2006/relationships/hyperlink" Id="rId185" Target="http://dx.doi.org/10.1016/j.agrformet.2026.111436" TargetMode="External" /><Relationship Type="http://schemas.openxmlformats.org/officeDocument/2006/relationships/hyperlink" Id="rId291" Target="http://dx.doi.org/10.1029/1999jd901105" TargetMode="External" /><Relationship Type="http://schemas.openxmlformats.org/officeDocument/2006/relationships/hyperlink" Id="rId127" Target="http://dx.doi.org/10.1029/2004jd004536" TargetMode="External" /><Relationship Type="http://schemas.openxmlformats.org/officeDocument/2006/relationships/hyperlink" Id="rId329" Target="http://dx.doi.org/10.1029/2012gl051387" TargetMode="External" /><Relationship Type="http://schemas.openxmlformats.org/officeDocument/2006/relationships/hyperlink" Id="rId341" Target="http://dx.doi.org/10.1029/98jd00995" TargetMode="External" /><Relationship Type="http://schemas.openxmlformats.org/officeDocument/2006/relationships/hyperlink" Id="rId309" Target="http://dx.doi.org/10.1029/jd095id12p20507" TargetMode="External" /><Relationship Type="http://schemas.openxmlformats.org/officeDocument/2006/relationships/hyperlink" Id="rId225" Target="http://dx.doi.org/10.1029/wr018i001p00107" TargetMode="External" /><Relationship Type="http://schemas.openxmlformats.org/officeDocument/2006/relationships/hyperlink" Id="rId233" Target="http://dx.doi.org/10.1038/ncomms8537" TargetMode="External" /><Relationship Type="http://schemas.openxmlformats.org/officeDocument/2006/relationships/hyperlink" Id="rId327" Target="http://dx.doi.org/10.1038/s41597-020-0554-z" TargetMode="External" /><Relationship Type="http://schemas.openxmlformats.org/officeDocument/2006/relationships/hyperlink" Id="rId229" Target="http://dx.doi.org/10.1038/s43247-024-01346-2" TargetMode="External" /><Relationship Type="http://schemas.openxmlformats.org/officeDocument/2006/relationships/hyperlink" Id="rId345" Target="http://dx.doi.org/10.1071/wf01048" TargetMode="External" /><Relationship Type="http://schemas.openxmlformats.org/officeDocument/2006/relationships/hyperlink" Id="rId303" Target="http://dx.doi.org/10.1071/wf05021" TargetMode="External" /><Relationship Type="http://schemas.openxmlformats.org/officeDocument/2006/relationships/hyperlink" Id="rId353" Target="http://dx.doi.org/10.1071/wf06087" TargetMode="External" /><Relationship Type="http://schemas.openxmlformats.org/officeDocument/2006/relationships/hyperlink" Id="rId279" Target="http://dx.doi.org/10.1071/wf09001" TargetMode="External" /><Relationship Type="http://schemas.openxmlformats.org/officeDocument/2006/relationships/hyperlink" Id="rId261" Target="http://dx.doi.org/10.1071/wf09055" TargetMode="External" /><Relationship Type="http://schemas.openxmlformats.org/officeDocument/2006/relationships/hyperlink" Id="rId247" Target="http://dx.doi.org/10.1071/wf11088" TargetMode="External" /><Relationship Type="http://schemas.openxmlformats.org/officeDocument/2006/relationships/hyperlink" Id="rId277" Target="http://dx.doi.org/10.1071/wf13090" TargetMode="External" /><Relationship Type="http://schemas.openxmlformats.org/officeDocument/2006/relationships/hyperlink" Id="rId235" Target="http://dx.doi.org/10.1071/wf14214" TargetMode="External" /><Relationship Type="http://schemas.openxmlformats.org/officeDocument/2006/relationships/hyperlink" Id="rId365" Target="http://dx.doi.org/10.1071/wf16040" TargetMode="External" /><Relationship Type="http://schemas.openxmlformats.org/officeDocument/2006/relationships/hyperlink" Id="rId231" Target="http://dx.doi.org/10.1071/wf17008" TargetMode="External" /><Relationship Type="http://schemas.openxmlformats.org/officeDocument/2006/relationships/hyperlink" Id="rId143" Target="http://dx.doi.org/10.1071/wf21035" TargetMode="External" /><Relationship Type="http://schemas.openxmlformats.org/officeDocument/2006/relationships/hyperlink" Id="rId211" Target="http://dx.doi.org/10.1071/wf22112" TargetMode="External" /><Relationship Type="http://schemas.openxmlformats.org/officeDocument/2006/relationships/hyperlink" Id="rId203" Target="http://dx.doi.org/10.1071/wf25164" TargetMode="External" /><Relationship Type="http://schemas.openxmlformats.org/officeDocument/2006/relationships/hyperlink" Id="rId169" Target="http://dx.doi.org/10.1080/01621459.1987.10478410" TargetMode="External" /><Relationship Type="http://schemas.openxmlformats.org/officeDocument/2006/relationships/hyperlink" Id="rId281" Target="http://dx.doi.org/10.1080/01621459.1994.10476870" TargetMode="External" /><Relationship Type="http://schemas.openxmlformats.org/officeDocument/2006/relationships/hyperlink" Id="rId239" Target="http://dx.doi.org/10.1080/07055900.2020.1845117" TargetMode="External" /><Relationship Type="http://schemas.openxmlformats.org/officeDocument/2006/relationships/hyperlink" Id="rId157" Target="http://dx.doi.org/10.1080/07060661.2011.563906" TargetMode="External" /><Relationship Type="http://schemas.openxmlformats.org/officeDocument/2006/relationships/hyperlink" Id="rId165" Target="http://dx.doi.org/10.1088/1748-9326/ac52c8" TargetMode="External" /><Relationship Type="http://schemas.openxmlformats.org/officeDocument/2006/relationships/hyperlink" Id="rId343" Target="http://dx.doi.org/10.1098/rstb.2015.0178" TargetMode="External" /><Relationship Type="http://schemas.openxmlformats.org/officeDocument/2006/relationships/hyperlink" Id="rId283" Target="http://dx.doi.org/10.1111/ecog.02881" TargetMode="External" /><Relationship Type="http://schemas.openxmlformats.org/officeDocument/2006/relationships/hyperlink" Id="rId267" Target="http://dx.doi.org/10.1111/j.1365-2486.2007.01517.x" TargetMode="External" /><Relationship Type="http://schemas.openxmlformats.org/officeDocument/2006/relationships/hyperlink" Id="rId101" Target="http://dx.doi.org/10.1139/cjfr-2011-0432" TargetMode="External" /><Relationship Type="http://schemas.openxmlformats.org/officeDocument/2006/relationships/hyperlink" Id="rId99" Target="http://dx.doi.org/10.1139/cjfr-2021-0353" TargetMode="External" /><Relationship Type="http://schemas.openxmlformats.org/officeDocument/2006/relationships/hyperlink" Id="rId357" Target="http://dx.doi.org/10.1139/x05-071" TargetMode="External" /><Relationship Type="http://schemas.openxmlformats.org/officeDocument/2006/relationships/hyperlink" Id="rId223" Target="http://dx.doi.org/10.1139/x11-160" TargetMode="External" /><Relationship Type="http://schemas.openxmlformats.org/officeDocument/2006/relationships/hyperlink" Id="rId255" Target="http://dx.doi.org/10.1139/x87-068" TargetMode="External" /><Relationship Type="http://schemas.openxmlformats.org/officeDocument/2006/relationships/hyperlink" Id="rId253" Target="http://dx.doi.org/10.1139/x89-237" TargetMode="External" /><Relationship Type="http://schemas.openxmlformats.org/officeDocument/2006/relationships/hyperlink" Id="rId107" Target="http://dx.doi.org/10.1139/x90-046" TargetMode="External" /><Relationship Type="http://schemas.openxmlformats.org/officeDocument/2006/relationships/hyperlink" Id="rId179" Target="http://dx.doi.org/10.1139/x91-035" TargetMode="External" /><Relationship Type="http://schemas.openxmlformats.org/officeDocument/2006/relationships/hyperlink" Id="rId347" Target="http://dx.doi.org/10.1175/1520-0442(1997)010&lt;0065:rhtfaf&gt;2.0.co;2" TargetMode="External" /><Relationship Type="http://schemas.openxmlformats.org/officeDocument/2006/relationships/hyperlink" Id="rId183" Target="http://dx.doi.org/10.1175/1520-0442(2001)014&lt;1568:dpotir&gt;2.0.co;2" TargetMode="External" /><Relationship Type="http://schemas.openxmlformats.org/officeDocument/2006/relationships/hyperlink" Id="rId307" Target="http://dx.doi.org/10.1175/2009bams2858.1" TargetMode="External" /><Relationship Type="http://schemas.openxmlformats.org/officeDocument/2006/relationships/hyperlink" Id="rId325" Target="http://dx.doi.org/10.1175/2009jcli2909.1" TargetMode="External" /><Relationship Type="http://schemas.openxmlformats.org/officeDocument/2006/relationships/hyperlink" Id="rId349" Target="http://dx.doi.org/10.1175/bams-d-15-00267.1" TargetMode="External" /><Relationship Type="http://schemas.openxmlformats.org/officeDocument/2006/relationships/hyperlink" Id="rId297" Target="http://dx.doi.org/10.1175/jamc-d-24-0043.1" TargetMode="External" /><Relationship Type="http://schemas.openxmlformats.org/officeDocument/2006/relationships/hyperlink" Id="rId369" Target="http://dx.doi.org/10.1175/jcli3366.1" TargetMode="External" /><Relationship Type="http://schemas.openxmlformats.org/officeDocument/2006/relationships/hyperlink" Id="rId285" Target="http://dx.doi.org/10.1175/waf-d-23-0226.1" TargetMode="External" /><Relationship Type="http://schemas.openxmlformats.org/officeDocument/2006/relationships/hyperlink" Id="rId149" Target="http://dx.doi.org/10.1186/s42408-025-00376-1" TargetMode="External" /><Relationship Type="http://schemas.openxmlformats.org/officeDocument/2006/relationships/hyperlink" Id="rId199" Target="http://dx.doi.org/10.1198/016214506000001437" TargetMode="External" /><Relationship Type="http://schemas.openxmlformats.org/officeDocument/2006/relationships/hyperlink" Id="rId305" Target="http://dx.doi.org/10.1214/13-sts451" TargetMode="External" /><Relationship Type="http://schemas.openxmlformats.org/officeDocument/2006/relationships/hyperlink" Id="rId131" Target="http://dx.doi.org/10.1214/aos/1013699998" TargetMode="External" /><Relationship Type="http://schemas.openxmlformats.org/officeDocument/2006/relationships/hyperlink" Id="rId241" Target="http://dx.doi.org/10.1214/aos/1176347265" TargetMode="External" /><Relationship Type="http://schemas.openxmlformats.org/officeDocument/2006/relationships/hyperlink" Id="rId159" Target="http://dx.doi.org/10.1214/ss/1032280214" TargetMode="External" /><Relationship Type="http://schemas.openxmlformats.org/officeDocument/2006/relationships/hyperlink" Id="rId359" Target="http://dx.doi.org/10.1371/journal.pone.0120621" TargetMode="External" /><Relationship Type="http://schemas.openxmlformats.org/officeDocument/2006/relationships/hyperlink" Id="rId151" Target="http://dx.doi.org/10.1371/journal.pone.0197218" TargetMode="External" /><Relationship Type="http://schemas.openxmlformats.org/officeDocument/2006/relationships/hyperlink" Id="rId109" Target="http://dx.doi.org/10.1623/hysj.52.4.611" TargetMode="External" /><Relationship Type="http://schemas.openxmlformats.org/officeDocument/2006/relationships/hyperlink" Id="rId217" Target="http://dx.doi.org/10.22230/jem.2012v13n1a152" TargetMode="External" /><Relationship Type="http://schemas.openxmlformats.org/officeDocument/2006/relationships/hyperlink" Id="rId257" Target="http://dx.doi.org/10.22499/2.5801.005" TargetMode="External" /><Relationship Type="http://schemas.openxmlformats.org/officeDocument/2006/relationships/hyperlink" Id="rId205" Target="http://dx.doi.org/10.2307/2532163" TargetMode="External" /><Relationship Type="http://schemas.openxmlformats.org/officeDocument/2006/relationships/hyperlink" Id="rId243" Target="http://dx.doi.org/10.2307/3314912" TargetMode="External" /><Relationship Type="http://schemas.openxmlformats.org/officeDocument/2006/relationships/hyperlink" Id="rId331" Target="http://dx.doi.org/10.3389/feart.2020.00014" TargetMode="External" /><Relationship Type="http://schemas.openxmlformats.org/officeDocument/2006/relationships/hyperlink" Id="rId221" Target="http://dx.doi.org/10.3389/fevo.2019.00239" TargetMode="External" /><Relationship Type="http://schemas.openxmlformats.org/officeDocument/2006/relationships/hyperlink" Id="rId133" Target="http://dx.doi.org/10.3389/fevo.2021.676961" TargetMode="External" /><Relationship Type="http://schemas.openxmlformats.org/officeDocument/2006/relationships/hyperlink" Id="rId103" Target="http://dx.doi.org/10.3390/f15081429" TargetMode="External" /><Relationship Type="http://schemas.openxmlformats.org/officeDocument/2006/relationships/hyperlink" Id="rId213" Target="http://dx.doi.org/10.3390/fire3020024" TargetMode="External" /><Relationship Type="http://schemas.openxmlformats.org/officeDocument/2006/relationships/hyperlink" Id="rId323" Target="http://dx.doi.org/10.5194/cp-8-89-2012" TargetMode="External" /><Relationship Type="http://schemas.openxmlformats.org/officeDocument/2006/relationships/hyperlink" Id="rId259" Target="http://dx.doi.org/10.5194/essd-12-1823-2020" TargetMode="External" /><Relationship Type="http://schemas.openxmlformats.org/officeDocument/2006/relationships/hyperlink" Id="rId123" Target="http://dx.doi.org/10.5194/nhess-12-699-2012" TargetMode="External" /><Relationship Type="http://schemas.openxmlformats.org/officeDocument/2006/relationships/hyperlink" Id="rId167" Target="http://dx.doi.org/10.5194/nhess-12-927-2012" TargetMode="External" /><Relationship Type="http://schemas.openxmlformats.org/officeDocument/2006/relationships/hyperlink" Id="rId321" Target="http://dx.doi.org/10.5194/nhess-14-1477-2014" TargetMode="External" /><Relationship Type="http://schemas.openxmlformats.org/officeDocument/2006/relationships/hyperlink" Id="rId175" Target="http://dx.doi.org/10.5194/nhess-15-1407-2015" TargetMode="External" /><Relationship Type="http://schemas.openxmlformats.org/officeDocument/2006/relationships/hyperlink" Id="rId173" Target="http://dx.doi.org/10.5194/nhess-20-1123-2020" TargetMode="External" /><Relationship Type="http://schemas.openxmlformats.org/officeDocument/2006/relationships/hyperlink" Id="rId299" Target="http://dx.doi.org/10.5558/tfc65450-6" TargetMode="External" /><Relationship Type="http://schemas.openxmlformats.org/officeDocument/2006/relationships/hyperlink" Id="rId333" Target="https://CRAN.R-project.org/package=cffdrs" TargetMode="External" /><Relationship Type="http://schemas.openxmlformats.org/officeDocument/2006/relationships/hyperlink" Id="rId193" Target="https://catalogue.data.gov.bc.ca/dataset/bc-major-watersheds" TargetMode="External" /><Relationship Type="http://schemas.openxmlformats.org/officeDocument/2006/relationships/hyperlink" Id="rId115" Target="https://catalogue.data.gov.bc.ca/dataset/bc-wildfire-active-weather-stations" TargetMode="External" /><Relationship Type="http://schemas.openxmlformats.org/officeDocument/2006/relationships/hyperlink" Id="rId113" Target="https://catalogue.data.gov.bc.ca/dataset/bc-wildfire-fire-incident-locations-historical" TargetMode="External" /><Relationship Type="http://schemas.openxmlformats.org/officeDocument/2006/relationships/hyperlink" Id="rId117" Target="https://catalogue.data.gov.bc.ca/dataset/bc-wildfire-psta-head-fire-intensity" TargetMode="External" /><Relationship Type="http://schemas.openxmlformats.org/officeDocument/2006/relationships/hyperlink" Id="rId189" Target="https://catalogue.data.gov.bc.ca/dataset/freshwater-atlas-lakes" TargetMode="External" /><Relationship Type="http://schemas.openxmlformats.org/officeDocument/2006/relationships/hyperlink" Id="rId191" Target="https://catalogue.data.gov.bc.ca/dataset/freshwater-atlas-stream-network" TargetMode="External" /><Relationship Type="http://schemas.openxmlformats.org/officeDocument/2006/relationships/hyperlink" Id="rId187" Target="https://catalogue.data.gov.bc.ca/dataset/freshwater-atlas-watershed-groups" TargetMode="External" /><Relationship Type="http://schemas.openxmlformats.org/officeDocument/2006/relationships/hyperlink" Id="rId201" Target="https://catalogue.data.gov.bc.ca/dataset/municipalities-legally-defined-administrative-areas-of-bc" TargetMode="External" /><Relationship Type="http://schemas.openxmlformats.org/officeDocument/2006/relationships/hyperlink" Id="rId171" Target="https://catalogue.data.gov.bc.ca/dataset/water-survey-of-canada-sub-sub-drainage-areas" TargetMode="External" /><Relationship Type="http://schemas.openxmlformats.org/officeDocument/2006/relationships/hyperlink" Id="rId351" Target="https://doi.org/10.1002/env.2278" TargetMode="External" /><Relationship Type="http://schemas.openxmlformats.org/officeDocument/2006/relationships/hyperlink" Id="rId207" Target="https://doi.org/10.1016/S0022-1694(97)00125-X" TargetMode="External" /><Relationship Type="http://schemas.openxmlformats.org/officeDocument/2006/relationships/hyperlink" Id="rId363" Target="https://doi.org/10.1029/2001WR000861" TargetMode="External" /><Relationship Type="http://schemas.openxmlformats.org/officeDocument/2006/relationships/hyperlink" Id="rId237" Target="https://doi.org/10.1029/2018EF001050" TargetMode="External" /><Relationship Type="http://schemas.openxmlformats.org/officeDocument/2006/relationships/hyperlink" Id="rId227" Target="https://doi.org/10.1038/s41467-024-51154-7" TargetMode="External" /><Relationship Type="http://schemas.openxmlformats.org/officeDocument/2006/relationships/hyperlink" Id="rId273" Target="https://doi.org/10.1038/s43247-023-00977-1" TargetMode="External" /><Relationship Type="http://schemas.openxmlformats.org/officeDocument/2006/relationships/hyperlink" Id="rId295" Target="https://doi.org/10.1080/01621459.1968.10480934" TargetMode="External" /><Relationship Type="http://schemas.openxmlformats.org/officeDocument/2006/relationships/hyperlink" Id="rId263" Target="https://doi.org/10.1111/j.1365-2486.2009.02061.x" TargetMode="External" /><Relationship Type="http://schemas.openxmlformats.org/officeDocument/2006/relationships/hyperlink" Id="rId129" Target="https://doi.org/10.1111/j.2517-6161.1995.tb02031.x" TargetMode="External" /><Relationship Type="http://schemas.openxmlformats.org/officeDocument/2006/relationships/hyperlink" Id="rId209" Target="https://doi.org/10.1139/cjfr-2018-0293" TargetMode="External" /><Relationship Type="http://schemas.openxmlformats.org/officeDocument/2006/relationships/hyperlink" Id="rId119" Target="https://doi.org/10.1139/x89-120" TargetMode="External" /><Relationship Type="http://schemas.openxmlformats.org/officeDocument/2006/relationships/hyperlink" Id="rId197" Target="https://doi.org/10.1175/2008JAMC1996.1" TargetMode="External" /><Relationship Type="http://schemas.openxmlformats.org/officeDocument/2006/relationships/hyperlink" Id="rId335" Target="https://doi.org/10.1186/s13717-017-0070-z" TargetMode="External" /><Relationship Type="http://schemas.openxmlformats.org/officeDocument/2006/relationships/hyperlink" Id="rId251" Target="https://doi.org/10.2307/1907187" TargetMode="External" /><Relationship Type="http://schemas.openxmlformats.org/officeDocument/2006/relationships/hyperlink" Id="rId355" Target="https://doi.org/10.5558/tfc69187-2" TargetMode="External" /><Relationship Type="http://schemas.openxmlformats.org/officeDocument/2006/relationships/hyperlink" Id="rId139" Target="https://github.com/nrcan-cfs-fire/cffdrs-ng" TargetMode="External" /><Relationship Type="http://schemas.openxmlformats.org/officeDocument/2006/relationships/hyperlink" Id="rId265" Target="https://github.com/seamusrobertmurphy/wildfire-fuel-mapping-CFFDRS-2.0" TargetMode="External" /><Relationship Type="http://schemas.openxmlformats.org/officeDocument/2006/relationships/hyperlink" Id="rId245" Target="https://ostrnrcan-dostrncan.canada.ca/handle/1845/219568" TargetMode="External" /><Relationship Type="http://schemas.openxmlformats.org/officeDocument/2006/relationships/hyperlink" Id="rId318" Target="https://ostrnrcan-dostrncan.canada.ca/handle/1845/228434" TargetMode="External" /><Relationship Type="http://schemas.openxmlformats.org/officeDocument/2006/relationships/hyperlink" Id="rId181" Target="https://ostrnrcan-dostrncan.canada.ca/handle/1845/235421" TargetMode="External" /><Relationship Type="http://schemas.openxmlformats.org/officeDocument/2006/relationships/hyperlink" Id="rId275" Target="https://publications.gc.ca/collections/collection_2019/rncan-nrcan/Fo143-2-444-eng.pdf" TargetMode="External" /><Relationship Type="http://schemas.openxmlformats.org/officeDocument/2006/relationships/hyperlink" Id="rId137" Target="https://publications.gc.ca/collections/collection_2026/rncan-nrcan/Fo123-2-42-2025-eng.pdf" TargetMode="External" /><Relationship Type="http://schemas.openxmlformats.org/officeDocument/2006/relationships/hyperlink" Id="rId105" Target="https://registry.opendata.aws/terrain-tiles/" TargetMode="External" /><Relationship Type="http://schemas.openxmlformats.org/officeDocument/2006/relationships/hyperlink" Id="rId111" Target="https://www.for.gov.bc.ca/ftp/HPR/external/!publish/BCWS_DATA_MART/" TargetMode="External" /><Relationship Type="http://schemas.openxmlformats.org/officeDocument/2006/relationships/hyperlink" Id="rId97" Target="https://www2.gov.bc.ca/assets/gov/public-safety-and-emergency-services/emergency-preparedness-response-recovery/embc/bc-flood-and-wildfire-review-addressing-the-new-normal-21st-century-disaster-management-in-bc-web.pdf" TargetMode="External" /><Relationship Type="http://schemas.openxmlformats.org/officeDocument/2006/relationships/hyperlink" Id="rId177" Target="https://www2.gov.bc.ca/assets/gov/public-safety-and-emergency-services/wildfire-status/governance/bcws_firestormreport_2003.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36</Pages>
  <Words>13130</Words>
  <Characters>74843</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Version-contingent fire danger trends in the Okanagan basin</dc:title>
  <dc:creator>Seamus Murphy</dc:creator>
  <cp:keywords/>
  <dcterms:created xsi:type="dcterms:W3CDTF">2026-09-13T04:49:27Z</dcterms:created>
  <dcterms:modified xsi:type="dcterms:W3CDTF">2026-09-13T04:49:27Z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../04.references/references.bib</vt:lpwstr>
  </property>
  <property fmtid="{D5CDD505-2E9C-101B-9397-08002B2CF9AE}" pid="5" name="by-author">
    <vt:lpwstr/>
  </property>
  <property fmtid="{D5CDD505-2E9C-101B-9397-08002B2CF9AE}" pid="6" name="csl">
    <vt:lpwstr>../04.references/apa.csl</vt:lpwstr>
  </property>
  <property fmtid="{D5CDD505-2E9C-101B-9397-08002B2CF9AE}" pid="7" name="date">
    <vt:lpwstr>2026-09-12</vt:lpwstr>
  </property>
  <property fmtid="{D5CDD505-2E9C-101B-9397-08002B2CF9AE}" pid="8" name="editor">
    <vt:lpwstr>visual</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subtitle">
    <vt:lpwstr>What the 2025 update to the Canadian Forest Fire Weather Index System does to a trend estimate</vt:lpwstr>
  </property>
  <property fmtid="{D5CDD505-2E9C-101B-9397-08002B2CF9AE}" pid="15" name="toc-title">
    <vt:lpwstr>Table of contents</vt:lpwstr>
  </property>
</Properties>
</file>