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37.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Disaggregated uncertainties of natural and anthropogenic fire emissions in Canada’s greenhouse gas reporting</w:t>
      </w:r>
    </w:p>
    <w:p>
      <w:pPr>
        <w:pStyle w:val="Subtitle"/>
      </w:pPr>
      <w:r>
        <w:t xml:space="preserve">Assessing the crediting balance of IPCC method updates to reported uncertainty in the era of megafire emissions accounting</w:t>
      </w:r>
    </w:p>
    <w:p>
      <w:pPr>
        <w:pStyle w:val="Author"/>
      </w:pPr>
      <w:r>
        <w:t xml:space="preserve">Seamus Murphy</w:t>
      </w:r>
    </w:p>
    <w:p>
      <w:pPr>
        <w:pStyle w:val="Date"/>
      </w:pPr>
      <w:r>
        <w:t xml:space="preserve">2026-10-22</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fig.path =</w:t>
      </w:r>
      <w:r>
        <w:rPr>
          <w:rStyle w:val="NormalTok"/>
        </w:rPr>
        <w:t xml:space="preserve"> </w:t>
      </w:r>
      <w:r>
        <w:rPr>
          <w:rStyle w:val="StringTok"/>
        </w:rPr>
        <w:t xml:space="preserve">"../03.outputs/PNG/"</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dev =</w:t>
      </w:r>
      <w:r>
        <w:rPr>
          <w:rStyle w:val="NormalTok"/>
        </w:rPr>
        <w:t xml:space="preserve"> </w:t>
      </w:r>
      <w:r>
        <w:rPr>
          <w:rStyle w:val="StringTok"/>
        </w:rPr>
        <w:t xml:space="preserve">"png"</w:t>
      </w:r>
      <w:r>
        <w:rPr>
          <w:rStyle w:val="NormalTok"/>
        </w:rPr>
        <w:t xml:space="preserve">)</w:t>
      </w:r>
      <w:r>
        <w:br/>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flextable</w:t>
      </w:r>
      <w:r>
        <w:rPr>
          <w:rStyle w:val="SpecialCharTok"/>
        </w:rPr>
        <w:t xml:space="preserve">::</w:t>
      </w:r>
      <w:r>
        <w:rPr>
          <w:rStyle w:val="FunctionTok"/>
        </w:rPr>
        <w:t xml:space="preserve">flextable</w:t>
      </w:r>
      <w:r>
        <w:rPr>
          <w:rStyle w:val="NormalTok"/>
        </w:rPr>
        <w:t xml:space="preserve">(df)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right,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colformat_int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padding</w:t>
      </w:r>
      <w:r>
        <w:rPr>
          <w:rStyle w:val="NormalTok"/>
        </w:rPr>
        <w:t xml:space="preserve">(</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th </w:t>
      </w:r>
      <w:r>
        <w:rPr>
          <w:rStyle w:val="OtherTok"/>
        </w:rPr>
        <w:t xml:space="preserve">&lt;-</w:t>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p>
    <w:p>
      <w:pPr>
        <w:pStyle w:val="SourceCode"/>
      </w:pPr>
      <w:r>
        <w:rPr>
          <w:rStyle w:val="CommentTok"/>
        </w:rPr>
        <w:t xml:space="preserve"># FAOSTAT Emissions from Fires (domain GI), FAO, Rome</w:t>
      </w:r>
      <w:r>
        <w:br/>
      </w:r>
      <w:r>
        <w:rPr>
          <w:rStyle w:val="CommentTok"/>
        </w:rPr>
        <w:t xml:space="preserve"># https://www.fao.org/faostat/en/#data/GI</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"02.inputs/faostat/canada-fires.csv"</w:t>
      </w:r>
      <w:r>
        <w:rPr>
          <w:rStyle w:val="NormalTok"/>
        </w:rPr>
        <w:t xml:space="preserve">) </w:t>
      </w:r>
      <w:r>
        <w:rPr>
          <w:rStyle w:val="SpecialCharTok"/>
        </w:rPr>
        <w:t xml:space="preserve">&amp;&amp;</w:t>
      </w:r>
      <w:r>
        <w:br/>
      </w:r>
      <w:r>
        <w:rPr>
          <w:rStyle w:val="NormalTok"/>
        </w:rPr>
        <w:t xml:space="preserve">    </w:t>
      </w: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"FAOSTAT_USER"</w:t>
      </w:r>
      <w:r>
        <w:rPr>
          <w:rStyle w:val="NormalTok"/>
        </w:rPr>
        <w:t xml:space="preserve">)) </w:t>
      </w:r>
      <w:r>
        <w:rPr>
          <w:rStyle w:val="SpecialCharTok"/>
        </w:rPr>
        <w:t xml:space="preserve">&amp;&amp;</w:t>
      </w:r>
      <w:r>
        <w:rPr>
          <w:rStyle w:val="NormalTok"/>
        </w:rPr>
        <w:t xml:space="preserve"> </w:t>
      </w: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"FAOSTAT_PASSWORD"</w:t>
      </w:r>
      <w:r>
        <w:rPr>
          <w:rStyle w:val="NormalTok"/>
        </w:rPr>
        <w:t xml:space="preserve">))) {</w:t>
      </w:r>
      <w:r>
        <w:br/>
      </w:r>
      <w:r>
        <w:rPr>
          <w:rStyle w:val="NormalTok"/>
        </w:rPr>
        <w:t xml:space="preserve">  login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"https://faostatservices.fao.org/api/v1/auth/login"</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req_body_form</w:t>
      </w:r>
      <w:r>
        <w:rPr>
          <w:rStyle w:val="NormalTok"/>
        </w:rPr>
        <w:t xml:space="preserve">(</w:t>
      </w:r>
      <w:r>
        <w:rPr>
          <w:rStyle w:val="AttributeTok"/>
        </w:rPr>
        <w:t xml:space="preserve">username =</w:t>
      </w:r>
      <w:r>
        <w:rPr>
          <w:rStyle w:val="NormalTok"/>
        </w:rPr>
        <w:t xml:space="preserve"> </w:t>
      </w:r>
      <w:r>
        <w:rPr>
          <w:rStyle w:val="FunctionTok"/>
        </w:rPr>
        <w:t xml:space="preserve">Sys.getenv</w:t>
      </w:r>
      <w:r>
        <w:rPr>
          <w:rStyle w:val="NormalTok"/>
        </w:rPr>
        <w:t xml:space="preserve">(</w:t>
      </w:r>
      <w:r>
        <w:rPr>
          <w:rStyle w:val="StringTok"/>
        </w:rPr>
        <w:t xml:space="preserve">"FAOSTAT_USER"</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FunctionTok"/>
        </w:rPr>
        <w:t xml:space="preserve">Sys.getenv</w:t>
      </w:r>
      <w:r>
        <w:rPr>
          <w:rStyle w:val="NormalTok"/>
        </w:rPr>
        <w:t xml:space="preserve">(</w:t>
      </w:r>
      <w:r>
        <w:rPr>
          <w:rStyle w:val="StringTok"/>
        </w:rPr>
        <w:t xml:space="preserve">"FAOSTAT_PASSWORD"</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"https://faostatservices.fao.org/api/v1/en/data/GI"</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area =</w:t>
      </w:r>
      <w:r>
        <w:rPr>
          <w:rStyle w:val="NormalTok"/>
        </w:rPr>
        <w:t xml:space="preserve"> </w:t>
      </w:r>
      <w:r>
        <w:rPr>
          <w:rStyle w:val="StringTok"/>
        </w:rPr>
        <w:t xml:space="preserve">"33"</w:t>
      </w:r>
      <w:r>
        <w:rPr>
          <w:rStyle w:val="NormalTok"/>
        </w:rPr>
        <w:t xml:space="preserve">, </w:t>
      </w:r>
      <w:r>
        <w:rPr>
          <w:rStyle w:val="AttributeTok"/>
        </w:rPr>
        <w:t xml:space="preserve">area_cs =</w:t>
      </w:r>
      <w:r>
        <w:rPr>
          <w:rStyle w:val="NormalTok"/>
        </w:rPr>
        <w:t xml:space="preserve"> </w:t>
      </w:r>
      <w:r>
        <w:rPr>
          <w:rStyle w:val="StringTok"/>
        </w:rPr>
        <w:t xml:space="preserve">"FAO"</w:t>
      </w:r>
      <w:r>
        <w:rPr>
          <w:rStyle w:val="NormalTok"/>
        </w:rPr>
        <w:t xml:space="preserve">, </w:t>
      </w:r>
      <w:r>
        <w:rPr>
          <w:rStyle w:val="AttributeTok"/>
        </w:rPr>
        <w:t xml:space="preserve">output_type =</w:t>
      </w:r>
      <w:r>
        <w:rPr>
          <w:rStyle w:val="NormalTok"/>
        </w:rPr>
        <w:t xml:space="preserve"> </w:t>
      </w:r>
      <w:r>
        <w:rPr>
          <w:rStyle w:val="StringTok"/>
        </w:rPr>
        <w:t xml:space="preserve">"csv"</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req_auth_bearer_token</w:t>
      </w:r>
      <w:r>
        <w:rPr>
          <w:rStyle w:val="NormalTok"/>
        </w:rPr>
        <w:t xml:space="preserve">(login</w:t>
      </w:r>
      <w:r>
        <w:rPr>
          <w:rStyle w:val="SpecialCharTok"/>
        </w:rPr>
        <w:t xml:space="preserve">$</w:t>
      </w:r>
      <w:r>
        <w:rPr>
          <w:rStyle w:val="NormalTok"/>
        </w:rPr>
        <w:t xml:space="preserve">AuthenticationResult</w:t>
      </w:r>
      <w:r>
        <w:rPr>
          <w:rStyle w:val="SpecialCharTok"/>
        </w:rPr>
        <w:t xml:space="preserve">$</w:t>
      </w:r>
      <w:r>
        <w:rPr>
          <w:rStyle w:val="NormalTok"/>
        </w:rPr>
        <w:t xml:space="preserve">AccessToken)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w:t>
      </w:r>
      <w:r>
        <w:rPr>
          <w:rStyle w:val="AttributeTok"/>
        </w:rPr>
        <w:t xml:space="preserve">path =</w:t>
      </w:r>
      <w:r>
        <w:rPr>
          <w:rStyle w:val="NormalTok"/>
        </w:rPr>
        <w:t xml:space="preserve"> </w:t>
      </w:r>
      <w:r>
        <w:rPr>
          <w:rStyle w:val="StringTok"/>
        </w:rPr>
        <w:t xml:space="preserve">"02.inputs/faostat/canada-fires.csv"</w:t>
      </w:r>
      <w:r>
        <w:rPr>
          <w:rStyle w:val="NormalTok"/>
        </w:rPr>
        <w:t xml:space="preserve">)</w:t>
      </w:r>
      <w:r>
        <w:br/>
      </w:r>
      <w:r>
        <w:rPr>
          <w:rStyle w:val="NormalTok"/>
        </w:rPr>
        <w:t xml:space="preserve">}</w:t>
      </w:r>
      <w:r>
        <w:br/>
      </w:r>
      <w:r>
        <w:br/>
      </w:r>
      <w:r>
        <w:rPr>
          <w:rStyle w:val="NormalTok"/>
        </w:rPr>
        <w:t xml:space="preserve">fires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"02.inputs/faostat/canada-fires.csv"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item =</w:t>
      </w:r>
      <w:r>
        <w:rPr>
          <w:rStyle w:val="NormalTok"/>
        </w:rPr>
        <w:t xml:space="preserve"> Item, </w:t>
      </w:r>
      <w:r>
        <w:rPr>
          <w:rStyle w:val="AttributeTok"/>
        </w:rPr>
        <w:t xml:space="preserve">element =</w:t>
      </w:r>
      <w:r>
        <w:rPr>
          <w:rStyle w:val="NormalTok"/>
        </w:rPr>
        <w:t xml:space="preserve"> Element, </w:t>
      </w:r>
      <w:r>
        <w:rPr>
          <w:rStyle w:val="AttributeTok"/>
        </w:rPr>
        <w:t xml:space="preserve">year =</w:t>
      </w:r>
      <w:r>
        <w:rPr>
          <w:rStyle w:val="NormalTok"/>
        </w:rPr>
        <w:t xml:space="preserve"> Year, </w:t>
      </w:r>
      <w:r>
        <w:rPr>
          <w:rStyle w:val="AttributeTok"/>
        </w:rPr>
        <w:t xml:space="preserve">source =</w:t>
      </w:r>
      <w:r>
        <w:rPr>
          <w:rStyle w:val="NormalTok"/>
        </w:rPr>
        <w:t xml:space="preserve"> Source,</w:t>
      </w:r>
      <w:r>
        <w:br/>
      </w:r>
      <w:r>
        <w:rPr>
          <w:rStyle w:val="NormalTok"/>
        </w:rPr>
        <w:t xml:space="preserve">                </w:t>
      </w:r>
      <w:r>
        <w:rPr>
          <w:rStyle w:val="AttributeTok"/>
        </w:rPr>
        <w:t xml:space="preserve">value =</w:t>
      </w:r>
      <w:r>
        <w:rPr>
          <w:rStyle w:val="NormalTok"/>
        </w:rPr>
        <w:t xml:space="preserve"> Value, </w:t>
      </w:r>
      <w:r>
        <w:rPr>
          <w:rStyle w:val="AttributeTok"/>
        </w:rPr>
        <w:t xml:space="preserve">unit =</w:t>
      </w:r>
      <w:r>
        <w:rPr>
          <w:rStyle w:val="NormalTok"/>
        </w:rPr>
        <w:t xml:space="preserve"> Unit, </w:t>
      </w:r>
      <w:r>
        <w:rPr>
          <w:rStyle w:val="AttributeTok"/>
        </w:rPr>
        <w:t xml:space="preserve">flag =</w:t>
      </w:r>
      <w:r>
        <w:rPr>
          <w:rStyle w:val="NormalTok"/>
        </w:rPr>
        <w:t xml:space="preserve"> Flag)</w:t>
      </w:r>
      <w:r>
        <w:br/>
      </w:r>
      <w:r>
        <w:br/>
      </w:r>
      <w:r>
        <w:rPr>
          <w:rStyle w:val="NormalTok"/>
        </w:rPr>
        <w:t xml:space="preserve">forest_co2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"Forest fires"</w:t>
      </w:r>
      <w:r>
        <w:rPr>
          <w:rStyle w:val="NormalTok"/>
        </w:rPr>
        <w:t xml:space="preserve">, element </w:t>
      </w:r>
      <w:r>
        <w:rPr>
          <w:rStyle w:val="SpecialCharTok"/>
        </w:rPr>
        <w:t xml:space="preserve">==</w:t>
      </w:r>
      <w:r>
        <w:rPr>
          <w:rStyle w:val="NormalTok"/>
        </w:rPr>
        <w:t xml:space="preserve"> </w:t>
      </w:r>
      <w:r>
        <w:rPr>
          <w:rStyle w:val="StringTok"/>
        </w:rPr>
        <w:t xml:space="preserve">"Emissions (CO2)"</w:t>
      </w:r>
      <w:r>
        <w:rPr>
          <w:rStyle w:val="NormalTok"/>
        </w:rPr>
        <w:t xml:space="preserve">, source </w:t>
      </w:r>
      <w:r>
        <w:rPr>
          <w:rStyle w:val="SpecialCharTok"/>
        </w:rPr>
        <w:t xml:space="preserve">==</w:t>
      </w:r>
      <w:r>
        <w:rPr>
          <w:rStyle w:val="NormalTok"/>
        </w:rPr>
        <w:t xml:space="preserve"> </w:t>
      </w:r>
      <w:r>
        <w:rPr>
          <w:rStyle w:val="StringTok"/>
        </w:rPr>
        <w:t xml:space="preserve">"FAO TIER 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(year, </w:t>
      </w:r>
      <w:r>
        <w:rPr>
          <w:rStyle w:val="AttributeTok"/>
        </w:rPr>
        <w:t xml:space="preserve">co2 =</w:t>
      </w:r>
      <w:r>
        <w:rPr>
          <w:rStyle w:val="NormalTok"/>
        </w:rPr>
        <w:t xml:space="preserve"> value)</w:t>
      </w:r>
      <w:r>
        <w:br/>
      </w:r>
      <w:r>
        <w:br/>
      </w:r>
      <w:r>
        <w:rPr>
          <w:rStyle w:val="NormalTok"/>
        </w:rPr>
        <w:t xml:space="preserve">forest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"Forest fires"</w:t>
      </w:r>
      <w:r>
        <w:rPr>
          <w:rStyle w:val="NormalTok"/>
        </w:rPr>
        <w:t xml:space="preserve">, source </w:t>
      </w:r>
      <w:r>
        <w:rPr>
          <w:rStyle w:val="SpecialCharTok"/>
        </w:rPr>
        <w:t xml:space="preserve">==</w:t>
      </w:r>
      <w:r>
        <w:rPr>
          <w:rStyle w:val="NormalTok"/>
        </w:rPr>
        <w:t xml:space="preserve"> </w:t>
      </w:r>
      <w:r>
        <w:rPr>
          <w:rStyle w:val="StringTok"/>
        </w:rPr>
        <w:t xml:space="preserve">"FAO TIER 1"</w:t>
      </w:r>
      <w:r>
        <w:rPr>
          <w:rStyle w:val="NormalTok"/>
        </w:rPr>
        <w:t xml:space="preserve">,</w:t>
      </w:r>
      <w:r>
        <w:br/>
      </w:r>
      <w:r>
        <w:rPr>
          <w:rStyle w:val="NormalTok"/>
        </w:rPr>
        <w:t xml:space="preserve">                element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"Burned Area"</w:t>
      </w:r>
      <w:r>
        <w:rPr>
          <w:rStyle w:val="NormalTok"/>
        </w:rPr>
        <w:t xml:space="preserve">, </w:t>
      </w:r>
      <w:r>
        <w:rPr>
          <w:rStyle w:val="StringTok"/>
        </w:rPr>
        <w:t xml:space="preserve">"Emissions (CO2)"</w:t>
      </w:r>
      <w:r>
        <w:rPr>
          <w:rStyle w:val="NormalTok"/>
        </w:rPr>
        <w:t xml:space="preserve">, </w:t>
      </w:r>
      <w:r>
        <w:rPr>
          <w:rStyle w:val="StringTok"/>
        </w:rPr>
        <w:t xml:space="preserve">"Emissions (CH4)"</w:t>
      </w:r>
      <w:r>
        <w:rPr>
          <w:rStyle w:val="NormalTok"/>
        </w:rPr>
        <w:t xml:space="preserve">), year </w:t>
      </w:r>
      <w:r>
        <w:rPr>
          <w:rStyle w:val="SpecialCharTok"/>
        </w:rPr>
        <w:t xml:space="preserve">&gt;=</w:t>
      </w:r>
      <w:r>
        <w:rPr>
          <w:rStyle w:val="NormalTok"/>
        </w:rPr>
        <w:t xml:space="preserve"> </w:t>
      </w:r>
      <w:r>
        <w:rPr>
          <w:rStyle w:val="DecValTok"/>
        </w:rPr>
        <w:t xml:space="preserve">2001</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element,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Burned Area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CO2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Emissions (CO2)</w:t>
      </w:r>
      <w:r>
        <w:rPr>
          <w:rStyle w:val="StringTok"/>
        </w:rPr>
        <w:t xml:space="preserve">`</w:t>
      </w:r>
      <w:r>
        <w:rPr>
          <w:rStyle w:val="NormalTok"/>
        </w:rPr>
        <w:t xml:space="preserve">, </w:t>
      </w:r>
      <w:r>
        <w:rPr>
          <w:rStyle w:val="StringTok"/>
        </w:rPr>
        <w:t xml:space="preserve">`</w:t>
      </w:r>
      <w:r>
        <w:rPr>
          <w:rStyle w:val="AttributeTok"/>
        </w:rPr>
        <w:t xml:space="preserve">CH4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Emissions (CH4)</w:t>
      </w:r>
      <w:r>
        <w:rPr>
          <w:rStyle w:val="StringTok"/>
        </w:rPr>
        <w:t xml:space="preserve">`</w:t>
      </w:r>
      <w:r>
        <w:rPr>
          <w:rStyle w:val="NormalTok"/>
        </w:rPr>
        <w:t xml:space="preserve">)</w:t>
      </w:r>
      <w:r>
        <w:br/>
      </w:r>
      <w:r>
        <w:br/>
      </w:r>
      <w:r>
        <w:rPr>
          <w:rStyle w:val="NormalTok"/>
        </w:rPr>
        <w:t xml:space="preserve">gap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"Other forest"</w:t>
      </w:r>
      <w:r>
        <w:rPr>
          <w:rStyle w:val="NormalTok"/>
        </w:rPr>
        <w:t xml:space="preserve">, element </w:t>
      </w:r>
      <w:r>
        <w:rPr>
          <w:rStyle w:val="SpecialCharTok"/>
        </w:rPr>
        <w:t xml:space="preserve">==</w:t>
      </w:r>
      <w:r>
        <w:rPr>
          <w:rStyle w:val="NormalTok"/>
        </w:rPr>
        <w:t xml:space="preserve"> </w:t>
      </w:r>
      <w:r>
        <w:rPr>
          <w:rStyle w:val="StringTok"/>
        </w:rPr>
        <w:t xml:space="preserve">"Emissions (CO2)"</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source,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(UNFCCC))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FAO Tier 1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tringTok"/>
        </w:rPr>
        <w:t xml:space="preserve">`</w:t>
      </w:r>
      <w:r>
        <w:rPr>
          <w:rStyle w:val="AttributeTok"/>
        </w:rPr>
        <w:t xml:space="preserve">UNFCCC (kt)</w:t>
      </w:r>
      <w:r>
        <w:rPr>
          <w:rStyle w:val="StringTok"/>
        </w:rPr>
        <w:t xml:space="preserve">`</w:t>
      </w:r>
      <w:r>
        <w:rPr>
          <w:rStyle w:val="NormalTok"/>
        </w:rPr>
        <w:t xml:space="preserve"> </w:t>
      </w:r>
      <w:r>
        <w:rPr>
          <w:rStyle w:val="OtherTok"/>
        </w:rPr>
        <w:t xml:space="preserve">=</w:t>
      </w:r>
      <w:r>
        <w:rPr>
          <w:rStyle w:val="NormalTok"/>
        </w:rPr>
        <w:t xml:space="preserve"> UNFCCC,</w:t>
      </w:r>
      <w:r>
        <w:br/>
      </w:r>
      <w:r>
        <w:rPr>
          <w:rStyle w:val="NormalTok"/>
        </w:rPr>
        <w:t xml:space="preserve">                   </w:t>
      </w:r>
      <w:r>
        <w:rPr>
          <w:rStyle w:val="AttributeTok"/>
        </w:rPr>
        <w:t xml:space="preserve">Ratio =</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pecialCharTok"/>
        </w:rPr>
        <w:t xml:space="preserve">/</w:t>
      </w:r>
      <w:r>
        <w:rPr>
          <w:rStyle w:val="NormalTok"/>
        </w:rPr>
        <w:t xml:space="preserve"> UNFCCC, </w:t>
      </w:r>
      <w:r>
        <w:rPr>
          <w:rStyle w:val="DecValTok"/>
        </w:rPr>
        <w:t xml:space="preserve">1</w:t>
      </w:r>
      <w:r>
        <w:rPr>
          <w:rStyle w:val="NormalTok"/>
        </w:rPr>
        <w:t xml:space="preserve">))</w:t>
      </w:r>
      <w:r>
        <w:br/>
      </w:r>
      <w:r>
        <w:br/>
      </w:r>
      <w:r>
        <w:rPr>
          <w:rStyle w:val="CommentTok"/>
        </w:rPr>
        <w:t xml:space="preserve"># FAO AllFires_OrganicSoils, related document of FAOSTAT Emissions from Fires (GI)</w:t>
      </w:r>
      <w:r>
        <w:br/>
      </w:r>
      <w:r>
        <w:rPr>
          <w:rStyle w:val="CommentTok"/>
        </w:rPr>
        <w:t xml:space="preserve"># https://www.fao.org/faostat/en/#data/GI</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"02.inputs/faostat/organic-soil-fires.csv"</w:t>
      </w:r>
      <w:r>
        <w:rPr>
          <w:rStyle w:val="NormalTok"/>
        </w:rPr>
        <w:t xml:space="preserve">)) {</w:t>
      </w:r>
      <w:r>
        <w:br/>
      </w:r>
      <w:r>
        <w:rPr>
          <w:rStyle w:val="NormalTok"/>
        </w:rPr>
        <w:t xml:space="preserve">  flat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\n</w:t>
      </w:r>
      <w:r>
        <w:rPr>
          <w:rStyle w:val="StringTok"/>
        </w:rPr>
        <w:t xml:space="preserv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paste</w:t>
      </w:r>
      <w:r>
        <w:rPr>
          <w:rStyle w:val="NormalTok"/>
        </w:rPr>
        <w:t xml:space="preserve">(pdftools</w:t>
      </w:r>
      <w:r>
        <w:rPr>
          <w:rStyle w:val="SpecialCharTok"/>
        </w:rPr>
        <w:t xml:space="preserve">::</w:t>
      </w:r>
      <w:r>
        <w:rPr>
          <w:rStyle w:val="FunctionTok"/>
        </w:rPr>
        <w:t xml:space="preserve">pdf_text</w:t>
      </w:r>
      <w:r>
        <w:rPr>
          <w:rStyle w:val="NormalTok"/>
        </w:rPr>
        <w:t xml:space="preserve">(</w:t>
      </w:r>
      <w:r>
        <w:rPr>
          <w:rStyle w:val="StringTok"/>
        </w:rPr>
        <w:t xml:space="preserve">"02.inputs/faostat/raw/AllFires_OrganicSoils.pdf"</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rx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"[0-9]+,(?:</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|[^,]*),6993,Fires in organic soils,"</w:t>
      </w:r>
      <w:r>
        <w:rPr>
          <w:rStyle w:val="NormalTok"/>
        </w:rPr>
        <w:t xml:space="preserve">,</w:t>
      </w:r>
      <w:r>
        <w:br/>
      </w:r>
      <w:r>
        <w:rPr>
          <w:rStyle w:val="NormalTok"/>
        </w:rPr>
        <w:t xml:space="preserve">               </w:t>
      </w:r>
      <w:r>
        <w:rPr>
          <w:rStyle w:val="StringTok"/>
        </w:rPr>
        <w:t xml:space="preserve">"(?:CH4 emissions|CO2 emissions|Burned Area|Biomass burned [(]dry matter[)]),"</w:t>
      </w:r>
      <w:r>
        <w:rPr>
          <w:rStyle w:val="NormalTok"/>
        </w:rPr>
        <w:t xml:space="preserve">,</w:t>
      </w:r>
      <w:r>
        <w:br/>
      </w:r>
      <w:r>
        <w:rPr>
          <w:rStyle w:val="NormalTok"/>
        </w:rPr>
        <w:t xml:space="preserve">               </w:t>
      </w:r>
      <w:r>
        <w:rPr>
          <w:rStyle w:val="StringTok"/>
        </w:rPr>
        <w:t xml:space="preserve">"[0-9]{4},[0-9.eE+-]+,(?:ha|tonnes|kilotonnes)"</w:t>
      </w:r>
      <w:r>
        <w:rPr>
          <w:rStyle w:val="NormalTok"/>
        </w:rPr>
        <w:t xml:space="preserve">)</w:t>
      </w:r>
      <w:r>
        <w:br/>
      </w:r>
      <w:r>
        <w:rPr>
          <w:rStyle w:val="NormalTok"/>
        </w:rPr>
        <w:t xml:space="preserve">  readr</w:t>
      </w:r>
      <w:r>
        <w:rPr>
          <w:rStyle w:val="SpecialCharTok"/>
        </w:rPr>
        <w:t xml:space="preserve">::</w:t>
      </w:r>
      <w:r>
        <w:rPr>
          <w:rStyle w:val="FunctionTok"/>
        </w:rPr>
        <w:t xml:space="preserve">write_lines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"area_code,area,item_code,item,element,year,value,unit"</w:t>
      </w:r>
      <w:r>
        <w:rPr>
          <w:rStyle w:val="NormalTok"/>
        </w:rPr>
        <w:t xml:space="preserve">,</w:t>
      </w:r>
      <w:r>
        <w:br/>
      </w:r>
      <w:r>
        <w:rPr>
          <w:rStyle w:val="NormalTok"/>
        </w:rPr>
        <w:t xml:space="preserve">      </w:t>
      </w:r>
      <w:r>
        <w:rPr>
          <w:rStyle w:val="FunctionTok"/>
        </w:rPr>
        <w:t xml:space="preserve">regmatches</w:t>
      </w:r>
      <w:r>
        <w:rPr>
          <w:rStyle w:val="NormalTok"/>
        </w:rPr>
        <w:t xml:space="preserve">(flat, </w:t>
      </w:r>
      <w:r>
        <w:rPr>
          <w:rStyle w:val="FunctionTok"/>
        </w:rPr>
        <w:t xml:space="preserve">gregexpr</w:t>
      </w:r>
      <w:r>
        <w:rPr>
          <w:rStyle w:val="NormalTok"/>
        </w:rPr>
        <w:t xml:space="preserve">(rx, flat))[[</w:t>
      </w:r>
      <w:r>
        <w:rPr>
          <w:rStyle w:val="DecValTok"/>
        </w:rPr>
        <w:t xml:space="preserve">1</w:t>
      </w:r>
      <w:r>
        <w:rPr>
          <w:rStyle w:val="NormalTok"/>
        </w:rPr>
        <w:t xml:space="preserve">]]),</w:t>
      </w:r>
      <w:r>
        <w:br/>
      </w:r>
      <w:r>
        <w:rPr>
          <w:rStyle w:val="NormalTok"/>
        </w:rPr>
        <w:t xml:space="preserve">    </w:t>
      </w:r>
      <w:r>
        <w:rPr>
          <w:rStyle w:val="StringTok"/>
        </w:rPr>
        <w:t xml:space="preserve">"02.inputs/faostat/organic-soil-fires.csv"</w:t>
      </w:r>
      <w:r>
        <w:rPr>
          <w:rStyle w:val="NormalTok"/>
        </w:rPr>
        <w:t xml:space="preserve">)</w:t>
      </w:r>
      <w:r>
        <w:br/>
      </w:r>
      <w:r>
        <w:rPr>
          <w:rStyle w:val="NormalTok"/>
        </w:rPr>
        <w:t xml:space="preserve">}</w:t>
      </w:r>
      <w:r>
        <w:br/>
      </w:r>
      <w:r>
        <w:br/>
      </w:r>
      <w:r>
        <w:rPr>
          <w:rStyle w:val="NormalTok"/>
        </w:rPr>
        <w:t xml:space="preserve">peat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"02.inputs/faostat/organic-soil-fires.csv"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nrow</w:t>
      </w:r>
      <w:r>
        <w:rPr>
          <w:rStyle w:val="NormalTok"/>
        </w:rPr>
        <w:t xml:space="preserve">(peat) </w:t>
      </w:r>
      <w:r>
        <w:rPr>
          <w:rStyle w:val="SpecialCharTok"/>
        </w:rPr>
        <w:t xml:space="preserve">==</w:t>
      </w:r>
      <w:r>
        <w:rPr>
          <w:rStyle w:val="NormalTok"/>
        </w:rPr>
        <w:t xml:space="preserve"> dplyr</w:t>
      </w:r>
      <w:r>
        <w:rPr>
          <w:rStyle w:val="SpecialCharTok"/>
        </w:rPr>
        <w:t xml:space="preserve">::</w:t>
      </w:r>
      <w:r>
        <w:rPr>
          <w:rStyle w:val="FunctionTok"/>
        </w:rPr>
        <w:t xml:space="preserve">n_distinct</w:t>
      </w:r>
      <w:r>
        <w:rPr>
          <w:rStyle w:val="NormalTok"/>
        </w:rPr>
        <w:t xml:space="preserve">(peat</w:t>
      </w:r>
      <w:r>
        <w:rPr>
          <w:rStyle w:val="SpecialCharTok"/>
        </w:rPr>
        <w:t xml:space="preserve">$</w:t>
      </w:r>
      <w:r>
        <w:rPr>
          <w:rStyle w:val="NormalTok"/>
        </w:rPr>
        <w:t xml:space="preserve">area) </w:t>
      </w:r>
      <w:r>
        <w:rPr>
          <w:rStyle w:val="SpecialCharTok"/>
        </w:rPr>
        <w:t xml:space="preserve">*</w:t>
      </w:r>
      <w:r>
        <w:rPr>
          <w:rStyle w:val="NormalTok"/>
        </w:rPr>
        <w:t xml:space="preserve"> dplyr</w:t>
      </w:r>
      <w:r>
        <w:rPr>
          <w:rStyle w:val="SpecialCharTok"/>
        </w:rPr>
        <w:t xml:space="preserve">::</w:t>
      </w:r>
      <w:r>
        <w:rPr>
          <w:rStyle w:val="FunctionTok"/>
        </w:rPr>
        <w:t xml:space="preserve">n_distinct</w:t>
      </w:r>
      <w:r>
        <w:rPr>
          <w:rStyle w:val="NormalTok"/>
        </w:rPr>
        <w:t xml:space="preserve">(peat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canada </w:t>
      </w:r>
      <w:r>
        <w:rPr>
          <w:rStyle w:val="OtherTok"/>
        </w:rPr>
        <w:t xml:space="preserve">&lt;-</w:t>
      </w:r>
      <w:r>
        <w:rPr>
          <w:rStyle w:val="NormalTok"/>
        </w:rPr>
        <w:t xml:space="preserve"> peat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(area </w:t>
      </w:r>
      <w:r>
        <w:rPr>
          <w:rStyle w:val="SpecialCharTok"/>
        </w:rPr>
        <w:t xml:space="preserve">==</w:t>
      </w:r>
      <w:r>
        <w:rPr>
          <w:rStyle w:val="NormalTok"/>
        </w:rPr>
        <w:t xml:space="preserve"> </w:t>
      </w:r>
      <w:r>
        <w:rPr>
          <w:rStyle w:val="StringTok"/>
        </w:rPr>
        <w:t xml:space="preserve">"Canada"</w:t>
      </w:r>
      <w:r>
        <w:rPr>
          <w:rStyle w:val="NormalTok"/>
        </w:rPr>
        <w:t xml:space="preserve">, element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"Burned Area"</w:t>
      </w:r>
      <w:r>
        <w:rPr>
          <w:rStyle w:val="NormalTok"/>
        </w:rPr>
        <w:t xml:space="preserve">, </w:t>
      </w:r>
      <w:r>
        <w:rPr>
          <w:rStyle w:val="StringTok"/>
        </w:rPr>
        <w:t xml:space="preserve">"CO2 emissions"</w:t>
      </w:r>
      <w:r>
        <w:rPr>
          <w:rStyle w:val="NormalTok"/>
        </w:rPr>
        <w:t xml:space="preserve">, </w:t>
      </w:r>
      <w:r>
        <w:rPr>
          <w:rStyle w:val="StringTok"/>
        </w:rPr>
        <w:t xml:space="preserve">"CH4 emissions"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element,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Burned Area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CO2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CO2 emissions</w:t>
      </w:r>
      <w:r>
        <w:rPr>
          <w:rStyle w:val="StringTok"/>
        </w:rPr>
        <w:t xml:space="preserve">`</w:t>
      </w:r>
      <w:r>
        <w:rPr>
          <w:rStyle w:val="NormalTok"/>
        </w:rPr>
        <w:t xml:space="preserve">, </w:t>
      </w:r>
      <w:r>
        <w:rPr>
          <w:rStyle w:val="StringTok"/>
        </w:rPr>
        <w:t xml:space="preserve">`</w:t>
      </w:r>
      <w:r>
        <w:rPr>
          <w:rStyle w:val="AttributeTok"/>
        </w:rPr>
        <w:t xml:space="preserve">CH4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CH4 emissions</w:t>
      </w:r>
      <w:r>
        <w:rPr>
          <w:rStyle w:val="StringTok"/>
        </w:rPr>
        <w:t xml:space="preserve">`</w:t>
      </w:r>
      <w:r>
        <w:rPr>
          <w:rStyle w:val="NormalTok"/>
        </w:rPr>
        <w:t xml:space="preserve">)</w:t>
      </w:r>
      <w:r>
        <w:br/>
      </w:r>
      <w:r>
        <w:br/>
      </w:r>
      <w:r>
        <w:rPr>
          <w:rStyle w:val="NormalTok"/>
        </w:rPr>
        <w:t xml:space="preserve">obs  </w:t>
      </w:r>
      <w:r>
        <w:rPr>
          <w:rStyle w:val="OtherTok"/>
        </w:rPr>
        <w:t xml:space="preserve">&lt;-</w:t>
      </w:r>
      <w:r>
        <w:rPr>
          <w:rStyle w:val="NormalTok"/>
        </w:rPr>
        <w:t xml:space="preserve"> canada[canada</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2001</w:t>
      </w:r>
      <w:r>
        <w:rPr>
          <w:rStyle w:val="NormalTok"/>
        </w:rPr>
        <w:t xml:space="preserve">, ]</w:t>
      </w:r>
      <w:r>
        <w:br/>
      </w:r>
      <w:r>
        <w:rPr>
          <w:rStyle w:val="NormalTok"/>
        </w:rPr>
        <w:t xml:space="preserve">post </w:t>
      </w:r>
      <w:r>
        <w:rPr>
          <w:rStyle w:val="OtherTok"/>
        </w:rPr>
        <w:t xml:space="preserve">&lt;-</w:t>
      </w:r>
      <w:r>
        <w:rPr>
          <w:rStyle w:val="NormalTok"/>
        </w:rPr>
        <w:t xml:space="preserve"> canada[canada</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1996</w:t>
      </w:r>
      <w:r>
        <w:rPr>
          <w:rStyle w:val="NormalTok"/>
        </w:rPr>
        <w:t xml:space="preserve">, ]</w:t>
      </w:r>
      <w:r>
        <w:br/>
      </w:r>
      <w:r>
        <w:rPr>
          <w:rStyle w:val="NormalTok"/>
        </w:rPr>
        <w:t xml:space="preserve">fill </w:t>
      </w:r>
      <w:r>
        <w:rPr>
          <w:rStyle w:val="OtherTok"/>
        </w:rPr>
        <w:t xml:space="preserve">&lt;-</w:t>
      </w:r>
      <w:r>
        <w:rPr>
          <w:rStyle w:val="NormalTok"/>
        </w:rPr>
        <w:t xml:space="preserve"> canada[[</w:t>
      </w:r>
      <w:r>
        <w:rPr>
          <w:rStyle w:val="StringTok"/>
        </w:rPr>
        <w:t xml:space="preserve">"Burned area (ha)"</w:t>
      </w:r>
      <w:r>
        <w:rPr>
          <w:rStyle w:val="NormalTok"/>
        </w:rPr>
        <w:t xml:space="preserve">]][</w:t>
      </w:r>
      <w:r>
        <w:rPr>
          <w:rStyle w:val="DecValTok"/>
        </w:rPr>
        <w:t xml:space="preserve">1</w:t>
      </w:r>
      <w:r>
        <w:rPr>
          <w:rStyle w:val="NormalTok"/>
        </w:rPr>
        <w:t xml:space="preserve">]</w:t>
      </w:r>
      <w:r>
        <w:br/>
      </w:r>
      <w:r>
        <w:br/>
      </w:r>
      <w:r>
        <w:rPr>
          <w:rStyle w:val="CommentTok"/>
        </w:rPr>
        <w:t xml:space="preserve"># Table 6-1, Net Greenhouse Gas Flux Estimates in the Land Use, Land-Use Change and Forestry Sector,</w:t>
      </w:r>
      <w:r>
        <w:br/>
      </w:r>
      <w:r>
        <w:rPr>
          <w:rStyle w:val="CommentTok"/>
        </w:rPr>
        <w:t xml:space="preserve"># All Inventory Years, by province and territory, Environment and Climate Change Canada,</w:t>
      </w:r>
      <w:r>
        <w:br/>
      </w:r>
      <w:r>
        <w:rPr>
          <w:rStyle w:val="CommentTok"/>
        </w:rPr>
        <w:t xml:space="preserve"># National Inventory Report 1990-2024</w:t>
      </w:r>
      <w:r>
        <w:br/>
      </w:r>
      <w:r>
        <w:rPr>
          <w:rStyle w:val="CommentTok"/>
        </w:rPr>
        <w:t xml:space="preserve"># https://data-donnees.az.ec.gc.ca/data/substances/monitor/canada-s-official-greenhouse-gas-inventory/E-LULUCF/?lang=en</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"02.inputs/eccc/lulucf-2026.csv"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"02.inputs/eccc/raw"</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download.file</w:t>
      </w:r>
      <w:r>
        <w:rPr>
          <w:rStyle w:val="NormalTok"/>
        </w:rPr>
        <w:t xml:space="preserve">(</w:t>
      </w:r>
      <w:r>
        <w:rPr>
          <w:rStyle w:val="FunctionTok"/>
        </w:rPr>
        <w:t xml:space="preserve">paste0</w:t>
      </w:r>
      <w:r>
        <w:rPr>
          <w:rStyle w:val="NormalTok"/>
        </w:rPr>
        <w:t xml:space="preserve">(</w:t>
      </w:r>
      <w:r>
        <w:rPr>
          <w:rStyle w:val="StringTok"/>
        </w:rPr>
        <w:t xml:space="preserve">"https://data-donnees.az.ec.gc.ca/api/file?path="</w:t>
      </w:r>
      <w:r>
        <w:rPr>
          <w:rStyle w:val="NormalTok"/>
        </w:rPr>
        <w:t xml:space="preserve">, </w:t>
      </w:r>
      <w:r>
        <w:rPr>
          <w:rStyle w:val="FunctionTok"/>
        </w:rPr>
        <w:t xml:space="preserve">URLencode</w:t>
      </w:r>
      <w:r>
        <w:rPr>
          <w:rStyle w:val="NormalTok"/>
        </w:rPr>
        <w:t xml:space="preserve">(</w:t>
      </w:r>
      <w:r>
        <w:rPr>
          <w:rStyle w:val="StringTok"/>
        </w:rPr>
        <w:t xml:space="preserve">"/substances/monitor/canada-s-official-greenhouse-gas-inventory/E-LULUCF/NIR2026_Table 6-1_All_Years_PTs.xlsx"</w:t>
      </w:r>
      <w:r>
        <w:rPr>
          <w:rStyle w:val="NormalTok"/>
        </w:rPr>
        <w:t xml:space="preserve">, </w:t>
      </w:r>
      <w:r>
        <w:rPr>
          <w:rStyle w:val="AttributeTok"/>
        </w:rPr>
        <w:t xml:space="preserve">reserved =</w:t>
      </w:r>
      <w:r>
        <w:rPr>
          <w:rStyle w:val="NormalTok"/>
        </w:rPr>
        <w:t xml:space="preserve"> </w:t>
      </w:r>
      <w:r>
        <w:rPr>
          <w:rStyle w:val="ConstantTok"/>
        </w:rPr>
        <w:t xml:space="preserve">TRUE</w:t>
      </w:r>
      <w:r>
        <w:rPr>
          <w:rStyle w:val="NormalTok"/>
        </w:rPr>
        <w:t xml:space="preserve">)), </w:t>
      </w:r>
      <w:r>
        <w:rPr>
          <w:rStyle w:val="StringTok"/>
        </w:rPr>
        <w:t xml:space="preserve">"02.inputs/eccc/raw/table-6-1.xlsx"</w:t>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  sheets </w:t>
      </w:r>
      <w:r>
        <w:rPr>
          <w:rStyle w:val="OtherTok"/>
        </w:rPr>
        <w:t xml:space="preserve">&lt;-</w:t>
      </w:r>
      <w:r>
        <w:rPr>
          <w:rStyle w:val="NormalTok"/>
        </w:rPr>
        <w:t xml:space="preserve"> readxl</w:t>
      </w:r>
      <w:r>
        <w:rPr>
          <w:rStyle w:val="SpecialCharTok"/>
        </w:rPr>
        <w:t xml:space="preserve">::</w:t>
      </w:r>
      <w:r>
        <w:rPr>
          <w:rStyle w:val="FunctionTok"/>
        </w:rPr>
        <w:t xml:space="preserve">excel_sheets</w:t>
      </w:r>
      <w:r>
        <w:rPr>
          <w:rStyle w:val="NormalTok"/>
        </w:rPr>
        <w:t xml:space="preserve">(</w:t>
      </w:r>
      <w:r>
        <w:rPr>
          <w:rStyle w:val="StringTok"/>
        </w:rPr>
        <w:t xml:space="preserve">"02.inputs/eccc/raw/table-6-1.xlsx"</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Canada =</w:t>
      </w:r>
      <w:r>
        <w:rPr>
          <w:rStyle w:val="NormalTok"/>
        </w:rPr>
        <w:t xml:space="preserve"> </w:t>
      </w:r>
      <w:r>
        <w:rPr>
          <w:rStyle w:val="StringTok"/>
        </w:rPr>
        <w:t xml:space="preserve">"NATIONAL$"</w:t>
      </w:r>
      <w:r>
        <w:rPr>
          <w:rStyle w:val="NormalTok"/>
        </w:rPr>
        <w:t xml:space="preserve">, </w:t>
      </w:r>
      <w:r>
        <w:rPr>
          <w:rStyle w:val="AttributeTok"/>
        </w:rPr>
        <w:t xml:space="preserve">BC =</w:t>
      </w:r>
      <w:r>
        <w:rPr>
          <w:rStyle w:val="NormalTok"/>
        </w:rPr>
        <w:t xml:space="preserve"> </w:t>
      </w:r>
      <w:r>
        <w:rPr>
          <w:rStyle w:val="StringTok"/>
        </w:rPr>
        <w:t xml:space="preserve">" BC$"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(\(s) readxl</w:t>
      </w:r>
      <w:r>
        <w:rPr>
          <w:rStyle w:val="SpecialCharTok"/>
        </w:rPr>
        <w:t xml:space="preserve">::</w:t>
      </w:r>
      <w:r>
        <w:rPr>
          <w:rStyle w:val="FunctionTok"/>
        </w:rPr>
        <w:t xml:space="preserve">read_excel</w:t>
      </w:r>
      <w:r>
        <w:rPr>
          <w:rStyle w:val="NormalTok"/>
        </w:rPr>
        <w:t xml:space="preserve">(</w:t>
      </w:r>
      <w:r>
        <w:rPr>
          <w:rStyle w:val="StringTok"/>
        </w:rPr>
        <w:t xml:space="preserve">"02.inputs/eccc/raw/table-6-1.xlsx"</w:t>
      </w:r>
      <w:r>
        <w:rPr>
          <w:rStyle w:val="NormalTok"/>
        </w:rPr>
        <w:t xml:space="preserve">, </w:t>
      </w:r>
      <w:r>
        <w:rPr>
          <w:rStyle w:val="AttributeTok"/>
        </w:rPr>
        <w:t xml:space="preserve">sheet =</w:t>
      </w:r>
      <w:r>
        <w:rPr>
          <w:rStyle w:val="NormalTok"/>
        </w:rPr>
        <w:t xml:space="preserve"> </w:t>
      </w:r>
      <w:r>
        <w:rPr>
          <w:rStyle w:val="FunctionTok"/>
        </w:rPr>
        <w:t xml:space="preserve">grep</w:t>
      </w:r>
      <w:r>
        <w:rPr>
          <w:rStyle w:val="NormalTok"/>
        </w:rPr>
        <w:t xml:space="preserve">(s, sheets, </w:t>
      </w:r>
      <w:r>
        <w:rPr>
          <w:rStyle w:val="AttributeTok"/>
        </w:rPr>
        <w:t xml:space="preserve">value =</w:t>
      </w:r>
      <w:r>
        <w:rPr>
          <w:rStyle w:val="NormalTok"/>
        </w:rPr>
        <w:t xml:space="preserve"> </w:t>
      </w:r>
      <w:r>
        <w:rPr>
          <w:rStyle w:val="ConstantTok"/>
        </w:rPr>
        <w:t xml:space="preserve">TRUE</w:t>
      </w:r>
      <w:r>
        <w:rPr>
          <w:rStyle w:val="NormalTok"/>
        </w:rPr>
        <w:t xml:space="preserve">), </w:t>
      </w:r>
      <w:r>
        <w:rPr>
          <w:rStyle w:val="AttributeTok"/>
        </w:rPr>
        <w:t xml:space="preserve">skip =</w:t>
      </w:r>
      <w:r>
        <w:rPr>
          <w:rStyle w:val="NormalTok"/>
        </w:rPr>
        <w:t xml:space="preserve"> </w:t>
      </w:r>
      <w:r>
        <w:rPr>
          <w:rStyle w:val="DecValTok"/>
        </w:rPr>
        <w:t xml:space="preserve">3</w:t>
      </w:r>
      <w:r>
        <w:rPr>
          <w:rStyle w:val="NormalTok"/>
        </w:rPr>
        <w:t xml:space="preserve">, </w:t>
      </w:r>
      <w:r>
        <w:rPr>
          <w:rStyle w:val="AttributeTok"/>
        </w:rPr>
        <w:t xml:space="preserve">col_types =</w:t>
      </w:r>
      <w:r>
        <w:rPr>
          <w:rStyle w:val="NormalTok"/>
        </w:rPr>
        <w:t xml:space="preserve"> </w:t>
      </w:r>
      <w:r>
        <w:rPr>
          <w:rStyle w:val="StringTok"/>
        </w:rPr>
        <w:t xml:space="preserve">"text"</w:t>
      </w:r>
      <w:r>
        <w:rPr>
          <w:rStyle w:val="NormalTok"/>
        </w:rPr>
        <w:t xml:space="preserve">, </w:t>
      </w:r>
      <w:r>
        <w:rPr>
          <w:rStyle w:val="AttributeTok"/>
        </w:rPr>
        <w:t xml:space="preserve">.name_repair =</w:t>
      </w:r>
      <w:r>
        <w:rPr>
          <w:rStyle w:val="NormalTok"/>
        </w:rPr>
        <w:t xml:space="preserve"> </w:t>
      </w:r>
      <w:r>
        <w:rPr>
          <w:rStyle w:val="StringTok"/>
        </w:rPr>
        <w:t xml:space="preserve">"unique_quiet"</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"region"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component =</w:t>
      </w:r>
      <w:r>
        <w:rPr>
          <w:rStyle w:val="NormalTok"/>
        </w:rPr>
        <w:t xml:space="preserve"> dplyr</w:t>
      </w:r>
      <w:r>
        <w:rPr>
          <w:rStyle w:val="SpecialCharTok"/>
        </w:rPr>
        <w:t xml:space="preserve">::</w:t>
      </w:r>
      <w:r>
        <w:rPr>
          <w:rStyle w:val="FunctionTok"/>
        </w:rPr>
        <w:t xml:space="preserve">case_when</w:t>
      </w:r>
      <w:r>
        <w:rPr>
          <w:rStyle w:val="NormalTok"/>
        </w:rPr>
        <w:t xml:space="preserve">(</w:t>
      </w:r>
      <w:r>
        <w:rPr>
          <w:rStyle w:val="FunctionTok"/>
        </w:rPr>
        <w:t xml:space="preserve">grepl</w:t>
      </w:r>
      <w:r>
        <w:rPr>
          <w:rStyle w:val="NormalTok"/>
        </w:rPr>
        <w:t xml:space="preserve">(</w:t>
      </w:r>
      <w:r>
        <w:rPr>
          <w:rStyle w:val="StringTok"/>
        </w:rPr>
        <w:t xml:space="preserve">"TOTAL"</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"human"</w:t>
      </w:r>
      <w:r>
        <w:rPr>
          <w:rStyle w:val="NormalTok"/>
        </w:rPr>
        <w:t xml:space="preserve">, </w:t>
      </w:r>
      <w:r>
        <w:rPr>
          <w:rStyle w:val="FunctionTok"/>
        </w:rPr>
        <w:t xml:space="preserve">grepl</w:t>
      </w:r>
      <w:r>
        <w:rPr>
          <w:rStyle w:val="NormalTok"/>
        </w:rPr>
        <w:t xml:space="preserve">(</w:t>
      </w:r>
      <w:r>
        <w:rPr>
          <w:rStyle w:val="StringTok"/>
        </w:rPr>
        <w:t xml:space="preserve">"^Natural disturbances"</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"natural"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(component))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(dplyr</w:t>
      </w:r>
      <w:r>
        <w:rPr>
          <w:rStyle w:val="SpecialCharTok"/>
        </w:rPr>
        <w:t xml:space="preserve">::</w:t>
      </w:r>
      <w:r>
        <w:rPr>
          <w:rStyle w:val="FunctionTok"/>
        </w:rPr>
        <w:t xml:space="preserve">matches</w:t>
      </w:r>
      <w:r>
        <w:rPr>
          <w:rStyle w:val="NormalTok"/>
        </w:rPr>
        <w:t xml:space="preserve">(</w:t>
      </w:r>
      <w:r>
        <w:rPr>
          <w:rStyle w:val="StringTok"/>
        </w:rPr>
        <w:t xml:space="preserve">"^[0-9]{4}$"</w:t>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 </w:t>
      </w:r>
      <w:r>
        <w:rPr>
          <w:rStyle w:val="AttributeTok"/>
        </w:rPr>
        <w:t xml:space="preserve">values_to =</w:t>
      </w:r>
      <w:r>
        <w:rPr>
          <w:rStyle w:val="NormalTok"/>
        </w:rPr>
        <w:t xml:space="preserve"> </w:t>
      </w:r>
      <w:r>
        <w:rPr>
          <w:rStyle w:val="StringTok"/>
        </w:rPr>
        <w:t xml:space="preserve">"kt"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(region, component, </w:t>
      </w:r>
      <w:r>
        <w:rPr>
          <w:rStyle w:val="AttributeTok"/>
        </w:rPr>
        <w:t xml:space="preserve">year =</w:t>
      </w:r>
      <w:r>
        <w:rPr>
          <w:rStyle w:val="NormalTok"/>
        </w:rPr>
        <w:t xml:space="preserve"> </w:t>
      </w:r>
      <w:r>
        <w:rPr>
          <w:rStyle w:val="FunctionTok"/>
        </w:rPr>
        <w:t xml:space="preserve">as.integer</w:t>
      </w:r>
      <w:r>
        <w:rPr>
          <w:rStyle w:val="NormalTok"/>
        </w:rPr>
        <w:t xml:space="preserve">(year), </w:t>
      </w:r>
      <w:r>
        <w:rPr>
          <w:rStyle w:val="AttributeTok"/>
        </w:rPr>
        <w:t xml:space="preserve">mt =</w:t>
      </w:r>
      <w:r>
        <w:rPr>
          <w:rStyle w:val="NormalTok"/>
        </w:rPr>
        <w:t xml:space="preserve"> </w:t>
      </w:r>
      <w:r>
        <w:rPr>
          <w:rStyle w:val="FunctionTok"/>
        </w:rPr>
        <w:t xml:space="preserve">as.numeric</w:t>
      </w:r>
      <w:r>
        <w:rPr>
          <w:rStyle w:val="NormalTok"/>
        </w:rPr>
        <w:t xml:space="preserve">(kt)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component, </w:t>
      </w:r>
      <w:r>
        <w:rPr>
          <w:rStyle w:val="AttributeTok"/>
        </w:rPr>
        <w:t xml:space="preserve">values_from =</w:t>
      </w:r>
      <w:r>
        <w:rPr>
          <w:rStyle w:val="NormalTok"/>
        </w:rPr>
        <w:t xml:space="preserve"> mt)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"02.inputs/eccc/lulucf-2026.csv"</w:t>
      </w:r>
      <w:r>
        <w:rPr>
          <w:rStyle w:val="NormalTok"/>
        </w:rPr>
        <w:t xml:space="preserve">)</w:t>
      </w:r>
      <w:r>
        <w:br/>
      </w:r>
      <w:r>
        <w:rPr>
          <w:rStyle w:val="NormalTok"/>
        </w:rPr>
        <w:t xml:space="preserve">}</w:t>
      </w:r>
      <w:r>
        <w:br/>
      </w:r>
      <w:r>
        <w:br/>
      </w:r>
      <w:r>
        <w:rPr>
          <w:rStyle w:val="NormalTok"/>
        </w:rPr>
        <w:t xml:space="preserve">eccc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"02.inputs/eccc/lulucf-2026.csv"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net =</w:t>
      </w:r>
      <w:r>
        <w:rPr>
          <w:rStyle w:val="NormalTok"/>
        </w:rPr>
        <w:t xml:space="preserve"> human </w:t>
      </w:r>
      <w:r>
        <w:rPr>
          <w:rStyle w:val="SpecialCharTok"/>
        </w:rPr>
        <w:t xml:space="preserve">+</w:t>
      </w:r>
      <w:r>
        <w:rPr>
          <w:rStyle w:val="NormalTok"/>
        </w:rPr>
        <w:t xml:space="preserve"> natural)</w:t>
      </w:r>
      <w:r>
        <w:br/>
      </w:r>
      <w:r>
        <w:rPr>
          <w:rStyle w:val="FunctionTok"/>
        </w:rPr>
        <w:t xml:space="preserve">stopifnot</w:t>
      </w:r>
      <w:r>
        <w:rPr>
          <w:rStyle w:val="NormalTok"/>
        </w:rPr>
        <w:t xml:space="preserve">(</w:t>
      </w:r>
      <w:r>
        <w:rPr>
          <w:rStyle w:val="FunctionTok"/>
        </w:rPr>
        <w:t xml:space="preserve">nrow</w:t>
      </w:r>
      <w:r>
        <w:rPr>
          <w:rStyle w:val="NormalTok"/>
        </w:rPr>
        <w:t xml:space="preserve">(eccc)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35</w:t>
      </w:r>
      <w:r>
        <w:rPr>
          <w:rStyle w:val="NormalTok"/>
        </w:rPr>
        <w:t xml:space="preserve">, </w:t>
      </w:r>
      <w:r>
        <w:rPr>
          <w:rStyle w:val="SpecialCharTok"/>
        </w:rPr>
        <w:t xml:space="preserve">!</w:t>
      </w:r>
      <w:r>
        <w:rPr>
          <w:rStyle w:val="FunctionTok"/>
        </w:rPr>
        <w:t xml:space="preserve">anyNA</w:t>
      </w:r>
      <w:r>
        <w:rPr>
          <w:rStyle w:val="NormalTok"/>
        </w:rPr>
        <w:t xml:space="preserve">(eccc))</w:t>
      </w:r>
      <w:r>
        <w:br/>
      </w:r>
      <w:r>
        <w:br/>
      </w:r>
      <w:r>
        <w:rPr>
          <w:rStyle w:val="NormalTok"/>
        </w:rPr>
        <w:t xml:space="preserve">national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(eccc, region </w:t>
      </w:r>
      <w:r>
        <w:rPr>
          <w:rStyle w:val="SpecialCharTok"/>
        </w:rPr>
        <w:t xml:space="preserve">==</w:t>
      </w:r>
      <w:r>
        <w:rPr>
          <w:rStyle w:val="NormalTok"/>
        </w:rPr>
        <w:t xml:space="preserve"> </w:t>
      </w:r>
      <w:r>
        <w:rPr>
          <w:rStyle w:val="StringTok"/>
        </w:rPr>
        <w:t xml:space="preserve">"Canada"</w:t>
      </w:r>
      <w:r>
        <w:rPr>
          <w:rStyle w:val="NormalTok"/>
        </w:rPr>
        <w:t xml:space="preserve">)</w:t>
      </w:r>
      <w:r>
        <w:br/>
      </w:r>
      <w:r>
        <w:br/>
      </w:r>
      <w:r>
        <w:rPr>
          <w:rStyle w:val="CommentTok"/>
        </w:rPr>
        <w:t xml:space="preserve"># Canadian National Fire Database, fire polygons, Natural Resources Canada, Canadian Forest Service</w:t>
      </w:r>
      <w:r>
        <w:br/>
      </w:r>
      <w:r>
        <w:rPr>
          <w:rStyle w:val="CommentTok"/>
        </w:rPr>
        <w:t xml:space="preserve"># https://cwfis.cfs.nrcan.gc.ca/ha/nfdb</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"02.inputs/nfdb/area-burned-by-province.csv"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"02.inputs/nfdb"</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Sys.setenv</w:t>
      </w:r>
      <w:r>
        <w:rPr>
          <w:rStyle w:val="NormalTok"/>
        </w:rPr>
        <w:t xml:space="preserve">(</w:t>
      </w:r>
      <w:r>
        <w:rPr>
          <w:rStyle w:val="AttributeTok"/>
        </w:rPr>
        <w:t xml:space="preserve">GDAL_DISABLE_READDIR_ON_OPEN =</w:t>
      </w:r>
      <w:r>
        <w:rPr>
          <w:rStyle w:val="NormalTok"/>
        </w:rPr>
        <w:t xml:space="preserve"> </w:t>
      </w:r>
      <w:r>
        <w:rPr>
          <w:rStyle w:val="StringTok"/>
        </w:rPr>
        <w:t xml:space="preserve">"EMPTY_DIR"</w:t>
      </w:r>
      <w:r>
        <w:rPr>
          <w:rStyle w:val="NormalTok"/>
        </w:rPr>
        <w:t xml:space="preserve">, </w:t>
      </w:r>
      <w:r>
        <w:rPr>
          <w:rStyle w:val="AttributeTok"/>
        </w:rPr>
        <w:t xml:space="preserve">CPL_VSIL_CURL_USE_HEAD =</w:t>
      </w:r>
      <w:r>
        <w:rPr>
          <w:rStyle w:val="NormalTok"/>
        </w:rPr>
        <w:t xml:space="preserve"> </w:t>
      </w:r>
      <w:r>
        <w:rPr>
          <w:rStyle w:val="StringTok"/>
        </w:rPr>
        <w:t xml:space="preserve">"NO"</w:t>
      </w:r>
      <w:r>
        <w:rPr>
          <w:rStyle w:val="NormalTok"/>
        </w:rPr>
        <w:t xml:space="preserve">)</w:t>
      </w:r>
      <w:r>
        <w:br/>
      </w:r>
      <w:r>
        <w:rPr>
          <w:rStyle w:val="NormalTok"/>
        </w:rPr>
        <w:t xml:space="preserve">  zip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"/vsizip//vsicurl/https://cwfis.cfs.nrcan.gc.ca/downloads/nfdb/"</w:t>
      </w:r>
      <w:r>
        <w:rPr>
          <w:rStyle w:val="NormalTok"/>
        </w:rPr>
        <w:t xml:space="preserve">,</w:t>
      </w:r>
      <w:r>
        <w:br/>
      </w:r>
      <w:r>
        <w:rPr>
          <w:rStyle w:val="NormalTok"/>
        </w:rPr>
        <w:t xml:space="preserve">                </w:t>
      </w:r>
      <w:r>
        <w:rPr>
          <w:rStyle w:val="StringTok"/>
        </w:rPr>
        <w:t xml:space="preserve">"fire_poly/current_version/NFDB_poly.zip"</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"NFDB_poly_1972to2020_20250630"</w:t>
      </w:r>
      <w:r>
        <w:rPr>
          <w:rStyle w:val="NormalTok"/>
        </w:rPr>
        <w:t xml:space="preserve">, </w:t>
      </w:r>
      <w:r>
        <w:rPr>
          <w:rStyle w:val="StringTok"/>
        </w:rPr>
        <w:t xml:space="preserve">"NFDB_poly_2021to2024_20250630"</w:t>
      </w:r>
      <w:r>
        <w:rPr>
          <w:rStyle w:val="NormalTok"/>
        </w:rPr>
        <w:t xml:space="preserve">), </w:t>
      </w:r>
      <w:r>
        <w:rPr>
          <w:rStyle w:val="ControlFlowTok"/>
        </w:rPr>
        <w:t xml:space="preserve">function</w:t>
      </w:r>
      <w:r>
        <w:rPr>
          <w:rStyle w:val="NormalTok"/>
        </w:rPr>
        <w:t xml:space="preserve">(layer)</w:t>
      </w:r>
      <w:r>
        <w:br/>
      </w:r>
      <w:r>
        <w:rPr>
          <w:rStyle w:val="NormalTok"/>
        </w:rPr>
        <w:t xml:space="preserve">    sf</w:t>
      </w:r>
      <w:r>
        <w:rPr>
          <w:rStyle w:val="SpecialCharTok"/>
        </w:rPr>
        <w:t xml:space="preserve">::</w:t>
      </w:r>
      <w:r>
        <w:rPr>
          <w:rStyle w:val="FunctionTok"/>
        </w:rPr>
        <w:t xml:space="preserve">st_drop_geometry</w:t>
      </w:r>
      <w:r>
        <w:rPr>
          <w:rStyle w:val="NormalTok"/>
        </w:rPr>
        <w:t xml:space="preserve">(sf</w:t>
      </w:r>
      <w:r>
        <w:rPr>
          <w:rStyle w:val="SpecialCharTok"/>
        </w:rPr>
        <w:t xml:space="preserve">::</w:t>
      </w:r>
      <w:r>
        <w:rPr>
          <w:rStyle w:val="FunctionTok"/>
        </w:rPr>
        <w:t xml:space="preserve">st_read</w:t>
      </w:r>
      <w:r>
        <w:rPr>
          <w:rStyle w:val="NormalTok"/>
        </w:rPr>
        <w:t xml:space="preserve">(zip,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sprintf</w:t>
      </w:r>
      <w:r>
        <w:rPr>
          <w:rStyle w:val="NormalTok"/>
        </w:rPr>
        <w:t xml:space="preserve">(</w:t>
      </w:r>
      <w:r>
        <w:rPr>
          <w:rStyle w:val="StringTok"/>
        </w:rPr>
        <w:t xml:space="preserve">'SELECT SRC_AGENCY, YEAR, SIZE_HA FROM "%s"'</w:t>
      </w:r>
      <w:r>
        <w:rPr>
          <w:rStyle w:val="NormalTok"/>
        </w:rPr>
        <w:t xml:space="preserve">, layer)))) </w:t>
      </w:r>
      <w:r>
        <w:rPr>
          <w:rStyle w:val="SpecialCharTok"/>
        </w:rPr>
        <w:t xml:space="preserve">|&gt;</w:t>
      </w:r>
      <w:r>
        <w:br/>
      </w:r>
      <w:r>
        <w:rPr>
          <w:rStyle w:val="NormalTok"/>
        </w:rPr>
        <w:t xml:space="preserve">    dplyr</w:t>
      </w:r>
      <w:r>
        <w:rPr>
          <w:rStyle w:val="SpecialCharTok"/>
        </w:rPr>
        <w:t xml:space="preserve">::</w:t>
      </w:r>
      <w:r>
        <w:rPr>
          <w:rStyle w:val="FunctionTok"/>
        </w:rPr>
        <w:t xml:space="preserve">bind_rows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rPr>
          <w:rStyle w:val="SpecialCharTok"/>
        </w:rPr>
        <w:t xml:space="preserve">!</w:t>
      </w:r>
      <w:r>
        <w:rPr>
          <w:rStyle w:val="FunctionTok"/>
        </w:rPr>
        <w:t xml:space="preserve">is.na</w:t>
      </w:r>
      <w:r>
        <w:rPr>
          <w:rStyle w:val="NormalTok"/>
        </w:rPr>
        <w:t xml:space="preserve">(SIZE_HA))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province =</w:t>
      </w:r>
      <w:r>
        <w:rPr>
          <w:rStyle w:val="NormalTok"/>
        </w:rPr>
        <w:t xml:space="preserve"> SRC_AGENCY, </w:t>
      </w:r>
      <w:r>
        <w:rPr>
          <w:rStyle w:val="AttributeTok"/>
        </w:rPr>
        <w:t xml:space="preserve">year =</w:t>
      </w:r>
      <w:r>
        <w:rPr>
          <w:rStyle w:val="NormalTok"/>
        </w:rPr>
        <w:t xml:space="preserve"> YEAR)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hectares =</w:t>
      </w:r>
      <w:r>
        <w:rPr>
          <w:rStyle w:val="NormalTok"/>
        </w:rPr>
        <w:t xml:space="preserve"> </w:t>
      </w:r>
      <w:r>
        <w:rPr>
          <w:rStyle w:val="FunctionTok"/>
        </w:rPr>
        <w:t xml:space="preserve">sum</w:t>
      </w:r>
      <w:r>
        <w:rPr>
          <w:rStyle w:val="NormalTok"/>
        </w:rPr>
        <w:t xml:space="preserve">(SIZE_HA), </w:t>
      </w:r>
      <w:r>
        <w:rPr>
          <w:rStyle w:val="AttributeTok"/>
        </w:rPr>
        <w:t xml:space="preserve">.by =</w:t>
      </w:r>
      <w:r>
        <w:rPr>
          <w:rStyle w:val="NormalTok"/>
        </w:rPr>
        <w:t xml:space="preserve"> </w:t>
      </w:r>
      <w:r>
        <w:rPr>
          <w:rStyle w:val="FunctionTok"/>
        </w:rPr>
        <w:t xml:space="preserve">c</w:t>
      </w:r>
      <w:r>
        <w:rPr>
          <w:rStyle w:val="NormalTok"/>
        </w:rPr>
        <w:t xml:space="preserve">(province, year))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"02.inputs/nfdb/area-burned-by-province.csv"</w:t>
      </w:r>
      <w:r>
        <w:rPr>
          <w:rStyle w:val="NormalTok"/>
        </w:rPr>
        <w:t xml:space="preserve">)</w:t>
      </w:r>
      <w:r>
        <w:br/>
      </w:r>
      <w:r>
        <w:rPr>
          <w:rStyle w:val="NormalTok"/>
        </w:rPr>
        <w:t xml:space="preserve">}</w:t>
      </w:r>
      <w:r>
        <w:br/>
      </w:r>
      <w:r>
        <w:br/>
      </w:r>
      <w:r>
        <w:rPr>
          <w:rStyle w:val="NormalTok"/>
        </w:rPr>
        <w:t xml:space="preserve">burned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"02.inputs/nfdb/area-burned-by-province.csv"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NormalTok"/>
        </w:rPr>
        <w:t xml:space="preserve">share </w:t>
      </w:r>
      <w:r>
        <w:rPr>
          <w:rStyle w:val="OtherTok"/>
        </w:rPr>
        <w:t xml:space="preserve">&lt;-</w:t>
      </w:r>
      <w:r>
        <w:rPr>
          <w:rStyle w:val="NormalTok"/>
        </w:rPr>
        <w:t xml:space="preserve"> burned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bc =</w:t>
      </w:r>
      <w:r>
        <w:rPr>
          <w:rStyle w:val="NormalTok"/>
        </w:rPr>
        <w:t xml:space="preserve"> </w:t>
      </w:r>
      <w:r>
        <w:rPr>
          <w:rStyle w:val="FunctionTok"/>
        </w:rPr>
        <w:t xml:space="preserve">sum</w:t>
      </w:r>
      <w:r>
        <w:rPr>
          <w:rStyle w:val="NormalTok"/>
        </w:rPr>
        <w:t xml:space="preserve">(hectares[province </w:t>
      </w:r>
      <w:r>
        <w:rPr>
          <w:rStyle w:val="SpecialCharTok"/>
        </w:rPr>
        <w:t xml:space="preserve">==</w:t>
      </w:r>
      <w:r>
        <w:rPr>
          <w:rStyle w:val="NormalTok"/>
        </w:rPr>
        <w:t xml:space="preserve"> </w:t>
      </w:r>
      <w:r>
        <w:rPr>
          <w:rStyle w:val="StringTok"/>
        </w:rPr>
        <w:t xml:space="preserve">"BC"</w:t>
      </w:r>
      <w:r>
        <w:rPr>
          <w:rStyle w:val="NormalTok"/>
        </w:rPr>
        <w:t xml:space="preserve">]), </w:t>
      </w:r>
      <w:r>
        <w:rPr>
          <w:rStyle w:val="AttributeTok"/>
        </w:rPr>
        <w:t xml:space="preserve">canada =</w:t>
      </w:r>
      <w:r>
        <w:rPr>
          <w:rStyle w:val="NormalTok"/>
        </w:rPr>
        <w:t xml:space="preserve"> </w:t>
      </w:r>
      <w:r>
        <w:rPr>
          <w:rStyle w:val="FunctionTok"/>
        </w:rPr>
        <w:t xml:space="preserve">sum</w:t>
      </w:r>
      <w:r>
        <w:rPr>
          <w:rStyle w:val="NormalTok"/>
        </w:rPr>
        <w:t xml:space="preserve">(hectares), </w:t>
      </w:r>
      <w:r>
        <w:rPr>
          <w:rStyle w:val="AttributeTok"/>
        </w:rPr>
        <w:t xml:space="preserve">.by =</w:t>
      </w:r>
      <w:r>
        <w:rPr>
          <w:rStyle w:val="NormalTok"/>
        </w:rPr>
        <w:t xml:space="preserve"> year)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share =</w:t>
      </w:r>
      <w:r>
        <w:rPr>
          <w:rStyle w:val="NormalTok"/>
        </w:rPr>
        <w:t xml:space="preserve"> bc </w:t>
      </w:r>
      <w:r>
        <w:rPr>
          <w:rStyle w:val="SpecialCharTok"/>
        </w:rPr>
        <w:t xml:space="preserve">/</w:t>
      </w:r>
      <w:r>
        <w:rPr>
          <w:rStyle w:val="NormalTok"/>
        </w:rPr>
        <w:t xml:space="preserve"> canada)</w:t>
      </w:r>
      <w:r>
        <w:br/>
      </w:r>
      <w:r>
        <w:br/>
      </w:r>
      <w:r>
        <w:rPr>
          <w:rStyle w:val="NormalTok"/>
        </w:rPr>
        <w:t xml:space="preserve">bc </w:t>
      </w:r>
      <w:r>
        <w:rPr>
          <w:rStyle w:val="OtherTok"/>
        </w:rPr>
        <w:t xml:space="preserve">&lt;-</w:t>
      </w:r>
      <w:r>
        <w:rPr>
          <w:rStyle w:val="NormalTok"/>
        </w:rPr>
        <w:t xml:space="preserve"> eccc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(region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(dplyr</w:t>
      </w:r>
      <w:r>
        <w:rPr>
          <w:rStyle w:val="SpecialCharTok"/>
        </w:rPr>
        <w:t xml:space="preserve">::</w:t>
      </w:r>
      <w:r>
        <w:rPr>
          <w:rStyle w:val="FunctionTok"/>
        </w:rPr>
        <w:t xml:space="preserve">select</w:t>
      </w:r>
      <w:r>
        <w:rPr>
          <w:rStyle w:val="NormalTok"/>
        </w:rPr>
        <w:t xml:space="preserve">(share, year, share),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trees_uncertainty </w:t>
      </w:r>
      <w:r>
        <w:rPr>
          <w:rStyle w:val="OtherTok"/>
        </w:rPr>
        <w:t xml:space="preserve">&lt;-</w:t>
      </w:r>
      <w:r>
        <w:rPr>
          <w:rStyle w:val="NormalTok"/>
        </w:rPr>
        <w:t xml:space="preserve"> </w:t>
      </w:r>
      <w:r>
        <w:rPr>
          <w:rStyle w:val="ControlFlowTok"/>
        </w:rPr>
        <w:t xml:space="preserve">function</w:t>
      </w:r>
      <w:r>
        <w:rPr>
          <w:rStyle w:val="NormalTok"/>
        </w:rPr>
        <w:t xml:space="preserve">(ci_half_width)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SpecialCharTok"/>
        </w:rPr>
        <w:t xml:space="preserve">*</w:t>
      </w:r>
      <w:r>
        <w:rPr>
          <w:rStyle w:val="NormalTok"/>
        </w:rPr>
        <w:t xml:space="preserve"> ci_half_width</w:t>
      </w:r>
      <w:r>
        <w:br/>
      </w:r>
      <w:r>
        <w:br/>
      </w:r>
      <w:r>
        <w:rPr>
          <w:rStyle w:val="NormalTok"/>
        </w:rPr>
        <w:t xml:space="preserve">buffer_table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none =</w:t>
      </w:r>
      <w:r>
        <w:rPr>
          <w:rStyle w:val="NormalTok"/>
        </w:rPr>
        <w:t xml:space="preserve"> </w:t>
      </w:r>
      <w:r>
        <w:rPr>
          <w:rStyle w:val="FloatTok"/>
        </w:rPr>
        <w:t xml:space="preserve">0.25</w:t>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0.20</w:t>
      </w:r>
      <w:r>
        <w:rPr>
          <w:rStyle w:val="NormalTok"/>
        </w:rPr>
        <w:t xml:space="preserve">, </w:t>
      </w:r>
      <w:r>
        <w:rPr>
          <w:rStyle w:val="StringTok"/>
        </w:rPr>
        <w:t xml:space="preserve">`</w:t>
      </w:r>
      <w:r>
        <w:rPr>
          <w:rStyle w:val="AttributeTok"/>
        </w:rPr>
        <w:t xml:space="preserve">2</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0.15</w:t>
      </w:r>
      <w:r>
        <w:rPr>
          <w:rStyle w:val="NormalTok"/>
        </w:rPr>
        <w:t xml:space="preserve">, </w:t>
      </w:r>
      <w:r>
        <w:rPr>
          <w:rStyle w:val="StringTok"/>
        </w:rPr>
        <w:t xml:space="preserve">`</w:t>
      </w:r>
      <w:r>
        <w:rPr>
          <w:rStyle w:val="AttributeTok"/>
        </w:rPr>
        <w:t xml:space="preserve">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StringTok"/>
        </w:rPr>
        <w:t xml:space="preserve">`</w:t>
      </w:r>
      <w:r>
        <w:rPr>
          <w:rStyle w:val="AttributeTok"/>
        </w:rPr>
        <w:t xml:space="preserve">1,2</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0.10</w:t>
      </w:r>
      <w:r>
        <w:rPr>
          <w:rStyle w:val="NormalTok"/>
        </w:rPr>
        <w:t xml:space="preserve">, </w:t>
      </w:r>
      <w:r>
        <w:rPr>
          <w:rStyle w:val="StringTok"/>
        </w:rPr>
        <w:t xml:space="preserve">`</w:t>
      </w:r>
      <w:r>
        <w:rPr>
          <w:rStyle w:val="AttributeTok"/>
        </w:rPr>
        <w:t xml:space="preserve">1,3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0.15</w:t>
      </w:r>
      <w:r>
        <w:rPr>
          <w:rStyle w:val="NormalTok"/>
        </w:rPr>
        <w:t xml:space="preserve">, </w:t>
      </w:r>
      <w:r>
        <w:rPr>
          <w:rStyle w:val="StringTok"/>
        </w:rPr>
        <w:t xml:space="preserve">`</w:t>
      </w:r>
      <w:r>
        <w:rPr>
          <w:rStyle w:val="AttributeTok"/>
        </w:rPr>
        <w:t xml:space="preserve">2,3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0.10</w:t>
      </w:r>
      <w:r>
        <w:rPr>
          <w:rStyle w:val="NormalTok"/>
        </w:rPr>
        <w:t xml:space="preserve">, </w:t>
      </w:r>
      <w:r>
        <w:rPr>
          <w:rStyle w:val="StringTok"/>
        </w:rPr>
        <w:t xml:space="preserve">`</w:t>
      </w:r>
      <w:r>
        <w:rPr>
          <w:rStyle w:val="AttributeTok"/>
        </w:rPr>
        <w:t xml:space="preserve">1,2,3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0.05</w:t>
      </w:r>
      <w:r>
        <w:rPr>
          <w:rStyle w:val="NormalTok"/>
        </w:rPr>
        <w:t xml:space="preserve">)</w:t>
      </w:r>
      <w:r>
        <w:br/>
      </w:r>
      <w:r>
        <w:br/>
      </w:r>
      <w:r>
        <w:rPr>
          <w:rStyle w:val="NormalTok"/>
        </w:rPr>
        <w:t xml:space="preserve">trees_buffer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mitigating =</w:t>
      </w:r>
      <w:r>
        <w:rPr>
          <w:rStyle w:val="NormalTok"/>
        </w:rPr>
        <w:t xml:space="preserve"> </w:t>
      </w:r>
      <w:r>
        <w:rPr>
          <w:rStyle w:val="StringTok"/>
        </w:rPr>
        <w:t xml:space="preserve">"none"</w:t>
      </w:r>
      <w:r>
        <w:rPr>
          <w:rStyle w:val="NormalTok"/>
        </w:rPr>
        <w:t xml:space="preserve">, </w:t>
      </w:r>
      <w:r>
        <w:rPr>
          <w:rStyle w:val="AttributeTok"/>
        </w:rPr>
        <w:t xml:space="preserve">after_reversal =</w:t>
      </w:r>
      <w:r>
        <w:rPr>
          <w:rStyle w:val="NormalTok"/>
        </w:rPr>
        <w:t xml:space="preserve"> </w:t>
      </w:r>
      <w:r>
        <w:rPr>
          <w:rStyle w:val="ConstantTok"/>
        </w:rPr>
        <w:t xml:space="preserve">FALSE</w:t>
      </w:r>
      <w:r>
        <w:rPr>
          <w:rStyle w:val="NormalTok"/>
        </w:rPr>
        <w:t xml:space="preserve">) {</w:t>
      </w:r>
      <w:r>
        <w:br/>
      </w:r>
      <w:r>
        <w:rPr>
          <w:rStyle w:val="NormalTok"/>
        </w:rPr>
        <w:t xml:space="preserve">  buffer_table[[mitigating]] </w:t>
      </w:r>
      <w:r>
        <w:rPr>
          <w:rStyle w:val="SpecialCharTok"/>
        </w:rPr>
        <w:t xml:space="preserve">+</w:t>
      </w:r>
      <w:r>
        <w:rPr>
          <w:rStyle w:val="NormalTok"/>
        </w:rPr>
        <w:t xml:space="preserve"> </w:t>
      </w:r>
      <w:r>
        <w:rPr>
          <w:rStyle w:val="ControlFlowTok"/>
        </w:rPr>
        <w:t xml:space="preserve">if</w:t>
      </w:r>
      <w:r>
        <w:rPr>
          <w:rStyle w:val="NormalTok"/>
        </w:rPr>
        <w:t xml:space="preserve"> (after_reversal) </w:t>
      </w:r>
      <w:r>
        <w:rPr>
          <w:rStyle w:val="FloatTok"/>
        </w:rPr>
        <w:t xml:space="preserve">0.05</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w:t>
      </w:r>
      <w:r>
        <w:br/>
      </w:r>
      <w:r>
        <w:br/>
      </w:r>
      <w:r>
        <w:rPr>
          <w:rStyle w:val="NormalTok"/>
        </w:rPr>
        <w:t xml:space="preserve">kept </w:t>
      </w:r>
      <w:r>
        <w:rPr>
          <w:rStyle w:val="OtherTok"/>
        </w:rPr>
        <w:t xml:space="preserve">&lt;-</w:t>
      </w:r>
      <w:r>
        <w:rPr>
          <w:rStyle w:val="NormalTok"/>
        </w:rPr>
        <w:t xml:space="preserve"> </w:t>
      </w:r>
      <w:r>
        <w:rPr>
          <w:rStyle w:val="ControlFlowTok"/>
        </w:rPr>
        <w:t xml:space="preserve">function</w:t>
      </w:r>
      <w:r>
        <w:rPr>
          <w:rStyle w:val="NormalTok"/>
        </w:rPr>
        <w:t xml:space="preserve">(ci_half_width, </w:t>
      </w:r>
      <w:r>
        <w:rPr>
          <w:rStyle w:val="AttributeTok"/>
        </w:rPr>
        <w:t xml:space="preserve">mitigating =</w:t>
      </w:r>
      <w:r>
        <w:rPr>
          <w:rStyle w:val="NormalTok"/>
        </w:rPr>
        <w:t xml:space="preserve"> </w:t>
      </w:r>
      <w:r>
        <w:rPr>
          <w:rStyle w:val="StringTok"/>
        </w:rPr>
        <w:t xml:space="preserve">"none"</w:t>
      </w:r>
      <w:r>
        <w:rPr>
          <w:rStyle w:val="NormalTok"/>
        </w:rPr>
        <w:t xml:space="preserve">, </w:t>
      </w:r>
      <w:r>
        <w:rPr>
          <w:rStyle w:val="AttributeTok"/>
        </w:rPr>
        <w:t xml:space="preserve">after_reversal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(ci_half_width) </w:t>
      </w:r>
      <w:r>
        <w:rPr>
          <w:rStyle w:val="SpecialCharTok"/>
        </w:rPr>
        <w:t xml:space="preserve">-</w:t>
      </w:r>
      <w:r>
        <w:rPr>
          <w:rStyle w:val="NormalTok"/>
        </w:rPr>
        <w:t xml:space="preserve"> </w:t>
      </w:r>
      <w:r>
        <w:rPr>
          <w:rStyle w:val="FunctionTok"/>
        </w:rPr>
        <w:t xml:space="preserve">trees_buffer</w:t>
      </w:r>
      <w:r>
        <w:rPr>
          <w:rStyle w:val="NormalTok"/>
        </w:rPr>
        <w:t xml:space="preserve">(mitigating, after_reversal)</w:t>
      </w:r>
      <w:r>
        <w:br/>
      </w:r>
      <w:r>
        <w:rPr>
          <w:rStyle w:val="NormalTok"/>
        </w:rPr>
        <w:t xml:space="preserve">}</w:t>
      </w:r>
      <w:r>
        <w:br/>
      </w:r>
      <w:r>
        <w:br/>
      </w:r>
      <w:r>
        <w:rPr>
          <w:rStyle w:val="NormalTok"/>
        </w:rPr>
        <w:t xml:space="preserve">break_even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trees_buffer</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NormalTok"/>
        </w:rPr>
        <w:t xml:space="preserve">crediting_level </w:t>
      </w:r>
      <w:r>
        <w:rPr>
          <w:rStyle w:val="OtherTok"/>
        </w:rPr>
        <w:t xml:space="preserve">&lt;-</w:t>
      </w:r>
      <w:r>
        <w:rPr>
          <w:rStyle w:val="NormalTok"/>
        </w:rPr>
        <w:t xml:space="preserve"> </w:t>
      </w:r>
      <w:r>
        <w:rPr>
          <w:rStyle w:val="ControlFlowTok"/>
        </w:rPr>
        <w:t xml:space="preserve">function</w:t>
      </w:r>
      <w:r>
        <w:rPr>
          <w:rStyle w:val="NormalTok"/>
        </w:rPr>
        <w:t xml:space="preserve">(x, years) </w:t>
      </w:r>
      <w:r>
        <w:rPr>
          <w:rStyle w:val="FunctionTok"/>
        </w:rPr>
        <w:t xml:space="preserve">sum</w:t>
      </w:r>
      <w:r>
        <w:rPr>
          <w:rStyle w:val="NormalTok"/>
        </w:rPr>
        <w:t xml:space="preserve">(x[years]) </w:t>
      </w:r>
      <w:r>
        <w:rPr>
          <w:rStyle w:val="SpecialCharTok"/>
        </w:rPr>
        <w:t xml:space="preserve">/</w:t>
      </w:r>
      <w:r>
        <w:rPr>
          <w:rStyle w:val="NormalTok"/>
        </w:rPr>
        <w:t xml:space="preserve"> </w:t>
      </w:r>
      <w:r>
        <w:rPr>
          <w:rStyle w:val="DecValTok"/>
        </w:rPr>
        <w:t xml:space="preserve">5</w:t>
      </w:r>
      <w:r>
        <w:br/>
      </w:r>
      <w:r>
        <w:br/>
      </w:r>
      <w:r>
        <w:rPr>
          <w:rStyle w:val="NormalTok"/>
        </w:rPr>
        <w:t xml:space="preserve">accounts </w:t>
      </w:r>
      <w:r>
        <w:rPr>
          <w:rStyle w:val="OtherTok"/>
        </w:rPr>
        <w:t xml:space="preserve">&lt;-</w:t>
      </w:r>
      <w:r>
        <w:rPr>
          <w:rStyle w:val="NormalTok"/>
        </w:rPr>
        <w:t xml:space="preserve"> national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reference =</w:t>
      </w:r>
      <w:r>
        <w:rPr>
          <w:rStyle w:val="NormalTok"/>
        </w:rPr>
        <w:t xml:space="preserve"> year </w:t>
      </w:r>
      <w:r>
        <w:rPr>
          <w:rStyle w:val="SpecialCharTok"/>
        </w:rPr>
        <w:t xml:space="preserve">&lt;=</w:t>
      </w:r>
      <w:r>
        <w:rPr>
          <w:rStyle w:val="NormalTok"/>
        </w:rPr>
        <w:t xml:space="preserve"> </w:t>
      </w:r>
      <w:r>
        <w:rPr>
          <w:rStyle w:val="DecValTok"/>
        </w:rPr>
        <w:t xml:space="preserve">2016</w:t>
      </w:r>
      <w:r>
        <w:rPr>
          <w:rStyle w:val="NormalTok"/>
        </w:rPr>
        <w:t xml:space="preserve">)</w:t>
      </w:r>
      <w:r>
        <w:br/>
      </w:r>
      <w:r>
        <w:br/>
      </w:r>
      <w:r>
        <w:rPr>
          <w:rStyle w:val="NormalTok"/>
        </w:rPr>
        <w:t xml:space="preserve">level_split  </w:t>
      </w:r>
      <w:r>
        <w:rPr>
          <w:rStyle w:val="OtherTok"/>
        </w:rPr>
        <w:t xml:space="preserve">&lt;-</w:t>
      </w:r>
      <w:r>
        <w:rPr>
          <w:rStyle w:val="NormalTok"/>
        </w:rPr>
        <w:t xml:space="preserve"> </w:t>
      </w:r>
      <w:r>
        <w:rPr>
          <w:rStyle w:val="FunctionTok"/>
        </w:rPr>
        <w:t xml:space="preserve">sum</w:t>
      </w:r>
      <w:r>
        <w:rPr>
          <w:rStyle w:val="NormalTok"/>
        </w:rPr>
        <w:t xml:space="preserve">(accounts</w:t>
      </w:r>
      <w:r>
        <w:rPr>
          <w:rStyle w:val="SpecialCharTok"/>
        </w:rPr>
        <w:t xml:space="preserve">$</w:t>
      </w:r>
      <w:r>
        <w:rPr>
          <w:rStyle w:val="NormalTok"/>
        </w:rPr>
        <w:t xml:space="preserve">human[accounts</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DecValTok"/>
        </w:rPr>
        <w:t xml:space="preserve">5</w:t>
      </w:r>
      <w:r>
        <w:br/>
      </w:r>
      <w:r>
        <w:rPr>
          <w:rStyle w:val="NormalTok"/>
        </w:rPr>
        <w:t xml:space="preserve">level_whole  </w:t>
      </w:r>
      <w:r>
        <w:rPr>
          <w:rStyle w:val="OtherTok"/>
        </w:rPr>
        <w:t xml:space="preserve">&lt;-</w:t>
      </w:r>
      <w:r>
        <w:rPr>
          <w:rStyle w:val="NormalTok"/>
        </w:rPr>
        <w:t xml:space="preserve"> </w:t>
      </w:r>
      <w:r>
        <w:rPr>
          <w:rStyle w:val="FunctionTok"/>
        </w:rPr>
        <w:t xml:space="preserve">sum</w:t>
      </w:r>
      <w:r>
        <w:rPr>
          <w:rStyle w:val="NormalTok"/>
        </w:rPr>
        <w:t xml:space="preserve">(accounts</w:t>
      </w:r>
      <w:r>
        <w:rPr>
          <w:rStyle w:val="SpecialCharTok"/>
        </w:rPr>
        <w:t xml:space="preserve">$</w:t>
      </w:r>
      <w:r>
        <w:rPr>
          <w:rStyle w:val="NormalTok"/>
        </w:rPr>
        <w:t xml:space="preserve">net[accounts</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DecValTok"/>
        </w:rPr>
        <w:t xml:space="preserve">5</w:t>
      </w:r>
      <w:r>
        <w:br/>
      </w:r>
      <w:r>
        <w:br/>
      </w:r>
      <w:r>
        <w:rPr>
          <w:rStyle w:val="NormalTok"/>
        </w:rPr>
        <w:t xml:space="preserve">credits </w:t>
      </w:r>
      <w:r>
        <w:rPr>
          <w:rStyle w:val="OtherTok"/>
        </w:rPr>
        <w:t xml:space="preserve">&lt;-</w:t>
      </w:r>
      <w:r>
        <w:rPr>
          <w:rStyle w:val="NormalTok"/>
        </w:rPr>
        <w:t xml:space="preserve"> accounts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NormalTok"/>
        </w:rPr>
        <w:t xml:space="preserve">reference)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Disaggregated emissions (Mt)</w:t>
      </w:r>
      <w:r>
        <w:rPr>
          <w:rStyle w:val="StringTok"/>
        </w:rPr>
        <w:t xml:space="preserve">`</w:t>
      </w:r>
      <w:r>
        <w:rPr>
          <w:rStyle w:val="NormalTok"/>
        </w:rPr>
        <w:t xml:space="preserve"> </w:t>
      </w:r>
      <w:r>
        <w:rPr>
          <w:rStyle w:val="OtherTok"/>
        </w:rPr>
        <w:t xml:space="preserve">=</w:t>
      </w:r>
      <w:r>
        <w:rPr>
          <w:rStyle w:val="NormalTok"/>
        </w:rPr>
        <w:t xml:space="preserve"> human,</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(level_split </w:t>
      </w:r>
      <w:r>
        <w:rPr>
          <w:rStyle w:val="SpecialCharTok"/>
        </w:rPr>
        <w:t xml:space="preserve">-</w:t>
      </w:r>
      <w:r>
        <w:rPr>
          <w:rStyle w:val="NormalTok"/>
        </w:rPr>
        <w:t xml:space="preserve"> 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emissions (Mt)</w:t>
      </w:r>
      <w:r>
        <w:rPr>
          <w:rStyle w:val="StringTok"/>
        </w:rPr>
        <w:t xml:space="preserve">`</w:t>
      </w:r>
      <w:r>
        <w:rPr>
          <w:rStyle w:val="NormalTok"/>
        </w:rPr>
        <w:t xml:space="preserve"> </w:t>
      </w:r>
      <w:r>
        <w:rPr>
          <w:rStyle w:val="OtherTok"/>
        </w:rPr>
        <w:t xml:space="preserve">=</w:t>
      </w:r>
      <w:r>
        <w:rPr>
          <w:rStyle w:val="NormalTok"/>
        </w:rPr>
        <w:t xml:space="preserve"> net,</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(level_whole </w:t>
      </w:r>
      <w:r>
        <w:rPr>
          <w:rStyle w:val="SpecialCharTok"/>
        </w:rPr>
        <w:t xml:space="preserve">-</w:t>
      </w:r>
      <w:r>
        <w:rPr>
          <w:rStyle w:val="NormalTok"/>
        </w:rPr>
        <w:t xml:space="preserve"> net, </w:t>
      </w:r>
      <w:r>
        <w:rPr>
          <w:rStyle w:val="DecValTok"/>
        </w:rPr>
        <w:t xml:space="preserve">1</w:t>
      </w:r>
      <w:r>
        <w:rPr>
          <w:rStyle w:val="NormalTok"/>
        </w:rPr>
        <w:t xml:space="preserve">))</w:t>
      </w:r>
      <w:r>
        <w:br/>
      </w:r>
      <w:r>
        <w:br/>
      </w:r>
      <w:r>
        <w:rPr>
          <w:rStyle w:val="NormalTok"/>
        </w:rPr>
        <w:t xml:space="preserve">split_pos </w:t>
      </w:r>
      <w:r>
        <w:rPr>
          <w:rStyle w:val="OtherTok"/>
        </w:rPr>
        <w:t xml:space="preserve">&lt;-</w:t>
      </w:r>
      <w:r>
        <w:rPr>
          <w:rStyle w:val="NormalTok"/>
        </w:rPr>
        <w:t xml:space="preserve"> credits[[</w:t>
      </w:r>
      <w:r>
        <w:rPr>
          <w:rStyle w:val="StringTok"/>
        </w:rPr>
        <w:t xml:space="preserve">"Disaggregated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whole_pos </w:t>
      </w:r>
      <w:r>
        <w:rPr>
          <w:rStyle w:val="OtherTok"/>
        </w:rPr>
        <w:t xml:space="preserve">&lt;-</w:t>
      </w:r>
      <w:r>
        <w:rPr>
          <w:rStyle w:val="NormalTok"/>
        </w:rPr>
        <w:t xml:space="preserve"> credits[[</w:t>
      </w:r>
      <w:r>
        <w:rPr>
          <w:rStyle w:val="StringTok"/>
        </w:rPr>
        <w:t xml:space="preserve">"Undisaggregated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worst </w:t>
      </w:r>
      <w:r>
        <w:rPr>
          <w:rStyle w:val="OtherTok"/>
        </w:rPr>
        <w:t xml:space="preserve">&lt;-</w:t>
      </w:r>
      <w:r>
        <w:rPr>
          <w:rStyle w:val="NormalTok"/>
        </w:rPr>
        <w:t xml:space="preserve"> </w:t>
      </w:r>
      <w:r>
        <w:rPr>
          <w:rStyle w:val="FunctionTok"/>
        </w:rPr>
        <w:t xml:space="preserve">which.min</w:t>
      </w:r>
      <w:r>
        <w:rPr>
          <w:rStyle w:val="NormalTok"/>
        </w:rPr>
        <w:t xml:space="preserve">(credits[[</w:t>
      </w:r>
      <w:r>
        <w:rPr>
          <w:rStyle w:val="StringTok"/>
        </w:rPr>
        <w:t xml:space="preserve">"Undisaggregated reductions (Mt)"</w:t>
      </w:r>
      <w:r>
        <w:rPr>
          <w:rStyle w:val="NormalTok"/>
        </w:rPr>
        <w:t xml:space="preserve">]])</w:t>
      </w:r>
      <w:r>
        <w:br/>
      </w:r>
      <w:r>
        <w:br/>
      </w:r>
      <w:r>
        <w:rPr>
          <w:rStyle w:val="NormalTok"/>
        </w:rPr>
        <w:t xml:space="preserve">bc_accounts </w:t>
      </w:r>
      <w:r>
        <w:rPr>
          <w:rStyle w:val="OtherTok"/>
        </w:rPr>
        <w:t xml:space="preserve">&lt;-</w:t>
      </w:r>
      <w:r>
        <w:rPr>
          <w:rStyle w:val="NormalTok"/>
        </w:rPr>
        <w:t xml:space="preserve"> bc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2012</w:t>
      </w:r>
      <w:r>
        <w:rPr>
          <w:rStyle w:val="NormalTok"/>
        </w:rPr>
        <w:t xml:space="preserve">)</w:t>
      </w:r>
      <w:r>
        <w:br/>
      </w:r>
      <w:r>
        <w:rPr>
          <w:rStyle w:val="NormalTok"/>
        </w:rPr>
        <w:t xml:space="preserve">bc_level_split </w:t>
      </w:r>
      <w:r>
        <w:rPr>
          <w:rStyle w:val="OtherTok"/>
        </w:rPr>
        <w:t xml:space="preserve">&lt;-</w:t>
      </w:r>
      <w:r>
        <w:rPr>
          <w:rStyle w:val="NormalTok"/>
        </w:rPr>
        <w:t xml:space="preserve"> </w:t>
      </w:r>
      <w:r>
        <w:rPr>
          <w:rStyle w:val="FunctionTok"/>
        </w:rPr>
        <w:t xml:space="preserve">sum</w:t>
      </w:r>
      <w:r>
        <w:rPr>
          <w:rStyle w:val="NormalTok"/>
        </w:rPr>
        <w:t xml:space="preserve">(bc_accounts</w:t>
      </w:r>
      <w:r>
        <w:rPr>
          <w:rStyle w:val="SpecialCharTok"/>
        </w:rPr>
        <w:t xml:space="preserve">$</w:t>
      </w:r>
      <w:r>
        <w:rPr>
          <w:rStyle w:val="NormalTok"/>
        </w:rPr>
        <w:t xml:space="preserve">human[bc_accounts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NormalTok"/>
        </w:rPr>
        <w:t xml:space="preserve">bc_level_whole </w:t>
      </w:r>
      <w:r>
        <w:rPr>
          <w:rStyle w:val="OtherTok"/>
        </w:rPr>
        <w:t xml:space="preserve">&lt;-</w:t>
      </w:r>
      <w:r>
        <w:rPr>
          <w:rStyle w:val="NormalTok"/>
        </w:rPr>
        <w:t xml:space="preserve"> </w:t>
      </w:r>
      <w:r>
        <w:rPr>
          <w:rStyle w:val="FunctionTok"/>
        </w:rPr>
        <w:t xml:space="preserve">sum</w:t>
      </w:r>
      <w:r>
        <w:rPr>
          <w:rStyle w:val="NormalTok"/>
        </w:rPr>
        <w:t xml:space="preserve">(bc_accounts</w:t>
      </w:r>
      <w:r>
        <w:rPr>
          <w:rStyle w:val="SpecialCharTok"/>
        </w:rPr>
        <w:t xml:space="preserve">$</w:t>
      </w:r>
      <w:r>
        <w:rPr>
          <w:rStyle w:val="NormalTok"/>
        </w:rPr>
        <w:t xml:space="preserve">net[bc_accounts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w:t>
      </w:r>
      <w:r>
        <w:rPr>
          <w:rStyle w:val="DecValTok"/>
        </w:rPr>
        <w:t xml:space="preserve">5</w:t>
      </w:r>
      <w:r>
        <w:br/>
      </w:r>
      <w:r>
        <w:br/>
      </w:r>
      <w:r>
        <w:rPr>
          <w:rStyle w:val="NormalTok"/>
        </w:rPr>
        <w:t xml:space="preserve">bc_credits </w:t>
      </w:r>
      <w:r>
        <w:rPr>
          <w:rStyle w:val="OtherTok"/>
        </w:rPr>
        <w:t xml:space="preserve">&lt;-</w:t>
      </w:r>
      <w:r>
        <w:rPr>
          <w:rStyle w:val="NormalTok"/>
        </w:rPr>
        <w:t xml:space="preserve"> bc_accounts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Burned area share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share,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emissions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(bc_level_split </w:t>
      </w:r>
      <w:r>
        <w:rPr>
          <w:rStyle w:val="SpecialCharTok"/>
        </w:rPr>
        <w:t xml:space="preserve">-</w:t>
      </w:r>
      <w:r>
        <w:rPr>
          <w:rStyle w:val="NormalTok"/>
        </w:rPr>
        <w:t xml:space="preserve"> 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emissions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(net,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(bc_level_whole </w:t>
      </w:r>
      <w:r>
        <w:rPr>
          <w:rStyle w:val="SpecialCharTok"/>
        </w:rPr>
        <w:t xml:space="preserve">-</w:t>
      </w:r>
      <w:r>
        <w:rPr>
          <w:rStyle w:val="NormalTok"/>
        </w:rPr>
        <w:t xml:space="preserve"> net, </w:t>
      </w:r>
      <w:r>
        <w:rPr>
          <w:rStyle w:val="DecValTok"/>
        </w:rPr>
        <w:t xml:space="preserve">1</w:t>
      </w:r>
      <w:r>
        <w:rPr>
          <w:rStyle w:val="NormalTok"/>
        </w:rPr>
        <w:t xml:space="preserve">))</w:t>
      </w:r>
      <w:r>
        <w:br/>
      </w:r>
      <w:r>
        <w:br/>
      </w:r>
      <w:r>
        <w:rPr>
          <w:rStyle w:val="NormalTok"/>
        </w:rPr>
        <w:t xml:space="preserve">bc_split_pos </w:t>
      </w:r>
      <w:r>
        <w:rPr>
          <w:rStyle w:val="OtherTok"/>
        </w:rPr>
        <w:t xml:space="preserve">&lt;-</w:t>
      </w:r>
      <w:r>
        <w:rPr>
          <w:rStyle w:val="NormalTok"/>
        </w:rPr>
        <w:t xml:space="preserve"> bc_credits[[</w:t>
      </w:r>
      <w:r>
        <w:rPr>
          <w:rStyle w:val="StringTok"/>
        </w:rPr>
        <w:t xml:space="preserve">"Disaggregated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bc_whole_pos </w:t>
      </w:r>
      <w:r>
        <w:rPr>
          <w:rStyle w:val="OtherTok"/>
        </w:rPr>
        <w:t xml:space="preserve">&lt;-</w:t>
      </w:r>
      <w:r>
        <w:rPr>
          <w:rStyle w:val="NormalTok"/>
        </w:rPr>
        <w:t xml:space="preserve"> bc_credits[[</w:t>
      </w:r>
      <w:r>
        <w:rPr>
          <w:rStyle w:val="StringTok"/>
        </w:rPr>
        <w:t xml:space="preserve">"Undisaggregated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bc_worst </w:t>
      </w:r>
      <w:r>
        <w:rPr>
          <w:rStyle w:val="OtherTok"/>
        </w:rPr>
        <w:t xml:space="preserve">&lt;-</w:t>
      </w:r>
      <w:r>
        <w:rPr>
          <w:rStyle w:val="NormalTok"/>
        </w:rPr>
        <w:t xml:space="preserve"> </w:t>
      </w:r>
      <w:r>
        <w:rPr>
          <w:rStyle w:val="FunctionTok"/>
        </w:rPr>
        <w:t xml:space="preserve">which.min</w:t>
      </w:r>
      <w:r>
        <w:rPr>
          <w:rStyle w:val="NormalTok"/>
        </w:rPr>
        <w:t xml:space="preserve">(bc_credits[[</w:t>
      </w:r>
      <w:r>
        <w:rPr>
          <w:rStyle w:val="StringTok"/>
        </w:rPr>
        <w:t xml:space="preserve">"Undisaggregated reductions (Mt)"</w:t>
      </w:r>
      <w:r>
        <w:rPr>
          <w:rStyle w:val="NormalTok"/>
        </w:rPr>
        <w:t xml:space="preserve">]])</w:t>
      </w:r>
      <w:r>
        <w:br/>
      </w:r>
      <w:r>
        <w:br/>
      </w:r>
      <w:r>
        <w:rPr>
          <w:rStyle w:val="NormalTok"/>
        </w:rPr>
        <w:t xml:space="preserve">classify </w:t>
      </w:r>
      <w:r>
        <w:rPr>
          <w:rStyle w:val="OtherTok"/>
        </w:rPr>
        <w:t xml:space="preserve">&lt;-</w:t>
      </w:r>
      <w:r>
        <w:rPr>
          <w:rStyle w:val="NormalTok"/>
        </w:rPr>
        <w:t xml:space="preserve"> </w:t>
      </w:r>
      <w:r>
        <w:rPr>
          <w:rStyle w:val="ControlFlowTok"/>
        </w:rPr>
        <w:t xml:space="preserve">function</w:t>
      </w:r>
      <w:r>
        <w:rPr>
          <w:rStyle w:val="NormalTok"/>
        </w:rPr>
        <w:t xml:space="preserve">(n) {</w:t>
      </w:r>
      <w:r>
        <w:br/>
      </w:r>
      <w:r>
        <w:rPr>
          <w:rStyle w:val="NormalTok"/>
        </w:rPr>
        <w:t xml:space="preserve">  base </w:t>
      </w:r>
      <w:r>
        <w:rPr>
          <w:rStyle w:val="OtherTok"/>
        </w:rPr>
        <w:t xml:space="preserve">&lt;-</w:t>
      </w:r>
      <w:r>
        <w:rPr>
          <w:rStyle w:val="NormalTok"/>
        </w:rPr>
        <w:t xml:space="preserve"> forest_co2[forest_co2</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min</w:t>
      </w:r>
      <w:r>
        <w:rPr>
          <w:rStyle w:val="NormalTok"/>
        </w:rPr>
        <w:t xml:space="preserve">(forest_co2</w:t>
      </w:r>
      <w:r>
        <w:rPr>
          <w:rStyle w:val="SpecialCharTok"/>
        </w:rPr>
        <w:t xml:space="preserve">$</w:t>
      </w:r>
      <w:r>
        <w:rPr>
          <w:rStyle w:val="NormalTok"/>
        </w:rPr>
        <w:t xml:space="preserve">year) </w:t>
      </w:r>
      <w:r>
        <w:rPr>
          <w:rStyle w:val="SpecialCharTok"/>
        </w:rPr>
        <w:t xml:space="preserve">+</w:t>
      </w:r>
      <w:r>
        <w:rPr>
          <w:rStyle w:val="NormalTok"/>
        </w:rPr>
        <w:t xml:space="preserve"> n, ]</w:t>
      </w:r>
      <w:r>
        <w:br/>
      </w:r>
      <w:r>
        <w:rPr>
          <w:rStyle w:val="NormalTok"/>
        </w:rPr>
        <w:t xml:space="preserve">  thr </w:t>
      </w:r>
      <w:r>
        <w:rPr>
          <w:rStyle w:val="OtherTok"/>
        </w:rPr>
        <w:t xml:space="preserve">&lt;-</w:t>
      </w:r>
      <w:r>
        <w:rPr>
          <w:rStyle w:val="NormalTok"/>
        </w:rPr>
        <w:t xml:space="preserve"> </w:t>
      </w:r>
      <w:r>
        <w:rPr>
          <w:rStyle w:val="FunctionTok"/>
        </w:rPr>
        <w:t xml:space="preserve">mean</w:t>
      </w:r>
      <w:r>
        <w:rPr>
          <w:rStyle w:val="NormalTok"/>
        </w:rPr>
        <w:t xml:space="preserve">(base</w:t>
      </w:r>
      <w:r>
        <w:rPr>
          <w:rStyle w:val="SpecialCharTok"/>
        </w:rPr>
        <w:t xml:space="preserve">$</w:t>
      </w:r>
      <w:r>
        <w:rPr>
          <w:rStyle w:val="NormalTok"/>
        </w:rPr>
        <w:t xml:space="preserve">co2)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sd</w:t>
      </w:r>
      <w:r>
        <w:rPr>
          <w:rStyle w:val="NormalTok"/>
        </w:rPr>
        <w:t xml:space="preserve">(base</w:t>
      </w:r>
      <w:r>
        <w:rPr>
          <w:rStyle w:val="SpecialCharTok"/>
        </w:rPr>
        <w:t xml:space="preserve">$</w:t>
      </w:r>
      <w:r>
        <w:rPr>
          <w:rStyle w:val="NormalTok"/>
        </w:rPr>
        <w:t xml:space="preserve">co2)</w:t>
      </w:r>
      <w:r>
        <w:br/>
      </w:r>
      <w:r>
        <w:rPr>
          <w:rStyle w:val="NormalTok"/>
        </w:rPr>
        <w:t xml:space="preserve">  </w:t>
      </w:r>
      <w:r>
        <w:rPr>
          <w:rStyle w:val="FunctionTok"/>
        </w:rPr>
        <w:t xml:space="preserve">data.frame</w:t>
      </w:r>
      <w:r>
        <w:rPr>
          <w:rStyle w:val="NormalTok"/>
        </w:rPr>
        <w:t xml:space="preserve">(</w:t>
      </w:r>
      <w:r>
        <w:rPr>
          <w:rStyle w:val="StringTok"/>
        </w:rPr>
        <w:t xml:space="preserve">`</w:t>
      </w:r>
      <w:r>
        <w:rPr>
          <w:rStyle w:val="AttributeTok"/>
        </w:rPr>
        <w:t xml:space="preserve">Baseline (years)</w:t>
      </w:r>
      <w:r>
        <w:rPr>
          <w:rStyle w:val="StringTok"/>
        </w:rPr>
        <w:t xml:space="preserve">`</w:t>
      </w:r>
      <w:r>
        <w:rPr>
          <w:rStyle w:val="NormalTok"/>
        </w:rPr>
        <w:t xml:space="preserve"> </w:t>
      </w:r>
      <w:r>
        <w:rPr>
          <w:rStyle w:val="OtherTok"/>
        </w:rPr>
        <w:t xml:space="preserve">=</w:t>
      </w:r>
      <w:r>
        <w:rPr>
          <w:rStyle w:val="NormalTok"/>
        </w:rPr>
        <w:t xml:space="preserve"> n,</w:t>
      </w:r>
      <w:r>
        <w:br/>
      </w:r>
      <w:r>
        <w:rPr>
          <w:rStyle w:val="NormalTok"/>
        </w:rPr>
        <w:t xml:space="preserve">             </w:t>
      </w:r>
      <w:r>
        <w:rPr>
          <w:rStyle w:val="AttributeTok"/>
        </w:rPr>
        <w:t xml:space="preserve">Period =</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ConstantTok"/>
        </w:rPr>
        <w:t xml:space="preserve">NA_character_</w:t>
      </w:r>
      <w:r>
        <w:rPr>
          <w:rStyle w:val="NormalTok"/>
        </w:rPr>
        <w:t xml:space="preserve"> </w:t>
      </w:r>
      <w:r>
        <w:rPr>
          <w:rStyle w:val="ControlFlowTok"/>
        </w:rPr>
        <w:t xml:space="preserve">else</w:t>
      </w:r>
      <w:r>
        <w:br/>
      </w:r>
      <w:r>
        <w:rPr>
          <w:rStyle w:val="NormalTok"/>
        </w:rPr>
        <w:t xml:space="preserve">               </w:t>
      </w:r>
      <w:r>
        <w:rPr>
          <w:rStyle w:val="FunctionTok"/>
        </w:rPr>
        <w:t xml:space="preserve">paste</w:t>
      </w:r>
      <w:r>
        <w:rPr>
          <w:rStyle w:val="NormalTok"/>
        </w:rPr>
        <w:t xml:space="preserve">(</w:t>
      </w:r>
      <w:r>
        <w:rPr>
          <w:rStyle w:val="FunctionTok"/>
        </w:rPr>
        <w:t xml:space="preserve">min</w:t>
      </w:r>
      <w:r>
        <w:rPr>
          <w:rStyle w:val="NormalTok"/>
        </w:rPr>
        <w:t xml:space="preserve">(base</w:t>
      </w:r>
      <w:r>
        <w:rPr>
          <w:rStyle w:val="SpecialCharTok"/>
        </w:rPr>
        <w:t xml:space="preserve">$</w:t>
      </w:r>
      <w:r>
        <w:rPr>
          <w:rStyle w:val="NormalTok"/>
        </w:rPr>
        <w:t xml:space="preserve">year), </w:t>
      </w:r>
      <w:r>
        <w:rPr>
          <w:rStyle w:val="FunctionTok"/>
        </w:rPr>
        <w:t xml:space="preserve">max</w:t>
      </w:r>
      <w:r>
        <w:rPr>
          <w:rStyle w:val="NormalTok"/>
        </w:rPr>
        <w:t xml:space="preserve">(base</w:t>
      </w:r>
      <w:r>
        <w:rPr>
          <w:rStyle w:val="SpecialCharTok"/>
        </w:rPr>
        <w:t xml:space="preserve">$</w:t>
      </w:r>
      <w:r>
        <w:rPr>
          <w:rStyle w:val="NormalTok"/>
        </w:rPr>
        <w:t xml:space="preserve">year),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Threshold (kt)</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ConstantTok"/>
        </w:rPr>
        <w:t xml:space="preserve">NA_real_</w:t>
      </w:r>
      <w:r>
        <w:rPr>
          <w:rStyle w:val="NormalTok"/>
        </w:rPr>
        <w:t xml:space="preserve"> </w:t>
      </w:r>
      <w:r>
        <w:rPr>
          <w:rStyle w:val="ControlFlowTok"/>
        </w:rPr>
        <w:t xml:space="preserve">else</w:t>
      </w:r>
      <w:r>
        <w:rPr>
          <w:rStyle w:val="NormalTok"/>
        </w:rPr>
        <w:t xml:space="preserve"> </w:t>
      </w:r>
      <w:r>
        <w:rPr>
          <w:rStyle w:val="FunctionTok"/>
        </w:rPr>
        <w:t xml:space="preserve">round</w:t>
      </w:r>
      <w:r>
        <w:rPr>
          <w:rStyle w:val="NormalTok"/>
        </w:rPr>
        <w:t xml:space="preserve">(thr),</w:t>
      </w:r>
      <w:r>
        <w:br/>
      </w:r>
      <w:r>
        <w:rPr>
          <w:rStyle w:val="NormalTok"/>
        </w:rPr>
        <w:t xml:space="preserve">             </w:t>
      </w:r>
      <w:r>
        <w:rPr>
          <w:rStyle w:val="StringTok"/>
        </w:rPr>
        <w:t xml:space="preserve">`</w:t>
      </w:r>
      <w:r>
        <w:rPr>
          <w:rStyle w:val="AttributeTok"/>
        </w:rPr>
        <w:t xml:space="preserve">Years classified natural</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StringTok"/>
        </w:rPr>
        <w:t xml:space="preserve">"baseline longer than the series"</w:t>
      </w:r>
      <w:r>
        <w:rPr>
          <w:rStyle w:val="NormalTok"/>
        </w:rPr>
        <w:t xml:space="preserve"> </w:t>
      </w:r>
      <w:r>
        <w:rPr>
          <w:rStyle w:val="ControlFlowTok"/>
        </w:rPr>
        <w:t xml:space="preserve">else</w:t>
      </w:r>
      <w:r>
        <w:br/>
      </w:r>
      <w:r>
        <w:rPr>
          <w:rStyle w:val="NormalTok"/>
        </w:rPr>
        <w:t xml:space="preserve">               </w:t>
      </w:r>
      <w:r>
        <w:rPr>
          <w:rStyle w:val="FunctionTok"/>
        </w:rPr>
        <w:t xml:space="preserve">paste</w:t>
      </w:r>
      <w:r>
        <w:rPr>
          <w:rStyle w:val="NormalTok"/>
        </w:rPr>
        <w:t xml:space="preserve">(forest_co2</w:t>
      </w:r>
      <w:r>
        <w:rPr>
          <w:rStyle w:val="SpecialCharTok"/>
        </w:rPr>
        <w:t xml:space="preserve">$</w:t>
      </w:r>
      <w:r>
        <w:rPr>
          <w:rStyle w:val="NormalTok"/>
        </w:rPr>
        <w:t xml:space="preserve">year[forest_co2</w:t>
      </w:r>
      <w:r>
        <w:rPr>
          <w:rStyle w:val="SpecialCharTok"/>
        </w:rPr>
        <w:t xml:space="preserve">$</w:t>
      </w:r>
      <w:r>
        <w:rPr>
          <w:rStyle w:val="NormalTok"/>
        </w:rPr>
        <w:t xml:space="preserve">co2 </w:t>
      </w:r>
      <w:r>
        <w:rPr>
          <w:rStyle w:val="SpecialCharTok"/>
        </w:rPr>
        <w:t xml:space="preserve">&gt;</w:t>
      </w:r>
      <w:r>
        <w:rPr>
          <w:rStyle w:val="NormalTok"/>
        </w:rPr>
        <w:t xml:space="preserve"> thr],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baselines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classify))</w:t>
      </w:r>
      <w:r>
        <w:br/>
      </w:r>
      <w:r>
        <w:br/>
      </w:r>
      <w:r>
        <w:rPr>
          <w:rStyle w:val="NormalTok"/>
        </w:rPr>
        <w:t xml:space="preserve">ci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0.10</w:t>
      </w:r>
      <w:r>
        <w:rPr>
          <w:rStyle w:val="NormalTok"/>
        </w:rPr>
        <w:t xml:space="preserve">, </w:t>
      </w:r>
      <w:r>
        <w:rPr>
          <w:rStyle w:val="FloatTok"/>
        </w:rPr>
        <w:t xml:space="preserve">0.20</w:t>
      </w:r>
      <w:r>
        <w:rPr>
          <w:rStyle w:val="NormalTok"/>
        </w:rPr>
        <w:t xml:space="preserve">, </w:t>
      </w:r>
      <w:r>
        <w:rPr>
          <w:rStyle w:val="FloatTok"/>
        </w:rPr>
        <w:t xml:space="preserve">0.30</w:t>
      </w:r>
      <w:r>
        <w:rPr>
          <w:rStyle w:val="NormalTok"/>
        </w:rPr>
        <w:t xml:space="preserve">, </w:t>
      </w:r>
      <w:r>
        <w:rPr>
          <w:rStyle w:val="FloatTok"/>
        </w:rPr>
        <w:t xml:space="preserve">0.50</w:t>
      </w:r>
      <w:r>
        <w:rPr>
          <w:rStyle w:val="NormalTok"/>
        </w:rPr>
        <w:t xml:space="preserve">, </w:t>
      </w:r>
      <w:r>
        <w:rPr>
          <w:rStyle w:val="FloatTok"/>
        </w:rPr>
        <w:t xml:space="preserve">0.75</w:t>
      </w:r>
      <w:r>
        <w:rPr>
          <w:rStyle w:val="NormalTok"/>
        </w:rPr>
        <w:t xml:space="preserve">, </w:t>
      </w:r>
      <w:r>
        <w:rPr>
          <w:rStyle w:val="FloatTok"/>
        </w:rPr>
        <w:t xml:space="preserve">1.00</w:t>
      </w:r>
      <w:r>
        <w:rPr>
          <w:rStyle w:val="NormalTok"/>
        </w:rPr>
        <w:t xml:space="preserve">, </w:t>
      </w:r>
      <w:r>
        <w:rPr>
          <w:rStyle w:val="FloatTok"/>
        </w:rPr>
        <w:t xml:space="preserve">1.50</w:t>
      </w:r>
      <w:r>
        <w:rPr>
          <w:rStyle w:val="NormalTok"/>
        </w:rPr>
        <w:t xml:space="preserve">, </w:t>
      </w:r>
      <w:r>
        <w:rPr>
          <w:rStyle w:val="FloatTok"/>
        </w:rPr>
        <w:t xml:space="preserve">2.00</w:t>
      </w:r>
      <w:r>
        <w:rPr>
          <w:rStyle w:val="NormalTok"/>
        </w:rPr>
        <w:t xml:space="preserve">)</w:t>
      </w:r>
      <w:r>
        <w:br/>
      </w:r>
      <w:r>
        <w:rPr>
          <w:rStyle w:val="NormalTok"/>
        </w:rPr>
        <w:t xml:space="preserve">deductions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Uncertainty, 90% interval half width (%)</w:t>
      </w:r>
      <w:r>
        <w:rPr>
          <w:rStyle w:val="StringTok"/>
        </w:rPr>
        <w:t xml:space="preserve">`</w:t>
      </w:r>
      <w:r>
        <w:rPr>
          <w:rStyle w:val="NormalTok"/>
        </w:rPr>
        <w:t xml:space="preserve"> </w:t>
      </w:r>
      <w:r>
        <w:rPr>
          <w:rStyle w:val="OtherTok"/>
        </w:rPr>
        <w:t xml:space="preserve">=</w:t>
      </w:r>
      <w:r>
        <w:rPr>
          <w:rStyle w:val="NormalTok"/>
        </w:rPr>
        <w:t xml:space="preserve"> ci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t>
      </w:r>
      <w:r>
        <w:rPr>
          <w:rStyle w:val="AttributeTok"/>
        </w:rPr>
        <w:t xml:space="preserve">Uncertainty deduction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(ci),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25% buffer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5% buffer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StringTok"/>
        </w:rPr>
        <w:t xml:space="preserve">"1,2,3"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30% buffer after a reversal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AttributeTok"/>
        </w:rPr>
        <w:t xml:space="preserve">after_reversal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sd_mt </w:t>
      </w:r>
      <w:r>
        <w:rPr>
          <w:rStyle w:val="OtherTok"/>
        </w:rPr>
        <w:t xml:space="preserve">&lt;-</w:t>
      </w:r>
      <w:r>
        <w:rPr>
          <w:rStyle w:val="NormalTok"/>
        </w:rPr>
        <w:t xml:space="preserve"> </w:t>
      </w:r>
      <w:r>
        <w:rPr>
          <w:rStyle w:val="FloatTok"/>
        </w:rPr>
        <w:t xml:space="preserve">16.6</w:t>
      </w:r>
      <w:r>
        <w:rPr>
          <w:rStyle w:val="NormalTok"/>
        </w:rPr>
        <w:t xml:space="preserve">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FloatTok"/>
        </w:rPr>
        <w:t xml:space="preserve">1.96</w:t>
      </w:r>
      <w:r>
        <w:br/>
      </w:r>
      <w:r>
        <w:br/>
      </w:r>
      <w:r>
        <w:rPr>
          <w:rStyle w:val="NormalTok"/>
        </w:rPr>
        <w:t xml:space="preserve">simulate_reductions </w:t>
      </w:r>
      <w:r>
        <w:rPr>
          <w:rStyle w:val="OtherTok"/>
        </w:rPr>
        <w:t xml:space="preserve">&lt;-</w:t>
      </w:r>
      <w:r>
        <w:rPr>
          <w:rStyle w:val="NormalTok"/>
        </w:rPr>
        <w:t xml:space="preserve"> </w:t>
      </w:r>
      <w:r>
        <w:rPr>
          <w:rStyle w:val="ControlFlowTok"/>
        </w:rPr>
        <w:t xml:space="preserve">function</w:t>
      </w:r>
      <w:r>
        <w:rPr>
          <w:rStyle w:val="NormalTok"/>
        </w:rPr>
        <w:t xml:space="preserve">(reference, emissions, </w:t>
      </w:r>
      <w:r>
        <w:rPr>
          <w:rStyle w:val="AttributeTok"/>
        </w:rPr>
        <w:t xml:space="preserve">n =</w:t>
      </w:r>
      <w:r>
        <w:rPr>
          <w:rStyle w:val="NormalTok"/>
        </w:rPr>
        <w:t xml:space="preserve"> </w:t>
      </w:r>
      <w:r>
        <w:rPr>
          <w:rStyle w:val="DecValTok"/>
        </w:rPr>
        <w:t xml:space="preserve">10000</w:t>
      </w:r>
      <w:r>
        <w:rPr>
          <w:rStyle w:val="NormalTok"/>
        </w:rPr>
        <w:t xml:space="preserve">) {</w:t>
      </w:r>
      <w:r>
        <w:br/>
      </w:r>
      <w:r>
        <w:rPr>
          <w:rStyle w:val="NormalTok"/>
        </w:rPr>
        <w:t xml:space="preserve">  level </w:t>
      </w:r>
      <w:r>
        <w:rPr>
          <w:rStyle w:val="OtherTok"/>
        </w:rPr>
        <w:t xml:space="preserve">&lt;-</w:t>
      </w:r>
      <w:r>
        <w:rPr>
          <w:rStyle w:val="NormalTok"/>
        </w:rPr>
        <w:t xml:space="preserve"> </w:t>
      </w:r>
      <w:r>
        <w:rPr>
          <w:rStyle w:val="FunctionTok"/>
        </w:rPr>
        <w:t xml:space="preserve">rowMeans</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(reference, </w:t>
      </w:r>
      <w:r>
        <w:rPr>
          <w:rStyle w:val="AttributeTok"/>
        </w:rPr>
        <w:t xml:space="preserve">each =</w:t>
      </w:r>
      <w:r>
        <w:rPr>
          <w:rStyle w:val="NormalTok"/>
        </w:rPr>
        <w:t xml:space="preserve"> n) </w:t>
      </w:r>
      <w:r>
        <w:rPr>
          <w:rStyle w:val="SpecialCharTok"/>
        </w:rPr>
        <w:t xml:space="preserve">+</w:t>
      </w:r>
      <w:r>
        <w:br/>
      </w:r>
      <w:r>
        <w:rPr>
          <w:rStyle w:val="NormalTok"/>
        </w:rPr>
        <w:t xml:space="preserve">                             stats</w:t>
      </w:r>
      <w:r>
        <w:rPr>
          <w:rStyle w:val="SpecialCharTok"/>
        </w:rPr>
        <w:t xml:space="preserve">::</w:t>
      </w:r>
      <w:r>
        <w:rPr>
          <w:rStyle w:val="FunctionTok"/>
        </w:rPr>
        <w:t xml:space="preserve">rnorm</w:t>
      </w:r>
      <w:r>
        <w:rPr>
          <w:rStyle w:val="NormalTok"/>
        </w:rPr>
        <w:t xml:space="preserve">(n </w:t>
      </w:r>
      <w:r>
        <w:rPr>
          <w:rStyle w:val="SpecialCharTok"/>
        </w:rPr>
        <w:t xml:space="preserve">*</w:t>
      </w:r>
      <w:r>
        <w:rPr>
          <w:rStyle w:val="NormalTok"/>
        </w:rPr>
        <w:t xml:space="preserve"> </w:t>
      </w:r>
      <w:r>
        <w:rPr>
          <w:rStyle w:val="FunctionTok"/>
        </w:rPr>
        <w:t xml:space="preserve">length</w:t>
      </w:r>
      <w:r>
        <w:rPr>
          <w:rStyle w:val="NormalTok"/>
        </w:rPr>
        <w:t xml:space="preserve">(reference), </w:t>
      </w:r>
      <w:r>
        <w:rPr>
          <w:rStyle w:val="DecValTok"/>
        </w:rPr>
        <w:t xml:space="preserve">0</w:t>
      </w:r>
      <w:r>
        <w:rPr>
          <w:rStyle w:val="NormalTok"/>
        </w:rPr>
        <w:t xml:space="preserve">, sd_mt), </w:t>
      </w:r>
      <w:r>
        <w:rPr>
          <w:rStyle w:val="AttributeTok"/>
        </w:rPr>
        <w:t xml:space="preserve">nrow =</w:t>
      </w:r>
      <w:r>
        <w:rPr>
          <w:rStyle w:val="NormalTok"/>
        </w:rPr>
        <w:t xml:space="preserve"> n))</w:t>
      </w:r>
      <w:r>
        <w:br/>
      </w:r>
      <w:r>
        <w:rPr>
          <w:rStyle w:val="NormalTok"/>
        </w:rPr>
        <w:t xml:space="preserve">  level </w:t>
      </w:r>
      <w:r>
        <w:rPr>
          <w:rStyle w:val="SpecialCharTok"/>
        </w:rPr>
        <w:t xml:space="preserve">-</w:t>
      </w:r>
      <w:r>
        <w:rPr>
          <w:rStyle w:val="NormalTok"/>
        </w:rPr>
        <w:t xml:space="preserve"> (emissions </w:t>
      </w:r>
      <w:r>
        <w:rPr>
          <w:rStyle w:val="SpecialCharTok"/>
        </w:rPr>
        <w:t xml:space="preserve">+</w:t>
      </w:r>
      <w:r>
        <w:rPr>
          <w:rStyle w:val="NormalTok"/>
        </w:rPr>
        <w:t xml:space="preserve"> stats</w:t>
      </w:r>
      <w:r>
        <w:rPr>
          <w:rStyle w:val="SpecialCharTok"/>
        </w:rPr>
        <w:t xml:space="preserve">::</w:t>
      </w:r>
      <w:r>
        <w:rPr>
          <w:rStyle w:val="FunctionTok"/>
        </w:rPr>
        <w:t xml:space="preserve">rnorm</w:t>
      </w:r>
      <w:r>
        <w:rPr>
          <w:rStyle w:val="NormalTok"/>
        </w:rPr>
        <w:t xml:space="preserve">(n, </w:t>
      </w:r>
      <w:r>
        <w:rPr>
          <w:rStyle w:val="DecValTok"/>
        </w:rPr>
        <w:t xml:space="preserve">0</w:t>
      </w:r>
      <w:r>
        <w:rPr>
          <w:rStyle w:val="NormalTok"/>
        </w:rPr>
        <w:t xml:space="preserve">, sd_mt))</w:t>
      </w:r>
      <w:r>
        <w:br/>
      </w:r>
      <w:r>
        <w:rPr>
          <w:rStyle w:val="NormalTok"/>
        </w:rPr>
        <w:t xml:space="preserve">}</w:t>
      </w:r>
      <w:r>
        <w:br/>
      </w:r>
      <w:r>
        <w:br/>
      </w:r>
      <w:r>
        <w:rPr>
          <w:rStyle w:val="NormalTok"/>
        </w:rPr>
        <w:t xml:space="preserve">monte_carlo </w:t>
      </w:r>
      <w:r>
        <w:rPr>
          <w:rStyle w:val="OtherTok"/>
        </w:rPr>
        <w:t xml:space="preserve">&lt;-</w:t>
      </w:r>
      <w:r>
        <w:rPr>
          <w:rStyle w:val="NormalTok"/>
        </w:rPr>
        <w:t xml:space="preserve"> </w:t>
      </w:r>
      <w:r>
        <w:rPr>
          <w:rStyle w:val="ControlFlowTok"/>
        </w:rPr>
        <w:t xml:space="preserve">function</w:t>
      </w:r>
      <w:r>
        <w:rPr>
          <w:rStyle w:val="NormalTok"/>
        </w:rPr>
        <w:t xml:space="preserve">(reference, series) {</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(series)), </w:t>
      </w:r>
      <w:r>
        <w:rPr>
          <w:rStyle w:val="ControlFlowTok"/>
        </w:rPr>
        <w:t xml:space="preserve">function</w:t>
      </w:r>
      <w:r>
        <w:rPr>
          <w:rStyle w:val="NormalTok"/>
        </w:rPr>
        <w:t xml:space="preserve">(k) {</w:t>
      </w:r>
      <w:r>
        <w:br/>
      </w:r>
      <w:r>
        <w:rPr>
          <w:rStyle w:val="NormalTok"/>
        </w:rPr>
        <w:t xml:space="preserve">    draws </w:t>
      </w:r>
      <w:r>
        <w:rPr>
          <w:rStyle w:val="OtherTok"/>
        </w:rPr>
        <w:t xml:space="preserve">&lt;-</w:t>
      </w:r>
      <w:r>
        <w:rPr>
          <w:rStyle w:val="NormalTok"/>
        </w:rPr>
        <w:t xml:space="preserve"> </w:t>
      </w:r>
      <w:r>
        <w:rPr>
          <w:rStyle w:val="FunctionTok"/>
        </w:rPr>
        <w:t xml:space="preserve">simulate_reductions</w:t>
      </w:r>
      <w:r>
        <w:rPr>
          <w:rStyle w:val="NormalTok"/>
        </w:rPr>
        <w:t xml:space="preserve">(reference, series</w:t>
      </w:r>
      <w:r>
        <w:rPr>
          <w:rStyle w:val="SpecialCharTok"/>
        </w:rPr>
        <w:t xml:space="preserve">$</w:t>
      </w:r>
      <w:r>
        <w:rPr>
          <w:rStyle w:val="NormalTok"/>
        </w:rPr>
        <w:t xml:space="preserve">emissions[k])</w:t>
      </w:r>
      <w:r>
        <w:br/>
      </w:r>
      <w:r>
        <w:rPr>
          <w:rStyle w:val="NormalTok"/>
        </w:rPr>
        <w:t xml:space="preserve">    half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 </w:t>
      </w:r>
      <w:r>
        <w:rPr>
          <w:rStyle w:val="FloatTok"/>
        </w:rPr>
        <w:t xml:space="preserve">0.95</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quantile</w:t>
      </w:r>
      <w:r>
        <w:rPr>
          <w:rStyle w:val="NormalTok"/>
        </w:rPr>
        <w:t xml:space="preserve">(draws, </w:t>
      </w:r>
      <w:r>
        <w:rPr>
          <w:rStyle w:val="FloatTok"/>
        </w:rPr>
        <w:t xml:space="preserve">0.05</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series</w:t>
      </w:r>
      <w:r>
        <w:rPr>
          <w:rStyle w:val="SpecialCharTok"/>
        </w:rPr>
        <w:t xml:space="preserve">$</w:t>
      </w:r>
      <w:r>
        <w:rPr>
          <w:rStyle w:val="NormalTok"/>
        </w:rPr>
        <w:t xml:space="preserve">year[k], </w:t>
      </w:r>
      <w:r>
        <w:rPr>
          <w:rStyle w:val="AttributeTok"/>
        </w:rPr>
        <w:t xml:space="preserve">mean =</w:t>
      </w:r>
      <w:r>
        <w:rPr>
          <w:rStyle w:val="NormalTok"/>
        </w:rPr>
        <w:t xml:space="preserve"> </w:t>
      </w:r>
      <w:r>
        <w:rPr>
          <w:rStyle w:val="FunctionTok"/>
        </w:rPr>
        <w:t xml:space="preserve">mean</w:t>
      </w:r>
      <w:r>
        <w:rPr>
          <w:rStyle w:val="NormalTok"/>
        </w:rPr>
        <w:t xml:space="preserve">(draws), </w:t>
      </w:r>
      <w:r>
        <w:rPr>
          <w:rStyle w:val="AttributeTok"/>
        </w:rPr>
        <w:t xml:space="preserve">half =</w:t>
      </w:r>
      <w:r>
        <w:rPr>
          <w:rStyle w:val="NormalTok"/>
        </w:rPr>
        <w:t xml:space="preserve"> half,</w:t>
      </w:r>
      <w:r>
        <w:br/>
      </w:r>
      <w:r>
        <w:rPr>
          <w:rStyle w:val="NormalTok"/>
        </w:rPr>
        <w:t xml:space="preserve">               </w:t>
      </w:r>
      <w:r>
        <w:rPr>
          <w:rStyle w:val="AttributeTok"/>
        </w:rPr>
        <w:t xml:space="preserve">ci =</w:t>
      </w:r>
      <w:r>
        <w:rPr>
          <w:rStyle w:val="NormalTok"/>
        </w:rPr>
        <w:t xml:space="preserve"> half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(draws)))</w:t>
      </w:r>
      <w:r>
        <w:br/>
      </w:r>
      <w:r>
        <w:rPr>
          <w:rStyle w:val="NormalTok"/>
        </w:rPr>
        <w:t xml:space="preserve">  }))</w:t>
      </w:r>
      <w:r>
        <w:br/>
      </w:r>
      <w:r>
        <w:rPr>
          <w:rStyle w:val="NormalTok"/>
        </w:rPr>
        <w:t xml:space="preserve">}</w:t>
      </w:r>
      <w:r>
        <w:br/>
      </w:r>
      <w:r>
        <w:br/>
      </w:r>
      <w:r>
        <w:rPr>
          <w:rStyle w:val="NormalTok"/>
        </w:rPr>
        <w:t xml:space="preserve">reference_split </w:t>
      </w:r>
      <w:r>
        <w:rPr>
          <w:rStyle w:val="OtherTok"/>
        </w:rPr>
        <w:t xml:space="preserve">&lt;-</w:t>
      </w:r>
      <w:r>
        <w:rPr>
          <w:rStyle w:val="NormalTok"/>
        </w:rPr>
        <w:t xml:space="preserve"> accounts</w:t>
      </w:r>
      <w:r>
        <w:rPr>
          <w:rStyle w:val="SpecialCharTok"/>
        </w:rPr>
        <w:t xml:space="preserve">$</w:t>
      </w:r>
      <w:r>
        <w:rPr>
          <w:rStyle w:val="NormalTok"/>
        </w:rPr>
        <w:t xml:space="preserve">human[accounts</w:t>
      </w:r>
      <w:r>
        <w:rPr>
          <w:rStyle w:val="SpecialCharTok"/>
        </w:rPr>
        <w:t xml:space="preserve">$</w:t>
      </w:r>
      <w:r>
        <w:rPr>
          <w:rStyle w:val="NormalTok"/>
        </w:rPr>
        <w:t xml:space="preserve">reference]</w:t>
      </w:r>
      <w:r>
        <w:br/>
      </w:r>
      <w:r>
        <w:rPr>
          <w:rStyle w:val="NormalTok"/>
        </w:rPr>
        <w:t xml:space="preserve">reference_whole </w:t>
      </w:r>
      <w:r>
        <w:rPr>
          <w:rStyle w:val="OtherTok"/>
        </w:rPr>
        <w:t xml:space="preserve">&lt;-</w:t>
      </w:r>
      <w:r>
        <w:rPr>
          <w:rStyle w:val="NormalTok"/>
        </w:rPr>
        <w:t xml:space="preserve"> accounts</w:t>
      </w:r>
      <w:r>
        <w:rPr>
          <w:rStyle w:val="SpecialCharTok"/>
        </w:rPr>
        <w:t xml:space="preserve">$</w:t>
      </w:r>
      <w:r>
        <w:rPr>
          <w:rStyle w:val="NormalTok"/>
        </w:rPr>
        <w:t xml:space="preserve">net[accounts</w:t>
      </w:r>
      <w:r>
        <w:rPr>
          <w:rStyle w:val="SpecialCharTok"/>
        </w:rPr>
        <w:t xml:space="preserve">$</w:t>
      </w:r>
      <w:r>
        <w:rPr>
          <w:rStyle w:val="NormalTok"/>
        </w:rPr>
        <w:t xml:space="preserve">reference]</w:t>
      </w:r>
      <w:r>
        <w:br/>
      </w:r>
      <w:r>
        <w:br/>
      </w:r>
      <w:r>
        <w:rPr>
          <w:rStyle w:val="NormalTok"/>
        </w:rPr>
        <w:t xml:space="preserve">mc_split </w:t>
      </w:r>
      <w:r>
        <w:rPr>
          <w:rStyle w:val="OtherTok"/>
        </w:rPr>
        <w:t xml:space="preserve">&lt;-</w:t>
      </w:r>
      <w:r>
        <w:rPr>
          <w:rStyle w:val="NormalTok"/>
        </w:rPr>
        <w:t xml:space="preserve"> </w:t>
      </w:r>
      <w:r>
        <w:rPr>
          <w:rStyle w:val="FunctionTok"/>
        </w:rPr>
        <w:t xml:space="preserve">monte_carlo</w:t>
      </w:r>
      <w:r>
        <w:rPr>
          <w:rStyle w:val="NormalTok"/>
        </w:rPr>
        <w:t xml:space="preserve">(reference_split,</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credits</w:t>
      </w:r>
      <w:r>
        <w:rPr>
          <w:rStyle w:val="SpecialCharTok"/>
        </w:rPr>
        <w:t xml:space="preserve">$</w:t>
      </w:r>
      <w:r>
        <w:rPr>
          <w:rStyle w:val="NormalTok"/>
        </w:rPr>
        <w:t xml:space="preserve">Year, </w:t>
      </w:r>
      <w:r>
        <w:rPr>
          <w:rStyle w:val="AttributeTok"/>
        </w:rPr>
        <w:t xml:space="preserve">emissions =</w:t>
      </w:r>
      <w:r>
        <w:rPr>
          <w:rStyle w:val="NormalTok"/>
        </w:rPr>
        <w:t xml:space="preserve"> credits[[</w:t>
      </w:r>
      <w:r>
        <w:rPr>
          <w:rStyle w:val="StringTok"/>
        </w:rPr>
        <w:t xml:space="preserve">"Disaggregated emissions (Mt)"</w:t>
      </w:r>
      <w:r>
        <w:rPr>
          <w:rStyle w:val="NormalTok"/>
        </w:rPr>
        <w:t xml:space="preserve">]]))</w:t>
      </w:r>
      <w:r>
        <w:br/>
      </w:r>
      <w:r>
        <w:rPr>
          <w:rStyle w:val="NormalTok"/>
        </w:rPr>
        <w:t xml:space="preserve">mc_whole </w:t>
      </w:r>
      <w:r>
        <w:rPr>
          <w:rStyle w:val="OtherTok"/>
        </w:rPr>
        <w:t xml:space="preserve">&lt;-</w:t>
      </w:r>
      <w:r>
        <w:rPr>
          <w:rStyle w:val="NormalTok"/>
        </w:rPr>
        <w:t xml:space="preserve"> </w:t>
      </w:r>
      <w:r>
        <w:rPr>
          <w:rStyle w:val="FunctionTok"/>
        </w:rPr>
        <w:t xml:space="preserve">monte_carlo</w:t>
      </w:r>
      <w:r>
        <w:rPr>
          <w:rStyle w:val="NormalTok"/>
        </w:rPr>
        <w:t xml:space="preserve">(reference_whole,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credits</w:t>
      </w:r>
      <w:r>
        <w:rPr>
          <w:rStyle w:val="SpecialCharTok"/>
        </w:rPr>
        <w:t xml:space="preserve">$</w:t>
      </w:r>
      <w:r>
        <w:rPr>
          <w:rStyle w:val="NormalTok"/>
        </w:rPr>
        <w:t xml:space="preserve">Year, </w:t>
      </w:r>
      <w:r>
        <w:rPr>
          <w:rStyle w:val="AttributeTok"/>
        </w:rPr>
        <w:t xml:space="preserve">emissions =</w:t>
      </w:r>
      <w:r>
        <w:rPr>
          <w:rStyle w:val="NormalTok"/>
        </w:rPr>
        <w:t xml:space="preserve"> credits[[</w:t>
      </w:r>
      <w:r>
        <w:rPr>
          <w:rStyle w:val="StringTok"/>
        </w:rPr>
        <w:t xml:space="preserve">"Undisaggregated emissions (Mt)"</w:t>
      </w:r>
      <w:r>
        <w:rPr>
          <w:rStyle w:val="NormalTok"/>
        </w:rPr>
        <w:t xml:space="preserve">]]))</w:t>
      </w:r>
      <w:r>
        <w:br/>
      </w:r>
      <w:r>
        <w:br/>
      </w:r>
      <w:r>
        <w:rPr>
          <w:rStyle w:val="NormalTok"/>
        </w:rPr>
        <w:t xml:space="preserve">blank_if_negative </w:t>
      </w:r>
      <w:r>
        <w:rPr>
          <w:rStyle w:val="OtherTok"/>
        </w:rPr>
        <w:t xml:space="preserve">&lt;-</w:t>
      </w:r>
      <w:r>
        <w:rPr>
          <w:rStyle w:val="NormalTok"/>
        </w:rPr>
        <w:t xml:space="preserve"> </w:t>
      </w:r>
      <w:r>
        <w:rPr>
          <w:rStyle w:val="ControlFlowTok"/>
        </w:rPr>
        <w:t xml:space="preserve">function</w:t>
      </w:r>
      <w:r>
        <w:rPr>
          <w:rStyle w:val="NormalTok"/>
        </w:rPr>
        <w:t xml:space="preserve">(value, mean_reduction) </w:t>
      </w:r>
      <w:r>
        <w:rPr>
          <w:rStyle w:val="FunctionTok"/>
        </w:rPr>
        <w:t xml:space="preserve">ifelse</w:t>
      </w:r>
      <w:r>
        <w:rPr>
          <w:rStyle w:val="NormalTok"/>
        </w:rPr>
        <w:t xml:space="preserve">(mean_reduction </w:t>
      </w:r>
      <w:r>
        <w:rPr>
          <w:rStyle w:val="SpecialCharTok"/>
        </w:rPr>
        <w:t xml:space="preserve">&gt;</w:t>
      </w:r>
      <w:r>
        <w:rPr>
          <w:rStyle w:val="NormalTok"/>
        </w:rPr>
        <w:t xml:space="preserve"> </w:t>
      </w:r>
      <w:r>
        <w:rPr>
          <w:rStyle w:val="DecValTok"/>
        </w:rPr>
        <w:t xml:space="preserve">0</w:t>
      </w:r>
      <w:r>
        <w:rPr>
          <w:rStyle w:val="NormalTok"/>
        </w:rPr>
        <w:t xml:space="preserve">, value, </w:t>
      </w:r>
      <w:r>
        <w:rPr>
          <w:rStyle w:val="ConstantTok"/>
        </w:rPr>
        <w:t xml:space="preserve">NA</w:t>
      </w:r>
      <w:r>
        <w:rPr>
          <w:rStyle w:val="NormalTok"/>
        </w:rPr>
        <w:t xml:space="preserve">)</w:t>
      </w:r>
      <w:r>
        <w:br/>
      </w:r>
      <w:r>
        <w:br/>
      </w:r>
      <w:r>
        <w:rPr>
          <w:rStyle w:val="NormalTok"/>
        </w:rPr>
        <w:t xml:space="preserve">uncertainty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mc_split</w:t>
      </w:r>
      <w:r>
        <w:rPr>
          <w:rStyle w:val="SpecialCharTok"/>
        </w:rPr>
        <w:t xml:space="preserve">$</w:t>
      </w:r>
      <w:r>
        <w:rPr>
          <w:rStyle w:val="NormalTok"/>
        </w:rPr>
        <w:t xml:space="preserve">Year,</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(mc_split</w:t>
      </w:r>
      <w:r>
        <w:rPr>
          <w:rStyle w:val="SpecialCharTok"/>
        </w:rPr>
        <w:t xml:space="preserve">$</w:t>
      </w:r>
      <w:r>
        <w:rPr>
          <w:rStyle w:val="NormalTok"/>
        </w:rPr>
        <w:t xml:space="preserve">mean,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interval (% of mean)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mc_split</w:t>
      </w:r>
      <w:r>
        <w:rPr>
          <w:rStyle w:val="SpecialCharTok"/>
        </w:rPr>
        <w:t xml:space="preserve">$</w:t>
      </w:r>
      <w:r>
        <w:rPr>
          <w:rStyle w:val="NormalTok"/>
        </w:rPr>
        <w:t xml:space="preserve">ci), mc_split</w:t>
      </w:r>
      <w:r>
        <w:rPr>
          <w:rStyle w:val="SpecialCharTok"/>
        </w:rPr>
        <w:t xml:space="preserve">$</w:t>
      </w:r>
      <w:r>
        <w:rPr>
          <w:rStyle w:val="NormalTok"/>
        </w:rPr>
        <w:t xml:space="preserve">mean),</w:t>
      </w:r>
      <w:r>
        <w:br/>
      </w:r>
      <w:r>
        <w:rPr>
          <w:rStyle w:val="NormalTok"/>
        </w:rPr>
        <w:t xml:space="preserve">  </w:t>
      </w:r>
      <w:r>
        <w:rPr>
          <w:rStyle w:val="StringTok"/>
        </w:rPr>
        <w:t xml:space="preserve">`</w:t>
      </w:r>
      <w:r>
        <w:rPr>
          <w:rStyle w:val="AttributeTok"/>
        </w:rPr>
        <w:t xml:space="preserve">Disaggregated deduction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(mc_split</w:t>
      </w:r>
      <w:r>
        <w:rPr>
          <w:rStyle w:val="SpecialCharTok"/>
        </w:rPr>
        <w:t xml:space="preserve">$</w:t>
      </w:r>
      <w:r>
        <w:rPr>
          <w:rStyle w:val="NormalTok"/>
        </w:rPr>
        <w:t xml:space="preserve">ci), </w:t>
      </w:r>
      <w:r>
        <w:rPr>
          <w:rStyle w:val="DecValTok"/>
        </w:rPr>
        <w:t xml:space="preserve">1</w:t>
      </w:r>
      <w:r>
        <w:rPr>
          <w:rStyle w:val="NormalTok"/>
        </w:rPr>
        <w:t xml:space="preserve">), mc_split</w:t>
      </w:r>
      <w:r>
        <w:rPr>
          <w:rStyle w:val="SpecialCharTok"/>
        </w:rPr>
        <w:t xml:space="preserve">$</w:t>
      </w:r>
      <w:r>
        <w:rPr>
          <w:rStyle w:val="NormalTok"/>
        </w:rPr>
        <w:t xml:space="preserve">mean),</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(mc_whole</w:t>
      </w:r>
      <w:r>
        <w:rPr>
          <w:rStyle w:val="SpecialCharTok"/>
        </w:rPr>
        <w:t xml:space="preserve">$</w:t>
      </w:r>
      <w:r>
        <w:rPr>
          <w:rStyle w:val="NormalTok"/>
        </w:rPr>
        <w:t xml:space="preserve">mean,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interval (% of mean)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mc_whole</w:t>
      </w:r>
      <w:r>
        <w:rPr>
          <w:rStyle w:val="SpecialCharTok"/>
        </w:rPr>
        <w:t xml:space="preserve">$</w:t>
      </w:r>
      <w:r>
        <w:rPr>
          <w:rStyle w:val="NormalTok"/>
        </w:rPr>
        <w:t xml:space="preserve">ci), mc_whole</w:t>
      </w:r>
      <w:r>
        <w:rPr>
          <w:rStyle w:val="SpecialCharTok"/>
        </w:rPr>
        <w:t xml:space="preserve">$</w:t>
      </w:r>
      <w:r>
        <w:rPr>
          <w:rStyle w:val="NormalTok"/>
        </w:rPr>
        <w:t xml:space="preserve">mean),</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NormalTok"/>
        </w:rPr>
        <w:t xml:space="preserve">over </w:t>
      </w:r>
      <w:r>
        <w:rPr>
          <w:rStyle w:val="OtherTok"/>
        </w:rPr>
        <w:t xml:space="preserve">&lt;-</w:t>
      </w:r>
      <w:r>
        <w:rPr>
          <w:rStyle w:val="NormalTok"/>
        </w:rPr>
        <w:t xml:space="preserve"> uncertainty[[</w:t>
      </w:r>
      <w:r>
        <w:rPr>
          <w:rStyle w:val="StringTok"/>
        </w:rPr>
        <w:t xml:space="preserve">"Disaggregated deduction (%)"</w:t>
      </w:r>
      <w:r>
        <w:rPr>
          <w:rStyle w:val="NormalTok"/>
        </w:rPr>
        <w:t xml:space="preserve">]] </w:t>
      </w:r>
      <w:r>
        <w:rPr>
          <w:rStyle w:val="SpecialCharTok"/>
        </w:rPr>
        <w:t xml:space="preserve">&gt;</w:t>
      </w:r>
      <w:r>
        <w:rPr>
          <w:rStyle w:val="NormalTok"/>
        </w:rPr>
        <w:t xml:space="preserve"> </w:t>
      </w:r>
      <w:r>
        <w:rPr>
          <w:rStyle w:val="DecValTok"/>
        </w:rPr>
        <w:t xml:space="preserve">100</w:t>
      </w:r>
      <w:r>
        <w:br/>
      </w:r>
      <w:r>
        <w:rPr>
          <w:rStyle w:val="NormalTok"/>
        </w:rPr>
        <w:t xml:space="preserve">banked </w:t>
      </w:r>
      <w:r>
        <w:rPr>
          <w:rStyle w:val="OtherTok"/>
        </w:rPr>
        <w:t xml:space="preserve">&lt;-</w:t>
      </w:r>
      <w:r>
        <w:rPr>
          <w:rStyle w:val="NormalTok"/>
        </w:rPr>
        <w:t xml:space="preserve"> </w:t>
      </w:r>
      <w:r>
        <w:rPr>
          <w:rStyle w:val="FunctionTok"/>
        </w:rPr>
        <w:t xml:space="preserve">ifelse</w:t>
      </w:r>
      <w:r>
        <w:rPr>
          <w:rStyle w:val="NormalTok"/>
        </w:rPr>
        <w:t xml:space="preserve">(mc_split</w:t>
      </w:r>
      <w:r>
        <w:rPr>
          <w:rStyle w:val="SpecialCharTok"/>
        </w:rPr>
        <w:t xml:space="preserve">$</w:t>
      </w:r>
      <w:r>
        <w:rPr>
          <w:rStyle w:val="NormalTok"/>
        </w:rPr>
        <w:t xml:space="preserve">mean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purrr</w:t>
      </w:r>
      <w:r>
        <w:rPr>
          <w:rStyle w:val="SpecialCharTok"/>
        </w:rPr>
        <w:t xml:space="preserve">::</w:t>
      </w:r>
      <w:r>
        <w:rPr>
          <w:rStyle w:val="FunctionTok"/>
        </w:rPr>
        <w:t xml:space="preserve">map2_dbl</w:t>
      </w:r>
      <w:r>
        <w:rPr>
          <w:rStyle w:val="NormalTok"/>
        </w:rPr>
        <w:t xml:space="preserve">(mc_split</w:t>
      </w:r>
      <w:r>
        <w:rPr>
          <w:rStyle w:val="SpecialCharTok"/>
        </w:rPr>
        <w:t xml:space="preserve">$</w:t>
      </w:r>
      <w:r>
        <w:rPr>
          <w:rStyle w:val="NormalTok"/>
        </w:rPr>
        <w:t xml:space="preserve">ci, mc_split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(credits</w:t>
      </w:r>
      <w:r>
        <w:rPr>
          <w:rStyle w:val="SpecialCharTok"/>
        </w:rPr>
        <w:t xml:space="preserve">$</w:t>
      </w:r>
      <w:r>
        <w:rPr>
          <w:rStyle w:val="NormalTok"/>
        </w:rPr>
        <w:t xml:space="preserve">Year[</w:t>
      </w:r>
      <w:r>
        <w:rPr>
          <w:rStyle w:val="SpecialCharTok"/>
        </w:rPr>
        <w:t xml:space="preserve">!</w:t>
      </w:r>
      <w:r>
        <w:rPr>
          <w:rStyle w:val="NormalTok"/>
        </w:rPr>
        <w:t xml:space="preserve">split_pos]), \(ci, after) </w:t>
      </w:r>
      <w:r>
        <w:rPr>
          <w:rStyle w:val="FunctionTok"/>
        </w:rPr>
        <w:t xml:space="preserve">kept</w:t>
      </w:r>
      <w:r>
        <w:rPr>
          <w:rStyle w:val="NormalTok"/>
        </w:rPr>
        <w:t xml:space="preserve">(ci, </w:t>
      </w:r>
      <w:r>
        <w:rPr>
          <w:rStyle w:val="AttributeTok"/>
        </w:rPr>
        <w:t xml:space="preserve">after_reversal =</w:t>
      </w:r>
      <w:r>
        <w:rPr>
          <w:rStyle w:val="NormalTok"/>
        </w:rPr>
        <w:t xml:space="preserve"> after)), </w:t>
      </w:r>
      <w:r>
        <w:rPr>
          <w:rStyle w:val="ConstantTok"/>
        </w:rPr>
        <w:t xml:space="preserve">NA</w:t>
      </w:r>
      <w:r>
        <w:rPr>
          <w:rStyle w:val="NormalTok"/>
        </w:rPr>
        <w:t xml:space="preserve">)</w:t>
      </w:r>
      <w:r>
        <w:br/>
      </w:r>
      <w:r>
        <w:br/>
      </w:r>
      <w:r>
        <w:rPr>
          <w:rStyle w:val="NormalTok"/>
        </w:rPr>
        <w:t xml:space="preserve">msd </w:t>
      </w:r>
      <w:r>
        <w:rPr>
          <w:rStyle w:val="OtherTok"/>
        </w:rPr>
        <w:t xml:space="preserve">&lt;-</w:t>
      </w:r>
      <w:r>
        <w:rPr>
          <w:rStyle w:val="NormalTok"/>
        </w:rPr>
        <w:t xml:space="preserve"> \(x) </w:t>
      </w:r>
      <w:r>
        <w:rPr>
          <w:rStyle w:val="FunctionTok"/>
        </w:rPr>
        <w:t xml:space="preserve">sprintf</w:t>
      </w:r>
      <w:r>
        <w:rPr>
          <w:rStyle w:val="NormalTok"/>
        </w:rPr>
        <w:t xml:space="preserve">(</w:t>
      </w:r>
      <w:r>
        <w:rPr>
          <w:rStyle w:val="StringTok"/>
        </w:rPr>
        <w:t xml:space="preserve">"%.1f ± %.1f Mt CO~2~e a year (95 per cent confidence interval %.1f to %.1f)"</w:t>
      </w:r>
      <w:r>
        <w:rPr>
          <w:rStyle w:val="NormalTok"/>
        </w:rPr>
        <w:t xml:space="preserve">,</w:t>
      </w:r>
      <w:r>
        <w:br/>
      </w:r>
      <w:r>
        <w:rPr>
          <w:rStyle w:val="NormalTok"/>
        </w:rPr>
        <w:t xml:space="preserve">                    </w:t>
      </w:r>
      <w:r>
        <w:rPr>
          <w:rStyle w:val="FunctionTok"/>
        </w:rPr>
        <w:t xml:space="preserve">mean</w:t>
      </w:r>
      <w:r>
        <w:rPr>
          <w:rStyle w:val="NormalTok"/>
        </w:rPr>
        <w:t xml:space="preserve">(x), stats</w:t>
      </w:r>
      <w:r>
        <w:rPr>
          <w:rStyle w:val="SpecialCharTok"/>
        </w:rPr>
        <w:t xml:space="preserve">::</w:t>
      </w:r>
      <w:r>
        <w:rPr>
          <w:rStyle w:val="FunctionTok"/>
        </w:rPr>
        <w:t xml:space="preserve">sd</w:t>
      </w:r>
      <w:r>
        <w:rPr>
          <w:rStyle w:val="NormalTok"/>
        </w:rPr>
        <w:t xml:space="preserve">(x), stats</w:t>
      </w:r>
      <w:r>
        <w:rPr>
          <w:rStyle w:val="SpecialCharTok"/>
        </w:rPr>
        <w:t xml:space="preserve">::</w:t>
      </w:r>
      <w:r>
        <w:rPr>
          <w:rStyle w:val="FunctionTok"/>
        </w:rPr>
        <w:t xml:space="preserve">t.test</w:t>
      </w:r>
      <w:r>
        <w:rPr>
          <w:rStyle w:val="NormalTok"/>
        </w:rPr>
        <w:t xml:space="preserve">(x)</w:t>
      </w:r>
      <w:r>
        <w:rPr>
          <w:rStyle w:val="SpecialCharTok"/>
        </w:rPr>
        <w:t xml:space="preserve">$</w:t>
      </w:r>
      <w:r>
        <w:rPr>
          <w:rStyle w:val="NormalTok"/>
        </w:rPr>
        <w:t xml:space="preserve">conf.int[</w:t>
      </w:r>
      <w:r>
        <w:rPr>
          <w:rStyle w:val="DecValTok"/>
        </w:rPr>
        <w:t xml:space="preserve">1</w:t>
      </w:r>
      <w:r>
        <w:rPr>
          <w:rStyle w:val="NormalTok"/>
        </w:rPr>
        <w:t xml:space="preserve">], stats</w:t>
      </w:r>
      <w:r>
        <w:rPr>
          <w:rStyle w:val="SpecialCharTok"/>
        </w:rPr>
        <w:t xml:space="preserve">::</w:t>
      </w:r>
      <w:r>
        <w:rPr>
          <w:rStyle w:val="FunctionTok"/>
        </w:rPr>
        <w:t xml:space="preserve">t.test</w:t>
      </w:r>
      <w:r>
        <w:rPr>
          <w:rStyle w:val="NormalTok"/>
        </w:rPr>
        <w:t xml:space="preserve">(x)</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province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(eccc, region </w:t>
      </w:r>
      <w:r>
        <w:rPr>
          <w:rStyle w:val="SpecialCharTok"/>
        </w:rPr>
        <w:t xml:space="preserve">==</w:t>
      </w:r>
      <w:r>
        <w:rPr>
          <w:rStyle w:val="NormalTok"/>
        </w:rPr>
        <w:t xml:space="preserve"> </w:t>
      </w:r>
      <w:r>
        <w:rPr>
          <w:rStyle w:val="StringTok"/>
        </w:rPr>
        <w:t xml:space="preserve">"BC"</w:t>
      </w:r>
      <w:r>
        <w:rPr>
          <w:rStyle w:val="NormalTok"/>
        </w:rPr>
        <w:t xml:space="preserve">)</w:t>
      </w:r>
    </w:p>
    <w:bookmarkStart w:id="20" w:name="abstract"/>
    <w:p>
      <w:pPr>
        <w:pStyle w:val="Heading1"/>
      </w:pPr>
      <w:r>
        <w:t xml:space="preserve">Abstract</w:t>
      </w:r>
    </w:p>
    <w:p>
      <w:pPr>
        <w:pStyle w:val="FirstParagraph"/>
      </w:pPr>
      <w:r>
        <w:t xml:space="preserve">Separating natural disturbance from human activity decided whether Canada and British Columbia could report a creditable forest carbon balance at all in the years of the largest fires on record, rather than merely narrowing the uncertainty of one. The 2019 Refinement to the 2006 guidelines of the Intergovernmental Panel on Climate Change offers that separation as an option and sets no length for the record it requires, and little is known about what it does to the credit a jurisdiction can issue. This study compared two accounts of the same land, one that separates natural disturbance and one that does not, for Canada and for British Columbia across the crediting years 2017 to 2024 against a 2012 to 2016 reference period, using the published components of the national inventory for 1990 to 2024, the fire polygons of the Canadian National Fire Database and the fire emissions of the Food and Agriculture Organization statistical database. The crediting level, the uncertainty deduction and the buffer withholding of the REDD+ Environmental Excellence Standard were implemented as the standard writes them, and the natural disturbance threshold was calibrated on baselines of thirteen, twenty and thirty years. The account Canada reports earned reductions in 6 of the 8 crediting years, totalling 85.6 million tonnes of carbon dioxide equivalent, while the same land without the separation earned them in 2 years and fell 853.6 million tonnes below the crediting level in 2023 alone. British Columbia, which held 22.2 per cent of the area burned in Canada in 2023, earned 104.6 million tonnes on the separated account and fell 322 million tonnes short without it. Lengthening the baseline from thirteen to twenty years raised the threshold that marks a year as natural by 74 per cent without changing which years it marked, and the two deductions of the standard leave nothing to issue once reported uncertainty reaches 235 per cent. Carbon standards that credit jurisdictions therefore rest on a separation their own guidance leaves undefined, and the rule that defines it decides the credit.</w:t>
      </w:r>
    </w:p>
    <w:bookmarkEnd w:id="20"/>
    <w:bookmarkStart w:id="21" w:name="introduction"/>
    <w:p>
      <w:pPr>
        <w:pStyle w:val="Heading1"/>
      </w:pPr>
      <w:r>
        <w:t xml:space="preserve">1. Introduction</w:t>
      </w:r>
    </w:p>
    <w:p>
      <w:pPr>
        <w:pStyle w:val="FirstParagraph"/>
      </w:pPr>
      <w:r>
        <w:t xml:space="preserve">Canada reports the emissions and removals of its managed forest to the United Nations Framework Convention on Climate Change in two parts, one for the land affected by forest management and one for the land recovering from natural disturbance, and moves an area from the second part to the first once the stand has grown back to the age at which it holds enough wood to be worth cutting, between 60 and 100 years depending on the region</w:t>
      </w:r>
      <w:r>
        <w:t xml:space="preserve"> </w:t>
      </w:r>
      <w:r>
        <w:t xml:space="preserve">(Kurz et al., 2024)</w:t>
      </w:r>
      <w:r>
        <w:t xml:space="preserve">. The split matters to the reported balance rather than to the atmosphere. Revising the record of what was harvested between 1889 and 1989 moved 34 million hectares out of the managed part in 1990 and cut the sink reported as human caused by 113 Mt CO</w:t>
      </w:r>
      <w:r>
        <w:rPr>
          <w:vertAlign w:val="subscript"/>
        </w:rPr>
        <w:t xml:space="preserve">2</w:t>
      </w:r>
      <w:r>
        <w:t xml:space="preserve">e in that year, 56 per cent of it, and by 30 Mt CO</w:t>
      </w:r>
      <w:r>
        <w:rPr>
          <w:vertAlign w:val="subscript"/>
        </w:rPr>
        <w:t xml:space="preserve">2</w:t>
      </w:r>
      <w:r>
        <w:t xml:space="preserve">e in 2021, 23 per cent of it</w:t>
      </w:r>
      <w:r>
        <w:t xml:space="preserve"> </w:t>
      </w:r>
      <w:r>
        <w:t xml:space="preserve">(Kurz et al., 2024)</w:t>
      </w:r>
      <w:r>
        <w:t xml:space="preserve">. Australia reaches a similar separation by a different route, classifying a whole fire season as natural when national fire emissions exceed the mean of a 2000 to 2012 baseline by two standard deviations and a state’s burned area exceeds its own baseline mean by one standard deviation</w:t>
      </w:r>
      <w:r>
        <w:t xml:space="preserve"> </w:t>
      </w:r>
      <w:r>
        <w:t xml:space="preserve">(Bowman et al., 2023)</w:t>
      </w:r>
      <w:r>
        <w:t xml:space="preserve">.</w:t>
      </w:r>
    </w:p>
    <w:p>
      <w:pPr>
        <w:pStyle w:val="BodyText"/>
      </w:pPr>
      <w:r>
        <w:t xml:space="preserve">The uncertainty attached to those reported numbers is bounded by the method used to combine it. The simple propagation of the 2019 Refinement, its Approach 1,</w:t>
      </w:r>
      <w:r>
        <w:t xml:space="preserve"> </w:t>
      </w:r>
      <w:r>
        <w:t xml:space="preserve">“theoretically requires that the standard deviation divided by the mean value is less than 0.3”</w:t>
      </w:r>
      <w:r>
        <w:t xml:space="preserve">, and Monte Carlo simulation, its Approach 2,</w:t>
      </w:r>
      <w:r>
        <w:t xml:space="preserve"> </w:t>
      </w:r>
      <w:r>
        <w:t xml:space="preserve">“will be particularly appropriate to use when uncertainties are large, their distribution are non-Gaussian, and algorithms are complex functions”</w:t>
      </w:r>
      <w:r>
        <w:t xml:space="preserve"> </w:t>
      </w:r>
      <w:r>
        <w:t xml:space="preserve">(Paciornik et al., 2019)</w:t>
      </w:r>
      <w:r>
        <w:t xml:space="preserve">. Neither approach prevents an uncertainty larger than the estimate it describes, because the percentage is the interval divided by the reported value, and the guidance says so itself, that</w:t>
      </w:r>
      <w:r>
        <w:t xml:space="preserve"> </w:t>
      </w:r>
      <w:r>
        <w:t xml:space="preserve">“caution should be exercised in the interpretation of the results in cases where the point estimate is very small when compared with the size of the confidence interval (e.g. a sector or inventory where removals and emissions are of similar sizes)”</w:t>
      </w:r>
      <w:r>
        <w:t xml:space="preserve"> </w:t>
      </w:r>
      <w:r>
        <w:t xml:space="preserve">(Paciornik et al., 2019)</w:t>
      </w:r>
      <w:r>
        <w:t xml:space="preserve">. Its own worked example for Finland prints ±150 per cent for wetlands remaining wetlands against ±30 per cent for forest land remaining forest land.</w:t>
      </w:r>
    </w:p>
    <w:p>
      <w:pPr>
        <w:pStyle w:val="BodyText"/>
      </w:pPr>
      <w:r>
        <w:t xml:space="preserve">The data a government reaches for first is FAOSTAT, which the IPCC recommends for checking national inventory activity data and emission estimates. Its Emissions from Fires domain covers 1990 to 2024 for every country, and its methodological note gives the equation, emissions equal burned biomass multiplied by a default emission factor, and names each input, the MODIS MCD64A1 Collection 6.1 burned area product, the MODIS MCD12Q1 land cover product and the default values of the 2006 IPCC Guidelines</w:t>
      </w:r>
      <w:r>
        <w:t xml:space="preserve"> </w:t>
      </w:r>
      <w:r>
        <w:t xml:space="preserve">(Food and Agriculture Organization of the United Nations, 2025)</w:t>
      </w:r>
      <w:r>
        <w:t xml:space="preserve">. It does not give the code that runs in Google Earth Engine, the rule that allocates a fuel consumption value to each pixel through the ecological and climate zone layers, or the effect of keeping</w:t>
      </w:r>
      <w:r>
        <w:t xml:space="preserve"> </w:t>
      </w:r>
      <w:r>
        <w:t xml:space="preserve">“only those pixels with a percentage uncertainty lower than 20 percent”</w:t>
      </w:r>
      <w:r>
        <w:t xml:space="preserve"> </w:t>
      </w:r>
      <w:r>
        <w:t xml:space="preserve">(Food and Agriculture Organization of the United Nations, 2025)</w:t>
      </w:r>
      <w:r>
        <w:t xml:space="preserve">. It also sets the burned area and emissions of fires in organic soils to zero for every country outside Southeast Asia, publishing the full values separately in a table named</w:t>
      </w:r>
      <w:r>
        <w:t xml:space="preserve"> </w:t>
      </w:r>
      <w:r>
        <w:rPr>
          <w:rStyle w:val="VerbatimChar"/>
        </w:rPr>
        <w:t xml:space="preserve">AllFires_OrganicSoils.csv</w:t>
      </w:r>
      <w:r>
        <w:t xml:space="preserve"> </w:t>
      </w:r>
      <w:r>
        <w:t xml:space="preserve">(Food and Agriculture Organization of the United Nations, 2025)</w:t>
      </w:r>
      <w:r>
        <w:t xml:space="preserve">.</w:t>
      </w:r>
    </w:p>
    <w:p>
      <w:pPr>
        <w:pStyle w:val="BodyText"/>
      </w:pPr>
      <w:r>
        <w:t xml:space="preserve">What the separation is worth is set by the crediting standard rather than by the inventory. Under the REDD+ Environmental Excellence Standard a jurisdiction may leave natural disturbance out of its accounts on exactly the authority described above, since the standard states that</w:t>
      </w:r>
      <w:r>
        <w:t xml:space="preserve"> </w:t>
      </w:r>
      <w:r>
        <w:t xml:space="preserve">“only anthropogenic emissions shall be considered, and IPCC guidance shall be adhered to on any exclusion of non-anthropogenic emissions”</w:t>
      </w:r>
      <w:r>
        <w:t xml:space="preserve">, and its 2025 draft adds that natural disturbances</w:t>
      </w:r>
      <w:r>
        <w:t xml:space="preserve"> </w:t>
      </w:r>
      <w:r>
        <w:t xml:space="preserve">“may be excluded if they are</w:t>
      </w:r>
      <w:r>
        <w:t xml:space="preserve"> </w:t>
      </w:r>
      <w:r>
        <w:t xml:space="preserve">‘non-anthropogenic events or non-anthropogenic circumstances that cause significant emissions and are beyond the control of, and not materially influenced by a country’</w:t>
      </w:r>
      <w:r>
        <w:t xml:space="preserve">”</w:t>
      </w:r>
      <w:r>
        <w:t xml:space="preserve">, citing Volume 4, Chapter 2 of the 2019 Refinement</w:t>
      </w:r>
      <w:r>
        <w:t xml:space="preserve"> </w:t>
      </w:r>
      <w:r>
        <w:t xml:space="preserve">(Architecture for REDD+ Transactions, 2021, 2025; Ogle et al., 2019)</w:t>
      </w:r>
      <w:r>
        <w:t xml:space="preserve">. Two deductions then scale off whatever the accounts report. The uncertainty deduction is the gross reductions and removals multiplied by an adjustment factor, 0.524417 divided by 1.645006 and multiplied by the half width of the 90 per cent confidence interval, which the standard requires to be estimated by Monte Carlo simulation at 10,000 iterations. The buffer withholding is the same gross quantity multiplied by a contribution of 25 per cent, which falls to 5 per cent where three mitigating factors are met and rises by 5 percentage points for five years after a reversal</w:t>
      </w:r>
      <w:r>
        <w:t xml:space="preserve"> </w:t>
      </w:r>
      <w:r>
        <w:t xml:space="preserve">(Architecture for REDD+ Transactions, 2021)</w:t>
      </w:r>
      <w:r>
        <w:t xml:space="preserve">. A reversal retires buffer credits equal to the lower of the emissions above the crediting level or every credit the jurisdiction has been issued.</w:t>
      </w:r>
    </w:p>
    <w:p>
      <w:pPr>
        <w:pStyle w:val="BodyText"/>
      </w:pPr>
      <w:r>
        <w:t xml:space="preserve">This study asked three questions of Canada and British Columbia from 1990 to 2024, the period of the 2026 national inventory.</w:t>
      </w:r>
    </w:p>
    <w:p>
      <w:pPr>
        <w:pStyle w:val="Compact"/>
        <w:numPr>
          <w:ilvl w:val="0"/>
          <w:numId w:val="1001"/>
        </w:numPr>
      </w:pPr>
      <w:r>
        <w:t xml:space="preserve">What difference does separating natural from human-caused disturbance, as the 2019 Refinement allows, make to the emissions Canada and British Columbia report, to their uncertainty and to the credit they could claim?</w:t>
      </w:r>
    </w:p>
    <w:p>
      <w:pPr>
        <w:pStyle w:val="Compact"/>
        <w:numPr>
          <w:ilvl w:val="0"/>
          <w:numId w:val="1001"/>
        </w:numPr>
      </w:pPr>
      <w:r>
        <w:t xml:space="preserve">Where does the separation become hard to apply, in the length of record behind a natural disturbance test, in the period over which regrowth is tracked, and in an uncertainty taken on a net near zero?</w:t>
      </w:r>
    </w:p>
    <w:p>
      <w:pPr>
        <w:pStyle w:val="Compact"/>
        <w:numPr>
          <w:ilvl w:val="0"/>
          <w:numId w:val="1001"/>
        </w:numPr>
      </w:pPr>
      <w:r>
        <w:t xml:space="preserve">Can the fire emissions a government starts from be reproduced from the method FAOSTAT publishes and the IPCC Tier 1 steps it cites, and where does the published method fall short?</w:t>
      </w:r>
    </w:p>
    <w:bookmarkEnd w:id="21"/>
    <w:bookmarkStart w:id="30" w:name="materials-and-methods"/>
    <w:p>
      <w:pPr>
        <w:pStyle w:val="Heading1"/>
      </w:pPr>
      <w:r>
        <w:t xml:space="preserve">2. Materials and Methods</w:t>
      </w:r>
    </w:p>
    <w:bookmarkStart w:id="22" w:name="literature-review"/>
    <w:p>
      <w:pPr>
        <w:pStyle w:val="Heading2"/>
      </w:pPr>
      <w:r>
        <w:t xml:space="preserve">2.1 Literature review</w:t>
      </w:r>
    </w:p>
    <w:p>
      <w:pPr>
        <w:pStyle w:val="FirstParagraph"/>
      </w:pPr>
      <w:r>
        <w:t xml:space="preserve">The literature behind the Introduction and the Discussion was mapped by a scoping review that followed the five stages of</w:t>
      </w:r>
      <w:r>
        <w:t xml:space="preserve"> </w:t>
      </w:r>
      <w:r>
        <w:t xml:space="preserve">Arksey &amp; O’Malley (2005)</w:t>
      </w:r>
      <w:r>
        <w:t xml:space="preserve"> </w:t>
      </w:r>
      <w:r>
        <w:t xml:space="preserve">as refined by</w:t>
      </w:r>
      <w:r>
        <w:t xml:space="preserve"> </w:t>
      </w:r>
      <w:r>
        <w:t xml:space="preserve">Levac et al. (2010)</w:t>
      </w:r>
      <w:r>
        <w:t xml:space="preserve"> </w:t>
      </w:r>
      <w:r>
        <w:t xml:space="preserve">and</w:t>
      </w:r>
      <w:r>
        <w:t xml:space="preserve"> </w:t>
      </w:r>
      <w:r>
        <w:t xml:space="preserve">Peters et al. (2020)</w:t>
      </w:r>
      <w:r>
        <w:t xml:space="preserve">, reported against the extension of the PRISMA checklist for scoping reviews</w:t>
      </w:r>
      <w:r>
        <w:t xml:space="preserve"> </w:t>
      </w:r>
      <w:r>
        <w:t xml:space="preserve">(Tricco et al., 2018)</w:t>
      </w:r>
      <w:r>
        <w:t xml:space="preserve">. The review questions, their search strings and the rules for what would change each claim were written into a protocol and committed before the first query ran, and the search terms were drawn only from the title, subtitle and keywords of this manuscript, so that every term can be traced to them. Each search ran from the chunks below and wrote what it found to a file, so that a later render read the files rather than the services.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"04.references/review/search-terms.csv"</w:t>
      </w:r>
      <w:r>
        <w:rPr>
          <w:rStyle w:val="NormalTok"/>
        </w:rPr>
        <w:t xml:space="preserve">)) {</w:t>
      </w:r>
      <w:r>
        <w:br/>
      </w:r>
      <w:r>
        <w:rPr>
          <w:rStyle w:val="NormalTok"/>
        </w:rPr>
        <w:t xml:space="preserve">  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rPr>
          <w:rStyle w:val="AttributeTok"/>
        </w:rPr>
        <w:t xml:space="preserve">dir =</w:t>
      </w:r>
      <w:r>
        <w:rPr>
          <w:rStyle w:val="NormalTok"/>
        </w:rPr>
        <w:t xml:space="preserve"> </w:t>
      </w:r>
      <w:r>
        <w:rPr>
          <w:rStyle w:val="ConstantTok"/>
        </w:rPr>
        <w:t xml:space="preserve">TRUE</w:t>
      </w:r>
      <w:r>
        <w:rPr>
          <w:rStyle w:val="NormalTok"/>
        </w:rPr>
        <w:t xml:space="preserve">))</w:t>
      </w:r>
      <w:r>
        <w:br/>
      </w:r>
      <w:r>
        <w:rPr>
          <w:rStyle w:val="NormalTok"/>
        </w:rPr>
        <w:t xml:space="preserve">  small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"as"</w:t>
      </w:r>
      <w:r>
        <w:rPr>
          <w:rStyle w:val="NormalTok"/>
        </w:rPr>
        <w:t xml:space="preserve">, </w:t>
      </w:r>
      <w:r>
        <w:rPr>
          <w:rStyle w:val="StringTok"/>
        </w:rPr>
        <w:t xml:space="preserve">"at"</w:t>
      </w:r>
      <w:r>
        <w:rPr>
          <w:rStyle w:val="NormalTok"/>
        </w:rPr>
        <w:t xml:space="preserve">, </w:t>
      </w:r>
      <w:r>
        <w:rPr>
          <w:rStyle w:val="StringTok"/>
        </w:rPr>
        <w:t xml:space="preserve">"by"</w:t>
      </w:r>
      <w:r>
        <w:rPr>
          <w:rStyle w:val="NormalTok"/>
        </w:rPr>
        <w:t xml:space="preserve">, </w:t>
      </w:r>
      <w:r>
        <w:rPr>
          <w:rStyle w:val="StringTok"/>
        </w:rPr>
        <w:t xml:space="preserve">"do"</w:t>
      </w:r>
      <w:r>
        <w:rPr>
          <w:rStyle w:val="NormalTok"/>
        </w:rPr>
        <w:t xml:space="preserve">, </w:t>
      </w:r>
      <w:r>
        <w:rPr>
          <w:rStyle w:val="StringTok"/>
        </w:rPr>
        <w:t xml:space="preserve">"does"</w:t>
      </w:r>
      <w:r>
        <w:rPr>
          <w:rStyle w:val="NormalTok"/>
        </w:rPr>
        <w:t xml:space="preserve">, </w:t>
      </w:r>
      <w:r>
        <w:rPr>
          <w:rStyle w:val="StringTok"/>
        </w:rPr>
        <w:t xml:space="preserve">"for"</w:t>
      </w:r>
      <w:r>
        <w:rPr>
          <w:rStyle w:val="NormalTok"/>
        </w:rPr>
        <w:t xml:space="preserve">, </w:t>
      </w:r>
      <w:r>
        <w:rPr>
          <w:rStyle w:val="StringTok"/>
        </w:rPr>
        <w:t xml:space="preserve">"from"</w:t>
      </w:r>
      <w:r>
        <w:rPr>
          <w:rStyle w:val="NormalTok"/>
        </w:rPr>
        <w:t xml:space="preserve">, </w:t>
      </w:r>
      <w:r>
        <w:rPr>
          <w:rStyle w:val="StringTok"/>
        </w:rPr>
        <w:t xml:space="preserve">"how"</w:t>
      </w:r>
      <w:r>
        <w:rPr>
          <w:rStyle w:val="NormalTok"/>
        </w:rPr>
        <w:t xml:space="preserve">, </w:t>
      </w:r>
      <w:r>
        <w:rPr>
          <w:rStyle w:val="StringTok"/>
        </w:rPr>
        <w:t xml:space="preserve">"in"</w:t>
      </w:r>
      <w:r>
        <w:rPr>
          <w:rStyle w:val="NormalTok"/>
        </w:rPr>
        <w:t xml:space="preserve">, </w:t>
      </w:r>
      <w:r>
        <w:rPr>
          <w:rStyle w:val="StringTok"/>
        </w:rPr>
        <w:t xml:space="preserve">"into"</w:t>
      </w:r>
      <w:r>
        <w:rPr>
          <w:rStyle w:val="NormalTok"/>
        </w:rPr>
        <w:t xml:space="preserve">, </w:t>
      </w:r>
      <w:r>
        <w:rPr>
          <w:rStyle w:val="StringTok"/>
        </w:rPr>
        <w:t xml:space="preserve">"is"</w:t>
      </w:r>
      <w:r>
        <w:rPr>
          <w:rStyle w:val="NormalTok"/>
        </w:rPr>
        <w:t xml:space="preserve">, </w:t>
      </w:r>
      <w:r>
        <w:rPr>
          <w:rStyle w:val="StringTok"/>
        </w:rPr>
        <w:t xml:space="preserve">"its"</w:t>
      </w:r>
      <w:r>
        <w:rPr>
          <w:rStyle w:val="NormalTok"/>
        </w:rPr>
        <w:t xml:space="preserve">, </w:t>
      </w:r>
      <w:r>
        <w:rPr>
          <w:rStyle w:val="StringTok"/>
        </w:rPr>
        <w:t xml:space="preserve">"of"</w:t>
      </w:r>
      <w:r>
        <w:rPr>
          <w:rStyle w:val="NormalTok"/>
        </w:rPr>
        <w:t xml:space="preserve">, </w:t>
      </w:r>
      <w:r>
        <w:rPr>
          <w:rStyle w:val="StringTok"/>
        </w:rPr>
        <w:t xml:space="preserve">"on"</w:t>
      </w:r>
      <w:r>
        <w:rPr>
          <w:rStyle w:val="NormalTok"/>
        </w:rPr>
        <w:t xml:space="preserve">, </w:t>
      </w:r>
      <w:r>
        <w:rPr>
          <w:rStyle w:val="StringTok"/>
        </w:rPr>
        <w:t xml:space="preserve">"or"</w:t>
      </w:r>
      <w:r>
        <w:rPr>
          <w:rStyle w:val="NormalTok"/>
        </w:rPr>
        <w:t xml:space="preserve">, </w:t>
      </w:r>
      <w:r>
        <w:rPr>
          <w:rStyle w:val="StringTok"/>
        </w:rPr>
        <w:t xml:space="preserve">"the"</w:t>
      </w:r>
      <w:r>
        <w:rPr>
          <w:rStyle w:val="NormalTok"/>
        </w:rPr>
        <w:t xml:space="preserve">, </w:t>
      </w:r>
      <w:r>
        <w:rPr>
          <w:rStyle w:val="StringTok"/>
        </w:rPr>
        <w:t xml:space="preserve">"to"</w:t>
      </w:r>
      <w:r>
        <w:rPr>
          <w:rStyle w:val="NormalTok"/>
        </w:rPr>
        <w:t xml:space="preserve">, </w:t>
      </w:r>
      <w:r>
        <w:rPr>
          <w:rStyle w:val="StringTok"/>
        </w:rPr>
        <w:t xml:space="preserve">"under"</w:t>
      </w:r>
      <w:r>
        <w:rPr>
          <w:rStyle w:val="NormalTok"/>
        </w:rPr>
        <w:t xml:space="preserve">, </w:t>
      </w:r>
      <w:r>
        <w:rPr>
          <w:rStyle w:val="StringTok"/>
        </w:rPr>
        <w:t xml:space="preserve">"using"</w:t>
      </w:r>
      <w:r>
        <w:rPr>
          <w:rStyle w:val="NormalTok"/>
        </w:rPr>
        <w:t xml:space="preserve">, </w:t>
      </w:r>
      <w:r>
        <w:rPr>
          <w:rStyle w:val="StringTok"/>
        </w:rPr>
        <w:t xml:space="preserve">"versus"</w:t>
      </w:r>
      <w:r>
        <w:rPr>
          <w:rStyle w:val="NormalTok"/>
        </w:rPr>
        <w:t xml:space="preserve">, </w:t>
      </w:r>
      <w:r>
        <w:rPr>
          <w:rStyle w:val="StringTok"/>
        </w:rPr>
        <w:t xml:space="preserve">"what"</w:t>
      </w:r>
      <w:r>
        <w:rPr>
          <w:rStyle w:val="NormalTok"/>
        </w:rPr>
        <w:t xml:space="preserve">, </w:t>
      </w:r>
      <w:r>
        <w:rPr>
          <w:rStyle w:val="StringTok"/>
        </w:rPr>
        <w:t xml:space="preserve">"why"</w:t>
      </w:r>
      <w:r>
        <w:rPr>
          <w:rStyle w:val="NormalTok"/>
        </w:rPr>
        <w:t xml:space="preserve">, </w:t>
      </w:r>
      <w:r>
        <w:rPr>
          <w:rStyle w:val="StringTok"/>
        </w:rPr>
        <w:t xml:space="preserve">"with"</w:t>
      </w:r>
      <w:r>
        <w:rPr>
          <w:rStyle w:val="NormalTok"/>
        </w:rPr>
        <w:t xml:space="preserve">)</w:t>
      </w:r>
      <w:r>
        <w:br/>
      </w:r>
      <w:r>
        <w:rPr>
          <w:rStyle w:val="NormalTok"/>
        </w:rPr>
        <w:t xml:space="preserve">  phrases </w:t>
      </w:r>
      <w:r>
        <w:rPr>
          <w:rStyle w:val="OtherTok"/>
        </w:rPr>
        <w:t xml:space="preserve">&lt;-</w:t>
      </w:r>
      <w:r>
        <w:rPr>
          <w:rStyle w:val="NormalTok"/>
        </w:rPr>
        <w:t xml:space="preserve"> \(x) x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StringTok"/>
        </w:rPr>
        <w:t xml:space="preserve">"[^[:alnum:][:space:]-]"</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(small,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str_split_1</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keep</w:t>
      </w:r>
      <w:r>
        <w:rPr>
          <w:rStyle w:val="NormalTok"/>
        </w:rPr>
        <w:t xml:space="preserve">(\(p) </w:t>
      </w:r>
      <w:r>
        <w:rPr>
          <w:rStyle w:val="FunctionTok"/>
        </w:rPr>
        <w:t xml:space="preserve">nchar</w:t>
      </w:r>
      <w:r>
        <w:rPr>
          <w:rStyle w:val="NormalTok"/>
        </w:rPr>
        <w:t xml:space="preserve">(p)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StringTok"/>
        </w:rPr>
        <w:t xml:space="preserve">"04.references/review"</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source =</w:t>
      </w:r>
      <w:r>
        <w:rPr>
          <w:rStyle w:val="NormalTok"/>
        </w:rPr>
        <w:t xml:space="preserve"> </w:t>
      </w:r>
      <w:r>
        <w:rPr>
          <w:rStyle w:val="StringTok"/>
        </w:rPr>
        <w:t xml:space="preserve">"keywords"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title), </w:t>
      </w:r>
      <w:r>
        <w:rPr>
          <w:rStyle w:val="AttributeTok"/>
        </w:rPr>
        <w:t xml:space="preserve">source =</w:t>
      </w:r>
      <w:r>
        <w:rPr>
          <w:rStyle w:val="NormalTok"/>
        </w:rPr>
        <w:t xml:space="preserve"> </w:t>
      </w:r>
      <w:r>
        <w:rPr>
          <w:rStyle w:val="StringTok"/>
        </w:rPr>
        <w:t xml:space="preserve">"title"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subtitle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source =</w:t>
      </w:r>
      <w:r>
        <w:rPr>
          <w:rStyle w:val="NormalTok"/>
        </w:rPr>
        <w:t xml:space="preserve"> </w:t>
      </w:r>
      <w:r>
        <w:rPr>
          <w:rStyle w:val="StringTok"/>
        </w:rPr>
        <w:t xml:space="preserve">"subtitle"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(term,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question =</w:t>
      </w:r>
      <w:r>
        <w:rPr>
          <w:rStyle w:val="NormalTok"/>
        </w:rPr>
        <w:t xml:space="preserve"> </w:t>
      </w:r>
      <w:r>
        <w:rPr>
          <w:rStyle w:val="ConstantTok"/>
        </w:rPr>
        <w:t xml:space="preserve">NA</w:t>
      </w:r>
      <w:r>
        <w:rPr>
          <w:rStyle w:val="NormalTok"/>
        </w:rPr>
        <w:t xml:space="preserve">, </w:t>
      </w:r>
      <w:r>
        <w:rPr>
          <w:rStyle w:val="AttributeTok"/>
        </w:rPr>
        <w:t xml:space="preserve">concept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rPr>
          <w:rStyle w:val="AttributeTok"/>
        </w:rPr>
        <w:t xml:space="preserve">dir =</w:t>
      </w:r>
      <w:r>
        <w:rPr>
          <w:rStyle w:val="NormalTok"/>
        </w:rPr>
        <w:t xml:space="preserve"> </w:t>
      </w:r>
      <w:r>
        <w:rPr>
          <w:rStyle w:val="ConstantTok"/>
        </w:rPr>
        <w:t xml:space="preserve">TRUE</w:t>
      </w:r>
      <w:r>
        <w:rPr>
          <w:rStyle w:val="NormalTok"/>
        </w:rPr>
        <w:t xml:space="preserve">))</w:t>
      </w:r>
      <w:r>
        <w:br/>
      </w:r>
      <w:r>
        <w:rPr>
          <w:rStyle w:val="NormalTok"/>
        </w:rPr>
        <w:t xml:space="preserve">declared </w:t>
      </w:r>
      <w:r>
        <w:rPr>
          <w:rStyle w:val="OtherTok"/>
        </w:rPr>
        <w:t xml:space="preserve">&lt;-</w:t>
      </w:r>
      <w:r>
        <w:rPr>
          <w:rStyle w:val="NormalTok"/>
        </w:rPr>
        <w:t xml:space="preserve"> </w:t>
      </w:r>
      <w:r>
        <w:rPr>
          <w:rStyle w:val="FunctionTok"/>
        </w:rPr>
        <w:t xml:space="preserve">paste</w:t>
      </w:r>
      <w:r>
        <w:rPr>
          <w:rStyle w:val="NormalTok"/>
        </w:rPr>
        <w:t xml:space="preserve">(front</w:t>
      </w:r>
      <w:r>
        <w:rPr>
          <w:rStyle w:val="SpecialCharTok"/>
        </w:rPr>
        <w:t xml:space="preserve">$</w:t>
      </w:r>
      <w:r>
        <w:rPr>
          <w:rStyle w:val="NormalTok"/>
        </w:rPr>
        <w:t xml:space="preserve">title, front</w:t>
      </w:r>
      <w:r>
        <w:rPr>
          <w:rStyle w:val="SpecialCharTok"/>
        </w:rPr>
        <w:t xml:space="preserve">$</w:t>
      </w:r>
      <w:r>
        <w:rPr>
          <w:rStyle w:val="NormalTok"/>
        </w:rPr>
        <w:t xml:space="preserve">subtitle, </w:t>
      </w:r>
      <w:r>
        <w:rPr>
          <w:rStyle w:val="FunctionTok"/>
        </w:rPr>
        <w:t xml:space="preserve">paste</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w:t>
      </w:r>
      <w:r>
        <w:br/>
      </w:r>
      <w:r>
        <w:rPr>
          <w:rStyle w:val="NormalTok"/>
        </w:rPr>
        <w:t xml:space="preserve">term_regex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terms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(question), </w:t>
      </w:r>
      <w:r>
        <w:rPr>
          <w:rStyle w:val="SpecialCharTok"/>
        </w:rPr>
        <w:t xml:space="preserve">!</w:t>
      </w:r>
      <w:r>
        <w:rPr>
          <w:rStyle w:val="FunctionTok"/>
        </w:rPr>
        <w:t xml:space="preserve">is.na</w:t>
      </w:r>
      <w:r>
        <w:rPr>
          <w:rStyle w:val="NormalTok"/>
        </w:rPr>
        <w:t xml:space="preserve">(concept))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str_to_lower</w:t>
      </w:r>
      <w:r>
        <w:rPr>
          <w:rStyle w:val="NormalTok"/>
        </w:rPr>
        <w:t xml:space="preserve">(term)) </w:t>
      </w:r>
      <w:r>
        <w:rPr>
          <w:rStyle w:val="SpecialCharTok"/>
        </w:rPr>
        <w:t xml:space="preserve">|&gt;</w:t>
      </w:r>
      <w:r>
        <w:br/>
      </w:r>
      <w:r>
        <w:rPr>
          <w:rStyle w:val="NormalTok"/>
        </w:rPr>
        <w:t xml:space="preserve">  tidyr</w:t>
      </w:r>
      <w:r>
        <w:rPr>
          <w:rStyle w:val="SpecialCharTok"/>
        </w:rPr>
        <w:t xml:space="preserve">::</w:t>
      </w:r>
      <w:r>
        <w:rPr>
          <w:rStyle w:val="FunctionTok"/>
        </w:rPr>
        <w:t xml:space="preserve">separate_longer_delim</w:t>
      </w:r>
      <w:r>
        <w:rPr>
          <w:rStyle w:val="NormalTok"/>
        </w:rPr>
        <w:t xml:space="preserve">(question, </w:t>
      </w:r>
      <w:r>
        <w:rPr>
          <w:rStyle w:val="StringTok"/>
        </w:rPr>
        <w:t xml:space="preserve">" "</w:t>
      </w:r>
      <w:r>
        <w:rPr>
          <w:rStyle w:val="NormalTok"/>
        </w:rPr>
        <w:t xml:space="preserve">)</w:t>
      </w:r>
      <w:r>
        <w:br/>
      </w:r>
      <w:r>
        <w:rPr>
          <w:rStyle w:val="NormalTok"/>
        </w:rPr>
        <w:t xml:space="preserve">stray </w:t>
      </w:r>
      <w:r>
        <w:rPr>
          <w:rStyle w:val="OtherTok"/>
        </w:rPr>
        <w:t xml:space="preserve">&lt;-</w:t>
      </w:r>
      <w:r>
        <w:rPr>
          <w:rStyle w:val="NormalTok"/>
        </w:rPr>
        <w:t xml:space="preserve"> terms</w:t>
      </w:r>
      <w:r>
        <w:rPr>
          <w:rStyle w:val="SpecialCharTok"/>
        </w:rPr>
        <w:t xml:space="preserve">$</w:t>
      </w:r>
      <w:r>
        <w:rPr>
          <w:rStyle w:val="NormalTok"/>
        </w:rPr>
        <w:t xml:space="preserve">term[</w:t>
      </w:r>
      <w:r>
        <w:rPr>
          <w:rStyle w:val="SpecialCharTok"/>
        </w:rPr>
        <w:t xml:space="preserve">!</w:t>
      </w:r>
      <w:r>
        <w:rPr>
          <w:rStyle w:val="NormalTok"/>
        </w:rPr>
        <w:t xml:space="preserve">purrr</w:t>
      </w:r>
      <w:r>
        <w:rPr>
          <w:rStyle w:val="SpecialCharTok"/>
        </w:rPr>
        <w:t xml:space="preserve">::</w:t>
      </w:r>
      <w:r>
        <w:rPr>
          <w:rStyle w:val="FunctionTok"/>
        </w:rPr>
        <w:t xml:space="preserve">map_lgl</w:t>
      </w:r>
      <w:r>
        <w:rPr>
          <w:rStyle w:val="NormalTok"/>
        </w:rPr>
        <w:t xml:space="preserve">(terms</w:t>
      </w:r>
      <w:r>
        <w:rPr>
          <w:rStyle w:val="SpecialCharTok"/>
        </w:rPr>
        <w:t xml:space="preserve">$</w:t>
      </w:r>
      <w:r>
        <w:rPr>
          <w:rStyle w:val="NormalTok"/>
        </w:rPr>
        <w:t xml:space="preserve">term, \(x) stringr</w:t>
      </w:r>
      <w:r>
        <w:rPr>
          <w:rStyle w:val="SpecialCharTok"/>
        </w:rPr>
        <w:t xml:space="preserve">::</w:t>
      </w:r>
      <w:r>
        <w:rPr>
          <w:rStyle w:val="FunctionTok"/>
        </w:rPr>
        <w:t xml:space="preserve">str_detect</w:t>
      </w:r>
      <w:r>
        <w:rPr>
          <w:rStyle w:val="NormalTok"/>
        </w:rPr>
        <w:t xml:space="preserve">(declared, </w:t>
      </w:r>
      <w:r>
        <w:rPr>
          <w:rStyle w:val="FunctionTok"/>
        </w:rPr>
        <w:t xml:space="preserve">term_regex</w:t>
      </w:r>
      <w:r>
        <w:rPr>
          <w:rStyle w:val="NormalTok"/>
        </w:rPr>
        <w:t xml:space="preserve">(x)))]</w:t>
      </w:r>
      <w:r>
        <w:br/>
      </w:r>
      <w:r>
        <w:rPr>
          <w:rStyle w:val="ControlFlowTok"/>
        </w:rPr>
        <w:t xml:space="preserve">if</w:t>
      </w:r>
      <w:r>
        <w:rPr>
          <w:rStyle w:val="NormalTok"/>
        </w:rPr>
        <w:t xml:space="preserve"> (</w:t>
      </w:r>
      <w:r>
        <w:rPr>
          <w:rStyle w:val="FunctionTok"/>
        </w:rPr>
        <w:t xml:space="preserve">nrow</w:t>
      </w:r>
      <w:r>
        <w:rPr>
          <w:rStyle w:val="NormalTok"/>
        </w:rPr>
        <w:t xml:space="preserve">(terms)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search terms selected in 04.references/review/search-terms.csv"</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(stray)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"Not in the title, subtitle or keywords: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(stray),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queries </w:t>
      </w:r>
      <w:r>
        <w:rPr>
          <w:rStyle w:val="OtherTok"/>
        </w:rPr>
        <w:t xml:space="preserve">&lt;-</w:t>
      </w:r>
      <w:r>
        <w:rPr>
          <w:rStyle w:val="NormalTok"/>
        </w:rPr>
        <w:t xml:space="preserve"> terms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(question, concept), </w:t>
      </w:r>
      <w:r>
        <w:rPr>
          <w:rStyle w:val="AttributeTok"/>
        </w:rPr>
        <w:t xml:space="preserve">group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question, </w:t>
      </w:r>
      <w:r>
        <w:rPr>
          <w:rStyle w:val="AttributeTok"/>
        </w:rPr>
        <w:t xml:space="preserve">route =</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(dplyr</w:t>
      </w:r>
      <w:r>
        <w:rPr>
          <w:rStyle w:val="SpecialCharTok"/>
        </w:rPr>
        <w:t xml:space="preserve">::</w:t>
      </w:r>
      <w:r>
        <w:rPr>
          <w:rStyle w:val="FunctionTok"/>
        </w:rPr>
        <w:t xml:space="preserve">first</w:t>
      </w:r>
      <w:r>
        <w:rPr>
          <w:rStyle w:val="NormalTok"/>
        </w:rPr>
        <w:t xml:space="preserve">(question), concept),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AttributeTok"/>
        </w:rPr>
        <w:t xml:space="preserve">concepts =</w:t>
      </w:r>
      <w:r>
        <w:rPr>
          <w:rStyle w:val="NormalTok"/>
        </w:rPr>
        <w:t xml:space="preserve"> </w:t>
      </w:r>
      <w:r>
        <w:rPr>
          <w:rStyle w:val="FunctionTok"/>
        </w:rPr>
        <w:t xml:space="preserve">paste</w:t>
      </w:r>
      <w:r>
        <w:rPr>
          <w:rStyle w:val="NormalTok"/>
        </w:rPr>
        <w:t xml:space="preserve">(group,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record_id </w:t>
      </w:r>
      <w:r>
        <w:rPr>
          <w:rStyle w:val="OtherTok"/>
        </w:rPr>
        <w:t xml:space="preserve">&lt;-</w:t>
      </w:r>
      <w:r>
        <w:rPr>
          <w:rStyle w:val="NormalTok"/>
        </w:rPr>
        <w:t xml:space="preserve"> \(doi, title) dplyr</w:t>
      </w:r>
      <w:r>
        <w:rPr>
          <w:rStyle w:val="SpecialCharTok"/>
        </w:rPr>
        <w:t xml:space="preserve">::</w:t>
      </w:r>
      <w:r>
        <w:rPr>
          <w:rStyle w:val="FunctionTok"/>
        </w:rPr>
        <w:t xml:space="preserve">coalesce</w:t>
      </w:r>
      <w:r>
        <w:rPr>
          <w:rStyle w:val="NormalTok"/>
        </w:rPr>
        <w:t xml:space="preserve">(stringr</w:t>
      </w:r>
      <w:r>
        <w:rPr>
          <w:rStyle w:val="SpecialCharTok"/>
        </w:rPr>
        <w:t xml:space="preserve">::</w:t>
      </w:r>
      <w:r>
        <w:rPr>
          <w:rStyle w:val="FunctionTok"/>
        </w:rPr>
        <w:t xml:space="preserve">str_to_lower</w:t>
      </w:r>
      <w:r>
        <w:rPr>
          <w:rStyle w:val="NormalTok"/>
        </w:rPr>
        <w:t xml:space="preserve">(doi),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"[^[:alnum:] ]"</w:t>
      </w:r>
      <w:r>
        <w:rPr>
          <w:rStyle w:val="NormalTok"/>
        </w:rPr>
        <w:t xml:space="preserve">, </w:t>
      </w:r>
      <w:r>
        <w:rPr>
          <w:rStyle w:val="StringTok"/>
        </w:rPr>
        <w:t xml:space="preserve">" "</w:t>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"02.inputs/derived/review-store-hits.csv"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"02.inputs/derived"</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mmentTok"/>
        </w:rPr>
        <w:t xml:space="preserve"># library-science manifest, https://github.com/seamusrobertmurphy/library-science/blob/main/library/manifest.csv</w:t>
      </w:r>
      <w:r>
        <w:br/>
      </w:r>
      <w:r>
        <w:rPr>
          <w:rStyle w:val="NormalTok"/>
        </w:rPr>
        <w:t xml:space="preserve">  manifest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mmentTok"/>
        </w:rPr>
        <w:t xml:space="preserve"># library-science source notes, https://github.com/seamusrobertmurphy/library-science/tree/main/sources</w:t>
      </w:r>
      <w:r>
        <w:br/>
      </w:r>
      <w:r>
        <w:rPr>
          <w:rStyle w:val="NormalTok"/>
        </w:rPr>
        <w:t xml:space="preserve">  notes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path =</w:t>
      </w:r>
      <w:r>
        <w:rPr>
          <w:rStyle w:val="NormalTok"/>
        </w:rPr>
        <w:t xml:space="preserve"> </w:t>
      </w:r>
      <w:r>
        <w:rPr>
          <w:rStyle w:val="FunctionTok"/>
        </w:rPr>
        <w:t xml:space="preserve">list.files</w:t>
      </w:r>
      <w:r>
        <w:rPr>
          <w:rStyle w:val="NormalTok"/>
        </w:rPr>
        <w:t xml:space="preserve">(</w:t>
      </w:r>
      <w:r>
        <w:rPr>
          <w:rStyle w:val="StringTok"/>
        </w:rPr>
        <w:t xml:space="preserve">"../library-science/sources"</w:t>
      </w:r>
      <w:r>
        <w:rPr>
          <w:rStyle w:val="NormalTok"/>
        </w:rPr>
        <w:t xml:space="preserve">, </w:t>
      </w:r>
      <w:r>
        <w:rPr>
          <w:rStyle w:val="StringTok"/>
        </w:rPr>
        <w:t xml:space="preserve">"</w:t>
      </w:r>
      <w:r>
        <w:rPr>
          <w:rStyle w:val="SpecialCharTok"/>
        </w:rPr>
        <w:t xml:space="preserve">\\</w:t>
      </w:r>
      <w:r>
        <w:rPr>
          <w:rStyle w:val="StringTok"/>
        </w:rPr>
        <w:t xml:space="preserve">.md$"</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key =</w:t>
      </w:r>
      <w:r>
        <w:rPr>
          <w:rStyle w:val="NormalTok"/>
        </w:rPr>
        <w:t xml:space="preserve"> tools</w:t>
      </w:r>
      <w:r>
        <w:rPr>
          <w:rStyle w:val="SpecialCharTok"/>
        </w:rPr>
        <w:t xml:space="preserve">::</w:t>
      </w:r>
      <w:r>
        <w:rPr>
          <w:rStyle w:val="FunctionTok"/>
        </w:rPr>
        <w:t xml:space="preserve">file_path_sans_ext</w:t>
      </w:r>
      <w:r>
        <w:rPr>
          <w:rStyle w:val="NormalTok"/>
        </w:rPr>
        <w:t xml:space="preserve">(</w:t>
      </w:r>
      <w:r>
        <w:rPr>
          <w:rStyle w:val="FunctionTok"/>
        </w:rPr>
        <w:t xml:space="preserve">basename</w:t>
      </w:r>
      <w:r>
        <w:rPr>
          <w:rStyle w:val="NormalTok"/>
        </w:rPr>
        <w:t xml:space="preserve">(path)), </w:t>
      </w:r>
      <w:r>
        <w:rPr>
          <w:rStyle w:val="AttributeTok"/>
        </w:rPr>
        <w:t xml:space="preserve">note =</w:t>
      </w:r>
      <w:r>
        <w:rPr>
          <w:rStyle w:val="NormalTok"/>
        </w:rPr>
        <w:t xml:space="preserve"> purrr</w:t>
      </w:r>
      <w:r>
        <w:rPr>
          <w:rStyle w:val="SpecialCharTok"/>
        </w:rPr>
        <w:t xml:space="preserve">::</w:t>
      </w:r>
      <w:r>
        <w:rPr>
          <w:rStyle w:val="FunctionTok"/>
        </w:rPr>
        <w:t xml:space="preserve">map_chr</w:t>
      </w:r>
      <w:r>
        <w:rPr>
          <w:rStyle w:val="NormalTok"/>
        </w:rPr>
        <w:t xml:space="preserve">(path, \(p) </w:t>
      </w:r>
      <w:r>
        <w:rPr>
          <w:rStyle w:val="FunctionTok"/>
        </w:rPr>
        <w:t xml:space="preserve">paste</w:t>
      </w:r>
      <w:r>
        <w:rPr>
          <w:rStyle w:val="NormalTok"/>
        </w:rPr>
        <w:t xml:space="preserve">(</w:t>
      </w:r>
      <w:r>
        <w:rPr>
          <w:rStyle w:val="FunctionTok"/>
        </w:rPr>
        <w:t xml:space="preserve">readLines</w:t>
      </w:r>
      <w:r>
        <w:rPr>
          <w:rStyle w:val="NormalTok"/>
        </w:rPr>
        <w:t xml:space="preserve">(p, </w:t>
      </w:r>
      <w:r>
        <w:rPr>
          <w:rStyle w:val="AttributeTok"/>
        </w:rPr>
        <w:t xml:space="preserve">warn =</w:t>
      </w:r>
      <w:r>
        <w:rPr>
          <w:rStyle w:val="NormalTok"/>
        </w:rPr>
        <w:t xml:space="preserve"> </w:t>
      </w:r>
      <w:r>
        <w:rPr>
          <w:rStyle w:val="ConstantTok"/>
        </w:rPr>
        <w:t xml:space="preserve">FALSE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store </w:t>
      </w:r>
      <w:r>
        <w:rPr>
          <w:rStyle w:val="OtherTok"/>
        </w:rPr>
        <w:t xml:space="preserve">&lt;-</w:t>
      </w:r>
      <w:r>
        <w:rPr>
          <w:rStyle w:val="NormalTok"/>
        </w:rPr>
        <w:t xml:space="preserve"> manifest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"verified"</w:t>
      </w:r>
      <w:r>
        <w:rPr>
          <w:rStyle w:val="NormalTok"/>
        </w:rPr>
        <w:t xml:space="preserve">, </w:t>
      </w:r>
      <w:r>
        <w:rPr>
          <w:rStyle w:val="StringTok"/>
        </w:rPr>
        <w:t xml:space="preserve">"filed"</w:t>
      </w:r>
      <w:r>
        <w:rPr>
          <w:rStyle w:val="NormalTok"/>
        </w:rPr>
        <w:t xml:space="preserve">, </w:t>
      </w:r>
      <w:r>
        <w:rPr>
          <w:rStyle w:val="StringTok"/>
        </w:rPr>
        <w:t xml:space="preserve">"unverified"</w:t>
      </w:r>
      <w:r>
        <w:rPr>
          <w:rStyle w:val="NormalTok"/>
        </w:rPr>
        <w:t xml:space="preserve">), </w:t>
      </w:r>
      <w:r>
        <w:rPr>
          <w:rStyle w:val="SpecialCharTok"/>
        </w:rPr>
        <w:t xml:space="preserve">!</w:t>
      </w:r>
      <w:r>
        <w:rPr>
          <w:rStyle w:val="FunctionTok"/>
        </w:rPr>
        <w:t xml:space="preserve">is.na</w:t>
      </w:r>
      <w:r>
        <w:rPr>
          <w:rStyle w:val="NormalTok"/>
        </w:rPr>
        <w:t xml:space="preserve">(title)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(key))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select</w:t>
      </w:r>
      <w:r>
        <w:rPr>
          <w:rStyle w:val="NormalTok"/>
        </w:rPr>
        <w:t xml:space="preserve">(notes, key, note), </w:t>
      </w:r>
      <w:r>
        <w:rPr>
          <w:rStyle w:val="AttributeTok"/>
        </w:rPr>
        <w:t xml:space="preserve">by =</w:t>
      </w:r>
      <w:r>
        <w:rPr>
          <w:rStyle w:val="NormalTok"/>
        </w:rPr>
        <w:t xml:space="preserve"> </w:t>
      </w:r>
      <w:r>
        <w:rPr>
          <w:rStyle w:val="StringTok"/>
        </w:rPr>
        <w:t xml:space="preserve">"key"</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text =</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(title, note)))</w:t>
      </w:r>
      <w:r>
        <w:br/>
      </w:r>
      <w:r>
        <w:rPr>
          <w:rStyle w:val="NormalTok"/>
        </w:rPr>
        <w:t xml:space="preserve">  hits </w:t>
      </w:r>
      <w:r>
        <w:rPr>
          <w:rStyle w:val="OtherTok"/>
        </w:rPr>
        <w:t xml:space="preserve">&lt;-</w:t>
      </w:r>
      <w:r>
        <w:rPr>
          <w:rStyle w:val="NormalTok"/>
        </w:rPr>
        <w:t xml:space="preserve"> queries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(\(question, route, concepts) {</w:t>
      </w:r>
      <w:r>
        <w:br/>
      </w:r>
      <w:r>
        <w:rPr>
          <w:rStyle w:val="NormalTok"/>
        </w:rPr>
        <w:t xml:space="preserve">      groups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w:t>
      </w:r>
      <w:r>
        <w:br/>
      </w:r>
      <w:r>
        <w:rPr>
          <w:rStyle w:val="NormalTok"/>
        </w:rPr>
        <w:t xml:space="preserve">      term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      patterns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(groups, \(g)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keep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(patterns, \(r) stringr</w:t>
      </w:r>
      <w:r>
        <w:rPr>
          <w:rStyle w:val="SpecialCharTok"/>
        </w:rPr>
        <w:t xml:space="preserve">::</w:t>
      </w:r>
      <w:r>
        <w:rPr>
          <w:rStyle w:val="FunctionTok"/>
        </w:rPr>
        <w:t xml:space="preserve">str_detect</w:t>
      </w:r>
      <w:r>
        <w:rPr>
          <w:rStyle w:val="NormalTok"/>
        </w:rPr>
        <w:t xml:space="preserve">(store</w:t>
      </w:r>
      <w:r>
        <w:rPr>
          <w:rStyle w:val="SpecialCharTok"/>
        </w:rPr>
        <w:t xml:space="preserve">$</w:t>
      </w:r>
      <w:r>
        <w:rPr>
          <w:rStyle w:val="NormalTok"/>
        </w:rPr>
        <w:t xml:space="preserve">text, r)) </w:t>
      </w:r>
      <w:r>
        <w:rPr>
          <w:rStyle w:val="SpecialCharTok"/>
        </w:rPr>
        <w:t xml:space="preserve">|&gt;</w:t>
      </w:r>
      <w:r>
        <w:rPr>
          <w:rStyle w:val="NormalTok"/>
        </w:rPr>
        <w:t xml:space="preserve"> purrr</w:t>
      </w:r>
      <w:r>
        <w:rPr>
          <w:rStyle w:val="SpecialCharTok"/>
        </w:rPr>
        <w:t xml:space="preserve">::</w:t>
      </w:r>
      <w:r>
        <w:rPr>
          <w:rStyle w:val="FunctionTok"/>
        </w:rPr>
        <w:t xml:space="preserve">reduce</w:t>
      </w:r>
      <w:r>
        <w:rPr>
          <w:rStyle w:val="NormalTok"/>
        </w:rPr>
        <w:t xml:space="preserve">(</w:t>
      </w:r>
      <w:r>
        <w:rPr>
          <w:rStyle w:val="StringTok"/>
        </w:rPr>
        <w:t xml:space="preserve">`</w:t>
      </w:r>
      <w:r>
        <w:rPr>
          <w:rStyle w:val="AttributeTok"/>
        </w:rPr>
        <w:t xml:space="preserve">&amp;</w:t>
      </w:r>
      <w:r>
        <w:rPr>
          <w:rStyle w:val="StringTok"/>
        </w:rPr>
        <w:t xml:space="preserve">`</w:t>
      </w:r>
      <w:r>
        <w:rPr>
          <w:rStyle w:val="NormalTok"/>
        </w:rPr>
        <w:t xml:space="preserve">)</w:t>
      </w:r>
      <w:r>
        <w:br/>
      </w:r>
      <w:r>
        <w:rPr>
          <w:rStyle w:val="NormalTok"/>
        </w:rPr>
        <w:t xml:space="preserve">      store[keep, ]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key, doi, title, year, </w:t>
      </w:r>
      <w:r>
        <w:rPr>
          <w:rStyle w:val="AttributeTok"/>
        </w:rPr>
        <w:t xml:space="preserve">venue =</w:t>
      </w:r>
      <w:r>
        <w:rPr>
          <w:rStyle w:val="NormalTok"/>
        </w:rPr>
        <w:t xml:space="preserve"> container, </w:t>
      </w:r>
      <w:r>
        <w:rPr>
          <w:rStyle w:val="AttributeTok"/>
        </w:rPr>
        <w:t xml:space="preserve">source_note =</w:t>
      </w:r>
      <w:r>
        <w:rPr>
          <w:rStyle w:val="NormalTok"/>
        </w:rPr>
        <w:t xml:space="preserve"> dplyr</w:t>
      </w:r>
      <w:r>
        <w:rPr>
          <w:rStyle w:val="SpecialCharTok"/>
        </w:rPr>
        <w:t xml:space="preserve">::</w:t>
      </w:r>
      <w:r>
        <w:rPr>
          <w:rStyle w:val="FunctionTok"/>
        </w:rPr>
        <w:t xml:space="preserve">if_else</w:t>
      </w:r>
      <w:r>
        <w:rPr>
          <w:rStyle w:val="NormalTok"/>
        </w:rPr>
        <w:t xml:space="preserve">(has_source_note </w:t>
      </w:r>
      <w:r>
        <w:rPr>
          <w:rStyle w:val="SpecialCharTok"/>
        </w:rPr>
        <w:t xml:space="preserve">==</w:t>
      </w:r>
      <w:r>
        <w:rPr>
          <w:rStyle w:val="NormalTok"/>
        </w:rPr>
        <w:t xml:space="preserve"> </w:t>
      </w:r>
      <w:r>
        <w:rPr>
          <w:rStyle w:val="StringTok"/>
        </w:rPr>
        <w:t xml:space="preserve">"yes"</w:t>
      </w:r>
      <w:r>
        <w:rPr>
          <w:rStyle w:val="NormalTok"/>
        </w:rPr>
        <w:t xml:space="preserve">, key, </w:t>
      </w:r>
      <w:r>
        <w:rPr>
          <w:rStyle w:val="ConstantTok"/>
        </w:rPr>
        <w:t xml:space="preserve">NA</w:t>
      </w:r>
      <w:r>
        <w:rPr>
          <w:rStyle w:val="NormalTok"/>
        </w:rPr>
        <w:t xml:space="preserve">))</w:t>
      </w:r>
      <w:r>
        <w:br/>
      </w:r>
      <w:r>
        <w:rPr>
          <w:rStyle w:val="NormalTok"/>
        </w:rPr>
        <w:t xml:space="preserve">    })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(hits, </w:t>
      </w:r>
      <w:r>
        <w:rPr>
          <w:rStyle w:val="StringTok"/>
        </w:rPr>
        <w:t xml:space="preserve">"02.inputs/derived/review-store-hits.csv"</w:t>
      </w:r>
      <w:r>
        <w:rPr>
          <w:rStyle w:val="NormalTok"/>
        </w:rPr>
        <w:t xml:space="preserve">)</w:t>
      </w:r>
      <w:r>
        <w:br/>
      </w:r>
      <w:r>
        <w:rPr>
          <w:rStyle w:val="NormalTok"/>
        </w:rPr>
        <w:t xml:space="preserve">  queries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strand =</w:t>
      </w:r>
      <w:r>
        <w:rPr>
          <w:rStyle w:val="NormalTok"/>
        </w:rPr>
        <w:t xml:space="preserve"> </w:t>
      </w:r>
      <w:r>
        <w:rPr>
          <w:rStyle w:val="StringTok"/>
        </w:rPr>
        <w:t xml:space="preserve">"library-science"</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w:t>
      </w:r>
      <w:r>
        <w:rPr>
          <w:rStyle w:val="AttributeTok"/>
        </w:rPr>
        <w:t xml:space="preserve">query =</w:t>
      </w:r>
      <w:r>
        <w:rPr>
          <w:rStyle w:val="NormalTok"/>
        </w:rPr>
        <w:t xml:space="preserve"> concepts,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count</w:t>
      </w:r>
      <w:r>
        <w:rPr>
          <w:rStyle w:val="NormalTok"/>
        </w:rPr>
        <w:t xml:space="preserve">(hits, route, </w:t>
      </w:r>
      <w:r>
        <w:rPr>
          <w:rStyle w:val="AttributeTok"/>
        </w:rPr>
        <w:t xml:space="preserve">name =</w:t>
      </w:r>
      <w:r>
        <w:rPr>
          <w:rStyle w:val="NormalTok"/>
        </w:rPr>
        <w:t xml:space="preserve"> </w:t>
      </w:r>
      <w:r>
        <w:rPr>
          <w:rStyle w:val="StringTok"/>
        </w:rPr>
        <w:t xml:space="preserve">"retrieved"</w:t>
      </w:r>
      <w:r>
        <w:rPr>
          <w:rStyle w:val="NormalTok"/>
        </w:rPr>
        <w:t xml:space="preserve">), </w:t>
      </w:r>
      <w:r>
        <w:rPr>
          <w:rStyle w:val="AttributeTok"/>
        </w:rPr>
        <w:t xml:space="preserve">by =</w:t>
      </w:r>
      <w:r>
        <w:rPr>
          <w:rStyle w:val="NormalTok"/>
        </w:rPr>
        <w:t xml:space="preserve"> </w:t>
      </w:r>
      <w:r>
        <w:rPr>
          <w:rStyle w:val="StringTok"/>
        </w:rPr>
        <w:t xml:space="preserve">"route"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retrieved =</w:t>
      </w:r>
      <w:r>
        <w:rPr>
          <w:rStyle w:val="NormalTok"/>
        </w:rPr>
        <w:t xml:space="preserve"> tidyr</w:t>
      </w:r>
      <w:r>
        <w:rPr>
          <w:rStyle w:val="SpecialCharTok"/>
        </w:rPr>
        <w:t xml:space="preserve">::</w:t>
      </w:r>
      <w:r>
        <w:rPr>
          <w:rStyle w:val="FunctionTok"/>
        </w:rPr>
        <w:t xml:space="preserve">replace_na</w:t>
      </w:r>
      <w:r>
        <w:rPr>
          <w:rStyle w:val="NormalTok"/>
        </w:rPr>
        <w:t xml:space="preserve">(retrieved, </w:t>
      </w:r>
      <w:r>
        <w:rPr>
          <w:rStyle w:val="DecValTok"/>
        </w:rPr>
        <w:t xml:space="preserve">0</w:t>
      </w:r>
      <w:r>
        <w:rPr>
          <w:rStyle w:val="NormalTok"/>
        </w:rPr>
        <w:t xml:space="preserve">L), </w:t>
      </w:r>
      <w:r>
        <w:rPr>
          <w:rStyle w:val="AttributeTok"/>
        </w:rPr>
        <w:t xml:space="preserve">reported_total =</w:t>
      </w:r>
      <w:r>
        <w:rPr>
          <w:rStyle w:val="NormalTok"/>
        </w:rPr>
        <w:t xml:space="preserve"> retrieved, </w:t>
      </w:r>
      <w:r>
        <w:rPr>
          <w:rStyle w:val="AttributeTok"/>
        </w:rPr>
        <w:t xml:space="preserve">cap =</w:t>
      </w:r>
      <w:r>
        <w:rPr>
          <w:rStyle w:val="NormalTok"/>
        </w:rPr>
        <w:t xml:space="preserve"> </w:t>
      </w:r>
      <w:r>
        <w:rPr>
          <w:rStyle w:val="ConstantTok"/>
        </w:rPr>
        <w:t xml:space="preserve">NA</w:t>
      </w:r>
      <w:r>
        <w:rPr>
          <w:rStyle w:val="NormalTok"/>
        </w:rPr>
        <w:t xml:space="preserve">,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"02.inputs/derived/review-log-store.csv"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"02.inputs/derived/review-openalex-hits.csv"</w:t>
      </w:r>
      <w:r>
        <w:rPr>
          <w:rStyle w:val="NormalTok"/>
        </w:rPr>
        <w:t xml:space="preserve">)) {</w:t>
      </w:r>
      <w:r>
        <w:br/>
      </w:r>
      <w:r>
        <w:rPr>
          <w:rStyle w:val="NormalTok"/>
        </w:rPr>
        <w:t xml:space="preserve">  search_openalex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2000</w:t>
      </w:r>
      <w:r>
        <w:rPr>
          <w:rStyle w:val="NormalTok"/>
        </w:rPr>
        <w:t xml:space="preserve">) {</w:t>
      </w:r>
      <w:r>
        <w:br/>
      </w:r>
      <w:r>
        <w:rPr>
          <w:rStyle w:val="NormalTok"/>
        </w:rPr>
        <w:t xml:space="preserve">    query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map_chr</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stringr</w:t>
      </w:r>
      <w:r>
        <w:rPr>
          <w:rStyle w:val="SpecialCharTok"/>
        </w:rPr>
        <w:t xml:space="preserve">::</w:t>
      </w:r>
      <w:r>
        <w:rPr>
          <w:rStyle w:val="FunctionTok"/>
        </w:rPr>
        <w:t xml:space="preserve">str_remove</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OR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    </w:t>
      </w:r>
      <w:r>
        <w:rPr>
          <w:rStyle w:val="FunctionTok"/>
        </w:rPr>
        <w:t xml:space="preserve">tryCatch</w:t>
      </w:r>
      <w:r>
        <w:rPr>
          <w:rStyle w:val="NormalTok"/>
        </w:rPr>
        <w:t xml:space="preserve">({</w:t>
      </w:r>
      <w:r>
        <w:br/>
      </w:r>
      <w:r>
        <w:rPr>
          <w:rStyle w:val="NormalTok"/>
        </w:rPr>
        <w:t xml:space="preserve">      works </w:t>
      </w:r>
      <w:r>
        <w:rPr>
          <w:rStyle w:val="OtherTok"/>
        </w:rPr>
        <w:t xml:space="preserve">&lt;-</w:t>
      </w:r>
      <w:r>
        <w:rPr>
          <w:rStyle w:val="NormalTok"/>
        </w:rPr>
        <w:t xml:space="preserve"> </w:t>
      </w:r>
      <w:r>
        <w:rPr>
          <w:rStyle w:val="FunctionTok"/>
        </w:rPr>
        <w:t xml:space="preserve">list</w:t>
      </w:r>
      <w:r>
        <w:rPr>
          <w:rStyle w:val="NormalTok"/>
        </w:rPr>
        <w:t xml:space="preserve">(); page </w:t>
      </w:r>
      <w:r>
        <w:rPr>
          <w:rStyle w:val="OtherTok"/>
        </w:rPr>
        <w:t xml:space="preserve">&lt;-</w:t>
      </w:r>
      <w:r>
        <w:rPr>
          <w:rStyle w:val="NormalTok"/>
        </w:rPr>
        <w:t xml:space="preserve"> </w:t>
      </w:r>
      <w:r>
        <w:rPr>
          <w:rStyle w:val="DecValTok"/>
        </w:rPr>
        <w:t xml:space="preserve">1</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OpenAlex works, searched on title and abstract, https://docs.openalex.org/api-entities/works/search-works</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"https://api.openalex.org/works"</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filter =</w:t>
      </w:r>
      <w:r>
        <w:rPr>
          <w:rStyle w:val="NormalTok"/>
        </w:rPr>
        <w:t xml:space="preserve"> </w:t>
      </w:r>
      <w:r>
        <w:rPr>
          <w:rStyle w:val="FunctionTok"/>
        </w:rPr>
        <w:t xml:space="preserve">paste0</w:t>
      </w:r>
      <w:r>
        <w:rPr>
          <w:rStyle w:val="NormalTok"/>
        </w:rPr>
        <w:t xml:space="preserve">(</w:t>
      </w:r>
      <w:r>
        <w:rPr>
          <w:rStyle w:val="StringTok"/>
        </w:rPr>
        <w:t xml:space="preserve">"title_and_abstract.search:"</w:t>
      </w:r>
      <w:r>
        <w:rPr>
          <w:rStyle w:val="NormalTok"/>
        </w:rPr>
        <w:t xml:space="preserve">, query), </w:t>
      </w:r>
      <w:r>
        <w:rPr>
          <w:rStyle w:val="StringTok"/>
        </w:rPr>
        <w:t xml:space="preserve">`</w:t>
      </w:r>
      <w:r>
        <w:rPr>
          <w:rStyle w:val="AttributeTok"/>
        </w:rPr>
        <w:t xml:space="preserve">per-page</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200</w:t>
      </w:r>
      <w:r>
        <w:rPr>
          <w:rStyle w:val="NormalTok"/>
        </w:rPr>
        <w:t xml:space="preserve">, </w:t>
      </w:r>
      <w:r>
        <w:rPr>
          <w:rStyle w:val="AttributeTok"/>
        </w:rPr>
        <w:t xml:space="preserve">page =</w:t>
      </w:r>
      <w:r>
        <w:rPr>
          <w:rStyle w:val="NormalTok"/>
        </w:rPr>
        <w:t xml:space="preserve"> page,</w:t>
      </w:r>
      <w:r>
        <w:br/>
      </w:r>
      <w:r>
        <w:rPr>
          <w:rStyle w:val="NormalTok"/>
        </w:rPr>
        <w:t xml:space="preserve">                               </w:t>
      </w:r>
      <w:r>
        <w:rPr>
          <w:rStyle w:val="AttributeTok"/>
        </w:rPr>
        <w:t xml:space="preserve">select =</w:t>
      </w:r>
      <w:r>
        <w:rPr>
          <w:rStyle w:val="NormalTok"/>
        </w:rPr>
        <w:t xml:space="preserve"> </w:t>
      </w:r>
      <w:r>
        <w:rPr>
          <w:rStyle w:val="StringTok"/>
        </w:rPr>
        <w:t xml:space="preserve">"doi,title,publication_year,primary_location,type,cited_by_count,abstract_inverted_index"</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8</w:t>
      </w:r>
      <w:r>
        <w:rPr>
          <w:rStyle w:val="NormalTok"/>
        </w:rPr>
        <w:t xml:space="preserve">, </w:t>
      </w:r>
      <w:r>
        <w:rPr>
          <w:rStyle w:val="AttributeTok"/>
        </w:rPr>
        <w:t xml:space="preserve">is_transient =</w:t>
      </w:r>
      <w:r>
        <w:rPr>
          <w:rStyle w:val="NormalTok"/>
        </w:rPr>
        <w:t xml:space="preserve"> \(r) httr2</w:t>
      </w:r>
      <w:r>
        <w:rPr>
          <w:rStyle w:val="SpecialCharTok"/>
        </w:rPr>
        <w:t xml:space="preserve">::</w:t>
      </w:r>
      <w:r>
        <w:rPr>
          <w:rStyle w:val="FunctionTok"/>
        </w:rPr>
        <w:t xml:space="preserve">resp_status</w:t>
      </w:r>
      <w:r>
        <w:rPr>
          <w:rStyle w:val="NormalTok"/>
        </w:rPr>
        <w:t xml:space="preserve">(r) </w:t>
      </w:r>
      <w:r>
        <w:rPr>
          <w:rStyle w:val="SpecialCharTok"/>
        </w:rPr>
        <w:t xml:space="preserve">==</w:t>
      </w:r>
      <w:r>
        <w:rPr>
          <w:rStyle w:val="NormalTok"/>
        </w:rPr>
        <w:t xml:space="preserve"> </w:t>
      </w:r>
      <w:r>
        <w:rPr>
          <w:rStyle w:val="DecValTok"/>
        </w:rPr>
        <w:t xml:space="preserve">429</w:t>
      </w:r>
      <w:r>
        <w:rPr>
          <w:rStyle w:val="NormalTok"/>
        </w:rPr>
        <w:t xml:space="preserve">, </w:t>
      </w:r>
      <w:r>
        <w:rPr>
          <w:rStyle w:val="AttributeTok"/>
        </w:rPr>
        <w:t xml:space="preserve">backoff =</w:t>
      </w:r>
      <w:r>
        <w:rPr>
          <w:rStyle w:val="NormalTok"/>
        </w:rPr>
        <w:t xml:space="preserve"> \(i) </w:t>
      </w:r>
      <w:r>
        <w:rPr>
          <w:rStyle w:val="DecValTok"/>
        </w:rPr>
        <w:t xml:space="preserve">15</w:t>
      </w:r>
      <w:r>
        <w:rPr>
          <w:rStyle w:val="NormalTok"/>
        </w:rPr>
        <w:t xml:space="preserve"> </w:t>
      </w:r>
      <w:r>
        <w:rPr>
          <w:rStyle w:val="SpecialCharTok"/>
        </w:rPr>
        <w:t xml:space="preserve">*</w:t>
      </w:r>
      <w:r>
        <w:rPr>
          <w:rStyle w:val="NormalTok"/>
        </w:rPr>
        <w:t xml:space="preserve"> i)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count</w:t>
      </w:r>
      <w:r>
        <w:br/>
      </w:r>
      <w:r>
        <w:rPr>
          <w:rStyle w:val="NormalTok"/>
        </w:rPr>
        <w:t xml:space="preserve">        works </w:t>
      </w:r>
      <w:r>
        <w:rPr>
          <w:rStyle w:val="OtherTok"/>
        </w:rPr>
        <w:t xml:space="preserve">&lt;-</w:t>
      </w:r>
      <w:r>
        <w:rPr>
          <w:rStyle w:val="NormalTok"/>
        </w:rPr>
        <w:t xml:space="preserve"> </w:t>
      </w:r>
      <w:r>
        <w:rPr>
          <w:rStyle w:val="FunctionTok"/>
        </w:rPr>
        <w:t xml:space="preserve">c</w:t>
      </w:r>
      <w:r>
        <w:rPr>
          <w:rStyle w:val="NormalTok"/>
        </w:rPr>
        <w:t xml:space="preserve">(works, body</w:t>
      </w:r>
      <w:r>
        <w:rPr>
          <w:rStyle w:val="SpecialCharTok"/>
        </w:rPr>
        <w:t xml:space="preserve">$</w:t>
      </w:r>
      <w:r>
        <w:rPr>
          <w:rStyle w:val="NormalTok"/>
        </w:rPr>
        <w:t xml:space="preserve">results)</w:t>
      </w:r>
      <w:r>
        <w:br/>
      </w:r>
      <w:r>
        <w:rPr>
          <w:rStyle w:val="NormalTok"/>
        </w:rPr>
        <w:t xml:space="preserve">        </w:t>
      </w:r>
      <w:r>
        <w:rPr>
          <w:rStyle w:val="FunctionTok"/>
        </w:rPr>
        <w:t xml:space="preserve">Sys.sleep</w:t>
      </w:r>
      <w:r>
        <w:rPr>
          <w:rStyle w:val="Normal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(body</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200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(works) </w:t>
      </w:r>
      <w:r>
        <w:rPr>
          <w:rStyle w:val="SpecialCharTok"/>
        </w:rPr>
        <w:t xml:space="preserve">&gt;=</w:t>
      </w:r>
      <w:r>
        <w:rPr>
          <w:rStyle w:val="NormalTok"/>
        </w:rPr>
        <w:t xml:space="preserve"> </w:t>
      </w:r>
      <w:r>
        <w:rPr>
          <w:rStyle w:val="FunctionTok"/>
        </w:rPr>
        <w:t xml:space="preserve">min</w:t>
      </w:r>
      <w:r>
        <w:rPr>
          <w:rStyle w:val="NormalTok"/>
        </w:rPr>
        <w:t xml:space="preserve">(total, cap)) </w:t>
      </w:r>
      <w:r>
        <w:rPr>
          <w:rStyle w:val="ControlFlowTok"/>
        </w:rPr>
        <w:t xml:space="preserve">break</w:t>
      </w:r>
      <w:r>
        <w:br/>
      </w:r>
      <w:r>
        <w:rPr>
          <w:rStyle w:val="NormalTok"/>
        </w:rPr>
        <w:t xml:space="preserve">        page </w:t>
      </w:r>
      <w:r>
        <w:rPr>
          <w:rStyle w:val="OtherTok"/>
        </w:rPr>
        <w:t xml:space="preserve">&lt;-</w:t>
      </w:r>
      <w:r>
        <w:rPr>
          <w:rStyle w:val="NormalTok"/>
        </w:rPr>
        <w:t xml:space="preserve"> page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hits </w:t>
      </w:r>
      <w:r>
        <w:rPr>
          <w:rStyle w:val="OtherTok"/>
        </w:rPr>
        <w:t xml:space="preserve">&lt;-</w:t>
      </w:r>
      <w:r>
        <w:rPr>
          <w:rStyle w:val="NormalTok"/>
        </w:rPr>
        <w:t xml:space="preserve"> works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stringr</w:t>
      </w:r>
      <w:r>
        <w:rPr>
          <w:rStyle w:val="SpecialCharTok"/>
        </w:rPr>
        <w:t xml:space="preserve">::</w:t>
      </w:r>
      <w:r>
        <w:rPr>
          <w:rStyle w:val="FunctionTok"/>
        </w:rPr>
        <w:t xml:space="preserve">str_remove</w:t>
      </w:r>
      <w:r>
        <w:rPr>
          <w:rStyle w:val="NormalTok"/>
        </w:rPr>
        <w:t xml:space="preserve">(w</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tringTok"/>
        </w:rPr>
        <w:t xml:space="preserve">"^https://doi.org/"</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publication_year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primary_location</w:t>
      </w:r>
      <w:r>
        <w:rPr>
          <w:rStyle w:val="SpecialCharTok"/>
        </w:rPr>
        <w:t xml:space="preserve">$</w:t>
      </w:r>
      <w:r>
        <w:rPr>
          <w:rStyle w:val="NormalTok"/>
        </w:rPr>
        <w:t xml:space="preserve">source</w:t>
      </w:r>
      <w:r>
        <w:rPr>
          <w:rStyle w:val="SpecialCharTok"/>
        </w:rPr>
        <w:t xml:space="preserve">$</w:t>
      </w:r>
      <w:r>
        <w:rPr>
          <w:rStyle w:val="NormalTok"/>
        </w:rPr>
        <w:t xml:space="preserve">display_name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cited_by_count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abstract =</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w:t>
      </w:r>
      <w:r>
        <w:rPr>
          <w:rStyle w:val="SpecialCharTok"/>
        </w:rPr>
        <w:t xml:space="preserve">$</w:t>
      </w:r>
      <w:r>
        <w:rPr>
          <w:rStyle w:val="NormalTok"/>
        </w:rPr>
        <w:t xml:space="preserve">abstract_inverted_index)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NA_character_</w:t>
      </w:r>
      <w:r>
        <w:rPr>
          <w:rStyle w:val="NormalTok"/>
        </w:rPr>
        <w:t xml:space="preserve"> </w:t>
      </w:r>
      <w:r>
        <w:rPr>
          <w:rStyle w:val="ControlFlowTok"/>
        </w:rPr>
        <w:t xml:space="preserve">else</w:t>
      </w:r>
      <w:r>
        <w:rPr>
          <w:rStyle w:val="NormalTok"/>
        </w:rPr>
        <w:t xml:space="preserve"> </w:t>
      </w:r>
      <w:r>
        <w:rPr>
          <w:rStyle w:val="FunctionTok"/>
        </w:rPr>
        <w:t xml:space="preserve">paste</w:t>
      </w:r>
      <w:r>
        <w:rPr>
          <w:rStyle w:val="NormalTok"/>
        </w:rPr>
        <w:t xml:space="preserve">(</w:t>
      </w:r>
      <w:r>
        <w:rPr>
          <w:rStyle w:val="FunctionTok"/>
        </w:rPr>
        <w:t xml:space="preserve">rep</w:t>
      </w:r>
      <w:r>
        <w:rPr>
          <w:rStyle w:val="NormalTok"/>
        </w:rPr>
        <w:t xml:space="preserve">(</w:t>
      </w:r>
      <w:r>
        <w:rPr>
          <w:rStyle w:val="FunctionTok"/>
        </w:rPr>
        <w:t xml:space="preserve">names</w:t>
      </w:r>
      <w:r>
        <w:rPr>
          <w:rStyle w:val="NormalTok"/>
        </w:rPr>
        <w:t xml:space="preserve">(w</w:t>
      </w:r>
      <w:r>
        <w:rPr>
          <w:rStyle w:val="SpecialCharTok"/>
        </w:rPr>
        <w:t xml:space="preserve">$</w:t>
      </w:r>
      <w:r>
        <w:rPr>
          <w:rStyle w:val="NormalTok"/>
        </w:rPr>
        <w:t xml:space="preserve">abstract_inverted_index), </w:t>
      </w:r>
      <w:r>
        <w:rPr>
          <w:rStyle w:val="FunctionTok"/>
        </w:rPr>
        <w:t xml:space="preserve">lengths</w:t>
      </w:r>
      <w:r>
        <w:rPr>
          <w:rStyle w:val="NormalTok"/>
        </w:rPr>
        <w:t xml:space="preserve">(w</w:t>
      </w:r>
      <w:r>
        <w:rPr>
          <w:rStyle w:val="SpecialCharTok"/>
        </w:rPr>
        <w:t xml:space="preserve">$</w:t>
      </w:r>
      <w:r>
        <w:rPr>
          <w:rStyle w:val="NormalTok"/>
        </w:rPr>
        <w:t xml:space="preserve">abstract_inverted_index))[</w:t>
      </w:r>
      <w:r>
        <w:rPr>
          <w:rStyle w:val="FunctionTok"/>
        </w:rPr>
        <w:t xml:space="preserve">order</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abstract_inverted_index))],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hits,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(hits),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w:t>
      </w:r>
      <w:r>
        <w:br/>
      </w:r>
      <w:r>
        <w:rPr>
          <w:rStyle w:val="NormalTok"/>
        </w:rPr>
        <w:t xml:space="preserve">    }, </w:t>
      </w:r>
      <w:r>
        <w:rPr>
          <w:rStyle w:val="AttributeTok"/>
        </w:rPr>
        <w:t xml:space="preserve">error =</w:t>
      </w:r>
      <w:r>
        <w:rPr>
          <w:rStyle w:val="NormalTok"/>
        </w:rPr>
        <w:t xml:space="preserve"> \(e) </w:t>
      </w:r>
      <w:r>
        <w:rPr>
          <w:rStyle w:val="FunctionTok"/>
        </w:rPr>
        <w:t xml:space="preserve">list</w:t>
      </w:r>
      <w:r>
        <w:rPr>
          <w:rStyle w:val="NormalTok"/>
        </w:rPr>
        <w:t xml:space="preserve">(</w:t>
      </w:r>
      <w:r>
        <w:rPr>
          <w:rStyle w:val="AttributeTok"/>
        </w:rPr>
        <w:t xml:space="preserve">hits =</w:t>
      </w:r>
      <w:r>
        <w:rPr>
          <w:rStyle w:val="NormalTok"/>
        </w:rPr>
        <w:t xml:space="preserve"> </w:t>
      </w:r>
      <w:r>
        <w:rPr>
          <w:rStyle w:val="ConstantTok"/>
        </w:rPr>
        <w:t xml:space="preserve">NULL</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DecValTok"/>
        </w:rPr>
        <w:t xml:space="preserve">0</w:t>
      </w:r>
      <w:r>
        <w:rPr>
          <w:rStyle w:val="NormalTok"/>
        </w:rPr>
        <w:t xml:space="preserve">L, </w:t>
      </w:r>
      <w:r>
        <w:rPr>
          <w:rStyle w:val="AttributeTok"/>
        </w:rPr>
        <w:t xml:space="preserve">reported_total =</w:t>
      </w:r>
      <w:r>
        <w:rPr>
          <w:rStyle w:val="NormalTok"/>
        </w:rPr>
        <w:t xml:space="preserve"> </w:t>
      </w:r>
      <w:r>
        <w:rPr>
          <w:rStyle w:val="ConstantTok"/>
        </w:rPr>
        <w:t xml:space="preserve">NA</w:t>
      </w:r>
      <w:r>
        <w:rPr>
          <w:rStyle w:val="NormalTok"/>
        </w:rPr>
        <w:t xml:space="preserve">, cap,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FunctionTok"/>
        </w:rPr>
        <w:t xml:space="preserve">conditionMessage</w:t>
      </w:r>
      <w:r>
        <w:rPr>
          <w:rStyle w:val="NormalTok"/>
        </w:rPr>
        <w:t xml:space="preserve">(e))))</w:t>
      </w:r>
      <w:r>
        <w:br/>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search_openalex)</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StringTok"/>
        </w:rPr>
        <w:t xml:space="preserve">"02.inputs/review/raw"</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hits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id =</w:t>
      </w:r>
      <w:r>
        <w:rPr>
          <w:rStyle w:val="NormalTok"/>
        </w:rPr>
        <w:t xml:space="preserve"> </w:t>
      </w:r>
      <w:r>
        <w:rPr>
          <w:rStyle w:val="FunctionTok"/>
        </w:rPr>
        <w:t xml:space="preserve">record_id</w:t>
      </w:r>
      <w:r>
        <w:rPr>
          <w:rStyle w:val="NormalTok"/>
        </w:rPr>
        <w:t xml:space="preserve">(doi, title), abstract)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"02.inputs/review/raw/review-abstracts.csv"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(dplyr</w:t>
      </w:r>
      <w:r>
        <w:rPr>
          <w:rStyle w:val="SpecialCharTok"/>
        </w:rPr>
        <w:t xml:space="preserve">::</w:t>
      </w:r>
      <w:r>
        <w:rPr>
          <w:rStyle w:val="FunctionTok"/>
        </w:rPr>
        <w:t xml:space="preserve">select</w:t>
      </w:r>
      <w:r>
        <w:rPr>
          <w:rStyle w:val="NormalTok"/>
        </w:rPr>
        <w:t xml:space="preserve">(hits, </w:t>
      </w:r>
      <w:r>
        <w:rPr>
          <w:rStyle w:val="SpecialCharTok"/>
        </w:rPr>
        <w:t xml:space="preserve">-</w:t>
      </w:r>
      <w:r>
        <w:rPr>
          <w:rStyle w:val="NormalTok"/>
        </w:rPr>
        <w:t xml:space="preserve">abstract), </w:t>
      </w:r>
      <w:r>
        <w:rPr>
          <w:rStyle w:val="StringTok"/>
        </w:rPr>
        <w:t xml:space="preserve">"02.inputs/derived/review-openalex-hits.csv"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tringTok"/>
        </w:rPr>
        <w:t xml:space="preserve">"02.inputs/derived/review-log-openalex.csv"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"02.inputs/derived/review-s2-hits.csv"</w:t>
      </w:r>
      <w:r>
        <w:rPr>
          <w:rStyle w:val="NormalTok"/>
        </w:rPr>
        <w:t xml:space="preserve">)) {</w:t>
      </w:r>
      <w:r>
        <w:br/>
      </w:r>
      <w:r>
        <w:rPr>
          <w:rStyle w:val="NormalTok"/>
        </w:rPr>
        <w:t xml:space="preserve">  search_s2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map_chr</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\(x)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tryCatch</w:t>
      </w:r>
      <w:r>
        <w:rPr>
          <w:rStyle w:val="NormalTok"/>
        </w:rPr>
        <w:t xml:space="preserve">({</w:t>
      </w:r>
      <w:r>
        <w:br/>
      </w:r>
      <w:r>
        <w:rPr>
          <w:rStyle w:val="NormalTok"/>
        </w:rPr>
        <w:t xml:space="preserve">      papers </w:t>
      </w:r>
      <w:r>
        <w:rPr>
          <w:rStyle w:val="OtherTok"/>
        </w:rPr>
        <w:t xml:space="preserve">&lt;-</w:t>
      </w:r>
      <w:r>
        <w:rPr>
          <w:rStyle w:val="NormalTok"/>
        </w:rPr>
        <w:t xml:space="preserve"> </w:t>
      </w:r>
      <w:r>
        <w:rPr>
          <w:rStyle w:val="FunctionTok"/>
        </w:rPr>
        <w:t xml:space="preserve">list</w:t>
      </w:r>
      <w:r>
        <w:rPr>
          <w:rStyle w:val="NormalTok"/>
        </w:rPr>
        <w:t xml:space="preserve">(); token </w:t>
      </w:r>
      <w:r>
        <w:rPr>
          <w:rStyle w:val="OtherTok"/>
        </w:rPr>
        <w:t xml:space="preserve">&lt;-</w:t>
      </w:r>
      <w:r>
        <w:rPr>
          <w:rStyle w:val="NormalTok"/>
        </w:rPr>
        <w:t xml:space="preserve"> </w:t>
      </w:r>
      <w:r>
        <w:rPr>
          <w:rStyle w:val="ConstantTok"/>
        </w:rPr>
        <w:t xml:space="preserve">NULL</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Semantic Scholar Academic Graph bulk search, https://api.semanticscholar.org/api-docs/graph#tag/Paper-Data/operation/get_graph_paper_bulk_search</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"https://api.semanticscholar.org/graph/v1/paper/search/bulk"</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query =</w:t>
      </w:r>
      <w:r>
        <w:rPr>
          <w:rStyle w:val="NormalTok"/>
        </w:rPr>
        <w:t xml:space="preserve"> query, </w:t>
      </w:r>
      <w:r>
        <w:rPr>
          <w:rStyle w:val="AttributeTok"/>
        </w:rPr>
        <w:t xml:space="preserve">fields =</w:t>
      </w:r>
      <w:r>
        <w:rPr>
          <w:rStyle w:val="NormalTok"/>
        </w:rPr>
        <w:t xml:space="preserve"> </w:t>
      </w:r>
      <w:r>
        <w:rPr>
          <w:rStyle w:val="StringTok"/>
        </w:rPr>
        <w:t xml:space="preserve">"title,year,venue,externalIds,citationCount,publicationTypes"</w:t>
      </w:r>
      <w:r>
        <w:rPr>
          <w:rStyle w:val="NormalTok"/>
        </w:rPr>
        <w:t xml:space="preserve">, </w:t>
      </w:r>
      <w:r>
        <w:rPr>
          <w:rStyle w:val="AttributeTok"/>
        </w:rPr>
        <w:t xml:space="preserve">token =</w:t>
      </w:r>
      <w:r>
        <w:rPr>
          <w:rStyle w:val="NormalTok"/>
        </w:rPr>
        <w:t xml:space="preserve"> 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total; token </w:t>
      </w:r>
      <w:r>
        <w:rPr>
          <w:rStyle w:val="OtherTok"/>
        </w:rPr>
        <w:t xml:space="preserve">&lt;-</w:t>
      </w:r>
      <w:r>
        <w:rPr>
          <w:rStyle w:val="NormalTok"/>
        </w:rPr>
        <w:t xml:space="preserve"> body</w:t>
      </w:r>
      <w:r>
        <w:rPr>
          <w:rStyle w:val="SpecialCharTok"/>
        </w:rPr>
        <w:t xml:space="preserve">$</w:t>
      </w:r>
      <w:r>
        <w:rPr>
          <w:rStyle w:val="NormalTok"/>
        </w:rPr>
        <w:t xml:space="preserve">token</w:t>
      </w:r>
      <w:r>
        <w:br/>
      </w:r>
      <w:r>
        <w:rPr>
          <w:rStyle w:val="NormalTok"/>
        </w:rPr>
        <w:t xml:space="preserve">        papers </w:t>
      </w:r>
      <w:r>
        <w:rPr>
          <w:rStyle w:val="OtherTok"/>
        </w:rPr>
        <w:t xml:space="preserve">&lt;-</w:t>
      </w:r>
      <w:r>
        <w:rPr>
          <w:rStyle w:val="NormalTok"/>
        </w:rPr>
        <w:t xml:space="preserve"> </w:t>
      </w:r>
      <w:r>
        <w:rPr>
          <w:rStyle w:val="FunctionTok"/>
        </w:rPr>
        <w:t xml:space="preserve">c</w:t>
      </w:r>
      <w:r>
        <w:rPr>
          <w:rStyle w:val="NormalTok"/>
        </w:rPr>
        <w:t xml:space="preserve">(papers, body</w:t>
      </w:r>
      <w:r>
        <w:rPr>
          <w:rStyle w:val="SpecialCharTok"/>
        </w:rPr>
        <w:t xml:space="preserve">$</w:t>
      </w:r>
      <w:r>
        <w:rPr>
          <w:rStyle w:val="NormalTok"/>
        </w:rPr>
        <w:t xml:space="preserve">data)</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(token) </w:t>
      </w:r>
      <w:r>
        <w:rPr>
          <w:rStyle w:val="SpecialCharTok"/>
        </w:rPr>
        <w:t xml:space="preserve">||</w:t>
      </w:r>
      <w:r>
        <w:rPr>
          <w:rStyle w:val="NormalTok"/>
        </w:rPr>
        <w:t xml:space="preserve"> </w:t>
      </w:r>
      <w:r>
        <w:rPr>
          <w:rStyle w:val="FunctionTok"/>
        </w:rPr>
        <w:t xml:space="preserve">length</w:t>
      </w:r>
      <w:r>
        <w:rPr>
          <w:rStyle w:val="NormalTok"/>
        </w:rPr>
        <w:t xml:space="preserve">(papers) </w:t>
      </w:r>
      <w:r>
        <w:rPr>
          <w:rStyle w:val="SpecialCharTok"/>
        </w:rPr>
        <w:t xml:space="preserve">&gt;=</w:t>
      </w:r>
      <w:r>
        <w:rPr>
          <w:rStyle w:val="NormalTok"/>
        </w:rPr>
        <w:t xml:space="preserve"> cap) </w:t>
      </w:r>
      <w:r>
        <w:rPr>
          <w:rStyle w:val="ControlFlowTok"/>
        </w:rPr>
        <w:t xml:space="preserve">break</w:t>
      </w:r>
      <w:r>
        <w:br/>
      </w:r>
      <w:r>
        <w:rPr>
          <w:rStyle w:val="NormalTok"/>
        </w:rPr>
        <w:t xml:space="preserve">      }</w:t>
      </w:r>
      <w:r>
        <w:br/>
      </w:r>
      <w:r>
        <w:rPr>
          <w:rStyle w:val="NormalTok"/>
        </w:rPr>
        <w:t xml:space="preserve">      works </w:t>
      </w:r>
      <w:r>
        <w:rPr>
          <w:rStyle w:val="OtherTok"/>
        </w:rPr>
        <w:t xml:space="preserve">&lt;-</w:t>
      </w:r>
      <w:r>
        <w:rPr>
          <w:rStyle w:val="NormalTok"/>
        </w:rPr>
        <w:t xml:space="preserve"> papers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publicationTypes),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citationCount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(works,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(works),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w:t>
      </w:r>
      <w:r>
        <w:br/>
      </w:r>
      <w:r>
        <w:rPr>
          <w:rStyle w:val="NormalTok"/>
        </w:rPr>
        <w:t xml:space="preserve">    }, </w:t>
      </w:r>
      <w:r>
        <w:rPr>
          <w:rStyle w:val="AttributeTok"/>
        </w:rPr>
        <w:t xml:space="preserve">error =</w:t>
      </w:r>
      <w:r>
        <w:rPr>
          <w:rStyle w:val="NormalTok"/>
        </w:rPr>
        <w:t xml:space="preserve"> \(e) </w:t>
      </w:r>
      <w:r>
        <w:rPr>
          <w:rStyle w:val="FunctionTok"/>
        </w:rPr>
        <w:t xml:space="preserve">list</w:t>
      </w:r>
      <w:r>
        <w:rPr>
          <w:rStyle w:val="NormalTok"/>
        </w:rPr>
        <w:t xml:space="preserve">(</w:t>
      </w:r>
      <w:r>
        <w:rPr>
          <w:rStyle w:val="AttributeTok"/>
        </w:rPr>
        <w:t xml:space="preserve">hits =</w:t>
      </w:r>
      <w:r>
        <w:rPr>
          <w:rStyle w:val="NormalTok"/>
        </w:rPr>
        <w:t xml:space="preserve"> </w:t>
      </w:r>
      <w:r>
        <w:rPr>
          <w:rStyle w:val="ConstantTok"/>
        </w:rPr>
        <w:t xml:space="preserve">NULL</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DecValTok"/>
        </w:rPr>
        <w:t xml:space="preserve">0</w:t>
      </w:r>
      <w:r>
        <w:rPr>
          <w:rStyle w:val="NormalTok"/>
        </w:rPr>
        <w:t xml:space="preserve">L, </w:t>
      </w:r>
      <w:r>
        <w:rPr>
          <w:rStyle w:val="AttributeTok"/>
        </w:rPr>
        <w:t xml:space="preserve">reported_total =</w:t>
      </w:r>
      <w:r>
        <w:rPr>
          <w:rStyle w:val="NormalTok"/>
        </w:rPr>
        <w:t xml:space="preserve"> </w:t>
      </w:r>
      <w:r>
        <w:rPr>
          <w:rStyle w:val="ConstantTok"/>
        </w:rPr>
        <w:t xml:space="preserve">NA</w:t>
      </w:r>
      <w:r>
        <w:rPr>
          <w:rStyle w:val="NormalTok"/>
        </w:rPr>
        <w:t xml:space="preserve">, cap,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FunctionTok"/>
        </w:rPr>
        <w:t xml:space="preserve">conditionMessage</w:t>
      </w:r>
      <w:r>
        <w:rPr>
          <w:rStyle w:val="NormalTok"/>
        </w:rPr>
        <w:t xml:space="preserve">(e))))</w:t>
      </w:r>
      <w:r>
        <w:br/>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search_s2)</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question =</w:t>
      </w:r>
      <w:r>
        <w:rPr>
          <w:rStyle w:val="NormalTok"/>
        </w:rPr>
        <w:t xml:space="preserve"> </w:t>
      </w:r>
      <w:r>
        <w:rPr>
          <w:rStyle w:val="FunctionTok"/>
        </w:rPr>
        <w:t xml:space="preserve">character</w:t>
      </w:r>
      <w:r>
        <w:rPr>
          <w:rStyle w:val="NormalTok"/>
        </w:rPr>
        <w:t xml:space="preserve">(), </w:t>
      </w:r>
      <w:r>
        <w:rPr>
          <w:rStyle w:val="AttributeTok"/>
        </w:rPr>
        <w:t xml:space="preserve">route =</w:t>
      </w:r>
      <w:r>
        <w:rPr>
          <w:rStyle w:val="NormalTok"/>
        </w:rPr>
        <w:t xml:space="preserve"> </w:t>
      </w:r>
      <w:r>
        <w:rPr>
          <w:rStyle w:val="FunctionTok"/>
        </w:rPr>
        <w:t xml:space="preserve">character</w:t>
      </w:r>
      <w:r>
        <w:rPr>
          <w:rStyle w:val="NormalTok"/>
        </w:rPr>
        <w:t xml:space="preserve">(), </w:t>
      </w:r>
      <w:r>
        <w:rPr>
          <w:rStyle w:val="AttributeTok"/>
        </w:rPr>
        <w:t xml:space="preserve">doi =</w:t>
      </w:r>
      <w:r>
        <w:rPr>
          <w:rStyle w:val="NormalTok"/>
        </w:rPr>
        <w:t xml:space="preserve"> </w:t>
      </w:r>
      <w:r>
        <w:rPr>
          <w:rStyle w:val="FunctionTok"/>
        </w:rPr>
        <w:t xml:space="preserve">character</w:t>
      </w:r>
      <w:r>
        <w:rPr>
          <w:rStyle w:val="NormalTok"/>
        </w:rPr>
        <w:t xml:space="preserve">(), </w:t>
      </w:r>
      <w:r>
        <w:rPr>
          <w:rStyle w:val="AttributeTok"/>
        </w:rPr>
        <w:t xml:space="preserve">title =</w:t>
      </w:r>
      <w:r>
        <w:rPr>
          <w:rStyle w:val="NormalTok"/>
        </w:rPr>
        <w:t xml:space="preserve"> </w:t>
      </w:r>
      <w:r>
        <w:rPr>
          <w:rStyle w:val="FunctionTok"/>
        </w:rPr>
        <w:t xml:space="preserve">character</w:t>
      </w:r>
      <w:r>
        <w:rPr>
          <w:rStyle w:val="NormalTok"/>
        </w:rPr>
        <w:t xml:space="preserve">())), </w:t>
      </w:r>
      <w:r>
        <w:rPr>
          <w:rStyle w:val="StringTok"/>
        </w:rPr>
        <w:t xml:space="preserve">"02.inputs/derived/review-s2-hits.csv"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tringTok"/>
        </w:rPr>
        <w:t xml:space="preserve">"02.inputs/derived/review-log-s2.csv"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"02.inputs/derived/review-records.csv"</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"02.inputs/derived/review-store-hits.csv"</w:t>
      </w:r>
      <w:r>
        <w:rPr>
          <w:rStyle w:val="NormalTok"/>
        </w:rPr>
        <w:t xml:space="preserve">, </w:t>
      </w:r>
      <w:r>
        <w:rPr>
          <w:rStyle w:val="StringTok"/>
        </w:rPr>
        <w:t xml:space="preserve">"02.inputs/derived/review-openalex-hits.csv"</w:t>
      </w:r>
      <w:r>
        <w:rPr>
          <w:rStyle w:val="NormalTok"/>
        </w:rPr>
        <w:t xml:space="preserve">, </w:t>
      </w:r>
      <w:r>
        <w:rPr>
          <w:rStyle w:val="StringTok"/>
        </w:rPr>
        <w:t xml:space="preserve">"02.inputs/derived/review-s2-hits.csv"</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(\(f) readr</w:t>
      </w:r>
      <w:r>
        <w:rPr>
          <w:rStyle w:val="SpecialCharTok"/>
        </w:rPr>
        <w:t xml:space="preserve">::</w:t>
      </w:r>
      <w:r>
        <w:rPr>
          <w:rStyle w:val="FunctionTok"/>
        </w:rPr>
        <w:t xml:space="preserve">read_csv</w:t>
      </w:r>
      <w:r>
        <w:rPr>
          <w:rStyle w:val="NormalTok"/>
        </w:rPr>
        <w:t xml:space="preserve">(f,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record_id</w:t>
      </w:r>
      <w:r>
        <w:rPr>
          <w:rStyle w:val="NormalTok"/>
        </w:rPr>
        <w:t xml:space="preserve">(doi, title))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id, </w:t>
      </w:r>
      <w:r>
        <w:rPr>
          <w:rStyle w:val="AttributeTok"/>
        </w:rPr>
        <w:t xml:space="preserve">doi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(doi)), </w:t>
      </w:r>
      <w:r>
        <w:rPr>
          <w:rStyle w:val="AttributeTok"/>
        </w:rPr>
        <w:t xml:space="preserve">title =</w:t>
      </w:r>
      <w:r>
        <w:rPr>
          <w:rStyle w:val="NormalTok"/>
        </w:rPr>
        <w:t xml:space="preserve"> dplyr</w:t>
      </w:r>
      <w:r>
        <w:rPr>
          <w:rStyle w:val="SpecialCharTok"/>
        </w:rPr>
        <w:t xml:space="preserve">::</w:t>
      </w:r>
      <w:r>
        <w:rPr>
          <w:rStyle w:val="FunctionTok"/>
        </w:rPr>
        <w:t xml:space="preserve">first</w:t>
      </w:r>
      <w:r>
        <w:rPr>
          <w:rStyle w:val="NormalTok"/>
        </w:rPr>
        <w:t xml:space="preserve">(title), </w:t>
      </w:r>
      <w:r>
        <w:rPr>
          <w:rStyle w:val="AttributeTok"/>
        </w:rPr>
        <w:t xml:space="preserve">year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(year)), </w:t>
      </w:r>
      <w:r>
        <w:rPr>
          <w:rStyle w:val="AttributeTok"/>
        </w:rPr>
        <w:t xml:space="preserve">venue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(venue)), </w:t>
      </w:r>
      <w:r>
        <w:rPr>
          <w:rStyle w:val="AttributeTok"/>
        </w:rPr>
        <w:t xml:space="preserve">questions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(question)),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routes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(route)),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duplicates_merged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key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(key)), </w:t>
      </w:r>
      <w:r>
        <w:rPr>
          <w:rStyle w:val="AttributeTok"/>
        </w:rPr>
        <w:t xml:space="preserve">source_note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(source_note)))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(questions, dplyr</w:t>
      </w:r>
      <w:r>
        <w:rPr>
          <w:rStyle w:val="SpecialCharTok"/>
        </w:rPr>
        <w:t xml:space="preserve">::</w:t>
      </w:r>
      <w:r>
        <w:rPr>
          <w:rStyle w:val="FunctionTok"/>
        </w:rPr>
        <w:t xml:space="preserve">desc</w:t>
      </w:r>
      <w:r>
        <w:rPr>
          <w:rStyle w:val="NormalTok"/>
        </w:rPr>
        <w:t xml:space="preserve">(year))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decision =</w:t>
      </w:r>
      <w:r>
        <w:rPr>
          <w:rStyle w:val="NormalTok"/>
        </w:rPr>
        <w:t xml:space="preserve"> </w:t>
      </w:r>
      <w:r>
        <w:rPr>
          <w:rStyle w:val="ConstantTok"/>
        </w:rPr>
        <w:t xml:space="preserve">NA</w:t>
      </w:r>
      <w:r>
        <w:rPr>
          <w:rStyle w:val="NormalTok"/>
        </w:rPr>
        <w:t xml:space="preserve">, </w:t>
      </w:r>
      <w:r>
        <w:rPr>
          <w:rStyle w:val="AttributeTok"/>
        </w:rPr>
        <w:t xml:space="preserve">reason =</w:t>
      </w:r>
      <w:r>
        <w:rPr>
          <w:rStyle w:val="NormalTok"/>
        </w:rPr>
        <w:t xml:space="preserve"> </w:t>
      </w:r>
      <w:r>
        <w:rPr>
          <w:rStyle w:val="ConstantTok"/>
        </w:rPr>
        <w:t xml:space="preserve">NA</w:t>
      </w:r>
      <w:r>
        <w:rPr>
          <w:rStyle w:val="NormalTok"/>
        </w:rPr>
        <w:t xml:space="preserve">, </w:t>
      </w:r>
      <w:r>
        <w:rPr>
          <w:rStyle w:val="AttributeTok"/>
        </w:rPr>
        <w:t xml:space="preserve">full_text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"02.inputs/derived/review-records.csv"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"02.inputs/derived/review-log-store.csv"</w:t>
      </w:r>
      <w:r>
        <w:rPr>
          <w:rStyle w:val="NormalTok"/>
        </w:rPr>
        <w:t xml:space="preserve">, </w:t>
      </w:r>
      <w:r>
        <w:rPr>
          <w:rStyle w:val="StringTok"/>
        </w:rPr>
        <w:t xml:space="preserve">"02.inputs/derived/review-log-openalex.csv"</w:t>
      </w:r>
      <w:r>
        <w:rPr>
          <w:rStyle w:val="NormalTok"/>
        </w:rPr>
        <w:t xml:space="preserve">, </w:t>
      </w:r>
      <w:r>
        <w:rPr>
          <w:rStyle w:val="StringTok"/>
        </w:rPr>
        <w:t xml:space="preserve">"02.inputs/derived/review-log-s2.csv"</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(\(f) readr</w:t>
      </w:r>
      <w:r>
        <w:rPr>
          <w:rStyle w:val="SpecialCharTok"/>
        </w:rPr>
        <w:t xml:space="preserve">::</w:t>
      </w:r>
      <w:r>
        <w:rPr>
          <w:rStyle w:val="FunctionTok"/>
        </w:rPr>
        <w:t xml:space="preserve">read_csv</w:t>
      </w:r>
      <w:r>
        <w:rPr>
          <w:rStyle w:val="NormalTok"/>
        </w:rPr>
        <w:t xml:space="preserve">(f,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central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(central)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"02.inputs/derived/review-chase-hits.csv"</w:t>
      </w:r>
      <w:r>
        <w:rPr>
          <w:rStyle w:val="NormalTok"/>
        </w:rPr>
        <w:t xml:space="preserve">)) {</w:t>
      </w:r>
      <w:r>
        <w:br/>
      </w:r>
      <w:r>
        <w:rPr>
          <w:rStyle w:val="NormalTok"/>
        </w:rPr>
        <w:t xml:space="preserve">  chase </w:t>
      </w:r>
      <w:r>
        <w:rPr>
          <w:rStyle w:val="OtherTok"/>
        </w:rPr>
        <w:t xml:space="preserve">&lt;-</w:t>
      </w:r>
      <w:r>
        <w:rPr>
          <w:rStyle w:val="NormalTok"/>
        </w:rPr>
        <w:t xml:space="preserve"> </w:t>
      </w:r>
      <w:r>
        <w:rPr>
          <w:rStyle w:val="ControlFlowTok"/>
        </w:rPr>
        <w:t xml:space="preserve">function</w:t>
      </w:r>
      <w:r>
        <w:rPr>
          <w:rStyle w:val="NormalTok"/>
        </w:rPr>
        <w:t xml:space="preserve">(seed_doi, direction) {</w:t>
      </w:r>
      <w:r>
        <w:br/>
      </w:r>
      <w:r>
        <w:rPr>
          <w:rStyle w:val="NormalTok"/>
        </w:rPr>
        <w:t xml:space="preserve">    </w:t>
      </w:r>
      <w:r>
        <w:rPr>
          <w:rStyle w:val="CommentTok"/>
        </w:rPr>
        <w:t xml:space="preserve"># Semantic Scholar Academic Graph references and citations, https://api.semanticscholar.org/api-docs/graph#tag/Paper-Data</w:t>
      </w:r>
      <w:r>
        <w:br/>
      </w:r>
      <w:r>
        <w:rPr>
          <w:rStyle w:val="NormalTok"/>
        </w:rPr>
        <w:t xml:space="preserve">    resp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"https://api.semanticscholar.org/graph/v1/paper/DOI:"</w:t>
      </w:r>
      <w:r>
        <w:rPr>
          <w:rStyle w:val="NormalTok"/>
        </w:rPr>
        <w:t xml:space="preserve">, seed_doi, </w:t>
      </w:r>
      <w:r>
        <w:rPr>
          <w:rStyle w:val="StringTok"/>
        </w:rPr>
        <w:t xml:space="preserve">"/"</w:t>
      </w:r>
      <w:r>
        <w:rPr>
          <w:rStyle w:val="NormalTok"/>
        </w:rPr>
        <w:t xml:space="preserve">, direction))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fields =</w:t>
      </w:r>
      <w:r>
        <w:rPr>
          <w:rStyle w:val="NormalTok"/>
        </w:rPr>
        <w:t xml:space="preserve"> </w:t>
      </w:r>
      <w:r>
        <w:rPr>
          <w:rStyle w:val="StringTok"/>
        </w:rPr>
        <w:t xml:space="preserve">"title,year,venue,externalIds"</w:t>
      </w:r>
      <w:r>
        <w:rPr>
          <w:rStyle w:val="NormalTok"/>
        </w:rPr>
        <w:t xml:space="preserve">, </w:t>
      </w:r>
      <w:r>
        <w:rPr>
          <w:rStyle w:val="AttributeTok"/>
        </w:rPr>
        <w:t xml:space="preserve">limit =</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6</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\(r) </w:t>
      </w:r>
      <w:r>
        <w:rPr>
          <w:rStyle w:val="ConstantTok"/>
        </w:rPr>
        <w:t xml:space="preserve">FALSE</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error =</w:t>
      </w:r>
      <w:r>
        <w:rPr>
          <w:rStyle w:val="NormalTok"/>
        </w:rPr>
        <w:t xml:space="preserve"> httr2</w:t>
      </w:r>
      <w:r>
        <w:rPr>
          <w:rStyle w:val="SpecialCharTok"/>
        </w:rPr>
        <w:t xml:space="preserve">::</w:t>
      </w:r>
      <w:r>
        <w:rPr>
          <w:rStyle w:val="FunctionTok"/>
        </w:rPr>
        <w:t xml:space="preserve">resp_status_desc</w:t>
      </w:r>
      <w:r>
        <w:rPr>
          <w:rStyle w:val="NormalTok"/>
        </w:rPr>
        <w:t xml:space="preserve">(resp)))</w:t>
      </w:r>
      <w:r>
        <w:br/>
      </w:r>
      <w:r>
        <w:rPr>
          <w:rStyle w:val="NormalTok"/>
        </w:rPr>
        <w:t xml:space="preserve">    key </w:t>
      </w:r>
      <w:r>
        <w:rPr>
          <w:rStyle w:val="OtherTok"/>
        </w:rPr>
        <w:t xml:space="preserve">&lt;-</w:t>
      </w:r>
      <w:r>
        <w:rPr>
          <w:rStyle w:val="NormalTok"/>
        </w:rPr>
        <w:t xml:space="preserve"> </w:t>
      </w:r>
      <w:r>
        <w:rPr>
          <w:rStyle w:val="ControlFlowTok"/>
        </w:rPr>
        <w:t xml:space="preserve">if</w:t>
      </w:r>
      <w:r>
        <w:rPr>
          <w:rStyle w:val="NormalTok"/>
        </w:rPr>
        <w:t xml:space="preserve"> (direction </w:t>
      </w:r>
      <w:r>
        <w:rPr>
          <w:rStyle w:val="SpecialCharTok"/>
        </w:rPr>
        <w:t xml:space="preserve">==</w:t>
      </w:r>
      <w:r>
        <w:rPr>
          <w:rStyle w:val="NormalTok"/>
        </w:rPr>
        <w:t xml:space="preserve"> </w:t>
      </w:r>
      <w:r>
        <w:rPr>
          <w:rStyle w:val="StringTok"/>
        </w:rPr>
        <w:t xml:space="preserve">"references"</w:t>
      </w:r>
      <w:r>
        <w:rPr>
          <w:rStyle w:val="NormalTok"/>
        </w:rPr>
        <w:t xml:space="preserve">) </w:t>
      </w:r>
      <w:r>
        <w:rPr>
          <w:rStyle w:val="StringTok"/>
        </w:rPr>
        <w:t xml:space="preserve">"citedPaper"</w:t>
      </w:r>
      <w:r>
        <w:rPr>
          <w:rStyle w:val="NormalTok"/>
        </w:rPr>
        <w:t xml:space="preserve"> </w:t>
      </w:r>
      <w:r>
        <w:rPr>
          <w:rStyle w:val="ControlFlowTok"/>
        </w:rPr>
        <w:t xml:space="preserve">else</w:t>
      </w:r>
      <w:r>
        <w:rPr>
          <w:rStyle w:val="NormalTok"/>
        </w:rPr>
        <w:t xml:space="preserve"> </w:t>
      </w:r>
      <w:r>
        <w:rPr>
          <w:rStyle w:val="StringTok"/>
        </w:rPr>
        <w:t xml:space="preserve">"citingPaper"</w:t>
      </w:r>
      <w:r>
        <w:br/>
      </w:r>
      <w:r>
        <w:rPr>
          <w:rStyle w:val="NormalTok"/>
        </w:rPr>
        <w:t xml:space="preserve">    httr2</w:t>
      </w:r>
      <w:r>
        <w:rPr>
          <w:rStyle w:val="SpecialCharTok"/>
        </w:rPr>
        <w:t xml:space="preserve">::</w:t>
      </w:r>
      <w:r>
        <w:rPr>
          <w:rStyle w:val="FunctionTok"/>
        </w:rPr>
        <w:t xml:space="preserve">resp_body_json</w:t>
      </w:r>
      <w:r>
        <w:rPr>
          <w:rStyle w:val="NormalTok"/>
        </w:rPr>
        <w:t xml:space="preserve">(resp)</w:t>
      </w:r>
      <w:r>
        <w:rPr>
          <w:rStyle w:val="SpecialCharTok"/>
        </w:rPr>
        <w:t xml:space="preserve">$</w:t>
      </w:r>
      <w:r>
        <w:rPr>
          <w:rStyle w:val="NormalTok"/>
        </w:rPr>
        <w:t xml:space="preserve">data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w[[key]]</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w[[key]]</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w[[key]]</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w[[key]]</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tidyr</w:t>
      </w:r>
      <w:r>
        <w:rPr>
          <w:rStyle w:val="SpecialCharTok"/>
        </w:rPr>
        <w:t xml:space="preserve">::</w:t>
      </w:r>
      <w:r>
        <w:rPr>
          <w:rStyle w:val="FunctionTok"/>
        </w:rPr>
        <w:t xml:space="preserve">expand_grid</w:t>
      </w:r>
      <w:r>
        <w:rPr>
          <w:rStyle w:val="NormalTok"/>
        </w:rPr>
        <w:t xml:space="preserve">(</w:t>
      </w:r>
      <w:r>
        <w:rPr>
          <w:rStyle w:val="AttributeTok"/>
        </w:rPr>
        <w:t xml:space="preserve">seed_doi =</w:t>
      </w:r>
      <w:r>
        <w:rPr>
          <w:rStyle w:val="NormalTok"/>
        </w:rPr>
        <w:t xml:space="preserve"> central, </w:t>
      </w:r>
      <w:r>
        <w:rPr>
          <w:rStyle w:val="AttributeTok"/>
        </w:rPr>
        <w:t xml:space="preserve">direction =</w:t>
      </w:r>
      <w:r>
        <w:rPr>
          <w:rStyle w:val="NormalTok"/>
        </w:rPr>
        <w:t xml:space="preserve"> </w:t>
      </w:r>
      <w:r>
        <w:rPr>
          <w:rStyle w:val="FunctionTok"/>
        </w:rPr>
        <w:t xml:space="preserve">c</w:t>
      </w:r>
      <w:r>
        <w:rPr>
          <w:rStyle w:val="NormalTok"/>
        </w:rPr>
        <w:t xml:space="preserve">(</w:t>
      </w:r>
      <w:r>
        <w:rPr>
          <w:rStyle w:val="StringTok"/>
        </w:rPr>
        <w:t xml:space="preserve">"references"</w:t>
      </w:r>
      <w:r>
        <w:rPr>
          <w:rStyle w:val="NormalTok"/>
        </w:rPr>
        <w:t xml:space="preserve">, </w:t>
      </w:r>
      <w:r>
        <w:rPr>
          <w:rStyle w:val="StringTok"/>
        </w:rPr>
        <w:t xml:space="preserve">"citations"</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(chase)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"02.inputs/derived/review-chase-hits.csv"</w:t>
      </w:r>
      <w:r>
        <w:rPr>
          <w:rStyle w:val="NormalTok"/>
        </w:rPr>
        <w:t xml:space="preserve">)</w:t>
      </w:r>
      <w:r>
        <w:br/>
      </w:r>
      <w:r>
        <w:rPr>
          <w:rStyle w:val="NormalTok"/>
        </w:rPr>
        <w:t xml:space="preserve">}</w:t>
      </w:r>
    </w:p>
    <w:p>
      <w:pPr>
        <w:pStyle w:val="SourceCode"/>
      </w:pPr>
      <w:r>
        <w:rPr>
          <w:rStyle w:val="NormalTok"/>
        </w:rPr>
        <w:t xml:space="preserve">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"02.inputs/derived/review-records.csv"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search_log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review_counts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retrieved"</w:t>
      </w:r>
      <w:r>
        <w:rPr>
          <w:rStyle w:val="NormalTok"/>
        </w:rPr>
        <w:t xml:space="preserve">, </w:t>
      </w:r>
      <w:r>
        <w:rPr>
          <w:rStyle w:val="StringTok"/>
        </w:rPr>
        <w:t xml:space="preserve">"Unique after removing duplicates"</w:t>
      </w:r>
      <w:r>
        <w:rPr>
          <w:rStyle w:val="NormalTok"/>
        </w:rPr>
        <w:t xml:space="preserve">, </w:t>
      </w:r>
      <w:r>
        <w:rPr>
          <w:rStyle w:val="StringTok"/>
        </w:rPr>
        <w:t xml:space="preserve">"Excluded on title and abstract"</w:t>
      </w:r>
      <w:r>
        <w:rPr>
          <w:rStyle w:val="NormalTok"/>
        </w:rPr>
        <w:t xml:space="preserve">, </w:t>
      </w:r>
      <w:r>
        <w:rPr>
          <w:rStyle w:val="StringTok"/>
        </w:rPr>
        <w:t xml:space="preserve">"Read in full"</w:t>
      </w:r>
      <w:r>
        <w:rPr>
          <w:rStyle w:val="NormalTok"/>
        </w:rPr>
        <w:t xml:space="preserve">, </w:t>
      </w:r>
      <w:r>
        <w:rPr>
          <w:rStyle w:val="StringTok"/>
        </w:rPr>
        <w:t xml:space="preserve">"Retained"</w:t>
      </w:r>
      <w:r>
        <w:rPr>
          <w:rStyle w:val="NormalTok"/>
        </w:rPr>
        <w:t xml:space="preserve">),</w:t>
      </w:r>
      <w:r>
        <w:br/>
      </w:r>
      <w:r>
        <w:rPr>
          <w:rStyle w:val="NormalTok"/>
        </w:rPr>
        <w:t xml:space="preserve">  </w:t>
      </w:r>
      <w:r>
        <w:rPr>
          <w:rStyle w:val="AttributeTok"/>
        </w:rPr>
        <w:t xml:space="preserve">Records =</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(search_log</w:t>
      </w:r>
      <w:r>
        <w:rPr>
          <w:rStyle w:val="SpecialCharTok"/>
        </w:rPr>
        <w:t xml:space="preserve">$</w:t>
      </w:r>
      <w:r>
        <w:rPr>
          <w:rStyle w:val="NormalTok"/>
        </w:rPr>
        <w:t xml:space="preserve">retrieved), </w:t>
      </w:r>
      <w:r>
        <w:rPr>
          <w:rStyle w:val="FunctionTok"/>
        </w:rPr>
        <w:t xml:space="preserve">nrow</w:t>
      </w:r>
      <w:r>
        <w:rPr>
          <w:rStyle w:val="NormalTok"/>
        </w:rPr>
        <w:t xml:space="preserve">(records),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&amp;</w:t>
      </w:r>
      <w:r>
        <w:rPr>
          <w:rStyle w:val="NormalTok"/>
        </w:rPr>
        <w:t xml:space="preserve"> 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"include"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review_reasons </w:t>
      </w:r>
      <w:r>
        <w:rPr>
          <w:rStyle w:val="OtherTok"/>
        </w:rPr>
        <w:t xml:space="preserve">&lt;-</w:t>
      </w:r>
      <w:r>
        <w:rPr>
          <w:rStyle w:val="NormalTok"/>
        </w:rPr>
        <w:t xml:space="preserve"> records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(reason, </w:t>
      </w:r>
      <w:r>
        <w:rPr>
          <w:rStyle w:val="AttributeTok"/>
        </w:rPr>
        <w:t xml:space="preserve">name =</w:t>
      </w:r>
      <w:r>
        <w:rPr>
          <w:rStyle w:val="NormalTok"/>
        </w:rPr>
        <w:t xml:space="preserve"> </w:t>
      </w:r>
      <w:r>
        <w:rPr>
          <w:rStyle w:val="StringTok"/>
        </w:rPr>
        <w:t xml:space="preserve">"Records"</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r>
        <w:br/>
      </w:r>
      <w:r>
        <w:rPr>
          <w:rStyle w:val="NormalTok"/>
        </w:rPr>
        <w:t xml:space="preserve">oa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(search_log, strand </w:t>
      </w:r>
      <w:r>
        <w:rPr>
          <w:rStyle w:val="SpecialCharTok"/>
        </w:rPr>
        <w:t xml:space="preserve">==</w:t>
      </w:r>
      <w:r>
        <w:rPr>
          <w:rStyle w:val="NormalTok"/>
        </w:rPr>
        <w:t xml:space="preserve"> </w:t>
      </w:r>
      <w:r>
        <w:rPr>
          <w:rStyle w:val="StringTok"/>
        </w:rPr>
        <w:t xml:space="preserve">"openalex"</w:t>
      </w:r>
      <w:r>
        <w:rPr>
          <w:rStyle w:val="NormalTok"/>
        </w:rPr>
        <w:t xml:space="preserve">)</w:t>
      </w:r>
      <w:r>
        <w:br/>
      </w:r>
      <w:r>
        <w:rPr>
          <w:rStyle w:val="NormalTok"/>
        </w:rPr>
        <w:t xml:space="preserve">s2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(search_log, strand </w:t>
      </w:r>
      <w:r>
        <w:rPr>
          <w:rStyle w:val="SpecialCharTok"/>
        </w:rPr>
        <w:t xml:space="preserve">==</w:t>
      </w:r>
      <w:r>
        <w:rPr>
          <w:rStyle w:val="NormalTok"/>
        </w:rPr>
        <w:t xml:space="preserve"> </w:t>
      </w:r>
      <w:r>
        <w:rPr>
          <w:rStyle w:val="StringTok"/>
        </w:rPr>
        <w:t xml:space="preserve">"semantic-scholar"</w:t>
      </w:r>
      <w:r>
        <w:rPr>
          <w:rStyle w:val="NormalTok"/>
        </w:rPr>
        <w:t xml:space="preserve">)</w:t>
      </w:r>
    </w:p>
    <w:p>
      <w:pPr>
        <w:pStyle w:val="FirstParagraph"/>
      </w:pPr>
      <w:r>
        <w:t xml:space="preserve">On 22 October 2026 the 9 searches of OpenAlex retrieved 1,038 records on title and abstract, and the same searches of library-science, the author’s store of sources verified against CrossRef, retrieved 1. Semantic Scholar retrieved 796 records. Once records sharing a DOI or a title were merged, and 9 guidelines, standards, inventory reports and methodological notes sought by hand from the IPCC, Environment and Climate Change Canada, Architecture for REDD+ Transactions and FAO were added, 1,137 unique records remained to be screened. Scopus and Web of Science were not searched, because both require an institutional key.</w:t>
      </w:r>
    </w:p>
    <w:bookmarkEnd w:id="22"/>
    <w:bookmarkStart w:id="24" w:name="data-sources"/>
    <w:p>
      <w:pPr>
        <w:pStyle w:val="Heading2"/>
      </w:pPr>
      <w:r>
        <w:t xml:space="preserve">2.2 Data sources</w:t>
      </w:r>
    </w:p>
    <w:p>
      <w:pPr>
        <w:pStyle w:val="SourceCode"/>
      </w:pPr>
      <w:r>
        <w:rPr>
          <w:rStyle w:val="NormalTok"/>
        </w:rPr>
        <w:t xml:space="preserve">sources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rPr>
          <w:rStyle w:val="StringTok"/>
        </w:rPr>
        <w:t xml:space="preserve">"FAOSTAT Emissions from Fires (GI)"</w:t>
      </w:r>
      <w:r>
        <w:rPr>
          <w:rStyle w:val="NormalTok"/>
        </w:rPr>
        <w:t xml:space="preserve">,</w:t>
      </w:r>
      <w:r>
        <w:br/>
      </w:r>
      <w:r>
        <w:rPr>
          <w:rStyle w:val="NormalTok"/>
        </w:rPr>
        <w:t xml:space="preserve">              </w:t>
      </w:r>
      <w:r>
        <w:rPr>
          <w:rStyle w:val="StringTok"/>
        </w:rPr>
        <w:t xml:space="preserve">"FAO AllFires_OrganicSoils table"</w:t>
      </w:r>
      <w:r>
        <w:rPr>
          <w:rStyle w:val="NormalTok"/>
        </w:rPr>
        <w:t xml:space="preserve">,</w:t>
      </w:r>
      <w:r>
        <w:br/>
      </w:r>
      <w:r>
        <w:rPr>
          <w:rStyle w:val="NormalTok"/>
        </w:rPr>
        <w:t xml:space="preserve">              </w:t>
      </w:r>
      <w:r>
        <w:rPr>
          <w:rStyle w:val="StringTok"/>
        </w:rPr>
        <w:t xml:space="preserve">"MODIS MCD64A1 Collection 6.1"</w:t>
      </w:r>
      <w:r>
        <w:rPr>
          <w:rStyle w:val="NormalTok"/>
        </w:rPr>
        <w:t xml:space="preserve">,</w:t>
      </w:r>
      <w:r>
        <w:br/>
      </w:r>
      <w:r>
        <w:rPr>
          <w:rStyle w:val="NormalTok"/>
        </w:rPr>
        <w:t xml:space="preserve">              </w:t>
      </w:r>
      <w:r>
        <w:rPr>
          <w:rStyle w:val="StringTok"/>
        </w:rPr>
        <w:t xml:space="preserve">"MODIS MCD12Q1 Collection 6.1"</w:t>
      </w:r>
      <w:r>
        <w:rPr>
          <w:rStyle w:val="NormalTok"/>
        </w:rPr>
        <w:t xml:space="preserve">),</w:t>
      </w:r>
      <w:r>
        <w:br/>
      </w:r>
      <w:r>
        <w:rPr>
          <w:rStyle w:val="NormalTok"/>
        </w:rPr>
        <w:t xml:space="preserve">  </w:t>
      </w:r>
      <w:r>
        <w:rPr>
          <w:rStyle w:val="AttributeTok"/>
        </w:rPr>
        <w:t xml:space="preserve">Publisher =</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"FAO"</w:t>
      </w:r>
      <w:r>
        <w:rPr>
          <w:rStyle w:val="NormalTok"/>
        </w:rPr>
        <w:t xml:space="preserve">, </w:t>
      </w:r>
      <w:r>
        <w:rPr>
          <w:rStyle w:val="StringTok"/>
        </w:rPr>
        <w:t xml:space="preserve">"NASA"</w:t>
      </w:r>
      <w:r>
        <w:rPr>
          <w:rStyle w:val="NormalTok"/>
        </w:rPr>
        <w:t xml:space="preserve">, </w:t>
      </w:r>
      <w:r>
        <w:rPr>
          <w:rStyle w:val="StringTok"/>
        </w:rPr>
        <w:t xml:space="preserve">"NASA"</w:t>
      </w:r>
      <w:r>
        <w:rPr>
          <w:rStyle w:val="NormalTok"/>
        </w:rPr>
        <w:t xml:space="preserve">),</w:t>
      </w:r>
      <w:r>
        <w:br/>
      </w:r>
      <w:r>
        <w:rPr>
          <w:rStyle w:val="NormalTok"/>
        </w:rPr>
        <w:t xml:space="preserve">  </w:t>
      </w:r>
      <w:r>
        <w:rPr>
          <w:rStyle w:val="AttributeTok"/>
        </w:rPr>
        <w:t xml:space="preserve">Supplies =</w:t>
      </w:r>
      <w:r>
        <w:rPr>
          <w:rStyle w:val="NormalTok"/>
        </w:rPr>
        <w:t xml:space="preserve"> </w:t>
      </w:r>
      <w:r>
        <w:rPr>
          <w:rStyle w:val="FunctionTok"/>
        </w:rPr>
        <w:t xml:space="preserve">c</w:t>
      </w:r>
      <w:r>
        <w:rPr>
          <w:rStyle w:val="NormalTok"/>
        </w:rPr>
        <w:t xml:space="preserve">(</w:t>
      </w:r>
      <w:r>
        <w:rPr>
          <w:rStyle w:val="StringTok"/>
        </w:rPr>
        <w:t xml:space="preserve">"Burned area, burned biomass and emissions by country and year"</w:t>
      </w:r>
      <w:r>
        <w:rPr>
          <w:rStyle w:val="NormalTok"/>
        </w:rPr>
        <w:t xml:space="preserve">,</w:t>
      </w:r>
      <w:r>
        <w:br/>
      </w:r>
      <w:r>
        <w:rPr>
          <w:rStyle w:val="NormalTok"/>
        </w:rPr>
        <w:t xml:space="preserve">               </w:t>
      </w:r>
      <w:r>
        <w:rPr>
          <w:rStyle w:val="StringTok"/>
        </w:rPr>
        <w:t xml:space="preserve">"Organic soil fire values set to zero in the published domain"</w:t>
      </w:r>
      <w:r>
        <w:rPr>
          <w:rStyle w:val="NormalTok"/>
        </w:rPr>
        <w:t xml:space="preserve">,</w:t>
      </w:r>
      <w:r>
        <w:br/>
      </w:r>
      <w:r>
        <w:rPr>
          <w:rStyle w:val="NormalTok"/>
        </w:rPr>
        <w:t xml:space="preserve">               </w:t>
      </w:r>
      <w:r>
        <w:rPr>
          <w:rStyle w:val="StringTok"/>
        </w:rPr>
        <w:t xml:space="preserve">"Monthly burned area at 500 m, the input FAOSTAT aggregates"</w:t>
      </w:r>
      <w:r>
        <w:rPr>
          <w:rStyle w:val="NormalTok"/>
        </w:rPr>
        <w:t xml:space="preserve">,</w:t>
      </w:r>
      <w:r>
        <w:br/>
      </w:r>
      <w:r>
        <w:rPr>
          <w:rStyle w:val="NormalTok"/>
        </w:rPr>
        <w:t xml:space="preserve">               </w:t>
      </w:r>
      <w:r>
        <w:rPr>
          <w:rStyle w:val="StringTok"/>
        </w:rPr>
        <w:t xml:space="preserve">"Annual land cover at 500 m, the vegetation strata FAOSTAT applies"</w:t>
      </w:r>
      <w:r>
        <w:rPr>
          <w:rStyle w:val="NormalTok"/>
        </w:rPr>
        <w:t xml:space="preserve">),</w:t>
      </w:r>
      <w:r>
        <w:br/>
      </w:r>
      <w:r>
        <w:rPr>
          <w:rStyle w:val="NormalTok"/>
        </w:rPr>
        <w:t xml:space="preserve">  </w:t>
      </w:r>
      <w:r>
        <w:rPr>
          <w:rStyle w:val="AttributeTok"/>
        </w:rPr>
        <w:t xml:space="preserve">Period =</w:t>
      </w:r>
      <w:r>
        <w:rPr>
          <w:rStyle w:val="NormalTok"/>
        </w:rPr>
        <w:t xml:space="preserve"> </w:t>
      </w:r>
      <w:r>
        <w:rPr>
          <w:rStyle w:val="FunctionTok"/>
        </w:rPr>
        <w:t xml:space="preserve">c</w:t>
      </w:r>
      <w:r>
        <w:rPr>
          <w:rStyle w:val="NormalTok"/>
        </w:rPr>
        <w:t xml:space="preserve">(</w:t>
      </w:r>
      <w:r>
        <w:rPr>
          <w:rStyle w:val="StringTok"/>
        </w:rPr>
        <w:t xml:space="preserve">"1990-2024"</w:t>
      </w:r>
      <w:r>
        <w:rPr>
          <w:rStyle w:val="NormalTok"/>
        </w:rPr>
        <w:t xml:space="preserve">, </w:t>
      </w:r>
      <w:r>
        <w:rPr>
          <w:rStyle w:val="StringTok"/>
        </w:rPr>
        <w:t xml:space="preserve">"1990-2021"</w:t>
      </w:r>
      <w:r>
        <w:rPr>
          <w:rStyle w:val="NormalTok"/>
        </w:rPr>
        <w:t xml:space="preserve">, </w:t>
      </w:r>
      <w:r>
        <w:rPr>
          <w:rStyle w:val="StringTok"/>
        </w:rPr>
        <w:t xml:space="preserve">"2000-2024"</w:t>
      </w:r>
      <w:r>
        <w:rPr>
          <w:rStyle w:val="NormalTok"/>
        </w:rPr>
        <w:t xml:space="preserve">, </w:t>
      </w:r>
      <w:r>
        <w:rPr>
          <w:rStyle w:val="StringTok"/>
        </w:rPr>
        <w:t xml:space="preserve">"2001-2023"</w:t>
      </w:r>
      <w:r>
        <w:rPr>
          <w:rStyle w:val="NormalTok"/>
        </w:rPr>
        <w:t xml:space="preserve">))</w:t>
      </w:r>
      <w:r>
        <w:br/>
      </w:r>
      <w:r>
        <w:rPr>
          <w:rStyle w:val="NormalTok"/>
        </w:rPr>
        <w:t xml:space="preserve">readr</w:t>
      </w:r>
      <w:r>
        <w:rPr>
          <w:rStyle w:val="SpecialCharTok"/>
        </w:rPr>
        <w:t xml:space="preserve">::</w:t>
      </w:r>
      <w:r>
        <w:rPr>
          <w:rStyle w:val="FunctionTok"/>
        </w:rPr>
        <w:t xml:space="preserve">write_csv</w:t>
      </w:r>
      <w:r>
        <w:rPr>
          <w:rStyle w:val="NormalTok"/>
        </w:rPr>
        <w:t xml:space="preserve">(sources, </w:t>
      </w:r>
      <w:r>
        <w:rPr>
          <w:rStyle w:val="StringTok"/>
        </w:rPr>
        <w:t xml:space="preserve">"03.outputs/TBL/tbl-sources.csv"</w:t>
      </w:r>
      <w:r>
        <w:rPr>
          <w:rStyle w:val="NormalTok"/>
        </w:rPr>
        <w:t xml:space="preserve">)</w:t>
      </w:r>
      <w:r>
        <w:br/>
      </w:r>
      <w:r>
        <w:rPr>
          <w:rStyle w:val="FunctionTok"/>
        </w:rPr>
        <w:t xml:space="preserve">fmt_tbl</w:t>
      </w:r>
      <w:r>
        <w:rPr>
          <w:rStyle w:val="NormalTok"/>
        </w:rPr>
        <w:t xml:space="preserve">(sources)</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start"/>
              <w:spacing w:before="200"/>
              <w:pStyle w:val="ImageCaption"/>
            </w:pPr>
            <w:r>
              <w:t xml:space="preserve">Table 1: Datasets this study read, with the release used and what each one supplies.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Publisher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Supplies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FAOSTAT Emissions from Fires (GI)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burned biomass and emissions by country and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AllFires_OrganicSoils 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Organic soil fire values set to zero in the published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MCD64A1 Collection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Monthly burned area at 500 m, the input FAOSTAT aggregates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MCD12Q1 Collection 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Annual land cover at 500 m, the vegetation strata FAOSTAT applies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2001-2023</w:t>
                  </w:r>
                </w:p>
              </w:tc>
            </w:tr>
          </w:tbl>
          <w:bookmarkEnd w:id="23"/>
        </w:tc>
      </w:tr>
    </w:tbl>
    <w:bookmarkEnd w:id="24"/>
    <w:bookmarkStart w:id="25" w:name="fire-emissions-from-faostat"/>
    <w:p>
      <w:pPr>
        <w:pStyle w:val="Heading2"/>
      </w:pPr>
      <w:r>
        <w:t xml:space="preserve">2.3 Fire emissions from FAOSTAT</w:t>
      </w:r>
    </w:p>
    <w:p>
      <w:pPr>
        <w:pStyle w:val="FirstParagraph"/>
      </w:pPr>
      <w:r>
        <w:t xml:space="preserve">FAOSTAT computes each country’s fire emissions as the burned area of a pixel multiplied by the fuel biomass consumption of its vegetation type and then by the default emission factor of that gas, aggregated to the country through the FAO Global Administrative Unit Layers, and disseminates the result for forest fires, savanna fires and fires in organic soils</w:t>
      </w:r>
      <w:r>
        <w:t xml:space="preserve"> </w:t>
      </w:r>
      <w:r>
        <w:t xml:space="preserve">(Food and Agriculture Organization of the United Nations, 2025)</w:t>
      </w:r>
      <w:r>
        <w:t xml:space="preserve">. The methodological note states that forest fire carbon dioxide is left out of the domain because it is counted in the FAOSTAT Forests domain, and that savanna fire carbon dioxide is left out on the assumption that regrowth balances it within a year</w:t>
      </w:r>
      <w:r>
        <w:t xml:space="preserve"> </w:t>
      </w:r>
      <w:r>
        <w:t xml:space="preserve">(Food and Agriculture Organization of the United Nations, 2025)</w:t>
      </w:r>
      <w:r>
        <w:t xml:space="preserve">. The domain nonetheless returns carbon dioxide for forest fires from 2001 onwards, and those are the values reported here.</w:t>
      </w:r>
    </w:p>
    <w:p>
      <w:pPr>
        <w:pStyle w:val="BodyText"/>
      </w:pPr>
      <w:r>
        <w:t xml:space="preserve">The domain was retrieved through the FAOSTAT application programming interface, which requires an account. The analysis chunk at the head of this document authenticated with the credentials stored in the environment, requested the domain for Canada and cached the response, so that a later render read the cached file rather than the service.</w:t>
      </w:r>
    </w:p>
    <w:bookmarkEnd w:id="25"/>
    <w:bookmarkStart w:id="26" w:name="fires-in-organic-soils"/>
    <w:p>
      <w:pPr>
        <w:pStyle w:val="Heading2"/>
      </w:pPr>
      <w:r>
        <w:t xml:space="preserve">2.4 Fires in organic soils</w:t>
      </w:r>
    </w:p>
    <w:p>
      <w:pPr>
        <w:pStyle w:val="FirstParagraph"/>
      </w:pPr>
      <w:r>
        <w:t xml:space="preserve">The values FAO withholds from the published domain are read from the</w:t>
      </w:r>
      <w:r>
        <w:t xml:space="preserve"> </w:t>
      </w:r>
      <w:r>
        <w:rPr>
          <w:rStyle w:val="VerbatimChar"/>
        </w:rPr>
        <w:t xml:space="preserve">AllFires_OrganicSoils</w:t>
      </w:r>
      <w:r>
        <w:t xml:space="preserve"> </w:t>
      </w:r>
      <w:r>
        <w:t xml:space="preserve">table, which FAO releases as a related document of the domain. The analysis chunk extracted every record from that document, keeping only lines that held a complete record so that a line broken across a page boundary could not enter the table as a partial one, and checked that the result held one record for every combination of area, year and reported element.</w:t>
      </w:r>
    </w:p>
    <w:bookmarkEnd w:id="26"/>
    <w:bookmarkStart w:id="27" w:name="the-natural-disturbance-rule"/>
    <w:p>
      <w:pPr>
        <w:pStyle w:val="Heading2"/>
      </w:pPr>
      <w:r>
        <w:t xml:space="preserve">2.5 The natural disturbance rule</w:t>
      </w:r>
    </w:p>
    <w:p>
      <w:pPr>
        <w:pStyle w:val="FirstParagraph"/>
      </w:pPr>
      <w:r>
        <w:t xml:space="preserve">Australia’s rule was applied to the Canadian series in the form its inventory uses, a year counting as natural when its fire emissions exceed the mean of a baseline period by two standard deviations</w:t>
      </w:r>
      <w:r>
        <w:t xml:space="preserve"> </w:t>
      </w:r>
      <w:r>
        <w:t xml:space="preserve">(Bowman et al., 2023)</w:t>
      </w:r>
      <w:r>
        <w:t xml:space="preserve">. The rule was run three times, on baselines of 13, 20 and 30 years, so that the effect of the baseline length could be read from the same data. The 13 year baseline is the length Australia itself used, 2000 to 2012.</w:t>
      </w:r>
    </w:p>
    <w:bookmarkEnd w:id="27"/>
    <w:bookmarkStart w:id="28" w:name="canadas-reported-components"/>
    <w:p>
      <w:pPr>
        <w:pStyle w:val="Heading2"/>
      </w:pPr>
      <w:r>
        <w:t xml:space="preserve">2.6 Canada’s reported components</w:t>
      </w:r>
    </w:p>
    <w:p>
      <w:pPr>
        <w:pStyle w:val="FirstParagraph"/>
      </w:pPr>
      <w:r>
        <w:t xml:space="preserve">Canada’s own disaggregated series was taken from Table 6-1 of the 2026 national inventory report, which Environment and Climate Change Canada published for every inventory year from 1990 to 2024 and for each province and territory separately</w:t>
      </w:r>
      <w:r>
        <w:t xml:space="preserve"> </w:t>
      </w:r>
      <w:r>
        <w:t xml:space="preserve">(Environment and Climate Change Canada, 2026)</w:t>
      </w:r>
      <w:r>
        <w:t xml:space="preserve">. The table gave the net emissions of the land use sector, which is the account Canada reports, and on a separate line the net emissions of land affected by natural disturbance, which Canada tracks but leaves out of its reported total. Both lines were read for Canada and for British Columbia. The share of the area burned in Canada that fell in British Columbia each year was computed from the Canadian National Fire Database, which stores the fire polygons of every provincial, territorial and federal agency in one archive. The two accounts were first compared over the whole inventory period, 1990 to 2024, by the mean and standard deviation of their annual net emissions, following the comparison of reported series under two partitions of the managed forest by</w:t>
      </w:r>
      <w:r>
        <w:t xml:space="preserve"> </w:t>
      </w:r>
      <w:r>
        <w:t xml:space="preserve">Kurz et al. (2024)</w:t>
      </w:r>
      <w:r>
        <w:t xml:space="preserve">, before the crediting arithmetic below was applied to the years from 2012.</w:t>
      </w:r>
    </w:p>
    <w:bookmarkEnd w:id="28"/>
    <w:bookmarkStart w:id="29" w:name="crediting-under-the-standard"/>
    <w:p>
      <w:pPr>
        <w:pStyle w:val="Heading2"/>
      </w:pPr>
      <w:r>
        <w:t xml:space="preserve">2.7 Crediting under the standard</w:t>
      </w:r>
    </w:p>
    <w:p>
      <w:pPr>
        <w:pStyle w:val="FirstParagraph"/>
      </w:pPr>
      <w:r>
        <w:t xml:space="preserve">The two deductions the standard applies were implemented as written, so that the share of gross reductions and removals a jurisdiction keeps can be read off any uncertainty level. The uncertainty deduction takes the adjustment factor of the standard’s Equation 11 and the buffer takes the contribution of its Table 2</w:t>
      </w:r>
      <w:r>
        <w:t xml:space="preserve"> </w:t>
      </w:r>
      <w:r>
        <w:t xml:space="preserve">(Architecture for REDD+ Transactions, 2021)</w:t>
      </w:r>
      <w:r>
        <w:t xml:space="preserve">.</w:t>
      </w:r>
    </w:p>
    <w:p>
      <w:pPr>
        <w:pStyle w:val="BodyText"/>
      </w:pPr>
      <w:r>
        <w:t xml:space="preserve">The uncertainty of each account was drawn from the published uncertainty of the model that produces Canada’s estimates, a 95 per cent interval 32.2 Tg of carbon a year wide, taken here as a standard deviation applied to every annual flux in both accounts, which assumes the model is no more certain about a megafire year than about a quiet one</w:t>
      </w:r>
      <w:r>
        <w:t xml:space="preserve"> </w:t>
      </w:r>
      <w:r>
        <w:t xml:space="preserve">(Metsaranta et al., 2017)</w:t>
      </w:r>
      <w:r>
        <w:t xml:space="preserve">. The crediting level of the standard is the emissions of a five year historical reference period divided by five, and reductions in a year are that level minus the emissions reported for the year</w:t>
      </w:r>
      <w:r>
        <w:t xml:space="preserve"> </w:t>
      </w:r>
      <w:r>
        <w:t xml:space="preserve">(Architecture for REDD+ Transactions, 2021)</w:t>
      </w:r>
      <w:r>
        <w:t xml:space="preserve">. Both were computed twice, once on the human activity component alone, which is the disaggregated account Canada reports, and once on the sum of the two components, which is the account a jurisdiction would report without the disaggregation. The reference period was 2012 to 2016 and the crediting period 2017 to 2024.</w:t>
      </w:r>
    </w:p>
    <w:bookmarkEnd w:id="29"/>
    <w:bookmarkEnd w:id="30"/>
    <w:bookmarkStart w:id="59" w:name="results"/>
    <w:p>
      <w:pPr>
        <w:pStyle w:val="Heading1"/>
      </w:pPr>
      <w:r>
        <w:t xml:space="preserve">3. Results</w:t>
      </w:r>
    </w:p>
    <w:bookmarkStart w:id="35" w:name="reported-national-emissions"/>
    <w:p>
      <w:pPr>
        <w:pStyle w:val="Heading2"/>
      </w:pPr>
      <w:r>
        <w:t xml:space="preserve">3.1 Reported national emissions</w:t>
      </w:r>
    </w:p>
    <w:p>
      <w:pPr>
        <w:pStyle w:val="SourceCode"/>
      </w:pPr>
      <w:r>
        <w:rPr>
          <w:rStyle w:val="NormalTok"/>
        </w:rPr>
        <w:t xml:space="preserve">eccc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region =</w:t>
      </w:r>
      <w:r>
        <w:rPr>
          <w:rStyle w:val="NormalTok"/>
        </w:rPr>
        <w:t xml:space="preserve"> </w:t>
      </w:r>
      <w:r>
        <w:rPr>
          <w:rStyle w:val="FunctionTok"/>
        </w:rPr>
        <w:t xml:space="preserve">factor</w:t>
      </w:r>
      <w:r>
        <w:rPr>
          <w:rStyle w:val="NormalTok"/>
        </w:rPr>
        <w:t xml:space="preserve">(dplyr</w:t>
      </w:r>
      <w:r>
        <w:rPr>
          <w:rStyle w:val="SpecialCharTok"/>
        </w:rPr>
        <w:t xml:space="preserve">::</w:t>
      </w:r>
      <w:r>
        <w:rPr>
          <w:rStyle w:val="FunctionTok"/>
        </w:rPr>
        <w:t xml:space="preserve">if_else</w:t>
      </w:r>
      <w:r>
        <w:rPr>
          <w:rStyle w:val="NormalTok"/>
        </w:rPr>
        <w:t xml:space="preserve">(region </w:t>
      </w:r>
      <w:r>
        <w:rPr>
          <w:rStyle w:val="SpecialCharTok"/>
        </w:rPr>
        <w:t xml:space="preserve">==</w:t>
      </w:r>
      <w:r>
        <w:rPr>
          <w:rStyle w:val="NormalTok"/>
        </w:rPr>
        <w:t xml:space="preserve"> </w:t>
      </w:r>
      <w:r>
        <w:rPr>
          <w:rStyle w:val="StringTok"/>
        </w:rPr>
        <w:t xml:space="preserve">"BC"</w:t>
      </w:r>
      <w:r>
        <w:rPr>
          <w:rStyle w:val="NormalTok"/>
        </w:rPr>
        <w:t xml:space="preserve">, </w:t>
      </w:r>
      <w:r>
        <w:rPr>
          <w:rStyle w:val="StringTok"/>
        </w:rPr>
        <w:t xml:space="preserve">"British Columbia"</w:t>
      </w:r>
      <w:r>
        <w:rPr>
          <w:rStyle w:val="NormalTok"/>
        </w:rPr>
        <w:t xml:space="preserve">, region),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"British Columbia"</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(human, net), </w:t>
      </w:r>
      <w:r>
        <w:rPr>
          <w:rStyle w:val="AttributeTok"/>
        </w:rPr>
        <w:t xml:space="preserve">names_to =</w:t>
      </w:r>
      <w:r>
        <w:rPr>
          <w:rStyle w:val="NormalTok"/>
        </w:rPr>
        <w:t xml:space="preserve"> </w:t>
      </w:r>
      <w:r>
        <w:rPr>
          <w:rStyle w:val="StringTok"/>
        </w:rPr>
        <w:t xml:space="preserve">"account"</w:t>
      </w:r>
      <w:r>
        <w:rPr>
          <w:rStyle w:val="NormalTok"/>
        </w:rPr>
        <w:t xml:space="preserve">, </w:t>
      </w:r>
      <w:r>
        <w:rPr>
          <w:rStyle w:val="AttributeTok"/>
        </w:rPr>
        <w:t xml:space="preserve">values_to =</w:t>
      </w:r>
      <w:r>
        <w:rPr>
          <w:rStyle w:val="NormalTok"/>
        </w:rPr>
        <w:t xml:space="preserve"> </w:t>
      </w:r>
      <w:r>
        <w:rPr>
          <w:rStyle w:val="StringTok"/>
        </w:rPr>
        <w:t xml:space="preserve">"mt"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account =</w:t>
      </w:r>
      <w:r>
        <w:rPr>
          <w:rStyle w:val="NormalTok"/>
        </w:rPr>
        <w:t xml:space="preserve"> dplyr</w:t>
      </w:r>
      <w:r>
        <w:rPr>
          <w:rStyle w:val="SpecialCharTok"/>
        </w:rPr>
        <w:t xml:space="preserve">::</w:t>
      </w:r>
      <w:r>
        <w:rPr>
          <w:rStyle w:val="FunctionTok"/>
        </w:rPr>
        <w:t xml:space="preserve">if_else</w:t>
      </w:r>
      <w:r>
        <w:rPr>
          <w:rStyle w:val="NormalTok"/>
        </w:rPr>
        <w:t xml:space="preserve">(account </w:t>
      </w:r>
      <w:r>
        <w:rPr>
          <w:rStyle w:val="SpecialCharTok"/>
        </w:rPr>
        <w:t xml:space="preserve">==</w:t>
      </w:r>
      <w:r>
        <w:rPr>
          <w:rStyle w:val="NormalTok"/>
        </w:rPr>
        <w:t xml:space="preserve"> </w:t>
      </w:r>
      <w:r>
        <w:rPr>
          <w:rStyle w:val="StringTok"/>
        </w:rPr>
        <w:t xml:space="preserve">"human"</w:t>
      </w:r>
      <w:r>
        <w:rPr>
          <w:rStyle w:val="NormalTok"/>
        </w:rPr>
        <w:t xml:space="preserve">, </w:t>
      </w:r>
      <w:r>
        <w:rPr>
          <w:rStyle w:val="StringTok"/>
        </w:rPr>
        <w:t xml:space="preserve">"Disaggregated, as reported"</w:t>
      </w:r>
      <w:r>
        <w:rPr>
          <w:rStyle w:val="NormalTok"/>
        </w:rPr>
        <w:t xml:space="preserve">, </w:t>
      </w:r>
      <w:r>
        <w:rPr>
          <w:rStyle w:val="StringTok"/>
        </w:rPr>
        <w:t xml:space="preserve">"Undisaggregated"</w:t>
      </w:r>
      <w:r>
        <w:rPr>
          <w:rStyle w:val="NormalTok"/>
        </w:rPr>
        <w:t xml:space="preserve">))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mt, </w:t>
      </w:r>
      <w:r>
        <w:rPr>
          <w:rStyle w:val="AttributeTok"/>
        </w:rPr>
        <w:t xml:space="preserve">linetype =</w:t>
      </w:r>
      <w:r>
        <w:rPr>
          <w:rStyle w:val="NormalTok"/>
        </w:rPr>
        <w:t xml:space="preserve"> account))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region,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w:t>
      </w:r>
      <w:r>
        <w:rPr>
          <w:rStyle w:val="StringTok"/>
        </w:rPr>
        <w:t xml:space="preserve">"Net emissions (Mt CO"</w:t>
      </w:r>
      <w:r>
        <w:rPr>
          <w:rStyle w:val="NormalTok"/>
        </w:rPr>
        <w:t xml:space="preserve">[</w:t>
      </w:r>
      <w:r>
        <w:rPr>
          <w:rStyle w:val="DecValTok"/>
        </w:rPr>
        <w:t xml:space="preserve">2</w:t>
      </w:r>
      <w:r>
        <w:rPr>
          <w:rStyle w:val="NormalTok"/>
        </w:rPr>
        <w:t xml:space="preserve">]</w:t>
      </w:r>
      <w:r>
        <w:rPr>
          <w:rStyle w:val="SpecialCharTok"/>
        </w:rPr>
        <w:t xml:space="preserve">*</w:t>
      </w:r>
      <w:r>
        <w:rPr>
          <w:rStyle w:val="StringTok"/>
        </w:rPr>
        <w:t xml:space="preserve">"e)"</w:t>
      </w:r>
      <w:r>
        <w:rPr>
          <w:rStyle w:val="NormalTok"/>
        </w:rPr>
        <w:t xml:space="preserve">), </w:t>
      </w:r>
      <w:r>
        <w:rPr>
          <w:rStyle w:val="AttributeTok"/>
        </w:rPr>
        <w:t xml:space="preserve">linetype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th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accounts"/>
          <w:p>
            <w:pPr>
              <w:pStyle w:val="Compact"/>
              <w:jc w:val="center"/>
            </w:pPr>
            <w:r>
              <w:drawing>
                <wp:inline>
                  <wp:extent cx="5943600" cy="4754880"/>
                  <wp:effectExtent b="0" l="0" r="0" t="0"/>
                  <wp:docPr descr="" title="" id="32" name="Picture"/>
                  <a:graphic>
                    <a:graphicData uri="http://schemas.openxmlformats.org/drawingml/2006/picture">
                      <pic:pic>
                        <pic:nvPicPr>
                          <pic:cNvPr descr="../03.outputs/PNG/fig-accounts-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Net emissions of the land use sector for Canada and British Columbia, 1990 to 2024, in the account Canada reports, with natural disturbance separated, and in the undisaggregated account, the reported total plus the natural disturbance component. Positive values are emissions and negative values are removals.</w:t>
            </w:r>
          </w:p>
          <w:bookmarkEnd w:id="34"/>
        </w:tc>
      </w:tr>
    </w:tbl>
    <w:p>
      <w:pPr>
        <w:pStyle w:val="BodyText"/>
      </w:pPr>
      <w:r>
        <w:t xml:space="preserve">Separating natural disturbance cut the standard deviation of Canada’s annual land use emissions from 190 to 24 Mt CO</w:t>
      </w:r>
      <w:r>
        <w:rPr>
          <w:vertAlign w:val="subscript"/>
        </w:rPr>
        <w:t xml:space="preserve">2</w:t>
      </w:r>
      <w:r>
        <w:t xml:space="preserve">e over 1990 to 2024, a factor of 7.9 (</w:t>
      </w:r>
      <w:hyperlink w:anchor="fig-accounts">
        <w:r>
          <w:rPr>
            <w:rStyle w:val="Hyperlink"/>
          </w:rPr>
          <w:t xml:space="preserve">Figure 1</w:t>
        </w:r>
      </w:hyperlink>
      <w:r>
        <w:t xml:space="preserve">). The account Canada reports averaged 44.6 ± 24.0 Mt CO</w:t>
      </w:r>
      <w:r>
        <w:rPr>
          <w:vertAlign w:val="subscript"/>
        </w:rPr>
        <w:t xml:space="preserve">2</w:t>
      </w:r>
      <w:r>
        <w:t xml:space="preserve">e a year (95 per cent confidence interval 36.3 to 52.8), while the same land without the separation averaged 119.9 ± 190.0 Mt CO</w:t>
      </w:r>
      <w:r>
        <w:rPr>
          <w:vertAlign w:val="subscript"/>
        </w:rPr>
        <w:t xml:space="preserve">2</w:t>
      </w:r>
      <w:r>
        <w:t xml:space="preserve">e a year (95 per cent confidence interval 54.7 to 185.2), the difference being the natural disturbance component, which ran from -140 Mt in 1992 to 1,000 Mt in 2023. In 2023 Canada reported -8.7 Mt where the undisaggregated account showed 991 Mt. British Columbia’s reported account averaged 27.2 ± 14.9 Mt CO</w:t>
      </w:r>
      <w:r>
        <w:rPr>
          <w:vertAlign w:val="subscript"/>
        </w:rPr>
        <w:t xml:space="preserve">2</w:t>
      </w:r>
      <w:r>
        <w:t xml:space="preserve">e a year (95 per cent confidence interval 22.0 to 32.3) against 60.8 ± 99.4 Mt CO</w:t>
      </w:r>
      <w:r>
        <w:rPr>
          <w:vertAlign w:val="subscript"/>
        </w:rPr>
        <w:t xml:space="preserve">2</w:t>
      </w:r>
      <w:r>
        <w:t xml:space="preserve">e a year (95 per cent confidence interval 26.6 to 94.9) without the separation, a standard deviation 6.7 times larger, and in 2023 the province reported 19 Mt against 399 Mt.</w:t>
      </w:r>
    </w:p>
    <w:bookmarkEnd w:id="35"/>
    <w:bookmarkStart w:id="42" w:name="fire-emissions-in-canada"/>
    <w:p>
      <w:pPr>
        <w:pStyle w:val="Heading2"/>
      </w:pPr>
      <w:r>
        <w:t xml:space="preserve">3.2 Fire emissions in Canada</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(forest, </w:t>
      </w:r>
      <w:r>
        <w:rPr>
          <w:rStyle w:val="StringTok"/>
        </w:rPr>
        <w:t xml:space="preserve">"03.outputs/TBL/tbl-canada-forest.csv"</w:t>
      </w:r>
      <w:r>
        <w:rPr>
          <w:rStyle w:val="NormalTok"/>
        </w:rPr>
        <w:t xml:space="preserve">)</w:t>
      </w:r>
      <w:r>
        <w:br/>
      </w:r>
      <w:r>
        <w:rPr>
          <w:rStyle w:val="FunctionTok"/>
        </w:rPr>
        <w:t xml:space="preserve">fmt_tbl</w:t>
      </w:r>
      <w:r>
        <w:rPr>
          <w:rStyle w:val="NormalTok"/>
        </w:rPr>
        <w:t xml:space="preserve">(forest)</w:t>
      </w:r>
    </w:p>
    <w:tbl>
      <w:tblPr>
        <w:tblStyle w:val="Table"/>
        <w:tblW w:type="pct" w:w="5000"/>
        <w:tblLayout w:type="fixed"/>
        <w:tblLook w:firstRow="0" w:lastRow="0" w:firstColumn="0" w:lastColumn="0" w:noHBand="0" w:noVBand="0" w:val="0000"/>
      </w:tblPr>
      <w:tblGrid>
        <w:gridCol w:w="7920"/>
      </w:tblGrid>
      <w:tr>
        <w:tc>
          <w:tcPr/>
          <w:bookmarkStart w:id="36" w:name="tbl-canada-forest"/>
          <w:p>
            <w:pPr>
              <w:jc w:val="center"/>
            </w:pPr>
            <w:pPr>
              <w:jc w:val="start"/>
              <w:spacing w:before="200"/>
              <w:pStyle w:val="ImageCaption"/>
            </w:pPr>
            <w:r>
              <w:t xml:space="preserve">Table 2: Carbon dioxide from forest fires in Canada as FAOSTAT computes it at Tier 1, with the burned area it was derived from. The series begins in 2001 because that is the first year of the MODIS burned area input.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19,773.77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101,943.82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230,304.01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167,748.37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97,542.49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67,697.31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27,018.12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82,928.65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176,295.60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192,658.86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247,003.14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252,611.77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147,474.89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593,947.85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56.8983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213,589.28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240,883.06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606,890.34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296,516.62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40,890.88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575,038.62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42,468.496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172,378.52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12,256.448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2,749,985.32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266.6721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187,018.316</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717,855.47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70.1121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49,169.902</w:t>
                  </w:r>
                </w:p>
              </w:tc>
            </w:tr>
          </w:tbl>
          <w:bookmarkEnd w:id="36"/>
        </w:tc>
      </w:tr>
    </w:tbl>
    <w:p>
      <w:pPr>
        <w:pStyle w:val="SourceCode"/>
      </w:pPr>
      <w:r>
        <w:rPr>
          <w:rStyle w:val="NormalTok"/>
        </w:rPr>
        <w:t xml:space="preserve">ggplot2</w:t>
      </w:r>
      <w:r>
        <w:rPr>
          <w:rStyle w:val="SpecialCharTok"/>
        </w:rPr>
        <w:t xml:space="preserve">::</w:t>
      </w:r>
      <w:r>
        <w:rPr>
          <w:rStyle w:val="FunctionTok"/>
        </w:rPr>
        <w:t xml:space="preserve">ggplot</w:t>
      </w:r>
      <w:r>
        <w:rPr>
          <w:rStyle w:val="NormalTok"/>
        </w:rPr>
        <w:t xml:space="preserve">(forest, ggplot2</w:t>
      </w:r>
      <w:r>
        <w:rPr>
          <w:rStyle w:val="SpecialCharTok"/>
        </w:rPr>
        <w:t xml:space="preserve">::</w:t>
      </w:r>
      <w:r>
        <w:rPr>
          <w:rStyle w:val="FunctionTok"/>
        </w:rPr>
        <w:t xml:space="preserve">aes</w:t>
      </w:r>
      <w:r>
        <w:rPr>
          <w:rStyle w:val="NormalTok"/>
        </w:rPr>
        <w:t xml:space="preserve">(Year, </w:t>
      </w:r>
      <w:r>
        <w:rPr>
          <w:rStyle w:val="StringTok"/>
        </w:rPr>
        <w:t xml:space="preserve">`</w:t>
      </w:r>
      <w:r>
        <w:rPr>
          <w:rStyle w:val="AttributeTok"/>
        </w:rPr>
        <w:t xml:space="preserve">CO2 (kt)</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(CO[</w:t>
      </w:r>
      <w:r>
        <w:rPr>
          <w:rStyle w:val="DecValTok"/>
        </w:rPr>
        <w:t xml:space="preserve">2</w:t>
      </w:r>
      <w:r>
        <w:rPr>
          <w:rStyle w:val="NormalTok"/>
        </w:rPr>
        <w:t xml:space="preserve">]</w:t>
      </w:r>
      <w:r>
        <w:rPr>
          <w:rStyle w:val="SpecialCharTok"/>
        </w:rPr>
        <w:t xml:space="preserve">~</w:t>
      </w:r>
      <w:r>
        <w:rPr>
          <w:rStyle w:val="StringTok"/>
        </w:rPr>
        <w:t xml:space="preserve">"(Mt)"</w:t>
      </w:r>
      <w:r>
        <w:rPr>
          <w:rStyle w:val="NormalTok"/>
        </w:rPr>
        <w:t xml:space="preserve">)) </w:t>
      </w:r>
      <w:r>
        <w:rPr>
          <w:rStyle w:val="SpecialCharTok"/>
        </w:rPr>
        <w:t xml:space="preserve">+</w:t>
      </w:r>
      <w:r>
        <w:br/>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40" w:name="fig-canada-forest"/>
          <w:p>
            <w:pPr>
              <w:pStyle w:val="Compact"/>
              <w:jc w:val="center"/>
            </w:pPr>
            <w:r>
              <w:drawing>
                <wp:inline>
                  <wp:extent cx="5943600" cy="4754880"/>
                  <wp:effectExtent b="0" l="0" r="0" t="0"/>
                  <wp:docPr descr="" title="" id="38" name="Picture"/>
                  <a:graphic>
                    <a:graphicData uri="http://schemas.openxmlformats.org/drawingml/2006/picture">
                      <pic:pic>
                        <pic:nvPicPr>
                          <pic:cNvPr descr="../03.outputs/PNG/fig-canada-fores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dioxide from forest fires in Canada, 2001 to 2024, as computed by FAOSTAT at Tier 1 from MODIS burned area.</w:t>
            </w:r>
          </w:p>
          <w:bookmarkEnd w:id="40"/>
        </w:tc>
      </w:tr>
    </w:tbl>
    <w:p>
      <w:pPr>
        <w:pStyle w:val="BodyText"/>
      </w:pPr>
      <w:r>
        <w:t xml:space="preserve">Forest fires in Canada released 187 Mt of carbon dioxide in 2023 on the FAOSTAT Tier 1 estimate, 12.4 times the mean of the years before it and 66 times the quietest year of the series, 2020, at 2.8 Mt (</w:t>
      </w:r>
      <w:hyperlink w:anchor="fig-canada-forest">
        <w:r>
          <w:rPr>
            <w:rStyle w:val="Hyperlink"/>
          </w:rPr>
          <w:t xml:space="preserve">Figure 2</w:t>
        </w:r>
      </w:hyperlink>
      <w:r>
        <w:t xml:space="preserve">).</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(gap, </w:t>
      </w:r>
      <w:r>
        <w:rPr>
          <w:rStyle w:val="StringTok"/>
        </w:rPr>
        <w:t xml:space="preserve">"03.outputs/TBL/tbl-source-gap.csv"</w:t>
      </w:r>
      <w:r>
        <w:rPr>
          <w:rStyle w:val="NormalTok"/>
        </w:rPr>
        <w:t xml:space="preserve">)</w:t>
      </w:r>
      <w:r>
        <w:br/>
      </w:r>
      <w:r>
        <w:rPr>
          <w:rStyle w:val="FunctionTok"/>
        </w:rPr>
        <w:t xml:space="preserve">fmt_tbl</w:t>
      </w:r>
      <w:r>
        <w:rPr>
          <w:rStyle w:val="NormalTok"/>
        </w:rPr>
        <w:t xml:space="preserve">(gap)</w:t>
      </w:r>
    </w:p>
    <w:tbl>
      <w:tblPr>
        <w:tblStyle w:val="Table"/>
        <w:tblW w:type="pct" w:w="5000"/>
        <w:tblLayout w:type="fixed"/>
        <w:tblLook w:firstRow="0" w:lastRow="0" w:firstColumn="0" w:lastColumn="0" w:noHBand="0" w:noVBand="0" w:val="0000"/>
      </w:tblPr>
      <w:tblGrid>
        <w:gridCol w:w="7920"/>
      </w:tblGrid>
      <w:tr>
        <w:tc>
          <w:tcPr/>
          <w:bookmarkStart w:id="41" w:name="tbl-source-gap"/>
          <w:p>
            <w:pPr>
              <w:jc w:val="center"/>
            </w:pPr>
            <w:pPr>
              <w:jc w:val="start"/>
              <w:spacing w:before="200"/>
              <w:pStyle w:val="ImageCaption"/>
            </w:pPr>
            <w:r>
              <w:t xml:space="preserve">Table 3: Carbon dioxide from fires in other forest in Canada, as FAOSTAT computes it at Tier 1 and as Canada reported it to the UNFCCC, for the years both are available. FAOSTAT carries the reported series inside the same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Tier 1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UNFCCC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Ratio</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5,937.187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6,600.562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6,477.020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6,223.502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7,252.098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5,603.096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4,643.541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3,987.953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4,836.967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4,878.594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4,999.909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4,814.442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4,260.117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5,032.216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4,368.008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3,840.632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3,553.743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2,506.846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2,466.193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bl>
          <w:bookmarkEnd w:id="41"/>
        </w:tc>
      </w:tr>
    </w:tbl>
    <w:p>
      <w:pPr>
        <w:pStyle w:val="BodyText"/>
      </w:pPr>
      <w:r>
        <w:t xml:space="preserve">The two sources disagree by more than they agree. Across the 20 years in which both are reported, the FAOSTAT Tier 1 estimate is a median of 2.6 times the value Canada itself submitted, running from 0.2 times in 2001 to 12.5 times in 2018 (</w:t>
      </w:r>
      <w:hyperlink w:anchor="tbl-source-gap">
        <w:r>
          <w:rPr>
            <w:rStyle w:val="Hyperlink"/>
          </w:rPr>
          <w:t xml:space="preserve">Table 3</w:t>
        </w:r>
      </w:hyperlink>
      <w:r>
        <w:t xml:space="preserve">).</w:t>
      </w:r>
    </w:p>
    <w:bookmarkEnd w:id="42"/>
    <w:bookmarkStart w:id="44" w:name="classifying-a-fire-year-as-natural"/>
    <w:p>
      <w:pPr>
        <w:pStyle w:val="Heading2"/>
      </w:pPr>
      <w:r>
        <w:t xml:space="preserve">3.3 Classifying a fire year as natural</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(baselines, </w:t>
      </w:r>
      <w:r>
        <w:rPr>
          <w:rStyle w:val="StringTok"/>
        </w:rPr>
        <w:t xml:space="preserve">"03.outputs/TBL/tbl-baselines.csv"</w:t>
      </w:r>
      <w:r>
        <w:rPr>
          <w:rStyle w:val="NormalTok"/>
        </w:rPr>
        <w:t xml:space="preserve">)</w:t>
      </w:r>
      <w:r>
        <w:br/>
      </w:r>
      <w:r>
        <w:rPr>
          <w:rStyle w:val="FunctionTok"/>
        </w:rPr>
        <w:t xml:space="preserve">fmt_tbl</w:t>
      </w:r>
      <w:r>
        <w:rPr>
          <w:rStyle w:val="NormalTok"/>
        </w:rPr>
        <w:t xml:space="preserve">(baselines)</w:t>
      </w:r>
    </w:p>
    <w:tbl>
      <w:tblPr>
        <w:tblStyle w:val="Table"/>
        <w:tblW w:type="pct" w:w="5000"/>
        <w:tblLayout w:type="fixed"/>
        <w:tblLook w:firstRow="0" w:lastRow="0" w:firstColumn="0" w:lastColumn="0" w:noHBand="0" w:noVBand="0" w:val="0000"/>
      </w:tblPr>
      <w:tblGrid>
        <w:gridCol w:w="7920"/>
      </w:tblGrid>
      <w:tr>
        <w:tc>
          <w:tcPr/>
          <w:bookmarkStart w:id="43" w:name="tbl-baselines"/>
          <w:p>
            <w:pPr>
              <w:jc w:val="center"/>
            </w:pPr>
            <w:pPr>
              <w:jc w:val="start"/>
              <w:spacing w:before="200"/>
              <w:pStyle w:val="ImageCaption"/>
            </w:pPr>
            <w:r>
              <w:t xml:space="preserve">Table 4: The natural disturbance threshold applied to Canadian forest fire emissions under three baseline lengths. The threshold is the baseline mean plus two standard deviations, and the years listed are those the rule classifies as natural.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Threshold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Years classified natural</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longer than the series</w:t>
                  </w:r>
                </w:p>
              </w:tc>
            </w:tr>
          </w:tbl>
          <w:bookmarkEnd w:id="43"/>
        </w:tc>
      </w:tr>
    </w:tbl>
    <w:p>
      <w:pPr>
        <w:pStyle w:val="BodyText"/>
      </w:pPr>
      <w:r>
        <w:t xml:space="preserve">The baseline length moved the threshold without moving the classification. Lengthening the baseline from 13 to 20 years raised the threshold from 20,837 to 36,301 kilotonnes of carbon dioxide, a rise of 74 per cent, and both lengths classified the same 5 years as natural, 2015, 2018, 2021, 2023, 2024 (</w:t>
      </w:r>
      <w:hyperlink w:anchor="tbl-baselines">
        <w:r>
          <w:rPr>
            <w:rStyle w:val="Hyperlink"/>
          </w:rPr>
          <w:t xml:space="preserve">Table 4</w:t>
        </w:r>
      </w:hyperlink>
      <w:r>
        <w:t xml:space="preserve">). The 30 year baseline could not be run at all, because the FAOSTAT series covers only 24 years derived from observations, 2001 to 2024, and the years before that are filled rather than measured.</w:t>
      </w:r>
    </w:p>
    <w:bookmarkEnd w:id="44"/>
    <w:bookmarkStart w:id="46" w:name="X418cd853e7c3eae61c42302028e4d13a5b1a40e"/>
    <w:p>
      <w:pPr>
        <w:pStyle w:val="Heading2"/>
      </w:pPr>
      <w:r>
        <w:t xml:space="preserve">3.4 Crediting with and without the separation</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(credits, </w:t>
      </w:r>
      <w:r>
        <w:rPr>
          <w:rStyle w:val="StringTok"/>
        </w:rPr>
        <w:t xml:space="preserve">"03.outputs/TBL/tbl-credits.csv"</w:t>
      </w:r>
      <w:r>
        <w:rPr>
          <w:rStyle w:val="NormalTok"/>
        </w:rPr>
        <w:t xml:space="preserve">)</w:t>
      </w:r>
      <w:r>
        <w:br/>
      </w:r>
      <w:r>
        <w:rPr>
          <w:rStyle w:val="FunctionTok"/>
        </w:rPr>
        <w:t xml:space="preserve">fmt_tbl</w:t>
      </w:r>
      <w:r>
        <w:rPr>
          <w:rStyle w:val="NormalTok"/>
        </w:rPr>
        <w:t xml:space="preserve">(credits)</w:t>
      </w:r>
    </w:p>
    <w:tbl>
      <w:tblPr>
        <w:tblStyle w:val="Table"/>
        <w:tblW w:type="pct" w:w="5000"/>
        <w:tblLayout w:type="fixed"/>
        <w:tblLook w:firstRow="0" w:lastRow="0" w:firstColumn="0" w:lastColumn="0" w:noHBand="0" w:noVBand="0" w:val="0000"/>
      </w:tblPr>
      <w:tblGrid>
        <w:gridCol w:w="7920"/>
      </w:tblGrid>
      <w:tr>
        <w:tc>
          <w:tcPr/>
          <w:bookmarkStart w:id="45" w:name="tbl-credits"/>
          <w:p>
            <w:pPr>
              <w:jc w:val="center"/>
            </w:pPr>
            <w:pPr>
              <w:jc w:val="start"/>
              <w:spacing w:before="200"/>
              <w:pStyle w:val="ImageCaption"/>
            </w:pPr>
            <w:r>
              <w:t xml:space="preserve">Table 5: Emissions and reductions for Canada’s managed land under the two accounts, 2017 to 2024, on a 2012 to 2016 reference period. The disaggregated account is the human activity component Canada reports; the undisaggregated account is the sum of the human activity and natural disturbance components. A negative reduction is emissions above the crediting level, which the standard treats as a reversal.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-166.3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-853.6</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-296.6</w:t>
                  </w:r>
                </w:p>
              </w:tc>
            </w:tr>
          </w:tbl>
          <w:bookmarkEnd w:id="45"/>
        </w:tc>
      </w:tr>
    </w:tbl>
    <w:p>
      <w:pPr>
        <w:pStyle w:val="BodyText"/>
      </w:pPr>
      <w:r>
        <w:t xml:space="preserve">The separation decides whether there is anything to credit. On the account Canada reports, reductions were positive in 6 of the 8 crediting years and summed to 85.6 Mt of carbon dioxide equivalent, with 2 years below the crediting level, 2020 at -0.3 Mt and 2022 at -20.3 Mt. On the same land without the separation, reductions were positive in only 2 years, and the shortfall in 2023 alone reached 853.6 Mt, which is 10 times every reduction the disaggregated account earned across the whole period (</w:t>
      </w:r>
      <w:hyperlink w:anchor="tbl-credits">
        <w:r>
          <w:rPr>
            <w:rStyle w:val="Hyperlink"/>
          </w:rPr>
          <w:t xml:space="preserve">Table 5</w:t>
        </w:r>
      </w:hyperlink>
      <w:r>
        <w:t xml:space="preserve">).</w:t>
      </w:r>
    </w:p>
    <w:p>
      <w:pPr>
        <w:pStyle w:val="BodyText"/>
      </w:pPr>
      <w:r>
        <w:t xml:space="preserve">Neither deduction is reached in that case, because there is nothing to deduct from. The standard’s reversal rule retires buffer credits equal to the lower of the emissions above the crediting level or every credit the jurisdiction has been issued, so an undisaggregated account of this land exhausts its buffer in 2017 and again in each later year that emissions exceed the level</w:t>
      </w:r>
      <w:r>
        <w:t xml:space="preserve"> </w:t>
      </w:r>
      <w:r>
        <w:t xml:space="preserve">(Architecture for REDD+ Transactions, 2021)</w:t>
      </w:r>
      <w:r>
        <w:t xml:space="preserve">.</w:t>
      </w:r>
    </w:p>
    <w:bookmarkEnd w:id="46"/>
    <w:bookmarkStart w:id="48" w:name="crediting-in-british-columbia"/>
    <w:p>
      <w:pPr>
        <w:pStyle w:val="Heading2"/>
      </w:pPr>
      <w:r>
        <w:t xml:space="preserve">3.5 Crediting in British Columbia</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(bc_credits, </w:t>
      </w:r>
      <w:r>
        <w:rPr>
          <w:rStyle w:val="StringTok"/>
        </w:rPr>
        <w:t xml:space="preserve">"03.outputs/TBL/tbl-bc.csv"</w:t>
      </w:r>
      <w:r>
        <w:rPr>
          <w:rStyle w:val="NormalTok"/>
        </w:rPr>
        <w:t xml:space="preserve">)</w:t>
      </w:r>
      <w:r>
        <w:br/>
      </w:r>
      <w:r>
        <w:rPr>
          <w:rStyle w:val="FunctionTok"/>
        </w:rPr>
        <w:t xml:space="preserve">fmt_tbl</w:t>
      </w:r>
      <w:r>
        <w:rPr>
          <w:rStyle w:val="NormalTok"/>
        </w:rPr>
        <w:t xml:space="preserve">(bc_credits)</w:t>
      </w:r>
    </w:p>
    <w:tbl>
      <w:tblPr>
        <w:tblStyle w:val="Table"/>
        <w:tblW w:type="pct" w:w="5000"/>
        <w:tblLayout w:type="fixed"/>
        <w:tblLook w:firstRow="0" w:lastRow="0" w:firstColumn="0" w:lastColumn="0" w:noHBand="0" w:noVBand="0" w:val="0000"/>
      </w:tblPr>
      <w:tblGrid>
        <w:gridCol w:w="7920"/>
      </w:tblGrid>
      <w:tr>
        <w:tc>
          <w:tcPr/>
          <w:bookmarkStart w:id="47" w:name="tbl-bc"/>
          <w:p>
            <w:pPr>
              <w:jc w:val="center"/>
            </w:pPr>
            <w:pPr>
              <w:jc w:val="start"/>
              <w:spacing w:before="200"/>
              <w:pStyle w:val="ImageCaption"/>
            </w:pPr>
            <w:r>
              <w:t xml:space="preserve">Table 6: Emissions and reductions for British Columbia under the two accounts, 2017 to 2024, on a 2012 to 2016 reference period. Both components are the provincial figures of the national inventory, and the burned area share is the province’s share of the area burned in Canada.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share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-322</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-149</w:t>
                  </w:r>
                </w:p>
              </w:tc>
            </w:tr>
          </w:tbl>
          <w:bookmarkEnd w:id="47"/>
        </w:tc>
      </w:tr>
    </w:tbl>
    <w:p>
      <w:pPr>
        <w:pStyle w:val="BodyText"/>
      </w:pPr>
      <w:r>
        <w:t xml:space="preserve">British Columbia followed the national pattern and more sharply. The province took 60.5 per cent of the area burned in Canada in 2018 and 22.2 per cent in 2023. On the disaggregated account its reductions were positive in 8 of the 8 crediting years, summing to 104.6 Mt of carbon dioxide equivalent. Without the separation they were positive in 2 years, and 2023 fell 322 Mt below the crediting level (</w:t>
      </w:r>
      <w:hyperlink w:anchor="tbl-bc">
        <w:r>
          <w:rPr>
            <w:rStyle w:val="Hyperlink"/>
          </w:rPr>
          <w:t xml:space="preserve">Table 6</w:t>
        </w:r>
      </w:hyperlink>
      <w:r>
        <w:t xml:space="preserve">).</w:t>
      </w:r>
    </w:p>
    <w:bookmarkEnd w:id="48"/>
    <w:bookmarkStart w:id="50" w:name="the-uncertainty-of-each-account"/>
    <w:p>
      <w:pPr>
        <w:pStyle w:val="Heading2"/>
      </w:pPr>
      <w:r>
        <w:t xml:space="preserve">3.6 The uncertainty of each account</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(uncertainty, </w:t>
      </w:r>
      <w:r>
        <w:rPr>
          <w:rStyle w:val="StringTok"/>
        </w:rPr>
        <w:t xml:space="preserve">"03.outputs/TBL/tbl-uncertainty.csv"</w:t>
      </w:r>
      <w:r>
        <w:rPr>
          <w:rStyle w:val="NormalTok"/>
        </w:rPr>
        <w:t xml:space="preserve">)</w:t>
      </w:r>
      <w:r>
        <w:br/>
      </w:r>
      <w:r>
        <w:rPr>
          <w:rStyle w:val="FunctionTok"/>
        </w:rPr>
        <w:t xml:space="preserve">fmt_tbl</w:t>
      </w:r>
      <w:r>
        <w:rPr>
          <w:rStyle w:val="NormalTok"/>
        </w:rPr>
        <w:t xml:space="preserve">(uncertainty)</w:t>
      </w:r>
    </w:p>
    <w:tbl>
      <w:tblPr>
        <w:tblStyle w:val="Table"/>
        <w:tblW w:type="pct" w:w="5000"/>
        <w:tblLayout w:type="fixed"/>
        <w:tblLook w:firstRow="0" w:lastRow="0" w:firstColumn="0" w:lastColumn="0" w:noHBand="0" w:noVBand="0" w:val="0000"/>
      </w:tblPr>
      <w:tblGrid>
        <w:gridCol w:w="7920"/>
      </w:tblGrid>
      <w:tr>
        <w:tc>
          <w:tcPr/>
          <w:bookmarkStart w:id="49" w:name="tbl-uncertainty"/>
          <w:p>
            <w:pPr>
              <w:jc w:val="center"/>
            </w:pPr>
            <w:pPr>
              <w:jc w:val="start"/>
              <w:spacing w:before="200"/>
              <w:pStyle w:val="ImageCaption"/>
            </w:pPr>
            <w:r>
              <w:t xml:space="preserve">Table 7: Reductions and their uncertainty for Canada under the two accounts, from 10,000 Monte Carlo draws using the annual flux uncertainty published for Canada’s forest carbon model. The interval is the 90 per cent interval the standard requires, its half width expressed against the mean reduction of the same draws, and the deduction is what the standard’s adjustment factor takes from it. A percentage is printed only where the mean reduction is positive, since a percentage of a shortfall carries no meaning, and the undisaggregated deduction is therefore not reported.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interval (% of 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interval (% of mean)</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bl>
          <w:bookmarkEnd w:id="49"/>
        </w:tc>
      </w:tr>
    </w:tbl>
    <w:p>
      <w:pPr>
        <w:pStyle w:val="BodyText"/>
      </w:pPr>
      <w:r>
        <w:t xml:space="preserve">Canada’s own uncertainty analysis of the model behind these numbers reports a 95 per cent interval 118 Mt of carbon dioxide equivalent wide around a median of -2.9 Mt, and states plainly that</w:t>
      </w:r>
      <w:r>
        <w:t xml:space="preserve"> </w:t>
      </w:r>
      <w:r>
        <w:t xml:space="preserve">“the CI for NBP cannot be meaningfully expressed in percentage terms because its range of possible values contains zero”</w:t>
      </w:r>
      <w:r>
        <w:t xml:space="preserve"> </w:t>
      </w:r>
      <w:r>
        <w:t xml:space="preserve">(Metsaranta et al., 2017)</w:t>
      </w:r>
      <w:r>
        <w:t xml:space="preserve">. Carried into the crediting arithmetic, that interval is wider than the reductions it qualifies. Across the 6 crediting years with a positive mean reduction, the interval of the disaggregated account ran from 163 to 3,692 per cent of its own mean reduction, and the uncertainty deduction it implies is 51.8 to 1,176.9 per cent (</w:t>
      </w:r>
      <w:hyperlink w:anchor="tbl-uncertainty">
        <w:r>
          <w:rPr>
            <w:rStyle w:val="Hyperlink"/>
          </w:rPr>
          <w:t xml:space="preserve">Table 7</w:t>
        </w:r>
      </w:hyperlink>
      <w:r>
        <w:t xml:space="preserve">). The separation rescues the sign of the account and leaves the credit uncertain by more than its own size, which the disaggregation does not address.</w:t>
      </w:r>
    </w:p>
    <w:bookmarkEnd w:id="50"/>
    <w:bookmarkStart w:id="52" w:name="what-survives-the-deductions"/>
    <w:p>
      <w:pPr>
        <w:pStyle w:val="Heading2"/>
      </w:pPr>
      <w:r>
        <w:t xml:space="preserve">3.7 What survives the deductions</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(deductions, </w:t>
      </w:r>
      <w:r>
        <w:rPr>
          <w:rStyle w:val="StringTok"/>
        </w:rPr>
        <w:t xml:space="preserve">"03.outputs/TBL/tbl-kept.csv"</w:t>
      </w:r>
      <w:r>
        <w:rPr>
          <w:rStyle w:val="NormalTok"/>
        </w:rPr>
        <w:t xml:space="preserve">)</w:t>
      </w:r>
      <w:r>
        <w:br/>
      </w:r>
      <w:r>
        <w:rPr>
          <w:rStyle w:val="FunctionTok"/>
        </w:rPr>
        <w:t xml:space="preserve">fmt_tbl</w:t>
      </w:r>
      <w:r>
        <w:rPr>
          <w:rStyle w:val="NormalTok"/>
        </w:rPr>
        <w:t xml:space="preserve">(deductions)</w:t>
      </w:r>
    </w:p>
    <w:tbl>
      <w:tblPr>
        <w:tblStyle w:val="Table"/>
        <w:tblW w:type="pct" w:w="5000"/>
        <w:tblLayout w:type="fixed"/>
        <w:tblLook w:firstRow="0" w:lastRow="0" w:firstColumn="0" w:lastColumn="0" w:noHBand="0" w:noVBand="0" w:val="0000"/>
      </w:tblPr>
      <w:tblGrid>
        <w:gridCol w:w="7920"/>
      </w:tblGrid>
      <w:tr>
        <w:tc>
          <w:tcPr/>
          <w:bookmarkStart w:id="51" w:name="tbl-kept"/>
          <w:p>
            <w:pPr>
              <w:jc w:val="center"/>
            </w:pPr>
            <w:pPr>
              <w:jc w:val="start"/>
              <w:spacing w:before="200"/>
              <w:pStyle w:val="ImageCaption"/>
            </w:pPr>
            <w:r>
              <w:t xml:space="preserve">Table 8: The share of gross reductions and removals a jurisdiction keeps under the standard, by the reported uncertainty. The uncertainty deduction follows Equation 11 and the buffer follows Table 2 of the standard. The last column is the worst case in the five years after a reversal, when the buffer rises by five percentage points.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90% interval half width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25%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30% buffer after a reversal (%)</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w:t>
                  </w:r>
                </w:p>
              </w:tc>
            </w:tr>
          </w:tbl>
          <w:bookmarkEnd w:id="51"/>
        </w:tc>
      </w:tr>
    </w:tbl>
    <w:p>
      <w:pPr>
        <w:pStyle w:val="BodyText"/>
      </w:pPr>
      <w:r>
        <w:t xml:space="preserve">The two deductions together are linear in the reported uncertainty, so the level at which a jurisdiction keeps nothing can be solved rather than searched. On the default buffer that level is an uncertainty of 235 per cent, with all three mitigating factors and the smallest buffer the standard allows it is 298 per cent, and in the five years after a reversal it is 220 per cent. Below those levels the loss is still severe. At an uncertainty of 100 per cent the jurisdiction keeps 43.1 per cent of its gross reductions and removals on the default buffer, and at 150 per cent it keeps 27.2 per cent (</w:t>
      </w:r>
      <w:hyperlink w:anchor="tbl-kept">
        <w:r>
          <w:rPr>
            <w:rStyle w:val="Hyperlink"/>
          </w:rPr>
          <w:t xml:space="preserve">Table 8</w:t>
        </w:r>
      </w:hyperlink>
      <w:r>
        <w:t xml:space="preserve">). Uncertainty of that size is not hypothetical, since the uncertainty chapter’s own worked example prints ±150 per cent for one land category</w:t>
      </w:r>
      <w:r>
        <w:t xml:space="preserve"> </w:t>
      </w:r>
      <w:r>
        <w:t xml:space="preserve">(Paciornik et al., 2019)</w:t>
      </w:r>
      <w:r>
        <w:t xml:space="preserve">.</w:t>
      </w:r>
    </w:p>
    <w:bookmarkEnd w:id="52"/>
    <w:bookmarkStart w:id="58" w:name="fires-in-organic-soils-1"/>
    <w:p>
      <w:pPr>
        <w:pStyle w:val="Heading2"/>
      </w:pPr>
      <w:r>
        <w:t xml:space="preserve">3.8 Fires in organic soils</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(canada, </w:t>
      </w:r>
      <w:r>
        <w:rPr>
          <w:rStyle w:val="StringTok"/>
        </w:rPr>
        <w:t xml:space="preserve">"03.outputs/TBL/tbl-canada-peat.csv"</w:t>
      </w:r>
      <w:r>
        <w:rPr>
          <w:rStyle w:val="NormalTok"/>
        </w:rPr>
        <w:t xml:space="preserve">)</w:t>
      </w:r>
      <w:r>
        <w:br/>
      </w:r>
      <w:r>
        <w:rPr>
          <w:rStyle w:val="FunctionTok"/>
        </w:rPr>
        <w:t xml:space="preserve">fmt_tbl</w:t>
      </w:r>
      <w:r>
        <w:rPr>
          <w:rStyle w:val="NormalTok"/>
        </w:rPr>
        <w:t xml:space="preserve">(canada)</w:t>
      </w:r>
    </w:p>
    <w:tbl>
      <w:tblPr>
        <w:tblStyle w:val="Table"/>
        <w:tblW w:type="pct" w:w="5000"/>
        <w:tblLayout w:type="fixed"/>
        <w:tblLook w:firstRow="0" w:lastRow="0" w:firstColumn="0" w:lastColumn="0" w:noHBand="0" w:noVBand="0" w:val="0000"/>
      </w:tblPr>
      <w:tblGrid>
        <w:gridCol w:w="7920"/>
      </w:tblGrid>
      <w:tr>
        <w:tc>
          <w:tcPr/>
          <w:bookmarkStart w:id="53" w:name="tbl-canada-peat"/>
          <w:p>
            <w:pPr>
              <w:jc w:val="center"/>
            </w:pPr>
            <w:pPr>
              <w:jc w:val="start"/>
              <w:spacing w:before="200"/>
              <w:pStyle w:val="ImageCaption"/>
            </w:pPr>
            <w:r>
              <w:t xml:space="preserve">Table 9: Burned area and emissions from fires in organic soils in Canada, as FAO computed them and then set them to zero in the published Emissions from Fires domain. Values for 1990 to 1995 are the average of the reconstructed series rather than observations, which is why they do not vary.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315.23052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229,625.96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25,809.499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170.40705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124,131.01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13,952.077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1,015.27769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739,567.08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83,125.860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439.44356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320,107.49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35,979.441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161.68439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117,777.09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13,237.909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30.23739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50,904.70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4,458.335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287.54083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484,075.47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42,396.298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306.03608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515,212.26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45,123.320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173.45735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292,015.74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25,575.323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165.94913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279,375.64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24,468.277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219.41289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369,381.97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32,351.212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154.83941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260,672.40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22,830.210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189.87328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319,651.99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27,995.761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38.33478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64,536.66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5,652.250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281.27927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473,534.13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41,473.066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126.49251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212,950.35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18,650.618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256.69793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432,151.40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37,848.683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457.77889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770,671.53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67,496.954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314.12631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528,832.17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46,316.179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459.60190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773,740.57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67,765.747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205.94202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346,703.73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30,365.006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251.91707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424,102.81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37,143.773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81.74237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137,613.42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12,052.459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174.33455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293,492.50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25,704.660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11.04954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1,629.193</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409.33311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689,112.98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60,353.893</w:t>
                  </w:r>
                </w:p>
              </w:tc>
            </w:tr>
          </w:tbl>
          <w:bookmarkEnd w:id="53"/>
        </w:tc>
      </w:tr>
    </w:tbl>
    <w:p>
      <w:pPr>
        <w:pStyle w:val="SourceCode"/>
      </w:pPr>
      <w:r>
        <w:rPr>
          <w:rStyle w:val="NormalTok"/>
        </w:rPr>
        <w:t xml:space="preserve">ggplot2</w:t>
      </w:r>
      <w:r>
        <w:rPr>
          <w:rStyle w:val="SpecialCharTok"/>
        </w:rPr>
        <w:t xml:space="preserve">::</w:t>
      </w:r>
      <w:r>
        <w:rPr>
          <w:rStyle w:val="FunctionTok"/>
        </w:rPr>
        <w:t xml:space="preserve">ggplot</w:t>
      </w:r>
      <w:r>
        <w:rPr>
          <w:rStyle w:val="NormalTok"/>
        </w:rPr>
        <w:t xml:space="preserve">(canada, ggplot2</w:t>
      </w:r>
      <w:r>
        <w:rPr>
          <w:rStyle w:val="SpecialCharTok"/>
        </w:rPr>
        <w:t xml:space="preserve">::</w:t>
      </w:r>
      <w:r>
        <w:rPr>
          <w:rStyle w:val="FunctionTok"/>
        </w:rPr>
        <w:t xml:space="preserve">aes</w:t>
      </w:r>
      <w:r>
        <w:rPr>
          <w:rStyle w:val="NormalTok"/>
        </w:rPr>
        <w:t xml:space="preserve">(Year,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"Burned area (thousand ha)"</w:t>
      </w:r>
      <w:r>
        <w:rPr>
          <w:rStyle w:val="NormalTok"/>
        </w:rPr>
        <w:t xml:space="preserve">) </w:t>
      </w:r>
      <w:r>
        <w:rPr>
          <w:rStyle w:val="SpecialCharTok"/>
        </w:rPr>
        <w:t xml:space="preserve">+</w:t>
      </w:r>
      <w:r>
        <w:br/>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57" w:name="fig-canada-peat"/>
          <w:p>
            <w:pPr>
              <w:pStyle w:val="Compact"/>
              <w:jc w:val="center"/>
            </w:pPr>
            <w:r>
              <w:drawing>
                <wp:inline>
                  <wp:extent cx="5943600" cy="4754880"/>
                  <wp:effectExtent b="0" l="0" r="0" t="0"/>
                  <wp:docPr descr="" title="" id="55" name="Picture"/>
                  <a:graphic>
                    <a:graphicData uri="http://schemas.openxmlformats.org/drawingml/2006/picture">
                      <pic:pic>
                        <pic:nvPicPr>
                          <pic:cNvPr descr="../03.outputs/PNG/fig-canada-peat-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Burned area of fires in organic soils in Canada, 1990 to 2021, from the FAO table that the published domain replaces with zeros. The flat section to 1995 is the filled part of the series and the rest is derived from satellite observations.</w:t>
            </w:r>
          </w:p>
          <w:bookmarkEnd w:id="57"/>
        </w:tc>
      </w:tr>
    </w:tbl>
    <w:p>
      <w:pPr>
        <w:pStyle w:val="BodyText"/>
      </w:pPr>
      <w:r>
        <w:t xml:space="preserve">Over the 21 years the satellite record covers, 2001 to 2021, fires in organic soils in Canada burned a mean of 368,444 hectares a year and released a mean of 32,269 kilotonnes of carbon dioxide and 219 kilotonnes of methane, none of which appears in the FAOSTAT domain a government downloads. The largest single year was 2015, at 773,741 hectares and 67,766 kilotonnes of carbon dioxide, and the smallest was 2020, at 18,602 hectares.</w:t>
      </w:r>
    </w:p>
    <w:p>
      <w:pPr>
        <w:pStyle w:val="BodyText"/>
      </w:pPr>
      <w:r>
        <w:t xml:space="preserve">The six years from 1990 to 1995 repeat one value, 356,482 hectares, and that value is the mean of every year that follows them to the last digit the table prints, 356,482.42 hectares for 1996 to 2021 against 356,482.42. The filled years are therefore the average of the whole remaining series rather than of the window the methodological note describes, and any mean taken over the full series returns that same value whatever the observations do.</w:t>
      </w:r>
    </w:p>
    <w:bookmarkEnd w:id="58"/>
    <w:bookmarkEnd w:id="59"/>
    <w:bookmarkStart w:id="60" w:name="discussion"/>
    <w:p>
      <w:pPr>
        <w:pStyle w:val="Heading1"/>
      </w:pPr>
      <w:r>
        <w:t xml:space="preserve">4. Discussion</w:t>
      </w:r>
    </w:p>
    <w:p>
      <w:pPr>
        <w:pStyle w:val="FirstParagraph"/>
      </w:pPr>
      <w:r>
        <w:t xml:space="preserve">Separating natural disturbance from human activity decided whether an account existed to credit, and it did not make that account precise. On the components Canada published, the managed land of the country reported reductions in 6 of the 8 years from 2017 to 2024, totalling 85.6 Mt of carbon dioxide equivalent, while the same land accounted without the separation reported them in 2 years and fell 853.6 Mt short of its crediting level in 2023 alone. British Columbia, with 22.2 per cent of the area burned in Canada that year, reversed in the same way at the provincial scale, reporting 104.6 Mt separated against a shortfall of 322 Mt unseparated. The separation was therefore not an adjustment to a reported number but the condition on which a jurisdictional credit existed at all.</w:t>
      </w:r>
    </w:p>
    <w:p>
      <w:pPr>
        <w:pStyle w:val="BodyText"/>
      </w:pPr>
      <w:r>
        <w:t xml:space="preserve">The separated account nonetheless kept part of its reductions in only 1 of the 6 years with a positive reduction, for a reason that is arithmetic rather than ecological. A percentage uncertainty is an interval divided by a reported value, so an account whose emissions and removals nearly cancel reports an uncertainty far larger than either side of it, and</w:t>
      </w:r>
      <w:r>
        <w:t xml:space="preserve"> </w:t>
      </w:r>
      <w:r>
        <w:t xml:space="preserve">Paciornik et al. (2019)</w:t>
      </w:r>
      <w:r>
        <w:t xml:space="preserve"> </w:t>
      </w:r>
      <w:r>
        <w:t xml:space="preserve">warned against interpreting such a result</w:t>
      </w:r>
      <w:r>
        <w:t xml:space="preserve"> </w:t>
      </w:r>
      <w:r>
        <w:t xml:space="preserve">“in cases where the point estimate is very small when compared with the size of the confidence interval”</w:t>
      </w:r>
      <w:r>
        <w:t xml:space="preserve">.</w:t>
      </w:r>
      <w:r>
        <w:t xml:space="preserve"> </w:t>
      </w:r>
      <w:r>
        <w:t xml:space="preserve">Metsaranta et al. (2017)</w:t>
      </w:r>
      <w:r>
        <w:t xml:space="preserve"> </w:t>
      </w:r>
      <w:r>
        <w:t xml:space="preserve">met the same limit from the other direction, reporting an interval 118 Mt wide around a median of -2.9 Mt and stating that it</w:t>
      </w:r>
      <w:r>
        <w:t xml:space="preserve"> </w:t>
      </w:r>
      <w:r>
        <w:t xml:space="preserve">“cannot be meaningfully expressed in percentage terms because its range of possible values contains zero”</w:t>
      </w:r>
      <w:r>
        <w:t xml:space="preserve">. Applied to the crediting equations, that interval produced uncertainty deductions of 51.8 to 1,176.9 per cent, larger than the reduction they were taken from in 4 of the 6 years with a positive reduction and smaller only in 2023 and 2024, so the separation moved the reported quantity away from zero in the years the fires dominated and left it near zero in the years they did not. In 2023 it kept 18.2 per cent of its reduction, after the uncertainty deduction and a buffer that the shortfall of 2020 had raised to 30 per cent.</w:t>
      </w:r>
    </w:p>
    <w:p>
      <w:pPr>
        <w:pStyle w:val="BodyText"/>
      </w:pPr>
      <w:r>
        <w:t xml:space="preserve">The length of the record behind the separation mattered less than its absence from the guidance. Lengthening the baseline from 13 to 20 years raised the threshold that marks a year as natural by 74 per cent and marked the same five years, so the classification was insensitive to the choice while the threshold was not, and a 30 year baseline could not be tested because the satellite record behind the emissions covered only 24 years. Canada applied no baseline of any length, reconstructing instead the cause of every stand for the century from 1889 to 1989 and then reporting each burned area in the natural category for the 60 to 100 years it takes to grow back to the age at which it can be logged</w:t>
      </w:r>
      <w:r>
        <w:t xml:space="preserve"> </w:t>
      </w:r>
      <w:r>
        <w:t xml:space="preserve">(Kurz et al., 2024)</w:t>
      </w:r>
      <w:r>
        <w:t xml:space="preserve">, while Australia tested fire seasons against a thirteen year mean</w:t>
      </w:r>
      <w:r>
        <w:t xml:space="preserve"> </w:t>
      </w:r>
      <w:r>
        <w:t xml:space="preserve">(Bowman et al., 2023)</w:t>
      </w:r>
      <w:r>
        <w:t xml:space="preserve"> </w:t>
      </w:r>
      <w:r>
        <w:t xml:space="preserve">and the worked European example built its series over the twenty years before the base year and assumed twenty years of regrowth</w:t>
      </w:r>
      <w:r>
        <w:t xml:space="preserve"> </w:t>
      </w:r>
      <w:r>
        <w:t xml:space="preserve">(Ogle et al., 2019)</w:t>
      </w:r>
      <w:r>
        <w:t xml:space="preserve">. Three implementations used three temporal designs under guidance that specifies none, which is what leaves the regrowth half of the account undefined.</w:t>
      </w:r>
    </w:p>
    <w:p>
      <w:pPr>
        <w:pStyle w:val="BodyText"/>
      </w:pPr>
      <w:r>
        <w:t xml:space="preserve">Crediting standards inherit that silence directly, because the REDD+ Environmental Excellence Standard permits the exclusion of natural disturbance on the authority of the guidance and points to the chapter that defines the term without defining how far back the record must reach</w:t>
      </w:r>
      <w:r>
        <w:t xml:space="preserve"> </w:t>
      </w:r>
      <w:r>
        <w:t xml:space="preserve">(Architecture for REDD+ Transactions, 2025; Ogle et al., 2019)</w:t>
      </w:r>
      <w:r>
        <w:t xml:space="preserve">, and both of the standard’s deductions are then taken from whatever remains. A standard that credits jurisdictions therefore rests on a boundary it does not set and cannot audit, since two jurisdictions applying the same clause to the same fire record could report different natural shares according to how far back their labelling reached and how long their regrowth periods ran. Three changes would close that gap, which are to specify the length of the record behind any natural disturbance test rather than leave it to the participant, to state the regrowth period over which subsequent removals are disaggregated together with the evidence for it, and to compute the uncertainty deduction on gross emissions and gross removals rather than on a net that approaches zero, so that a jurisdiction is not penalised for the arithmetic of cancellation rather than for the quality of its data.</w:t>
      </w:r>
    </w:p>
    <w:p>
      <w:pPr>
        <w:pStyle w:val="BodyText"/>
      </w:pPr>
      <w:r>
        <w:t xml:space="preserve">Three limits qualify these results, the first being that the uncertainty analysis applied one published interval to every annual flux in both accounts, which assumes the model is no more certain about a quiet year than about a megafire year. The comparison of sources showed that the Tier 1 estimate published by the Food and Agriculture Organization ran a median of 2.6 times the value Canada submitted for the same item, so the choice of source moved the reported total as much as the choice of method. The same database sets Canada’s organic soil fire emissions to zero while computing them at a mean of 32,269 kilotonnes of carbon dioxide a year over the satellite record, so a government checking its inventory against that source checks it against a figure the publisher does not stand behind outside Southeast Asia</w:t>
      </w:r>
      <w:r>
        <w:t xml:space="preserve"> </w:t>
      </w:r>
      <w:r>
        <w:t xml:space="preserve">(Food and Agriculture Organization of the United Nations, 2025)</w:t>
      </w:r>
      <w:r>
        <w:t xml:space="preserve">.</w:t>
      </w:r>
    </w:p>
    <w:bookmarkEnd w:id="60"/>
    <w:bookmarkStart w:id="61" w:name="conclusions"/>
    <w:p>
      <w:pPr>
        <w:pStyle w:val="Heading1"/>
      </w:pPr>
      <w:r>
        <w:t xml:space="preserve">5. Conclusions</w:t>
      </w:r>
    </w:p>
    <w:p>
      <w:pPr>
        <w:pStyle w:val="FirstParagraph"/>
      </w:pPr>
      <w:r>
        <w:t xml:space="preserve">Two accounts of the same Canadian managed land, one separating natural disturbance from human activity and one not, were run through the crediting level, the uncertainty deduction and the buffer withholding of the REDD+ Environmental Excellence Standard for the fire years 2017 to 2024, and the separation decided whether any reduction existed to credit, 85.6 Mt of carbon dioxide equivalent separated against a shortfall of 853.6 Mt in 2023 alone unseparated, which means that a jurisdiction in a megafire regime can report a creditable balance only by excluding the fires, on guidance that sets no length for the record the exclusion rests on. The separated account remained uncertain by more than its own size, with an uncertainty deduction of 51.8 to 1,176.9 per cent, and kept part of its reductions only in 2023, 18.2 per cent of them, so separation alone left little to issue and the standards that rely on it need to specify the record length, state the regrowth period and take the uncertainty deduction from gross emissions and gross removals rather than from a net that approaches zero.</w:t>
      </w:r>
    </w:p>
    <w:bookmarkEnd w:id="61"/>
    <w:bookmarkStart w:id="62" w:name="author-contributions"/>
    <w:p>
      <w:pPr>
        <w:pStyle w:val="Heading1"/>
      </w:pPr>
      <w:r>
        <w:t xml:space="preserve">Author contributions</w:t>
      </w:r>
    </w:p>
    <w:bookmarkEnd w:id="62"/>
    <w:bookmarkStart w:id="63" w:name="acknowledgements"/>
    <w:p>
      <w:pPr>
        <w:pStyle w:val="Heading1"/>
      </w:pPr>
      <w:r>
        <w:t xml:space="preserve">Acknowledgements</w:t>
      </w:r>
    </w:p>
    <w:bookmarkEnd w:id="63"/>
    <w:bookmarkStart w:id="64" w:name="data-availability"/>
    <w:p>
      <w:pPr>
        <w:pStyle w:val="Heading1"/>
      </w:pPr>
      <w:r>
        <w:t xml:space="preserve">Data availability</w:t>
      </w:r>
    </w:p>
    <w:bookmarkEnd w:id="64"/>
    <w:bookmarkStart w:id="65" w:name="word-count"/>
    <w:p>
      <w:pPr>
        <w:pStyle w:val="Heading1"/>
      </w:pPr>
      <w:r>
        <w:t xml:space="preserve">Word count</w:t>
      </w:r>
    </w:p>
    <w:p>
      <w:pPr>
        <w:pStyle w:val="FirstParagraph"/>
      </w:pPr>
      <w:r>
        <w:t xml:space="preserve">Main text 4,078 words. Total including tables, captions and references 6,059 words. Abstract 337 words.</w:t>
      </w:r>
    </w:p>
    <w:bookmarkEnd w:id="65"/>
    <w:bookmarkStart w:id="88" w:name="references"/>
    <w:p>
      <w:pPr>
        <w:pStyle w:val="Heading1"/>
      </w:pPr>
      <w:r>
        <w:t xml:space="preserve">References</w:t>
      </w:r>
    </w:p>
    <w:bookmarkStart w:id="87" w:name="refs"/>
    <w:bookmarkStart w:id="66" w:name="ref-art2021trees"/>
    <w:p>
      <w:pPr>
        <w:pStyle w:val="Bibliography"/>
      </w:pPr>
      <w:r>
        <w:t xml:space="preserve">Architecture for REDD+ Transactions. (2021).</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2.0</w:t>
      </w:r>
      <w:r>
        <w:t xml:space="preserve">. Architecture for REDD+ Transactions.</w:t>
      </w:r>
    </w:p>
    <w:bookmarkEnd w:id="66"/>
    <w:bookmarkStart w:id="67" w:name="ref-art2025trees3"/>
    <w:p>
      <w:pPr>
        <w:pStyle w:val="Bibliography"/>
      </w:pPr>
      <w:r>
        <w:t xml:space="preserve">Architecture for REDD+ Transactions. (2025).</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3.0, public comment draft</w:t>
      </w:r>
      <w:r>
        <w:t xml:space="preserve">. Architecture for REDD+ Transactions.</w:t>
      </w:r>
    </w:p>
    <w:bookmarkEnd w:id="67"/>
    <w:bookmarkStart w:id="69" w:name="ref-arksey2005scoping"/>
    <w:p>
      <w:pPr>
        <w:pStyle w:val="Bibliography"/>
      </w:pPr>
      <w:r>
        <w:t xml:space="preserve">Arksey, H., &amp; O’Malley, L. (2005). Scoping studies: Towards 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68">
        <w:r>
          <w:rPr>
            <w:rStyle w:val="Hyperlink"/>
          </w:rPr>
          <w:t xml:space="preserve">https://doi.org/10.1080/1364557032000119616</w:t>
        </w:r>
      </w:hyperlink>
    </w:p>
    <w:bookmarkEnd w:id="69"/>
    <w:bookmarkStart w:id="71" w:name="ref-bowman2023wildfire"/>
    <w:p>
      <w:pPr>
        <w:pStyle w:val="Bibliography"/>
      </w:pPr>
      <w:r>
        <w:t xml:space="preserve">Bowman, D. M. J. S., Williamson, G. J., Ndalila, M., Roxburgh, S. H., Suitor, S., &amp; Keenan, R. J. (2023). Wildfire national carbon accounting: How natural and anthropogenic landscape fires emissions are treated in the 2020</w:t>
      </w:r>
      <w:r>
        <w:t xml:space="preserve"> </w:t>
      </w:r>
      <w:r>
        <w:t xml:space="preserve">Australian</w:t>
      </w:r>
      <w:r>
        <w:t xml:space="preserve"> </w:t>
      </w:r>
      <w:r>
        <w:t xml:space="preserve">government greenhouse gas accounts report to the</w:t>
      </w:r>
      <w:r>
        <w:t xml:space="preserve"> </w:t>
      </w:r>
      <w:r>
        <w:t xml:space="preserve">UNFCCC</w:t>
      </w:r>
      <w:r>
        <w:t xml:space="preserve">.</w:t>
      </w:r>
      <w:r>
        <w:t xml:space="preserve"> </w:t>
      </w:r>
      <w:r>
        <w:rPr>
          <w:i/>
          <w:iCs/>
        </w:rPr>
        <w:t xml:space="preserve">Carbon Balance and Management</w:t>
      </w:r>
      <w:r>
        <w:t xml:space="preserve">,</w:t>
      </w:r>
      <w:r>
        <w:t xml:space="preserve"> </w:t>
      </w:r>
      <w:r>
        <w:rPr>
          <w:i/>
          <w:iCs/>
        </w:rPr>
        <w:t xml:space="preserve">18</w:t>
      </w:r>
      <w:r>
        <w:t xml:space="preserve">(1), 14.</w:t>
      </w:r>
      <w:r>
        <w:t xml:space="preserve"> </w:t>
      </w:r>
      <w:hyperlink r:id="rId70">
        <w:r>
          <w:rPr>
            <w:rStyle w:val="Hyperlink"/>
          </w:rPr>
          <w:t xml:space="preserve">https://doi.org/10.1186/s13021-023-00231-3</w:t>
        </w:r>
      </w:hyperlink>
    </w:p>
    <w:bookmarkEnd w:id="71"/>
    <w:bookmarkStart w:id="72" w:name="ref-eccc2026nir"/>
    <w:p>
      <w:pPr>
        <w:pStyle w:val="Bibliography"/>
      </w:pPr>
      <w:r>
        <w:t xml:space="preserve">Environment and Climate Change Canada. (2026).</w:t>
      </w:r>
      <w:r>
        <w:t xml:space="preserve"> </w:t>
      </w:r>
      <w:r>
        <w:rPr>
          <w:i/>
          <w:iCs/>
        </w:rPr>
        <w:t xml:space="preserve">National inventory report 1990–2024: Greenhouse gas sources and sinks in</w:t>
      </w:r>
      <w:r>
        <w:rPr>
          <w:i/>
          <w:iCs/>
        </w:rPr>
        <w:t xml:space="preserve"> </w:t>
      </w:r>
      <w:r>
        <w:rPr>
          <w:i/>
          <w:iCs/>
        </w:rPr>
        <w:t xml:space="preserve">Canada</w:t>
      </w:r>
      <w:r>
        <w:t xml:space="preserve">.</w:t>
      </w:r>
      <w:r>
        <w:t xml:space="preserve"> </w:t>
      </w:r>
      <w:r>
        <w:t xml:space="preserve">Environment and Climate Change Canada</w:t>
      </w:r>
      <w:r>
        <w:t xml:space="preserve">.</w:t>
      </w:r>
    </w:p>
    <w:bookmarkEnd w:id="72"/>
    <w:bookmarkStart w:id="74" w:name="ref-fao2025fires"/>
    <w:p>
      <w:pPr>
        <w:pStyle w:val="Bibliography"/>
      </w:pPr>
      <w:r>
        <w:t xml:space="preserve">Food and Agriculture Organization of the United Nations. (2025).</w:t>
      </w:r>
      <w:r>
        <w:t xml:space="preserve"> </w:t>
      </w:r>
      <w:r>
        <w:rPr>
          <w:i/>
          <w:iCs/>
        </w:rPr>
        <w:t xml:space="preserve">FAOSTAT</w:t>
      </w:r>
      <w:r>
        <w:rPr>
          <w:i/>
          <w:iCs/>
        </w:rPr>
        <w:t xml:space="preserve"> </w:t>
      </w:r>
      <w:r>
        <w:rPr>
          <w:i/>
          <w:iCs/>
        </w:rPr>
        <w:t xml:space="preserve">domain emissions from fires. Methodological note, release</w:t>
      </w:r>
      <w:r>
        <w:rPr>
          <w:i/>
          <w:iCs/>
        </w:rPr>
        <w:t xml:space="preserve"> </w:t>
      </w:r>
      <w:r>
        <w:rPr>
          <w:i/>
          <w:iCs/>
        </w:rPr>
        <w:t xml:space="preserve">October</w:t>
      </w:r>
      <w:r>
        <w:rPr>
          <w:i/>
          <w:iCs/>
        </w:rPr>
        <w:t xml:space="preserve"> </w:t>
      </w:r>
      <w:r>
        <w:rPr>
          <w:i/>
          <w:iCs/>
        </w:rPr>
        <w:t xml:space="preserve">2025</w:t>
      </w:r>
      <w:r>
        <w:t xml:space="preserve">.</w:t>
      </w:r>
      <w:r>
        <w:t xml:space="preserve"> </w:t>
      </w:r>
      <w:r>
        <w:t xml:space="preserve">Food and Agriculture Organization of the United Nations</w:t>
      </w:r>
      <w:r>
        <w:t xml:space="preserve">.</w:t>
      </w:r>
      <w:r>
        <w:t xml:space="preserve"> </w:t>
      </w:r>
      <w:hyperlink r:id="rId73">
        <w:r>
          <w:rPr>
            <w:rStyle w:val="Hyperlink"/>
          </w:rPr>
          <w:t xml:space="preserve">https://www.fao.org/faostat/en/#data/GI</w:t>
        </w:r>
      </w:hyperlink>
    </w:p>
    <w:bookmarkEnd w:id="74"/>
    <w:bookmarkStart w:id="76" w:name="ref-kurz2024revised"/>
    <w:p>
      <w:pPr>
        <w:pStyle w:val="Bibliography"/>
      </w:pPr>
      <w:r>
        <w:t xml:space="preserve">Kurz, W. A., Hudson, B., Neilson, E. T., Fellows, M., Hafer, M., &amp; MacDonald, J. D. (2024). Revised historic harvest data improve estimates of the impacts of human activities on reported greenhouse gas emissions and removals in</w:t>
      </w:r>
      <w:r>
        <w:t xml:space="preserve"> </w:t>
      </w:r>
      <w:r>
        <w:t xml:space="preserve">Canada</w:t>
      </w:r>
      <w:r>
        <w:t xml:space="preserve">’s managed forest.</w:t>
      </w:r>
      <w:r>
        <w:t xml:space="preserve"> </w:t>
      </w:r>
      <w:r>
        <w:rPr>
          <w:i/>
          <w:iCs/>
        </w:rPr>
        <w:t xml:space="preserve">Canadian Journal of Forest Research</w:t>
      </w:r>
      <w:r>
        <w:t xml:space="preserve">,</w:t>
      </w:r>
      <w:r>
        <w:t xml:space="preserve"> </w:t>
      </w:r>
      <w:r>
        <w:rPr>
          <w:i/>
          <w:iCs/>
        </w:rPr>
        <w:t xml:space="preserve">54</w:t>
      </w:r>
      <w:r>
        <w:t xml:space="preserve">(11), 1376–1389.</w:t>
      </w:r>
      <w:r>
        <w:t xml:space="preserve"> </w:t>
      </w:r>
      <w:hyperlink r:id="rId75">
        <w:r>
          <w:rPr>
            <w:rStyle w:val="Hyperlink"/>
          </w:rPr>
          <w:t xml:space="preserve">https://doi.org/10.1139/cjfr-2024-0055</w:t>
        </w:r>
      </w:hyperlink>
    </w:p>
    <w:bookmarkEnd w:id="76"/>
    <w:bookmarkStart w:id="78" w:name="ref-levac2010scoping"/>
    <w:p>
      <w:pPr>
        <w:pStyle w:val="Bibliography"/>
      </w:pPr>
      <w:r>
        <w:t xml:space="preserve">Levac, D., Colquhoun, H., &amp; O’Brien, K. K. (2010). Scoping studies: Advancing the methodology.</w:t>
      </w:r>
      <w:r>
        <w:t xml:space="preserve"> </w:t>
      </w:r>
      <w:r>
        <w:rPr>
          <w:i/>
          <w:iCs/>
        </w:rPr>
        <w:t xml:space="preserve">Implementation Science</w:t>
      </w:r>
      <w:r>
        <w:t xml:space="preserve">,</w:t>
      </w:r>
      <w:r>
        <w:t xml:space="preserve"> </w:t>
      </w:r>
      <w:r>
        <w:rPr>
          <w:i/>
          <w:iCs/>
        </w:rPr>
        <w:t xml:space="preserve">5</w:t>
      </w:r>
      <w:r>
        <w:t xml:space="preserve">(1).</w:t>
      </w:r>
      <w:r>
        <w:t xml:space="preserve"> </w:t>
      </w:r>
      <w:hyperlink r:id="rId77">
        <w:r>
          <w:rPr>
            <w:rStyle w:val="Hyperlink"/>
          </w:rPr>
          <w:t xml:space="preserve">https://doi.org/10.1186/1748-5908-5-69</w:t>
        </w:r>
      </w:hyperlink>
    </w:p>
    <w:bookmarkEnd w:id="78"/>
    <w:bookmarkStart w:id="80" w:name="ref-metsaranta2017uncertainty"/>
    <w:p>
      <w:pPr>
        <w:pStyle w:val="Bibliography"/>
      </w:pPr>
      <w:r>
        <w:t xml:space="preserve">Metsaranta, J. M., Shaw, C. H., Kurz, W. A., Boisvenue, C., &amp; Morken, S. (2017). Uncertainty of inventory-based estimates of the carbon dynamics of</w:t>
      </w:r>
      <w:r>
        <w:t xml:space="preserve"> </w:t>
      </w:r>
      <w:r>
        <w:t xml:space="preserve">Canada</w:t>
      </w:r>
      <w:r>
        <w:t xml:space="preserve">’s managed forest (1990–2014).</w:t>
      </w:r>
      <w:r>
        <w:t xml:space="preserve"> </w:t>
      </w:r>
      <w:r>
        <w:rPr>
          <w:i/>
          <w:iCs/>
        </w:rPr>
        <w:t xml:space="preserve">Canadian Journal of Forest Research</w:t>
      </w:r>
      <w:r>
        <w:t xml:space="preserve">,</w:t>
      </w:r>
      <w:r>
        <w:t xml:space="preserve"> </w:t>
      </w:r>
      <w:r>
        <w:rPr>
          <w:i/>
          <w:iCs/>
        </w:rPr>
        <w:t xml:space="preserve">47</w:t>
      </w:r>
      <w:r>
        <w:t xml:space="preserve">(8), 1082–1094.</w:t>
      </w:r>
      <w:r>
        <w:t xml:space="preserve"> </w:t>
      </w:r>
      <w:hyperlink r:id="rId79">
        <w:r>
          <w:rPr>
            <w:rStyle w:val="Hyperlink"/>
          </w:rPr>
          <w:t xml:space="preserve">https://doi.org/10.1139/cjfr-2017-0088</w:t>
        </w:r>
      </w:hyperlink>
    </w:p>
    <w:bookmarkEnd w:id="80"/>
    <w:bookmarkStart w:id="81" w:name="ref-ogle2019generic"/>
    <w:p>
      <w:pPr>
        <w:pStyle w:val="Bibliography"/>
      </w:pPr>
      <w:r>
        <w:t xml:space="preserve">Ogle, S. M., Kurz, W. A., Green, C., Brandon, A., Baldock, J., Domke, G., Herold, M., Bernoux, M., et al. (2019). Chapter 2: Generic methodologies applicable to multiple land-use categories. In</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4: Agriculture, forestry and other land use</w:t>
      </w:r>
      <w:r>
        <w:t xml:space="preserve">. Intergovernmental Panel on Climate Change.</w:t>
      </w:r>
    </w:p>
    <w:bookmarkEnd w:id="81"/>
    <w:bookmarkStart w:id="82" w:name="ref-paciornik2019uncertainties"/>
    <w:p>
      <w:pPr>
        <w:pStyle w:val="Bibliography"/>
      </w:pPr>
      <w:r>
        <w:t xml:space="preserve">Paciornik, N., Gillenwater, M., De Lauretis, R., Romano, D., Monni, S., &amp; Ogle, S. M. (2019). Chapter 3: uncertainties. In E. Calvo Buendia, K. Tanabe, A. Kranjc, J. Baasansuren, M. Fukuda, S. Ngarize, A. Osako, Y. Pyrozhenko, P. Shermanau, &amp; S. Federici (Eds.),</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1: General guidance and reporting</w:t>
      </w:r>
      <w:r>
        <w:t xml:space="preserve">. Intergovernmental Panel on Climate Change.</w:t>
      </w:r>
    </w:p>
    <w:bookmarkEnd w:id="82"/>
    <w:bookmarkStart w:id="84" w:name="ref-peters2020updated"/>
    <w:p>
      <w:pPr>
        <w:pStyle w:val="Bibliography"/>
      </w:pPr>
      <w:r>
        <w:t xml:space="preserve">Peters, M. D. J., Marnie, C., Tricco, A. C., Pollock, D., Munn, Z., Alexander, L., McInerney, P., Godfrey, C. M., &amp; Khalil, H. (2020). Updated methodological guidance for the conduct of scoping reviews.</w:t>
      </w:r>
      <w:r>
        <w:t xml:space="preserve"> </w:t>
      </w:r>
      <w:r>
        <w:rPr>
          <w:i/>
          <w:iCs/>
        </w:rPr>
        <w:t xml:space="preserve">JBI Evidence Synthesis</w:t>
      </w:r>
      <w:r>
        <w:t xml:space="preserve">,</w:t>
      </w:r>
      <w:r>
        <w:t xml:space="preserve"> </w:t>
      </w:r>
      <w:r>
        <w:rPr>
          <w:i/>
          <w:iCs/>
        </w:rPr>
        <w:t xml:space="preserve">18</w:t>
      </w:r>
      <w:r>
        <w:t xml:space="preserve">(10), 2119–2126.</w:t>
      </w:r>
      <w:r>
        <w:t xml:space="preserve"> </w:t>
      </w:r>
      <w:hyperlink r:id="rId83">
        <w:r>
          <w:rPr>
            <w:rStyle w:val="Hyperlink"/>
          </w:rPr>
          <w:t xml:space="preserve">https://doi.org/10.11124/JBIES-20-00167</w:t>
        </w:r>
      </w:hyperlink>
    </w:p>
    <w:bookmarkEnd w:id="84"/>
    <w:bookmarkStart w:id="86" w:name="ref-tricco2018prisma"/>
    <w:p>
      <w:pPr>
        <w:pStyle w:val="Bibliography"/>
      </w:pPr>
      <w:r>
        <w:t xml:space="preserve">Tricco, A. C., Lillie, E., Zarin, W., O’Brien, K. K., Colquhoun, H., Levac, D., Moher, D., Peters, M. D. J., Horsley, T., Weeks, L., Hempel, S., Akl, E. A., Chang, C., McGowan, J., Stewart, L., Hartling, L., Aldcroft, A., Wilson, M. G., Garritty, C., … Straus, S. E. (2018).</w:t>
      </w:r>
      <w:r>
        <w:t xml:space="preserve"> </w:t>
      </w:r>
      <w:r>
        <w:t xml:space="preserve">PRISMA</w:t>
      </w:r>
      <w:r>
        <w:t xml:space="preserve"> </w:t>
      </w:r>
      <w:r>
        <w:t xml:space="preserve">extension for scoping reviews (</w:t>
      </w:r>
      <w:r>
        <w:t xml:space="preserve">PRISMA-ScR</w:t>
      </w:r>
      <w:r>
        <w:t xml:space="preserve">):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85">
        <w:r>
          <w:rPr>
            <w:rStyle w:val="Hyperlink"/>
          </w:rPr>
          <w:t xml:space="preserve">https://doi.org/10.7326/M18-0850</w:t>
        </w:r>
      </w:hyperlink>
    </w:p>
    <w:bookmarkEnd w:id="86"/>
    <w:bookmarkEnd w:id="87"/>
    <w:bookmarkEnd w:id="8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hyperlink" Id="rId68" Target="https://doi.org/10.1080/1364557032000119616" TargetMode="External" /><Relationship Type="http://schemas.openxmlformats.org/officeDocument/2006/relationships/hyperlink" Id="rId83" Target="https://doi.org/10.11124/JBIES-20-00167" TargetMode="External" /><Relationship Type="http://schemas.openxmlformats.org/officeDocument/2006/relationships/hyperlink" Id="rId79" Target="https://doi.org/10.1139/cjfr-2017-0088" TargetMode="External" /><Relationship Type="http://schemas.openxmlformats.org/officeDocument/2006/relationships/hyperlink" Id="rId75" Target="https://doi.org/10.1139/cjfr-2024-0055" TargetMode="External" /><Relationship Type="http://schemas.openxmlformats.org/officeDocument/2006/relationships/hyperlink" Id="rId77" Target="https://doi.org/10.1186/1748-5908-5-69" TargetMode="External" /><Relationship Type="http://schemas.openxmlformats.org/officeDocument/2006/relationships/hyperlink" Id="rId70" Target="https://doi.org/10.1186/s13021-023-00231-3" TargetMode="External" /><Relationship Type="http://schemas.openxmlformats.org/officeDocument/2006/relationships/hyperlink" Id="rId85" Target="https://doi.org/10.7326/M18-0850" TargetMode="External" /><Relationship Type="http://schemas.openxmlformats.org/officeDocument/2006/relationships/hyperlink" Id="rId73" Target="https://www.fao.org/faostat/en/#data/GI"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8" Target="https://doi.org/10.1080/1364557032000119616" TargetMode="External" /><Relationship Type="http://schemas.openxmlformats.org/officeDocument/2006/relationships/hyperlink" Id="rId83" Target="https://doi.org/10.11124/JBIES-20-00167" TargetMode="External" /><Relationship Type="http://schemas.openxmlformats.org/officeDocument/2006/relationships/hyperlink" Id="rId79" Target="https://doi.org/10.1139/cjfr-2017-0088" TargetMode="External" /><Relationship Type="http://schemas.openxmlformats.org/officeDocument/2006/relationships/hyperlink" Id="rId75" Target="https://doi.org/10.1139/cjfr-2024-0055" TargetMode="External" /><Relationship Type="http://schemas.openxmlformats.org/officeDocument/2006/relationships/hyperlink" Id="rId77" Target="https://doi.org/10.1186/1748-5908-5-69" TargetMode="External" /><Relationship Type="http://schemas.openxmlformats.org/officeDocument/2006/relationships/hyperlink" Id="rId70" Target="https://doi.org/10.1186/s13021-023-00231-3" TargetMode="External" /><Relationship Type="http://schemas.openxmlformats.org/officeDocument/2006/relationships/hyperlink" Id="rId85" Target="https://doi.org/10.7326/M18-0850" TargetMode="External" /><Relationship Type="http://schemas.openxmlformats.org/officeDocument/2006/relationships/hyperlink" Id="rId73" Target="https://www.fao.org/faostat/en/#data/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Disaggregated uncertainties of natural and anthropogenic fire emissions in Canada’s greenhouse gas reporting</dc:title>
  <dc:creator>Seamus Murphy</dc:creator>
  <cp:keywords>natural disturbance, managed land proxy, factoring out, greenhouse gas inventory, national inventory, UNFCCC, Kyoto Protocol, Paris Agreement, carbon accounting, LULUCF, managed forest, forest reference level, fire regime, disturbance regime, fire cycle, fire history, fire frequency, time-since-fire, fire return interval, natural range of variation, historical range of variability, range of natural variability, interannual variability, record length, baseline period, age-class distribution, negative exponential, Weibull, carbon budget, forest carbon, carbon balance, net ecosystem production, net biome production, carbon flux, carbon sink, Monte Carlo, wildfire, FAOSTAT, Global Fire Emissions Database, crediting, carbon credits, REDD+, buffer pool, reversal</cp:keywords>
  <dcterms:created xsi:type="dcterms:W3CDTF">2026-10-22T22:56:21Z</dcterms:created>
  <dcterms:modified xsi:type="dcterms:W3CDTF">2026-10-22T22:56:21Z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2026-10-22</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Assessing the crediting balance of IPCC method updates to reported uncertainty in the era of megafire emissions accounting</vt:lpwstr>
  </property>
  <property fmtid="{D5CDD505-2E9C-101B-9397-08002B2CF9AE}" pid="15" name="toc-title">
    <vt:lpwstr>Table of contents</vt:lpwstr>
  </property>
</Properties>
</file>