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2FBE" w:rsidRDefault="00662FBE" w:rsidP="00662FBE">
      <w:r>
        <w:t>Actor Networ</w:t>
      </w:r>
      <w:r>
        <w:t>k Theory and Material Semiotics</w:t>
      </w:r>
    </w:p>
    <w:p w:rsidR="00662FBE" w:rsidRDefault="00662FBE" w:rsidP="00662FBE">
      <w:r>
        <w:t>John Law</w:t>
      </w:r>
      <w:r>
        <w:t xml:space="preserve"> 2007</w:t>
      </w:r>
    </w:p>
    <w:p w:rsidR="00662FBE" w:rsidRDefault="00662FBE" w:rsidP="00662FBE">
      <w:r>
        <w:t xml:space="preserve">This new material semiotics (ANT) insists that the stories of social theory are performative, not innocent. But also assumes that reality is not destiny. With great difficulty what is real may be remade. Andf it is with this thought, the possibili9ty and the difficulty ogf living and doing the </w:t>
      </w:r>
      <w:proofErr w:type="gramStart"/>
      <w:r>
        <w:t>real, that</w:t>
      </w:r>
      <w:proofErr w:type="gramEnd"/>
      <w:r>
        <w:t xml:space="preserve"> I end. The relational semiotic disapora insists that the good and the bad are embedded in the realm, and the real in the good and the bad. To describe the real is always an ethicially charged act. But this is the crucial </w:t>
      </w:r>
      <w:proofErr w:type="gramStart"/>
      <w:r>
        <w:t>point,</w:t>
      </w:r>
      <w:proofErr w:type="gramEnd"/>
      <w:r>
        <w:t xml:space="preserve"> the two are only patially connected: goods and reals cannot be reduced to eah other. An act of political will can never, by itself, overturn the endless and partially connected webs that enact the real. Deconstruction is no enough. Indeed it is trivial (Latour 2004b </w:t>
      </w:r>
      <w:r>
        <w:t xml:space="preserve">Latour, Bruno (2004b), 'Why has Critique Run out of Steam? </w:t>
      </w:r>
      <w:proofErr w:type="gramStart"/>
      <w:r>
        <w:t xml:space="preserve">From Matters of Fact to Matters of Concern', </w:t>
      </w:r>
      <w:r>
        <w:t>c</w:t>
      </w:r>
      <w:r>
        <w:t>ritical Inquiry, 30, 225-248, also available at http://www.ensmp.fr/~latour/articles/article/089.</w:t>
      </w:r>
      <w:proofErr w:type="gramEnd"/>
      <w:r>
        <w:t xml:space="preserve"> </w:t>
      </w:r>
      <w:proofErr w:type="gramStart"/>
      <w:r>
        <w:t>html</w:t>
      </w:r>
      <w:proofErr w:type="gramEnd"/>
      <w:r>
        <w:t>.</w:t>
      </w:r>
      <w:r>
        <w:t>) ......The conclusion is inescapable: as we write we have a simultaneous responsibility both to the real and to the good. …. Pp 17</w:t>
      </w:r>
    </w:p>
    <w:p w:rsidR="00662FBE" w:rsidRDefault="00662FBE" w:rsidP="00662FBE"/>
    <w:p w:rsidR="00662FBE" w:rsidRDefault="00662FBE" w:rsidP="00662FBE">
      <w:r>
        <w:t xml:space="preserve">Relevant to the efficacy of stories told about Zambia and Likapa – stories of social theory are performative, not innocent… reality is not destiny… what may be real may be remade – importance of netowirks and material semiotics in shaping a reality and representing the shaping of a reality. … </w:t>
      </w:r>
      <w:bookmarkStart w:id="0" w:name="_GoBack"/>
      <w:bookmarkEnd w:id="0"/>
    </w:p>
    <w:sectPr w:rsidR="00662F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080E0000" w:usb2="00000010" w:usb3="00000000" w:csb0="00040001"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2FBE"/>
    <w:rsid w:val="00662FB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223</Words>
  <Characters>1272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SOAS</Company>
  <LinksUpToDate>false</LinksUpToDate>
  <CharactersWithSpaces>1493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Authorised User</cp:lastModifiedBy>
  <cp:revision>1</cp:revision>
  <dcterms:created xsi:type="dcterms:W3CDTF">2013-02-26T11:09:00Z</dcterms:created>
  <dcterms:modified xsi:type="dcterms:W3CDTF">2013-02-26T11:22:00Z</dcterms:modified>
</cp:coreProperties>
</file>