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55.png" ContentType="image/png"/>
  <Override PartName="/word/media/rId67.png" ContentType="image/png"/>
  <Override PartName="/word/media/rId96.png" ContentType="image/png"/>
  <Override PartName="/word/media/rId100.png" ContentType="image/png"/>
  <Override PartName="/word/media/rId104.png" ContentType="image/png"/>
  <Override PartName="/word/media/rId82.png" ContentType="image/png"/>
  <Override PartName="/word/media/rId118.png" ContentType="image/png"/>
  <Override PartName="/word/media/rId37.png" ContentType="image/png"/>
  <Override PartName="/word/media/rId30.png" ContentType="image/png"/>
  <Override PartName="/word/media/rId34.png" ContentType="image/png"/>
  <Override PartName="/word/media/rId72.png" ContentType="image/png"/>
  <Override PartName="/word/media/rId62.png" ContentType="image/png"/>
  <Override PartName="/word/media/rId87.png" ContentType="image/png"/>
  <Override PartName="/word/media/rId79.png" ContentType="image/png"/>
  <Override PartName="/word/media/rId76.png" ContentType="image/png"/>
  <Override PartName="/word/media/rId41.png" ContentType="image/png"/>
  <Override PartName="/word/media/rId4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Seamus Murphy</w:t>
      </w:r>
    </w:p>
    <w:p>
      <w:pPr>
        <w:pStyle w:val="Author"/>
      </w:pPr>
      <w:r>
        <w:t xml:space="preserve">John Wilson</w:t>
      </w:r>
    </w:p>
    <w:p>
      <w:pPr>
        <w:pStyle w:val="Author"/>
      </w:pPr>
      <w:r>
        <w:t xml:space="preserve">Lauren K Banks</w:t>
      </w:r>
    </w:p>
    <w:p>
      <w:pPr>
        <w:pStyle w:val="Date"/>
      </w:pPr>
      <w:r>
        <w:t xml:space="preserve">2026-07-30</w:t>
      </w:r>
    </w:p>
    <w:p>
      <w:pPr>
        <w:pStyle w:val="AbstractTitle"/>
      </w:pPr>
      <w:r>
        <w:t xml:space="preserve">Abstract</w:t>
      </w:r>
    </w:p>
    <w:p>
      <w:pPr>
        <w:pStyle w:val="Abstract"/>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bookmarkStart w:id="27"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0"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vegetation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0"/>
    <w:bookmarkStart w:id="21"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flooding beneath the vegetation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vegetation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detection beneath the vegetation,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1"/>
    <w:bookmarkStart w:id="23"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vegetation is the physical basis for detecting inundation beneath the vegetation.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vegetation far more effectively. Hess et al. (2003) showed that L-band detected flooding beneath the vegetation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2"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2"/>
    <w:bookmarkEnd w:id="23"/>
    <w:bookmarkStart w:id="24"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4"/>
    <w:bookmarkStart w:id="25"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the vegetation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5"/>
    <w:bookmarkStart w:id="26" w:name="research-objectives"/>
    <w:p>
      <w:pPr>
        <w:pStyle w:val="Heading3"/>
      </w:pPr>
      <w:r>
        <w:t xml:space="preserve">1.6 Research Objectives</w:t>
      </w:r>
    </w:p>
    <w:p>
      <w:pPr>
        <w:pStyle w:val="FirstParagraph"/>
      </w:pPr>
      <w:r>
        <w:t xml:space="preserve">This study pursues two aims. The first and primary aim is methodological. Surface water extent in vegetated wetlands is systematically underestimated, because it is mapped as open water. The two terms are used as though they were synonyms, so products that report surface water report only the fraction of it that lies open to the sky. Where flooded vegetation holds most of the standing water, as it does at Lake Chilwa, this is not a bias to be corrected at the margin but a measurement of the wrong quantity. We therefore measure surface water as the sum of open water and water standing within emergent vegetation, and we retain the vegetated class through every stage of the analysis rather than excluding it to protect the accuracy figures (Slagter et al., 2020). The obstacle is not the sensor alone. Water standing within a reed stand cannot be labelled from above at any resolution, and the marsh interior cannot be reached from the shore, so no conventional survey can supply the reference data the class requires. Fishers work that interior through the recession cycle and observe the standing water directly. Their observations are the training data this class has never had.</w:t>
      </w:r>
    </w:p>
    <w:p>
      <w:pPr>
        <w:pStyle w:val="BodyText"/>
      </w:pPr>
      <w:r>
        <w:t xml:space="preserve">The model we build on those labels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the vegetation that C-band cannot (Adeli et al., 2020; Mahdianpari et al., 2020). It is fitted through spectral endmember mixture analysis, which resolves the water-and-vegetation mixture below the 30 m pixel as continuous fractions rather than forcing it wholly into one class or the other. And it is trained on participatory mapping with the basin’s fishing communities, who work the marsh interior through the recession cycle and can report standing water within a reed stand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Three hypotheses follow, and each can fail.</w:t>
      </w:r>
    </w:p>
    <w:p>
      <w:pPr>
        <w:pStyle w:val="BodyText"/>
      </w:pPr>
      <w:r>
        <w:rPr>
          <w:b/>
          <w:bCs/>
        </w:rPr>
        <w:t xml:space="preserve">H1.</w:t>
      </w:r>
      <w:r>
        <w:t xml:space="preserve"> </w:t>
      </w:r>
      <w:r>
        <w:t xml:space="preserve">Most of Lake Chilwa’s surface water stands beneath aquatic vegetation rather than open to the sky. Total inundated area therefore cannot be recovered from open-water mapping, and existing surface-water records understate the basin’s inundation by a large and measurable fraction. Leblanc et al. (2011) established this necessity for Lake Chad; Chilwa is the same class of shallow, vegetation-dominated lake.</w:t>
      </w:r>
    </w:p>
    <w:p>
      <w:pPr>
        <w:pStyle w:val="BodyText"/>
      </w:pPr>
      <w:r>
        <w:rPr>
          <w:b/>
          <w:bCs/>
        </w:rPr>
        <w:t xml:space="preserve">H2.</w:t>
      </w:r>
      <w:r>
        <w:t xml:space="preserve"> </w:t>
      </w:r>
      <w:r>
        <w:t xml:space="preserve">No imagery-derived reference set can label the vegetated fraction: optical sensors observe only the skin surface of the vegetation, and C-band backscatter over water is continually modulated by wind roughening. Fisher-derived reference points supply labels for that class, and a classifier trained on them returns a flooded-vegetation extent that differs materially from one trained on image-interpreted or global-product reference data.</w:t>
      </w:r>
    </w:p>
    <w:p>
      <w:pPr>
        <w:pStyle w:val="BodyText"/>
      </w:pPr>
      <w:r>
        <w:rPr>
          <w:b/>
          <w:bCs/>
        </w:rPr>
        <w:t xml:space="preserve">H3.</w:t>
      </w:r>
      <w:r>
        <w:t xml:space="preserve"> </w:t>
      </w:r>
      <w:r>
        <w:t xml:space="preserve">Vegetation activity remains elevated for weeks to months after water has receded, so index-based records date a past inundation rather than measuring a present one. Fisher observation registers recession as it happens, and the offset between the two records is therefore a property of the spectral response, not of revisit frequency.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6"/>
    <w:bookmarkEnd w:id="27"/>
    <w:bookmarkStart w:id="95" w:name="methods"/>
    <w:p>
      <w:pPr>
        <w:pStyle w:val="Heading2"/>
      </w:pPr>
      <w:r>
        <w:t xml:space="preserve">Methods</w:t>
      </w:r>
    </w:p>
    <w:bookmarkStart w:id="29"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4961"/>
        <w:tblLayout w:type="fixed"/>
        <w:tblLook w:firstRow="1" w:lastRow="0" w:firstColumn="0" w:lastColumn="0" w:noHBand="0" w:noVBand="0" w:val="0020"/>
      </w:tblPr>
      <w:tblGrid>
        <w:gridCol w:w="1670"/>
        <w:gridCol w:w="1423"/>
        <w:gridCol w:w="4764"/>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t xml:space="preserve">Aligned to Group Village Headmen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t xml:space="preserve">Aligned to Traditional Authorities</w:t>
            </w:r>
          </w:p>
        </w:tc>
      </w:tr>
    </w:tbl>
    <w:bookmarkStart w:id="28"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8"/>
    <w:bookmarkEnd w:id="29"/>
    <w:bookmarkStart w:id="93"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beneath vegetation (Adeli et al., 2020). Cover fractions are estimated at sub-pixel scale by endmember mixture analysis and enter the model as continuous predictors, because the water-and-vegetation mixture falls below the 30 m pixel and hard assignment discards it. Training labels come from the participatory and field record of Section 2.1.1 rather than from image interpretation, because inundation beneath the vegetation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stand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4967"/>
        <w:tblLayout w:type="fixed"/>
        <w:tblLook w:firstRow="1" w:lastRow="0" w:firstColumn="0" w:lastColumn="0" w:noHBand="0" w:noVBand="0" w:val="0020"/>
      </w:tblPr>
      <w:tblGrid>
        <w:gridCol w:w="1927"/>
        <w:gridCol w:w="1927"/>
        <w:gridCol w:w="4012"/>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r>
        <w:tc>
          <w:tcPr/>
          <w:p>
            <w:pPr>
              <w:pStyle w:val="Compact"/>
            </w:pPr>
            <w:r>
              <w:t xml:space="preserve">Climate reanalysis and satellite</w:t>
            </w:r>
          </w:p>
        </w:tc>
        <w:tc>
          <w:tcPr/>
          <w:p>
            <w:pPr>
              <w:pStyle w:val="Compact"/>
            </w:pPr>
            <w:r>
              <w:t xml:space="preserve">1984 to 2024, 492 monthly steps</w:t>
            </w:r>
          </w:p>
        </w:tc>
        <w:tc>
          <w:tcPr/>
          <w:p>
            <w:pPr>
              <w:pStyle w:val="Compact"/>
            </w:pPr>
            <w:r>
              <w:t xml:space="preserve">Continuous; TerraClimate and SPEI end December 2024</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3" w:name="X0bbd75d72d065527fc63da7fc555532ddd84038"/>
    <w:p>
      <w:pPr>
        <w:pStyle w:val="Heading4"/>
      </w:pPr>
      <w:r>
        <w:t xml:space="preserve">Climatic Setting and Hydrological Drivers</w:t>
      </w:r>
    </w:p>
    <w:p>
      <w:pPr>
        <w:pStyle w:val="FirstParagraph"/>
      </w:pPr>
      <w:r>
        <w:t xml:space="preserve">Lake Chilwa is endorheic, so water leaves the basin only by evaporation and seepage, and the balance between rainfall and atmospheric demand sets the level the lake can hold. We assembled a basin-mean climate record over the same window as the satellite series, 1984 to 2024, drawing on three products so that no single reanalysis or satellite estimate carries it alone: CHIRPS pentad precipitation, which blends station observations across Africa; TerraClimate monthly precipitation, potential evapotranspiration, and air temperature; and ERA5-Land monthly precipitation and two-metre air temperature. Drought state comes from the standardised precipitation-evapotranspiration index at a twelve-month accumulation (Vicente-Serrano et al., 2010), chosen over the more common standardised precipitation index because the evaporative term is not optional in a closed basin.</w:t>
      </w:r>
    </w:p>
    <w:p>
      <w:pPr>
        <w:pStyle w:val="BodyText"/>
      </w:pPr>
      <w:r>
        <w:t xml:space="preserve">Precipitation averages 1,112 mm a year against potential evapotranspiration of 1,347 mm, a mean deficit of 235 mm, and the deficit is the normal state: rainfall exceeded atmospheric demand in only seven of the forty-one years. Rainfall is the variable term, ranging from 659 mm in 1992 to 1,444 mm in 1997 with a coefficient of variation of 0.17, while demand is nearly fixed, its standard deviation 45 mm against a mean of 1,347 mm. Mean annual air temperature is 22.4 °C and rises at 0.19 °C per decade across the record, from 21.6 °C in 1985 to 23.3 °C in 2024, lifting the evaporative term any refill must overcome.</w:t>
      </w:r>
    </w:p>
    <w:p>
      <w:pPr>
        <w:pStyle w:val="BodyText"/>
      </w:pPr>
      <w:r>
        <w:t xml:space="preserve">The drought index dates the dry periods but does not predict the lake. SPEI-12 falls below -1.5 in 1992, 1994, 1995, 2005, and 2006, and two of those years, 1992 and 1995, sit among the five lowest in sub-pixel open water. The extremes contradict, however. The lowest open-water year of the record, 2003, was climatically unremarkable at 1,250 mm of rainfall, and the highest, 2024, was dry at 859 mm, following 2023, one of only three years since 2005 in which precipitation exceeded atmospheric demand. Across the record annual rainfall explains little of the annual variation in open water, the lagged cross-correlation peaking at r = 0.28 at one year over thirty-two paired years. The lake integrates its inputs over intervals the annual composite does not resolve, which is a reason to measure inundation from imagery rather than infer it from rainfall.</w:t>
      </w:r>
    </w:p>
    <w:p>
      <w:pPr>
        <w:pStyle w:val="SourceCode"/>
      </w:pPr>
      <w:r>
        <w:rPr>
          <w:rStyle w:val="CommentTok"/>
        </w:rPr>
        <w:t xml:space="preserve"># Basin-mean monthly climate, 1984 to 2024, over the self-derived basin polygon.</w:t>
      </w:r>
      <w:r>
        <w:br/>
      </w:r>
      <w:r>
        <w:rPr>
          <w:rStyle w:val="CommentTok"/>
        </w:rPr>
        <w:t xml:space="preserve"># Run once; the full script is 05.scripts/extract_climate_timeseries.R, which</w:t>
      </w:r>
      <w:r>
        <w:br/>
      </w:r>
      <w:r>
        <w:rPr>
          <w:rStyle w:val="CommentTok"/>
        </w:rPr>
        <w:t xml:space="preserve"># writes 03.outputs/CSV/climate_monthly.csv and climate_annual.csv.</w:t>
      </w:r>
      <w:r>
        <w:br/>
      </w:r>
      <w:r>
        <w:rPr>
          <w:rStyle w:val="NormalTok"/>
        </w:rPr>
        <w:t xml:space="preserve">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w:t>
      </w:r>
      <w:r>
        <w:rPr>
          <w:rStyle w:val="DecValTok"/>
        </w:rPr>
        <w:t xml:space="preserve">1984</w:t>
      </w:r>
      <w:r>
        <w:rPr>
          <w:rStyle w:val="NormalTok"/>
        </w:rPr>
        <w:t xml:space="preserve">L, </w:t>
      </w:r>
      <w:r>
        <w:rPr>
          <w:rStyle w:val="DecValTok"/>
        </w:rPr>
        <w:t xml:space="preserve">1</w:t>
      </w:r>
      <w:r>
        <w:rPr>
          <w:rStyle w:val="NormalTok"/>
        </w:rPr>
        <w:t xml:space="preserve">L, </w:t>
      </w:r>
      <w:r>
        <w:rPr>
          <w:rStyle w:val="DecValTok"/>
        </w:rPr>
        <w:t xml:space="preserve">1</w:t>
      </w:r>
      <w:r>
        <w:rPr>
          <w:rStyle w:val="NormalTok"/>
        </w:rPr>
        <w:t xml:space="preserve">L)</w:t>
      </w:r>
      <w:r>
        <w:br/>
      </w:r>
      <w:r>
        <w:rPr>
          <w:rStyle w:val="NormalTok"/>
        </w:rPr>
        <w:t xml:space="preserve">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w:t>
      </w:r>
      <w:r>
        <w:rPr>
          <w:rStyle w:val="DecValTok"/>
        </w:rPr>
        <w:t xml:space="preserve">2025</w:t>
      </w:r>
      <w:r>
        <w:rPr>
          <w:rStyle w:val="NormalTok"/>
        </w:rPr>
        <w:t xml:space="preserve">L, </w:t>
      </w:r>
      <w:r>
        <w:rPr>
          <w:rStyle w:val="DecValTok"/>
        </w:rPr>
        <w:t xml:space="preserve">1</w:t>
      </w:r>
      <w:r>
        <w:rPr>
          <w:rStyle w:val="NormalTok"/>
        </w:rPr>
        <w:t xml:space="preserve">L, </w:t>
      </w:r>
      <w:r>
        <w:rPr>
          <w:rStyle w:val="DecValTok"/>
        </w:rPr>
        <w:t xml:space="preserve">1</w:t>
      </w:r>
      <w:r>
        <w:rPr>
          <w:rStyle w:val="NormalTok"/>
        </w:rPr>
        <w:t xml:space="preserve">L)</w:t>
      </w:r>
      <w:r>
        <w:br/>
      </w:r>
      <w:r>
        <w:rPr>
          <w:rStyle w:val="NormalTok"/>
        </w:rPr>
        <w:t xml:space="preserve">months </w:t>
      </w:r>
      <w:r>
        <w:rPr>
          <w:rStyle w:val="OtherTok"/>
        </w:rPr>
        <w:t xml:space="preserve">&lt;-</w:t>
      </w:r>
      <w:r>
        <w:rPr>
          <w:rStyle w:val="NormalTok"/>
        </w:rPr>
        <w:t xml:space="preserve"> ee</w:t>
      </w:r>
      <w:r>
        <w:rPr>
          <w:rStyle w:val="SpecialCharTok"/>
        </w:rPr>
        <w:t xml:space="preserve">$</w:t>
      </w:r>
      <w:r>
        <w:rPr>
          <w:rStyle w:val="NormalTok"/>
        </w:rPr>
        <w:t xml:space="preserve">List</w:t>
      </w:r>
      <w:r>
        <w:rPr>
          <w:rStyle w:val="SpecialCharTok"/>
        </w:rPr>
        <w:t xml:space="preserve">$</w:t>
      </w:r>
      <w:r>
        <w:rPr>
          <w:rStyle w:val="FunctionTok"/>
        </w:rPr>
        <w:t xml:space="preserve">sequence</w:t>
      </w:r>
      <w:r>
        <w:rPr>
          <w:rStyle w:val="NormalTok"/>
        </w:rPr>
        <w:t xml:space="preserve">(</w:t>
      </w:r>
      <w:r>
        <w:rPr>
          <w:rStyle w:val="DecValTok"/>
        </w:rPr>
        <w:t xml:space="preserve">0</w:t>
      </w:r>
      <w:r>
        <w:rPr>
          <w:rStyle w:val="NormalTok"/>
        </w:rPr>
        <w:t xml:space="preserve">, </w:t>
      </w:r>
      <w:r>
        <w:rPr>
          <w:rStyle w:val="DecValTok"/>
        </w:rPr>
        <w:t xml:space="preserve">41</w:t>
      </w:r>
      <w:r>
        <w:rPr>
          <w:rStyle w:val="NormalTok"/>
        </w:rPr>
        <w:t xml:space="preserve">L </w:t>
      </w:r>
      <w:r>
        <w:rPr>
          <w:rStyle w:val="SpecialCharTok"/>
        </w:rPr>
        <w:t xml:space="preserve">*</w:t>
      </w:r>
      <w:r>
        <w:rPr>
          <w:rStyle w:val="NormalTok"/>
        </w:rPr>
        <w:t xml:space="preserve"> </w:t>
      </w:r>
      <w:r>
        <w:rPr>
          <w:rStyle w:val="DecValTok"/>
        </w:rPr>
        <w:t xml:space="preserve">12</w:t>
      </w:r>
      <w:r>
        <w:rPr>
          <w:rStyle w:val="NormalTok"/>
        </w:rPr>
        <w:t xml:space="preserve">L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CommentTok"/>
        </w:rPr>
        <w:t xml:space="preserve"># reduceRegion at each product's native grid; a coarser scale would alias.</w:t>
      </w:r>
      <w:r>
        <w:br/>
      </w:r>
      <w:r>
        <w:rPr>
          <w:rStyle w:val="NormalTok"/>
        </w:rPr>
        <w:t xml:space="preserve">basin_mean </w:t>
      </w:r>
      <w:r>
        <w:rPr>
          <w:rStyle w:val="OtherTok"/>
        </w:rPr>
        <w:t xml:space="preserve">&lt;-</w:t>
      </w:r>
      <w:r>
        <w:rPr>
          <w:rStyle w:val="NormalTok"/>
        </w:rPr>
        <w:t xml:space="preserve"> </w:t>
      </w:r>
      <w:r>
        <w:rPr>
          <w:rStyle w:val="ControlFlowTok"/>
        </w:rPr>
        <w:t xml:space="preserve">function</w:t>
      </w:r>
      <w:r>
        <w:rPr>
          <w:rStyle w:val="NormalTok"/>
        </w:rPr>
        <w:t xml:space="preserve">(img, scale, date_str) {</w:t>
      </w:r>
      <w:r>
        <w:br/>
      </w:r>
      <w:r>
        <w:rPr>
          <w:rStyle w:val="NormalTok"/>
        </w:rPr>
        <w:t xml:space="preserve">  v </w:t>
      </w:r>
      <w:r>
        <w:rPr>
          <w:rStyle w:val="OtherTok"/>
        </w:rPr>
        <w:t xml:space="preserve">&lt;-</w:t>
      </w:r>
      <w:r>
        <w:rPr>
          <w:rStyle w:val="NormalTok"/>
        </w:rPr>
        <w:t xml:space="preserve"> img</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aoi_ee, scale, </w:t>
      </w:r>
      <w:r>
        <w:rPr>
          <w:rStyle w:val="AttributeTok"/>
        </w:rPr>
        <w:t xml:space="preserve">maxPixels =</w:t>
      </w:r>
      <w:r>
        <w:rPr>
          <w:rStyle w:val="NormalTok"/>
        </w:rPr>
        <w:t xml:space="preserve"> </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v)</w:t>
      </w:r>
      <w:r>
        <w:rPr>
          <w:rStyle w:val="SpecialCharTok"/>
        </w:rPr>
        <w:t xml:space="preserve">$</w:t>
      </w:r>
      <w:r>
        <w:rPr>
          <w:rStyle w:val="FunctionTok"/>
        </w:rPr>
        <w:t xml:space="preserve">set</w:t>
      </w:r>
      <w:r>
        <w:rPr>
          <w:rStyle w:val="NormalTok"/>
        </w:rPr>
        <w:t xml:space="preserve">(</w:t>
      </w:r>
      <w:r>
        <w:rPr>
          <w:rStyle w:val="StringTok"/>
        </w:rPr>
        <w:t xml:space="preserve">"date"</w:t>
      </w:r>
      <w:r>
        <w:rPr>
          <w:rStyle w:val="NormalTok"/>
        </w:rPr>
        <w:t xml:space="preserve">, date_str)</w:t>
      </w:r>
      <w:r>
        <w:br/>
      </w:r>
      <w:r>
        <w:rPr>
          <w:rStyle w:val="NormalTok"/>
        </w:rPr>
        <w:t xml:space="preserve">}</w:t>
      </w:r>
      <w:r>
        <w:br/>
      </w:r>
      <w:r>
        <w:rPr>
          <w:rStyle w:val="NormalTok"/>
        </w:rPr>
        <w:t xml:space="preserve">month_of </w:t>
      </w:r>
      <w:r>
        <w:rPr>
          <w:rStyle w:val="OtherTok"/>
        </w:rPr>
        <w:t xml:space="preserve">&lt;-</w:t>
      </w:r>
      <w:r>
        <w:rPr>
          <w:rStyle w:val="NormalTok"/>
        </w:rPr>
        <w:t xml:space="preserve"> </w:t>
      </w:r>
      <w:r>
        <w:rPr>
          <w:rStyle w:val="ControlFlowTok"/>
        </w:rPr>
        <w:t xml:space="preserve">function</w:t>
      </w:r>
      <w:r>
        <w:rPr>
          <w:rStyle w:val="NormalTok"/>
        </w:rPr>
        <w:t xml:space="preserve">(img)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w:t>
      </w:r>
      <w:r>
        <w:rPr>
          <w:rStyle w:val="NormalTok"/>
        </w:rPr>
        <w:t xml:space="preserve">)</w:t>
      </w:r>
      <w:r>
        <w:br/>
      </w:r>
      <w:r>
        <w:br/>
      </w:r>
      <w:r>
        <w:rPr>
          <w:rStyle w:val="CommentTok"/>
        </w:rPr>
        <w:t xml:space="preserve"># CHIRPS pentads summed to calendar months: six per month, none straddling.</w:t>
      </w:r>
      <w:r>
        <w:br/>
      </w:r>
      <w:r>
        <w:rPr>
          <w:rStyle w:val="NormalTok"/>
        </w:rPr>
        <w:t xml:space="preserve">chirps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"UCSB-CHG/CHIRPS/PENTAD"</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"precipitation"</w:t>
      </w:r>
      <w:r>
        <w:rPr>
          <w:rStyle w:val="NormalTok"/>
        </w:rPr>
        <w:t xml:space="preserve">)</w:t>
      </w:r>
      <w:r>
        <w:br/>
      </w:r>
      <w:r>
        <w:rPr>
          <w:rStyle w:val="NormalTok"/>
        </w:rPr>
        <w:t xml:space="preserve">chirps_fc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(months</w:t>
      </w:r>
      <w:r>
        <w:rPr>
          <w:rStyle w:val="SpecialCharTok"/>
        </w:rPr>
        <w:t xml:space="preserve">$</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(m) {</w:t>
      </w:r>
      <w:r>
        <w:br/>
      </w:r>
      <w:r>
        <w:rPr>
          <w:rStyle w:val="NormalTok"/>
        </w:rPr>
        <w:t xml:space="preserve">  s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(m, </w:t>
      </w:r>
      <w:r>
        <w:rPr>
          <w:rStyle w:val="StringTok"/>
        </w:rPr>
        <w:t xml:space="preserve">"month"</w:t>
      </w:r>
      <w:r>
        <w:rPr>
          <w:rStyle w:val="NormalTok"/>
        </w:rPr>
        <w:t xml:space="preserve">)</w:t>
      </w:r>
      <w:r>
        <w:br/>
      </w:r>
      <w:r>
        <w:rPr>
          <w:rStyle w:val="NormalTok"/>
        </w:rPr>
        <w:t xml:space="preserve">  </w:t>
      </w:r>
      <w:r>
        <w:rPr>
          <w:rStyle w:val="FunctionTok"/>
        </w:rPr>
        <w:t xml:space="preserve">basin_mean</w:t>
      </w:r>
      <w:r>
        <w:rPr>
          <w:rStyle w:val="NormalTok"/>
        </w:rPr>
        <w:t xml:space="preserve">(chirps</w:t>
      </w:r>
      <w:r>
        <w:rPr>
          <w:rStyle w:val="SpecialCharTok"/>
        </w:rPr>
        <w:t xml:space="preserve">$</w:t>
      </w:r>
      <w:r>
        <w:rPr>
          <w:rStyle w:val="FunctionTok"/>
        </w:rPr>
        <w:t xml:space="preserve">filterDate</w:t>
      </w:r>
      <w:r>
        <w:rPr>
          <w:rStyle w:val="NormalTok"/>
        </w:rPr>
        <w:t xml:space="preserve">(s, s</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 </w:t>
      </w:r>
      <w:r>
        <w:rPr>
          <w:rStyle w:val="StringTok"/>
        </w:rPr>
        <w:t xml:space="preserve">"month"</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"pr_chirps"</w:t>
      </w:r>
      <w:r>
        <w:rPr>
          <w:rStyle w:val="NormalTok"/>
        </w:rPr>
        <w:t xml:space="preserve">),</w:t>
      </w:r>
      <w:r>
        <w:br/>
      </w:r>
      <w:r>
        <w:rPr>
          <w:rStyle w:val="NormalTok"/>
        </w:rPr>
        <w:t xml:space="preserve">             </w:t>
      </w:r>
      <w:r>
        <w:rPr>
          <w:rStyle w:val="DecValTok"/>
        </w:rPr>
        <w:t xml:space="preserve">5566</w:t>
      </w:r>
      <w:r>
        <w:rPr>
          <w:rStyle w:val="NormalTok"/>
        </w:rPr>
        <w:t xml:space="preserve">, s</w:t>
      </w:r>
      <w:r>
        <w:rPr>
          <w:rStyle w:val="SpecialCharTok"/>
        </w:rPr>
        <w:t xml:space="preserve">$</w:t>
      </w:r>
      <w:r>
        <w:rPr>
          <w:rStyle w:val="FunctionTok"/>
        </w:rPr>
        <w:t xml:space="preserve">format</w:t>
      </w:r>
      <w:r>
        <w:rPr>
          <w:rStyle w:val="NormalTok"/>
        </w:rPr>
        <w:t xml:space="preserve">(</w:t>
      </w:r>
      <w:r>
        <w:rPr>
          <w:rStyle w:val="StringTok"/>
        </w:rPr>
        <w:t xml:space="preserve">"YYYY-MM"</w:t>
      </w:r>
      <w:r>
        <w:rPr>
          <w:rStyle w:val="NormalTok"/>
        </w:rPr>
        <w:t xml:space="preserve">))</w:t>
      </w:r>
      <w:r>
        <w:br/>
      </w:r>
      <w:r>
        <w:rPr>
          <w:rStyle w:val="NormalTok"/>
        </w:rPr>
        <w:t xml:space="preserve">})))</w:t>
      </w:r>
      <w:r>
        <w:br/>
      </w:r>
      <w:r>
        <w:br/>
      </w:r>
      <w:r>
        <w:rPr>
          <w:rStyle w:val="CommentTok"/>
        </w:rPr>
        <w:t xml:space="preserve"># TerraClimate scale factors: pet, tmmx and tmmn are 0.1; pdsi is 0.01.</w:t>
      </w:r>
      <w:r>
        <w:br/>
      </w:r>
      <w:r>
        <w:rPr>
          <w:rStyle w:val="NormalTok"/>
        </w:rPr>
        <w:t xml:space="preserve">tc_fc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"IDAHO_EPSCOR/TERRACLIMATE"</w:t>
      </w:r>
      <w:r>
        <w:rPr>
          <w:rStyle w:val="NormalTok"/>
        </w:rPr>
        <w:t xml:space="preserve">)</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b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"pr"</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"pet"</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"pet_terraclim"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"tmmx"</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"tmax_terraclim"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"tmmn"</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"tmin_terraclim"</w:t>
      </w:r>
      <w:r>
        <w:rPr>
          <w:rStyle w:val="NormalTok"/>
        </w:rPr>
        <w:t xml:space="preserve">))</w:t>
      </w:r>
      <w:r>
        <w:br/>
      </w:r>
      <w:r>
        <w:rPr>
          <w:rStyle w:val="NormalTok"/>
        </w:rPr>
        <w:t xml:space="preserve">    </w:t>
      </w:r>
      <w:r>
        <w:rPr>
          <w:rStyle w:val="FunctionTok"/>
        </w:rPr>
        <w:t xml:space="preserve">basin_mean</w:t>
      </w:r>
      <w:r>
        <w:rPr>
          <w:rStyle w:val="NormalTok"/>
        </w:rPr>
        <w:t xml:space="preserve">(b, </w:t>
      </w:r>
      <w:r>
        <w:rPr>
          <w:rStyle w:val="DecValTok"/>
        </w:rPr>
        <w:t xml:space="preserve">4638</w:t>
      </w:r>
      <w:r>
        <w:rPr>
          <w:rStyle w:val="NormalTok"/>
        </w:rPr>
        <w:t xml:space="preserve">, </w:t>
      </w:r>
      <w:r>
        <w:rPr>
          <w:rStyle w:val="FunctionTok"/>
        </w:rPr>
        <w:t xml:space="preserve">month_of</w:t>
      </w:r>
      <w:r>
        <w:rPr>
          <w:rStyle w:val="NormalTok"/>
        </w:rPr>
        <w:t xml:space="preserve">(img))</w:t>
      </w:r>
      <w:r>
        <w:br/>
      </w:r>
      <w:r>
        <w:rPr>
          <w:rStyle w:val="NormalTok"/>
        </w:rPr>
        <w:t xml:space="preserve">  }))</w:t>
      </w:r>
      <w:r>
        <w:br/>
      </w:r>
      <w:r>
        <w:br/>
      </w:r>
      <w:r>
        <w:rPr>
          <w:rStyle w:val="CommentTok"/>
        </w:rPr>
        <w:t xml:space="preserve"># ERA5-Land: precipitation in metres, air temperature in kelvin.</w:t>
      </w:r>
      <w:r>
        <w:br/>
      </w:r>
      <w:r>
        <w:rPr>
          <w:rStyle w:val="NormalTok"/>
        </w:rPr>
        <w:t xml:space="preserve">era_fc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"ECMWF/ERA5_LAND/MONTHLY_AGGR"</w:t>
      </w:r>
      <w:r>
        <w:rPr>
          <w:rStyle w:val="NormalTok"/>
        </w:rPr>
        <w:t xml:space="preserve">)</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b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"total_precipitation_sum"</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1000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"pr_era5"</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"temperature_2m"</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FloatTok"/>
        </w:rPr>
        <w:t xml:space="preserve">273.15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"tmean_era5"</w:t>
      </w:r>
      <w:r>
        <w:rPr>
          <w:rStyle w:val="NormalTok"/>
        </w:rPr>
        <w:t xml:space="preserve">))</w:t>
      </w:r>
      <w:r>
        <w:br/>
      </w:r>
      <w:r>
        <w:rPr>
          <w:rStyle w:val="NormalTok"/>
        </w:rPr>
        <w:t xml:space="preserve">    </w:t>
      </w:r>
      <w:r>
        <w:rPr>
          <w:rStyle w:val="FunctionTok"/>
        </w:rPr>
        <w:t xml:space="preserve">basin_mean</w:t>
      </w:r>
      <w:r>
        <w:rPr>
          <w:rStyle w:val="NormalTok"/>
        </w:rPr>
        <w:t xml:space="preserve">(b, </w:t>
      </w:r>
      <w:r>
        <w:rPr>
          <w:rStyle w:val="DecValTok"/>
        </w:rPr>
        <w:t xml:space="preserve">11132</w:t>
      </w:r>
      <w:r>
        <w:rPr>
          <w:rStyle w:val="NormalTok"/>
        </w:rPr>
        <w:t xml:space="preserve">, </w:t>
      </w:r>
      <w:r>
        <w:rPr>
          <w:rStyle w:val="FunctionTok"/>
        </w:rPr>
        <w:t xml:space="preserve">month_of</w:t>
      </w:r>
      <w:r>
        <w:rPr>
          <w:rStyle w:val="NormalTok"/>
        </w:rPr>
        <w:t xml:space="preserve">(img))</w:t>
      </w:r>
      <w:r>
        <w:br/>
      </w:r>
      <w:r>
        <w:rPr>
          <w:rStyle w:val="NormalTok"/>
        </w:rPr>
        <w:t xml:space="preserve">  }))</w:t>
      </w:r>
      <w:r>
        <w:br/>
      </w:r>
      <w:r>
        <w:br/>
      </w:r>
      <w:r>
        <w:rPr>
          <w:rStyle w:val="CommentTok"/>
        </w:rPr>
        <w:t xml:space="preserve"># SPEI at twelve months: the wet or dry state of the preceding hydrological year.</w:t>
      </w:r>
      <w:r>
        <w:br/>
      </w:r>
      <w:r>
        <w:rPr>
          <w:rStyle w:val="NormalTok"/>
        </w:rPr>
        <w:t xml:space="preserve">spei_fc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"CSIC/SPEI/2_11"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"SPEI_12_month"</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(start, end)</w:t>
      </w:r>
      <w:r>
        <w:rPr>
          <w:rStyle w:val="SpecialCharTok"/>
        </w:rPr>
        <w:t xml:space="preserve">$</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w:t>
      </w:r>
      <w:r>
        <w:rPr>
          <w:rStyle w:val="FunctionTok"/>
        </w:rPr>
        <w:t xml:space="preserve">basin_mean</w:t>
      </w:r>
      <w:r>
        <w:rPr>
          <w:rStyle w:val="NormalTok"/>
        </w:rPr>
        <w:t xml:space="preserve">(img</w:t>
      </w:r>
      <w:r>
        <w:rPr>
          <w:rStyle w:val="SpecialCharTok"/>
        </w:rPr>
        <w:t xml:space="preserve">$</w:t>
      </w:r>
      <w:r>
        <w:rPr>
          <w:rStyle w:val="FunctionTok"/>
        </w:rPr>
        <w:t xml:space="preserve">rename</w:t>
      </w:r>
      <w:r>
        <w:rPr>
          <w:rStyle w:val="NormalTok"/>
        </w:rPr>
        <w:t xml:space="preserve">(</w:t>
      </w:r>
      <w:r>
        <w:rPr>
          <w:rStyle w:val="StringTok"/>
        </w:rPr>
        <w:t xml:space="preserve">"spei12"</w:t>
      </w:r>
      <w:r>
        <w:rPr>
          <w:rStyle w:val="NormalTok"/>
        </w:rPr>
        <w:t xml:space="preserve">), </w:t>
      </w:r>
      <w:r>
        <w:rPr>
          <w:rStyle w:val="DecValTok"/>
        </w:rPr>
        <w:t xml:space="preserve">55660</w:t>
      </w:r>
      <w:r>
        <w:rPr>
          <w:rStyle w:val="NormalTok"/>
        </w:rPr>
        <w:t xml:space="preserve">, </w:t>
      </w:r>
      <w:r>
        <w:rPr>
          <w:rStyle w:val="FunctionTok"/>
        </w:rPr>
        <w:t xml:space="preserve">month_of</w:t>
      </w:r>
      <w:r>
        <w:rPr>
          <w:rStyle w:val="NormalTok"/>
        </w:rPr>
        <w:t xml:space="preserve">(img))</w:t>
      </w:r>
      <w:r>
        <w:br/>
      </w:r>
      <w:r>
        <w:rPr>
          <w:rStyle w:val="NormalTok"/>
        </w:rPr>
        <w:t xml:space="preserve">  }))</w:t>
      </w:r>
    </w:p>
    <w:p>
      <w:pPr>
        <w:pStyle w:val="SourceCode"/>
      </w:pPr>
      <w:r>
        <w:rPr>
          <w:rStyle w:val="NormalTok"/>
        </w:rPr>
        <w:t xml:space="preserve">climate_annual </w:t>
      </w:r>
      <w:r>
        <w:rPr>
          <w:rStyle w:val="OtherTok"/>
        </w:rPr>
        <w:t xml:space="preserve">&lt;-</w:t>
      </w:r>
      <w:r>
        <w:rPr>
          <w:rStyle w:val="NormalTok"/>
        </w:rPr>
        <w:t xml:space="preserve"> </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"CSV"</w:t>
      </w:r>
      <w:r>
        <w:rPr>
          <w:rStyle w:val="NormalTok"/>
        </w:rPr>
        <w:t xml:space="preserve">, </w:t>
      </w:r>
      <w:r>
        <w:rPr>
          <w:rStyle w:val="StringTok"/>
        </w:rPr>
        <w:t xml:space="preserve">"climate_annual.csv"</w:t>
      </w:r>
      <w:r>
        <w:rPr>
          <w:rStyle w:val="NormalTok"/>
        </w:rPr>
        <w:t xml:space="preserve">))</w:t>
      </w:r>
      <w:r>
        <w:br/>
      </w:r>
      <w:r>
        <w:br/>
      </w:r>
      <w:r>
        <w:rPr>
          <w:rStyle w:val="NormalTok"/>
        </w:rPr>
        <w:t xml:space="preserve">theme_clim </w:t>
      </w:r>
      <w:r>
        <w:rPr>
          <w:rStyle w:val="OtherTok"/>
        </w:rPr>
        <w:t xml:space="preserve">&lt;-</w:t>
      </w:r>
      <w:r>
        <w:rPr>
          <w:rStyle w:val="NormalTok"/>
        </w:rPr>
        <w:t xml:space="preserve"> ggplot2</w:t>
      </w:r>
      <w:r>
        <w:rPr>
          <w:rStyle w:val="SpecialChar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legend.key.height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DecValTok"/>
        </w:rPr>
        <w:t xml:space="preserve">3</w:t>
      </w:r>
      <w:r>
        <w:rPr>
          <w:rStyle w:val="NormalTok"/>
        </w:rPr>
        <w:t xml:space="preserve">, </w:t>
      </w:r>
      <w:r>
        <w:rPr>
          <w:rStyle w:val="StringTok"/>
        </w:rPr>
        <w:t xml:space="preserve">"mm"</w:t>
      </w:r>
      <w:r>
        <w:rPr>
          <w:rStyle w:val="NormalTok"/>
        </w:rPr>
        <w:t xml:space="preserve">))</w:t>
      </w:r>
      <w:r>
        <w:br/>
      </w:r>
      <w:r>
        <w:rPr>
          <w:rStyle w:val="NormalTok"/>
        </w:rPr>
        <w:t xml:space="preserve">wet_dry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TRUE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"#4C72B0"</w:t>
      </w:r>
      <w:r>
        <w:rPr>
          <w:rStyle w:val="NormalTok"/>
        </w:rPr>
        <w:t xml:space="preserve">, </w:t>
      </w:r>
      <w:r>
        <w:rPr>
          <w:rStyle w:val="StringTok"/>
        </w:rPr>
        <w:t xml:space="preserve">`</w:t>
      </w:r>
      <w:r>
        <w:rPr>
          <w:rStyle w:val="AttributeTok"/>
        </w:rPr>
        <w:t xml:space="preserve">FALSE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"#C44E52"</w:t>
      </w:r>
      <w:r>
        <w:rPr>
          <w:rStyle w:val="NormalTok"/>
        </w:rPr>
        <w:t xml:space="preserve">)</w:t>
      </w:r>
      <w:r>
        <w:br/>
      </w:r>
      <w:r>
        <w:br/>
      </w:r>
      <w:r>
        <w:rPr>
          <w:rStyle w:val="NormalTok"/>
        </w:rPr>
        <w:t xml:space="preserve">p_pr </w:t>
      </w:r>
      <w:r>
        <w:rPr>
          <w:rStyle w:val="OtherTok"/>
        </w:rPr>
        <w:t xml:space="preserve">&lt;-</w:t>
      </w:r>
      <w:r>
        <w:rPr>
          <w:rStyle w:val="NormalTok"/>
        </w:rPr>
        <w:t xml:space="preserve"> climate_annual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(year, </w:t>
      </w:r>
      <w:r>
        <w:rPr>
          <w:rStyle w:val="AttributeTok"/>
        </w:rPr>
        <w:t xml:space="preserve">CHIRPS =</w:t>
      </w:r>
      <w:r>
        <w:rPr>
          <w:rStyle w:val="NormalTok"/>
        </w:rPr>
        <w:t xml:space="preserve"> pr_chirps, </w:t>
      </w:r>
      <w:r>
        <w:rPr>
          <w:rStyle w:val="AttributeTok"/>
        </w:rPr>
        <w:t xml:space="preserve">TerraClimate =</w:t>
      </w:r>
      <w:r>
        <w:rPr>
          <w:rStyle w:val="NormalTok"/>
        </w:rPr>
        <w:t xml:space="preserve"> pr_terraclim,</w:t>
      </w:r>
      <w:r>
        <w:br/>
      </w:r>
      <w:r>
        <w:rPr>
          <w:rStyle w:val="NormalTok"/>
        </w:rPr>
        <w:t xml:space="preserve">                </w:t>
      </w:r>
      <w:r>
        <w:rPr>
          <w:rStyle w:val="StringTok"/>
        </w:rPr>
        <w:t xml:space="preserve">`</w:t>
      </w:r>
      <w:r>
        <w:rPr>
          <w:rStyle w:val="AttributeTok"/>
        </w:rPr>
        <w:t xml:space="preserve">ERA5-Land</w:t>
      </w:r>
      <w:r>
        <w:rPr>
          <w:rStyle w:val="StringTok"/>
        </w:rPr>
        <w:t xml:space="preserve">`</w:t>
      </w:r>
      <w:r>
        <w:rPr>
          <w:rStyle w:val="NormalTok"/>
        </w:rPr>
        <w:t xml:space="preserve"> </w:t>
      </w:r>
      <w:r>
        <w:rPr>
          <w:rStyle w:val="OtherTok"/>
        </w:rPr>
        <w:t xml:space="preserve">=</w:t>
      </w:r>
      <w:r>
        <w:rPr>
          <w:rStyle w:val="NormalTok"/>
        </w:rPr>
        <w:t xml:space="preserve"> pr_era5)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SpecialCharTok"/>
        </w:rPr>
        <w:t xml:space="preserve">-</w:t>
      </w:r>
      <w:r>
        <w:rPr>
          <w:rStyle w:val="NormalTok"/>
        </w:rPr>
        <w:t xml:space="preserve">year)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value, </w:t>
      </w:r>
      <w:r>
        <w:rPr>
          <w:rStyle w:val="AttributeTok"/>
        </w:rPr>
        <w:t xml:space="preserve">colour =</w:t>
      </w:r>
      <w:r>
        <w:rPr>
          <w:rStyle w:val="NormalTok"/>
        </w:rPr>
        <w:t xml:space="preserve"> name))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alpha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climate_annual, ggplot2</w:t>
      </w:r>
      <w:r>
        <w:rPr>
          <w:rStyle w:val="SpecialCharTok"/>
        </w:rPr>
        <w:t xml:space="preserve">::</w:t>
      </w:r>
      <w:r>
        <w:rPr>
          <w:rStyle w:val="FunctionTok"/>
        </w:rPr>
        <w:t xml:space="preserve">aes</w:t>
      </w:r>
      <w:r>
        <w:rPr>
          <w:rStyle w:val="NormalTok"/>
        </w:rPr>
        <w:t xml:space="preserve">(year, pr_ensemble),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"#4C72B0"</w:t>
      </w:r>
      <w:r>
        <w:rPr>
          <w:rStyle w:val="NormalTok"/>
        </w:rPr>
        <w:t xml:space="preserve">, </w:t>
      </w:r>
      <w:r>
        <w:rPr>
          <w:rStyle w:val="StringTok"/>
        </w:rPr>
        <w:t xml:space="preserve">"#DD8452"</w:t>
      </w:r>
      <w:r>
        <w:rPr>
          <w:rStyle w:val="NormalTok"/>
        </w:rPr>
        <w:t xml:space="preserve">, </w:t>
      </w:r>
      <w:r>
        <w:rPr>
          <w:rStyle w:val="StringTok"/>
        </w:rPr>
        <w:t xml:space="preserve">"#55A868"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Annual precipitation, three products and their mean"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"mm"</w:t>
      </w:r>
      <w:r>
        <w:rPr>
          <w:rStyle w:val="NormalTok"/>
        </w:rPr>
        <w:t xml:space="preserve">) </w:t>
      </w:r>
      <w:r>
        <w:rPr>
          <w:rStyle w:val="SpecialCharTok"/>
        </w:rPr>
        <w:t xml:space="preserve">+</w:t>
      </w:r>
      <w:r>
        <w:rPr>
          <w:rStyle w:val="NormalTok"/>
        </w:rPr>
        <w:t xml:space="preserve"> theme_clim</w:t>
      </w:r>
      <w:r>
        <w:br/>
      </w:r>
      <w:r>
        <w:br/>
      </w:r>
      <w:r>
        <w:rPr>
          <w:rStyle w:val="NormalTok"/>
        </w:rPr>
        <w:t xml:space="preserve">p_bal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(climate_annual, ggplot2</w:t>
      </w:r>
      <w:r>
        <w:rPr>
          <w:rStyle w:val="SpecialCharTok"/>
        </w:rPr>
        <w:t xml:space="preserve">::</w:t>
      </w:r>
      <w:r>
        <w:rPr>
          <w:rStyle w:val="FunctionTok"/>
        </w:rPr>
        <w:t xml:space="preserve">aes</w:t>
      </w:r>
      <w:r>
        <w:rPr>
          <w:rStyle w:val="NormalTok"/>
        </w:rPr>
        <w:t xml:space="preserve">(year, p_minus_pet))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p_minus_pet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wet_dry,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Climatic water balance, precipitation minus PET"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"mm"</w:t>
      </w:r>
      <w:r>
        <w:rPr>
          <w:rStyle w:val="NormalTok"/>
        </w:rPr>
        <w:t xml:space="preserve">) </w:t>
      </w:r>
      <w:r>
        <w:rPr>
          <w:rStyle w:val="SpecialCharTok"/>
        </w:rPr>
        <w:t xml:space="preserve">+</w:t>
      </w:r>
      <w:r>
        <w:rPr>
          <w:rStyle w:val="NormalTok"/>
        </w:rPr>
        <w:t xml:space="preserve"> theme_clim</w:t>
      </w:r>
      <w:r>
        <w:br/>
      </w:r>
      <w:r>
        <w:br/>
      </w:r>
      <w:r>
        <w:rPr>
          <w:rStyle w:val="NormalTok"/>
        </w:rPr>
        <w:t xml:space="preserve">p_tmp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(climate_annual, ggplot2</w:t>
      </w:r>
      <w:r>
        <w:rPr>
          <w:rStyle w:val="SpecialCharTok"/>
        </w:rPr>
        <w:t xml:space="preserve">::</w:t>
      </w:r>
      <w:r>
        <w:rPr>
          <w:rStyle w:val="FunctionTok"/>
        </w:rPr>
        <w:t xml:space="preserve">aes</w:t>
      </w:r>
      <w:r>
        <w:rPr>
          <w:rStyle w:val="NormalTok"/>
        </w:rPr>
        <w:t xml:space="preserve">(year, tmean_ensemble))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"#C44E52"</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Mean annual air temperature"</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theme_clim</w:t>
      </w:r>
      <w:r>
        <w:br/>
      </w:r>
      <w:r>
        <w:br/>
      </w:r>
      <w:r>
        <w:rPr>
          <w:rStyle w:val="NormalTok"/>
        </w:rPr>
        <w:t xml:space="preserve">p_spei </w:t>
      </w:r>
      <w:r>
        <w:rPr>
          <w:rStyle w:val="OtherTok"/>
        </w:rPr>
        <w:t xml:space="preserve">&lt;-</w:t>
      </w:r>
      <w:r>
        <w:rPr>
          <w:rStyle w:val="NormalTok"/>
        </w:rPr>
        <w:t xml:space="preserve"> climate_annual[</w:t>
      </w:r>
      <w:r>
        <w:rPr>
          <w:rStyle w:val="SpecialCharTok"/>
        </w:rPr>
        <w:t xml:space="preserve">!</w:t>
      </w:r>
      <w:r>
        <w:rPr>
          <w:rStyle w:val="FunctionTok"/>
        </w:rPr>
        <w:t xml:space="preserve">is.na</w:t>
      </w:r>
      <w:r>
        <w:rPr>
          <w:rStyle w:val="NormalTok"/>
        </w:rPr>
        <w:t xml:space="preserve">(climate_annual</w:t>
      </w:r>
      <w:r>
        <w:rPr>
          <w:rStyle w:val="SpecialCharTok"/>
        </w:rPr>
        <w:t xml:space="preserve">$</w:t>
      </w:r>
      <w:r>
        <w:rPr>
          <w:rStyle w:val="NormalTok"/>
        </w:rPr>
        <w:t xml:space="preserve">spei12_oct), ]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spei12_oct))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spei12_oct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wet_dry,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DecValTok"/>
        </w:rPr>
        <w:t xml:space="preserve">3</w:t>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 SPEI-12 at October, wet and dry periods"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"SPEI"</w:t>
      </w:r>
      <w:r>
        <w:rPr>
          <w:rStyle w:val="NormalTok"/>
        </w:rPr>
        <w:t xml:space="preserve">) </w:t>
      </w:r>
      <w:r>
        <w:rPr>
          <w:rStyle w:val="SpecialCharTok"/>
        </w:rPr>
        <w:t xml:space="preserve">+</w:t>
      </w:r>
      <w:r>
        <w:rPr>
          <w:rStyle w:val="NormalTok"/>
        </w:rPr>
        <w:t xml:space="preserve"> theme_clim</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(p_pr, p_bal, p_tmp, p_spei, </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943600" cy="6932766"/>
            <wp:effectExtent b="0" l="0" r="0" t="0"/>
            <wp:docPr descr="" title="" id="31" name="Picture"/>
            <a:graphic>
              <a:graphicData uri="http://schemas.openxmlformats.org/drawingml/2006/picture">
                <pic:pic>
                  <pic:nvPicPr>
                    <pic:cNvPr descr="mapping-wetland-inundation-lake-chilwa_files/figure-docx/climate-timeseries-1.png" id="32" name="Picture"/>
                    <pic:cNvPicPr>
                      <a:picLocks noChangeArrowheads="1" noChangeAspect="1"/>
                    </pic:cNvPicPr>
                  </pic:nvPicPr>
                  <pic:blipFill>
                    <a:blip r:embed="rId30"/>
                    <a:stretch>
                      <a:fillRect/>
                    </a:stretch>
                  </pic:blipFill>
                  <pic:spPr bwMode="auto">
                    <a:xfrm>
                      <a:off x="0" y="0"/>
                      <a:ext cx="5943600" cy="6932766"/>
                    </a:xfrm>
                    <a:prstGeom prst="rect">
                      <a:avLst/>
                    </a:prstGeom>
                    <a:noFill/>
                    <a:ln w="9525">
                      <a:noFill/>
                      <a:headEnd/>
                      <a:tailEnd/>
                    </a:ln>
                  </pic:spPr>
                </pic:pic>
              </a:graphicData>
            </a:graphic>
          </wp:inline>
        </w:drawing>
      </w:r>
    </w:p>
    <w:p>
      <w:pPr>
        <w:pStyle w:val="BodyText"/>
      </w:pPr>
      <w:r>
        <w:rPr>
          <w:i/>
          <w:iCs/>
        </w:rPr>
        <w:t xml:space="preserve">Climatic setting of the Lake Chilwa basin, 1984 to 2024, over the same window as the optical and radar record. (a) Annual precipitation from CHIRPS, TerraClimate, and ERA5-Land, with their mean in black. (b) Climatic water balance, precipitation minus potential evapotranspiration; the deficit is the normal state and only seven years are positive. (c) Mean annual air temperature, rising at 0.19 °C per decade. (d) Twelve-month SPEI at October, with the conventional thresholds at plus and minus 1.5.</w:t>
      </w:r>
    </w:p>
    <w:bookmarkEnd w:id="33"/>
    <w:bookmarkStart w:id="40"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mapping-wetland-inundation-lake-chilwa_files/figure-docx/import-aoi-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8" name="Picture"/>
            <a:graphic>
              <a:graphicData uri="http://schemas.openxmlformats.org/drawingml/2006/picture">
                <pic:pic>
                  <pic:nvPicPr>
                    <pic:cNvPr descr="https://raw.githubusercontent.com/seamusrobertmurphy/map-templates/refs/heads/main/assets/outputs/03-locator-map.png" id="39" name="Picture"/>
                    <pic:cNvPicPr>
                      <a:picLocks noChangeArrowheads="1" noChangeAspect="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40"/>
    <w:bookmarkStart w:id="47"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VerbatimChar"/>
        </w:rPr>
        <w:t xml:space="preserve">[1] "Dinfareasca.tif"          "dinfFlowDirectionang.tif"</w:t>
      </w:r>
      <w:r>
        <w:br/>
      </w:r>
      <w:r>
        <w:rPr>
          <w:rStyle w:val="VerbatimChar"/>
        </w:rPr>
        <w:t xml:space="preserve">[3] "output_SRTM15Plus.tif"   </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SourceCode"/>
      </w:pPr>
      <w:r>
        <w:rPr>
          <w:rStyle w:val="VerbatimChar"/>
        </w:rPr>
        <w:t xml:space="preserve">class       : SpatRaster </w:t>
      </w:r>
      <w:r>
        <w:br/>
      </w:r>
      <w:r>
        <w:rPr>
          <w:rStyle w:val="VerbatimChar"/>
        </w:rPr>
        <w:t xml:space="preserve">size        : 316, 451, 1  (nrow, ncol, nlyr)</w:t>
      </w:r>
      <w:r>
        <w:br/>
      </w:r>
      <w:r>
        <w:rPr>
          <w:rStyle w:val="VerbatimChar"/>
        </w:rPr>
        <w:t xml:space="preserve">resolution  : 0.004166667, 0.004166667  (x, y)</w:t>
      </w:r>
      <w:r>
        <w:br/>
      </w:r>
      <w:r>
        <w:rPr>
          <w:rStyle w:val="VerbatimChar"/>
        </w:rPr>
        <w:t xml:space="preserve">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pping-wetland-inundation-lake-chilwa_files/figure-docx/terrain-dinf-maps-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5" name="Picture"/>
            <a:graphic>
              <a:graphicData uri="http://schemas.openxmlformats.org/drawingml/2006/picture">
                <pic:pic>
                  <pic:nvPicPr>
                    <pic:cNvPr descr="mapping-wetland-inundation-lake-chilwa_files/figure-docx/terrain-dinf-maps-2.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7"/>
    <w:bookmarkStart w:id="66"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vegetation, accepting its coarser resolution and annual frequency as the price of the longer wavelength. Detection beneath vegetation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953"</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1969-12-16"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8"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8"/>
    <w:bookmarkStart w:id="49"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9"/>
    <w:bookmarkStart w:id="50"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50"/>
    <w:bookmarkStart w:id="51"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51"/>
    <w:bookmarkStart w:id="54"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52" w:name="htmlwidget-4974"/>
    <w:bookmarkEnd w:id="52"/>
    <w:bookmarkStart w:id="53" w:name="htmlwidget-2530"/>
    <w:bookmarkEnd w:id="53"/>
    <w:bookmarkEnd w:id="54"/>
    <w:bookmarkStart w:id="61"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6" name="Picture"/>
            <a:graphic>
              <a:graphicData uri="http://schemas.openxmlformats.org/drawingml/2006/picture">
                <pic:pic>
                  <pic:nvPicPr>
                    <pic:cNvPr descr="../03.outputs/PNG/SNAP-processing.png" id="57" name="Picture"/>
                    <pic:cNvPicPr>
                      <a:picLocks noChangeArrowheads="1" noChangeAspect="1"/>
                    </pic:cNvPicPr>
                  </pic:nvPicPr>
                  <pic:blipFill>
                    <a:blip r:embed="rId55"/>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9" name="Picture"/>
            <a:graphic>
              <a:graphicData uri="http://schemas.openxmlformats.org/drawingml/2006/picture">
                <pic:pic>
                  <pic:nvPicPr>
                    <pic:cNvPr descr="../03.outputs/PNG/RADAR-render.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bookmarkEnd w:id="61"/>
    <w:bookmarkStart w:id="65" w:name="X116f6c5dbf66c3c90136d2b1d340ea5632b25ea"/>
    <w:p>
      <w:pPr>
        <w:pStyle w:val="Heading5"/>
      </w:pPr>
      <w:r>
        <w:t xml:space="preserve">L-band Inundation Beneath Vegetation (ALOS PALSAR)</w:t>
      </w:r>
    </w:p>
    <w:p>
      <w:pPr>
        <w:pStyle w:val="FirstParagraph"/>
      </w:pPr>
      <w:r>
        <w:t xml:space="preserve">C-band cannot penetrate the dense Typha stand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vegetation scatters into HV, so the HH-minus-HV contrast isolates inundation beneath the vegetation that neither optical indices nor C-band resolve. The L-band HH and HV channels enter the 2020 feature stack alongside the optical and C-band features, and the per-year basin series probes how the beneath-vegetation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3" name="Picture"/>
            <a:graphic>
              <a:graphicData uri="http://schemas.openxmlformats.org/drawingml/2006/picture">
                <pic:pic>
                  <pic:nvPicPr>
                    <pic:cNvPr descr="mapping-wetland-inundation-lake-chilwa_files/figure-docx/palsar-map-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bookmarkEnd w:id="65"/>
    <w:bookmarkEnd w:id="66"/>
    <w:bookmarkStart w:id="71"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720"</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1970-01-21"</w:t>
      </w:r>
    </w:p>
    <w:bookmarkStart w:id="70"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29    L8 OLI         all</w:t>
      </w:r>
      <w:r>
        <w:br/>
      </w:r>
      <w:r>
        <w:rPr>
          <w:rStyle w:val="VerbatimChar"/>
        </w:rPr>
        <w:t xml:space="preserve">NA 79 2026  14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70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8" name="Picture"/>
            <a:graphic>
              <a:graphicData uri="http://schemas.openxmlformats.org/drawingml/2006/picture">
                <pic:pic>
                  <pic:nvPicPr>
                    <pic:cNvPr descr="../03.outputs/PNG/fig03_sensor_availability.png" id="69" name="Picture"/>
                    <pic:cNvPicPr>
                      <a:picLocks noChangeArrowheads="1" noChangeAspect="1"/>
                    </pic:cNvPicPr>
                  </pic:nvPicPr>
                  <pic:blipFill>
                    <a:blip r:embed="rId67"/>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70"/>
    <w:bookmarkEnd w:id="71"/>
    <w:bookmarkStart w:id="75"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86"/>
        <w:tblLayout w:type="fixed"/>
        <w:tblLook w:firstRow="1" w:lastRow="0" w:firstColumn="0" w:lastColumn="0" w:noHBand="0" w:noVBand="0" w:val="0020"/>
      </w:tblPr>
      <w:tblGrid>
        <w:gridCol w:w="526"/>
        <w:gridCol w:w="1272"/>
        <w:gridCol w:w="6099"/>
      </w:tblGrid>
      <w:tr>
        <w:trPr>
          <w:tblHeader w:val="on"/>
        </w:trPr>
        <w:tc>
          <w:tcPr/>
          <w:p>
            <w:pPr>
              <w:pStyle w:val="Compact"/>
            </w:pPr>
            <w:r>
              <w:t xml:space="preserve">Index</w:t>
            </w:r>
          </w:p>
        </w:tc>
        <w:tc>
          <w:tcPr/>
          <w:p>
            <w:pPr>
              <w:pStyle w:val="Compact"/>
            </w:pPr>
            <w:r>
              <w:t xml:space="preserve">Formula</w:t>
            </w:r>
          </w:p>
        </w:tc>
        <w:tc>
          <w:tcPr/>
          <w:p>
            <w:pPr>
              <w:pStyle w:val="Compact"/>
            </w:pPr>
            <w:r>
              <w:t xml:space="preserve">Lake Chilwa Application</w:t>
            </w:r>
          </w:p>
        </w:tc>
      </w:tr>
      <w:tr>
        <w:tc>
          <w:tcPr/>
          <w:p>
            <w:pPr>
              <w:pStyle w:val="BodyText"/>
            </w:pPr>
            <w:r>
              <w:t xml:space="preserve">NDWI</w:t>
            </w:r>
          </w:p>
          <w:p>
            <w:pPr>
              <w:pStyle w:val="BodyText"/>
            </w:pPr>
            <w:r>
              <w:t xml:space="preserve">(McFeeters, 1996)</w:t>
            </w:r>
          </w:p>
        </w:tc>
        <w:tc>
          <w:tcPr/>
          <w:p>
            <w:pPr>
              <w:pStyle w:val="Compact"/>
            </w:pPr>
            <w:r>
              <w:t xml:space="preserve">(Green - NIR) / (Green + NIR)</w:t>
            </w:r>
          </w:p>
        </w:tc>
        <w:tc>
          <w:tcPr/>
          <w:p>
            <w:pPr>
              <w:pStyle w:val="Compact"/>
            </w:pPr>
            <w:r>
              <w:t xml:space="preserve">The original water index, sensitive to deep open water but prone to false negatives in turbid, shallow, or vegetated conditions because suspended sediment and vegetation raise NIR reflectance; the baseline against which the others are compared.</w:t>
            </w: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3" name="Picture"/>
            <a:graphic>
              <a:graphicData uri="http://schemas.openxmlformats.org/drawingml/2006/picture">
                <pic:pic>
                  <pic:nvPicPr>
                    <pic:cNvPr descr="mapping-wetland-inundation-lake-chilwa_files/figure-docx/index-timeseries-plot-1.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5"/>
    <w:bookmarkStart w:id="85"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mapping-wetland-inundation-lake-chilwa_files/figure-docx/sma-unmix-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0" name="Picture"/>
            <a:graphic>
              <a:graphicData uri="http://schemas.openxmlformats.org/drawingml/2006/picture">
                <pic:pic>
                  <pic:nvPicPr>
                    <pic:cNvPr descr="mapping-wetland-inundation-lake-chilwa_files/figure-docx/sma-plot-1.png" id="81" name="Picture"/>
                    <pic:cNvPicPr>
                      <a:picLocks noChangeArrowheads="1" noChangeAspect="1"/>
                    </pic:cNvPicPr>
                  </pic:nvPicPr>
                  <pic:blipFill>
                    <a:blip r:embed="rId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vegetation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vegetation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3" name="Picture"/>
            <a:graphic>
              <a:graphicData uri="http://schemas.openxmlformats.org/drawingml/2006/picture">
                <pic:pic>
                  <pic:nvPicPr>
                    <pic:cNvPr descr="../03.outputs/PNG/fig07_sma_endmembers.png" id="84" name="Picture"/>
                    <pic:cNvPicPr>
                      <a:picLocks noChangeArrowheads="1" noChangeAspect="1"/>
                    </pic:cNvPicPr>
                  </pic:nvPicPr>
                  <pic:blipFill>
                    <a:blip r:embed="rId82"/>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5"/>
    <w:bookmarkStart w:id="86"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feature</w:t>
            </w:r>
          </w:p>
        </w:tc>
        <w:tc>
          <w:tcPr/>
          <w:p>
            <w:pPr>
              <w:pStyle w:val="Compact"/>
              <w:jc w:val="right"/>
            </w:pPr>
            <w:r>
              <w:t xml:space="preserve">M_mean</w:t>
            </w:r>
          </w:p>
        </w:tc>
        <w:tc>
          <w:tcPr/>
          <w:p>
            <w:pPr>
              <w:pStyle w:val="Compact"/>
              <w:jc w:val="right"/>
            </w:pPr>
            <w:r>
              <w:t xml:space="preserve">KW_p</w:t>
            </w:r>
          </w:p>
        </w:tc>
      </w:tr>
      <w:tr>
        <w:tc>
          <w:tcPr/>
          <w:p>
            <w:pPr>
              <w:pStyle w:val="Compact"/>
              <w:jc w:val="left"/>
            </w:pPr>
            <w:r>
              <w:t xml:space="preserve">MNDWI</w:t>
            </w:r>
          </w:p>
        </w:tc>
        <w:tc>
          <w:tcPr/>
          <w:p>
            <w:pPr>
              <w:pStyle w:val="Compact"/>
              <w:jc w:val="left"/>
            </w:pPr>
            <w:r>
              <w:t xml:space="preserve">MNDWI</w:t>
            </w:r>
          </w:p>
        </w:tc>
        <w:tc>
          <w:tcPr/>
          <w:p>
            <w:pPr>
              <w:pStyle w:val="Compact"/>
              <w:jc w:val="right"/>
            </w:pPr>
            <w:r>
              <w:t xml:space="preserve">4.407</w:t>
            </w:r>
          </w:p>
        </w:tc>
        <w:tc>
          <w:tcPr/>
          <w:p>
            <w:pPr>
              <w:pStyle w:val="Compact"/>
              <w:jc w:val="right"/>
            </w:pPr>
            <w:r>
              <w:t xml:space="preserve">0</w:t>
            </w:r>
          </w:p>
        </w:tc>
      </w:tr>
      <w:tr>
        <w:tc>
          <w:tcPr/>
          <w:p>
            <w:pPr>
              <w:pStyle w:val="Compact"/>
              <w:jc w:val="left"/>
            </w:pPr>
            <w:r>
              <w:t xml:space="preserve">NDPI</w:t>
            </w:r>
          </w:p>
        </w:tc>
        <w:tc>
          <w:tcPr/>
          <w:p>
            <w:pPr>
              <w:pStyle w:val="Compact"/>
              <w:jc w:val="left"/>
            </w:pPr>
            <w:r>
              <w:t xml:space="preserve">NDPI</w:t>
            </w:r>
          </w:p>
        </w:tc>
        <w:tc>
          <w:tcPr/>
          <w:p>
            <w:pPr>
              <w:pStyle w:val="Compact"/>
              <w:jc w:val="right"/>
            </w:pPr>
            <w:r>
              <w:t xml:space="preserve">4.407</w:t>
            </w:r>
          </w:p>
        </w:tc>
        <w:tc>
          <w:tcPr/>
          <w:p>
            <w:pPr>
              <w:pStyle w:val="Compact"/>
              <w:jc w:val="right"/>
            </w:pPr>
            <w:r>
              <w:t xml:space="preserve">0</w:t>
            </w:r>
          </w:p>
        </w:tc>
      </w:tr>
      <w:tr>
        <w:tc>
          <w:tcPr/>
          <w:p>
            <w:pPr>
              <w:pStyle w:val="Compact"/>
              <w:jc w:val="left"/>
            </w:pPr>
            <w:r>
              <w:t xml:space="preserve">AWEIsh</w:t>
            </w:r>
          </w:p>
        </w:tc>
        <w:tc>
          <w:tcPr/>
          <w:p>
            <w:pPr>
              <w:pStyle w:val="Compact"/>
              <w:jc w:val="left"/>
            </w:pPr>
            <w:r>
              <w:t xml:space="preserve">AWEIsh</w:t>
            </w:r>
          </w:p>
        </w:tc>
        <w:tc>
          <w:tcPr/>
          <w:p>
            <w:pPr>
              <w:pStyle w:val="Compact"/>
              <w:jc w:val="right"/>
            </w:pPr>
            <w:r>
              <w:t xml:space="preserve">3.407</w:t>
            </w:r>
          </w:p>
        </w:tc>
        <w:tc>
          <w:tcPr/>
          <w:p>
            <w:pPr>
              <w:pStyle w:val="Compact"/>
              <w:jc w:val="right"/>
            </w:pPr>
            <w:r>
              <w:t xml:space="preserve">0</w:t>
            </w:r>
          </w:p>
        </w:tc>
      </w:tr>
      <w:tr>
        <w:tc>
          <w:tcPr/>
          <w:p>
            <w:pPr>
              <w:pStyle w:val="Compact"/>
              <w:jc w:val="left"/>
            </w:pPr>
            <w:r>
              <w:t xml:space="preserve">swir1</w:t>
            </w:r>
          </w:p>
        </w:tc>
        <w:tc>
          <w:tcPr/>
          <w:p>
            <w:pPr>
              <w:pStyle w:val="Compact"/>
              <w:jc w:val="left"/>
            </w:pPr>
            <w:r>
              <w:t xml:space="preserve">swir1</w:t>
            </w:r>
          </w:p>
        </w:tc>
        <w:tc>
          <w:tcPr/>
          <w:p>
            <w:pPr>
              <w:pStyle w:val="Compact"/>
              <w:jc w:val="right"/>
            </w:pPr>
            <w:r>
              <w:t xml:space="preserve">3.025</w:t>
            </w:r>
          </w:p>
        </w:tc>
        <w:tc>
          <w:tcPr/>
          <w:p>
            <w:pPr>
              <w:pStyle w:val="Compact"/>
              <w:jc w:val="right"/>
            </w:pPr>
            <w:r>
              <w:t xml:space="preserve">0</w:t>
            </w:r>
          </w:p>
        </w:tc>
      </w:tr>
      <w:tr>
        <w:tc>
          <w:tcPr/>
          <w:p>
            <w:pPr>
              <w:pStyle w:val="Compact"/>
              <w:jc w:val="left"/>
            </w:pPr>
            <w:r>
              <w:t xml:space="preserve">swir2</w:t>
            </w:r>
          </w:p>
        </w:tc>
        <w:tc>
          <w:tcPr/>
          <w:p>
            <w:pPr>
              <w:pStyle w:val="Compact"/>
              <w:jc w:val="left"/>
            </w:pPr>
            <w:r>
              <w:t xml:space="preserve">swir2</w:t>
            </w:r>
          </w:p>
        </w:tc>
        <w:tc>
          <w:tcPr/>
          <w:p>
            <w:pPr>
              <w:pStyle w:val="Compact"/>
              <w:jc w:val="right"/>
            </w:pPr>
            <w:r>
              <w:t xml:space="preserve">2.842</w:t>
            </w:r>
          </w:p>
        </w:tc>
        <w:tc>
          <w:tcPr/>
          <w:p>
            <w:pPr>
              <w:pStyle w:val="Compact"/>
              <w:jc w:val="right"/>
            </w:pPr>
            <w:r>
              <w:t xml:space="preserve">0</w:t>
            </w:r>
          </w:p>
        </w:tc>
      </w:tr>
      <w:tr>
        <w:tc>
          <w:tcPr/>
          <w:p>
            <w:pPr>
              <w:pStyle w:val="Compact"/>
              <w:jc w:val="left"/>
            </w:pPr>
            <w:r>
              <w:t xml:space="preserve">WRI</w:t>
            </w:r>
          </w:p>
        </w:tc>
        <w:tc>
          <w:tcPr/>
          <w:p>
            <w:pPr>
              <w:pStyle w:val="Compact"/>
              <w:jc w:val="left"/>
            </w:pPr>
            <w:r>
              <w:t xml:space="preserve">WRI</w:t>
            </w:r>
          </w:p>
        </w:tc>
        <w:tc>
          <w:tcPr/>
          <w:p>
            <w:pPr>
              <w:pStyle w:val="Compact"/>
              <w:jc w:val="right"/>
            </w:pPr>
            <w:r>
              <w:t xml:space="preserve">2.756</w:t>
            </w:r>
          </w:p>
        </w:tc>
        <w:tc>
          <w:tcPr/>
          <w:p>
            <w:pPr>
              <w:pStyle w:val="Compact"/>
              <w:jc w:val="right"/>
            </w:pPr>
            <w:r>
              <w:t xml:space="preserve">0</w:t>
            </w:r>
          </w:p>
        </w:tc>
      </w:tr>
      <w:tr>
        <w:tc>
          <w:tcPr/>
          <w:p>
            <w:pPr>
              <w:pStyle w:val="Compact"/>
              <w:jc w:val="left"/>
            </w:pPr>
            <w:r>
              <w:t xml:space="preserve">water_frac</w:t>
            </w:r>
          </w:p>
        </w:tc>
        <w:tc>
          <w:tcPr/>
          <w:p>
            <w:pPr>
              <w:pStyle w:val="Compact"/>
              <w:jc w:val="left"/>
            </w:pPr>
            <w:r>
              <w:t xml:space="preserve">water_frac</w:t>
            </w:r>
          </w:p>
        </w:tc>
        <w:tc>
          <w:tcPr/>
          <w:p>
            <w:pPr>
              <w:pStyle w:val="Compact"/>
              <w:jc w:val="right"/>
            </w:pPr>
            <w:r>
              <w:t xml:space="preserve">2.660</w:t>
            </w:r>
          </w:p>
        </w:tc>
        <w:tc>
          <w:tcPr/>
          <w:p>
            <w:pPr>
              <w:pStyle w:val="Compact"/>
              <w:jc w:val="right"/>
            </w:pPr>
            <w:r>
              <w:t xml:space="preserve">0</w:t>
            </w:r>
          </w:p>
        </w:tc>
      </w:tr>
      <w:tr>
        <w:tc>
          <w:tcPr/>
          <w:p>
            <w:pPr>
              <w:pStyle w:val="Compact"/>
              <w:jc w:val="left"/>
            </w:pPr>
            <w:r>
              <w:t xml:space="preserve">NDVI</w:t>
            </w:r>
          </w:p>
        </w:tc>
        <w:tc>
          <w:tcPr/>
          <w:p>
            <w:pPr>
              <w:pStyle w:val="Compact"/>
              <w:jc w:val="left"/>
            </w:pPr>
            <w:r>
              <w:t xml:space="preserve">NDVI</w:t>
            </w:r>
          </w:p>
        </w:tc>
        <w:tc>
          <w:tcPr/>
          <w:p>
            <w:pPr>
              <w:pStyle w:val="Compact"/>
              <w:jc w:val="right"/>
            </w:pPr>
            <w:r>
              <w:t xml:space="preserve">2.099</w:t>
            </w:r>
          </w:p>
        </w:tc>
        <w:tc>
          <w:tcPr/>
          <w:p>
            <w:pPr>
              <w:pStyle w:val="Compact"/>
              <w:jc w:val="right"/>
            </w:pPr>
            <w:r>
              <w:t xml:space="preserve">0</w:t>
            </w:r>
          </w:p>
        </w:tc>
      </w:tr>
      <w:tr>
        <w:tc>
          <w:tcPr/>
          <w:p>
            <w:pPr>
              <w:pStyle w:val="Compact"/>
              <w:jc w:val="left"/>
            </w:pPr>
            <w:r>
              <w:t xml:space="preserve">NDWI</w:t>
            </w:r>
          </w:p>
        </w:tc>
        <w:tc>
          <w:tcPr/>
          <w:p>
            <w:pPr>
              <w:pStyle w:val="Compact"/>
              <w:jc w:val="left"/>
            </w:pPr>
            <w:r>
              <w:t xml:space="preserve">NDWI</w:t>
            </w:r>
          </w:p>
        </w:tc>
        <w:tc>
          <w:tcPr/>
          <w:p>
            <w:pPr>
              <w:pStyle w:val="Compact"/>
              <w:jc w:val="right"/>
            </w:pPr>
            <w:r>
              <w:t xml:space="preserve">1.938</w:t>
            </w:r>
          </w:p>
        </w:tc>
        <w:tc>
          <w:tcPr/>
          <w:p>
            <w:pPr>
              <w:pStyle w:val="Compact"/>
              <w:jc w:val="right"/>
            </w:pPr>
            <w:r>
              <w:t xml:space="preserve">0</w:t>
            </w:r>
          </w:p>
        </w:tc>
      </w:tr>
      <w:tr>
        <w:tc>
          <w:tcPr/>
          <w:p>
            <w:pPr>
              <w:pStyle w:val="Compact"/>
              <w:jc w:val="left"/>
            </w:pPr>
            <w:r>
              <w:t xml:space="preserve">nir</w:t>
            </w:r>
          </w:p>
        </w:tc>
        <w:tc>
          <w:tcPr/>
          <w:p>
            <w:pPr>
              <w:pStyle w:val="Compact"/>
              <w:jc w:val="left"/>
            </w:pPr>
            <w:r>
              <w:t xml:space="preserve">nir</w:t>
            </w:r>
          </w:p>
        </w:tc>
        <w:tc>
          <w:tcPr/>
          <w:p>
            <w:pPr>
              <w:pStyle w:val="Compact"/>
              <w:jc w:val="right"/>
            </w:pPr>
            <w:r>
              <w:t xml:space="preserve">1.837</w:t>
            </w:r>
          </w:p>
        </w:tc>
        <w:tc>
          <w:tcPr/>
          <w:p>
            <w:pPr>
              <w:pStyle w:val="Compact"/>
              <w:jc w:val="right"/>
            </w:pPr>
            <w:r>
              <w:t xml:space="preserve">0</w:t>
            </w:r>
          </w:p>
        </w:tc>
      </w:tr>
      <w:tr>
        <w:tc>
          <w:tcPr/>
          <w:p>
            <w:pPr>
              <w:pStyle w:val="Compact"/>
              <w:jc w:val="left"/>
            </w:pPr>
            <w:r>
              <w:t xml:space="preserve">red</w:t>
            </w:r>
          </w:p>
        </w:tc>
        <w:tc>
          <w:tcPr/>
          <w:p>
            <w:pPr>
              <w:pStyle w:val="Compact"/>
              <w:jc w:val="left"/>
            </w:pPr>
            <w:r>
              <w:t xml:space="preserve">red</w:t>
            </w:r>
          </w:p>
        </w:tc>
        <w:tc>
          <w:tcPr/>
          <w:p>
            <w:pPr>
              <w:pStyle w:val="Compact"/>
              <w:jc w:val="right"/>
            </w:pPr>
            <w:r>
              <w:t xml:space="preserve">1.460</w:t>
            </w:r>
          </w:p>
        </w:tc>
        <w:tc>
          <w:tcPr/>
          <w:p>
            <w:pPr>
              <w:pStyle w:val="Compact"/>
              <w:jc w:val="right"/>
            </w:pPr>
            <w:r>
              <w:t xml:space="preserve">0</w:t>
            </w:r>
          </w:p>
        </w:tc>
      </w:tr>
      <w:tr>
        <w:tc>
          <w:tcPr/>
          <w:p>
            <w:pPr>
              <w:pStyle w:val="Compact"/>
              <w:jc w:val="left"/>
            </w:pPr>
            <w:r>
              <w:t xml:space="preserve">flooded_veg_frac</w:t>
            </w:r>
          </w:p>
        </w:tc>
        <w:tc>
          <w:tcPr/>
          <w:p>
            <w:pPr>
              <w:pStyle w:val="Compact"/>
              <w:jc w:val="left"/>
            </w:pPr>
            <w:r>
              <w:t xml:space="preserve">flooded_veg_frac</w:t>
            </w:r>
          </w:p>
        </w:tc>
        <w:tc>
          <w:tcPr/>
          <w:p>
            <w:pPr>
              <w:pStyle w:val="Compact"/>
              <w:jc w:val="right"/>
            </w:pPr>
            <w:r>
              <w:t xml:space="preserve">1.212</w:t>
            </w:r>
          </w:p>
        </w:tc>
        <w:tc>
          <w:tcPr/>
          <w:p>
            <w:pPr>
              <w:pStyle w:val="Compact"/>
              <w:jc w:val="right"/>
            </w:pPr>
            <w:r>
              <w:t xml:space="preserve">0</w:t>
            </w:r>
          </w:p>
        </w:tc>
      </w:tr>
      <w:tr>
        <w:tc>
          <w:tcPr/>
          <w:p>
            <w:pPr>
              <w:pStyle w:val="Compact"/>
              <w:jc w:val="left"/>
            </w:pPr>
            <w:r>
              <w:t xml:space="preserve">VH</w:t>
            </w:r>
          </w:p>
        </w:tc>
        <w:tc>
          <w:tcPr/>
          <w:p>
            <w:pPr>
              <w:pStyle w:val="Compact"/>
              <w:jc w:val="left"/>
            </w:pPr>
            <w:r>
              <w:t xml:space="preserve">VH</w:t>
            </w:r>
          </w:p>
        </w:tc>
        <w:tc>
          <w:tcPr/>
          <w:p>
            <w:pPr>
              <w:pStyle w:val="Compact"/>
              <w:jc w:val="right"/>
            </w:pPr>
            <w:r>
              <w:t xml:space="preserve">1.152</w:t>
            </w:r>
          </w:p>
        </w:tc>
        <w:tc>
          <w:tcPr/>
          <w:p>
            <w:pPr>
              <w:pStyle w:val="Compact"/>
              <w:jc w:val="right"/>
            </w:pPr>
            <w:r>
              <w:t xml:space="preserve">0</w:t>
            </w:r>
          </w:p>
        </w:tc>
      </w:tr>
      <w:tr>
        <w:tc>
          <w:tcPr/>
          <w:p>
            <w:pPr>
              <w:pStyle w:val="Compact"/>
              <w:jc w:val="left"/>
            </w:pPr>
            <w:r>
              <w:t xml:space="preserve">VV</w:t>
            </w:r>
          </w:p>
        </w:tc>
        <w:tc>
          <w:tcPr/>
          <w:p>
            <w:pPr>
              <w:pStyle w:val="Compact"/>
              <w:jc w:val="left"/>
            </w:pPr>
            <w:r>
              <w:t xml:space="preserve">VV</w:t>
            </w:r>
          </w:p>
        </w:tc>
        <w:tc>
          <w:tcPr/>
          <w:p>
            <w:pPr>
              <w:pStyle w:val="Compact"/>
              <w:jc w:val="right"/>
            </w:pPr>
            <w:r>
              <w:t xml:space="preserve">1.079</w:t>
            </w:r>
          </w:p>
        </w:tc>
        <w:tc>
          <w:tcPr/>
          <w:p>
            <w:pPr>
              <w:pStyle w:val="Compact"/>
              <w:jc w:val="right"/>
            </w:pPr>
            <w:r>
              <w:t xml:space="preserve">0</w:t>
            </w:r>
          </w:p>
        </w:tc>
      </w:tr>
      <w:tr>
        <w:tc>
          <w:tcPr/>
          <w:p>
            <w:pPr>
              <w:pStyle w:val="Compact"/>
              <w:jc w:val="left"/>
            </w:pPr>
            <w:r>
              <w:t xml:space="preserve">green</w:t>
            </w:r>
          </w:p>
        </w:tc>
        <w:tc>
          <w:tcPr/>
          <w:p>
            <w:pPr>
              <w:pStyle w:val="Compact"/>
              <w:jc w:val="left"/>
            </w:pPr>
            <w:r>
              <w:t xml:space="preserve">green</w:t>
            </w:r>
          </w:p>
        </w:tc>
        <w:tc>
          <w:tcPr/>
          <w:p>
            <w:pPr>
              <w:pStyle w:val="Compact"/>
              <w:jc w:val="right"/>
            </w:pPr>
            <w:r>
              <w:t xml:space="preserve">0.956</w:t>
            </w:r>
          </w:p>
        </w:tc>
        <w:tc>
          <w:tcPr/>
          <w:p>
            <w:pPr>
              <w:pStyle w:val="Compact"/>
              <w:jc w:val="right"/>
            </w:pPr>
            <w:r>
              <w:t xml:space="preserve">0</w:t>
            </w:r>
          </w:p>
        </w:tc>
      </w:tr>
      <w:tr>
        <w:tc>
          <w:tcPr/>
          <w:p>
            <w:pPr>
              <w:pStyle w:val="Compact"/>
              <w:jc w:val="left"/>
            </w:pPr>
            <w:r>
              <w:t xml:space="preserve">blue</w:t>
            </w:r>
          </w:p>
        </w:tc>
        <w:tc>
          <w:tcPr/>
          <w:p>
            <w:pPr>
              <w:pStyle w:val="Compact"/>
              <w:jc w:val="left"/>
            </w:pPr>
            <w:r>
              <w:t xml:space="preserve">blue</w:t>
            </w:r>
          </w:p>
        </w:tc>
        <w:tc>
          <w:tcPr/>
          <w:p>
            <w:pPr>
              <w:pStyle w:val="Compact"/>
              <w:jc w:val="right"/>
            </w:pPr>
            <w:r>
              <w:t xml:space="preserve">0.730</w:t>
            </w:r>
          </w:p>
        </w:tc>
        <w:tc>
          <w:tcPr/>
          <w:p>
            <w:pPr>
              <w:pStyle w:val="Compact"/>
              <w:jc w:val="right"/>
            </w:pPr>
            <w:r>
              <w:t xml:space="preserve">0</w:t>
            </w:r>
          </w:p>
        </w:tc>
      </w:tr>
      <w:tr>
        <w:tc>
          <w:tcPr/>
          <w:p>
            <w:pPr>
              <w:pStyle w:val="Compact"/>
              <w:jc w:val="left"/>
            </w:pPr>
            <w:r>
              <w:t xml:space="preserve">L_HV</w:t>
            </w:r>
          </w:p>
        </w:tc>
        <w:tc>
          <w:tcPr/>
          <w:p>
            <w:pPr>
              <w:pStyle w:val="Compact"/>
              <w:jc w:val="left"/>
            </w:pPr>
            <w:r>
              <w:t xml:space="preserve">L_HV</w:t>
            </w:r>
          </w:p>
        </w:tc>
        <w:tc>
          <w:tcPr/>
          <w:p>
            <w:pPr>
              <w:pStyle w:val="Compact"/>
              <w:jc w:val="right"/>
            </w:pPr>
            <w:r>
              <w:t xml:space="preserve">0.632</w:t>
            </w:r>
          </w:p>
        </w:tc>
        <w:tc>
          <w:tcPr/>
          <w:p>
            <w:pPr>
              <w:pStyle w:val="Compact"/>
              <w:jc w:val="right"/>
            </w:pPr>
            <w:r>
              <w:t xml:space="preserve">0</w:t>
            </w:r>
          </w:p>
        </w:tc>
      </w:tr>
      <w:tr>
        <w:tc>
          <w:tcPr/>
          <w:p>
            <w:pPr>
              <w:pStyle w:val="Compact"/>
              <w:jc w:val="left"/>
            </w:pPr>
            <w:r>
              <w:t xml:space="preserve">L_HH</w:t>
            </w:r>
          </w:p>
        </w:tc>
        <w:tc>
          <w:tcPr/>
          <w:p>
            <w:pPr>
              <w:pStyle w:val="Compact"/>
              <w:jc w:val="left"/>
            </w:pPr>
            <w:r>
              <w:t xml:space="preserve">L_HH</w:t>
            </w:r>
          </w:p>
        </w:tc>
        <w:tc>
          <w:tcPr/>
          <w:p>
            <w:pPr>
              <w:pStyle w:val="Compact"/>
              <w:jc w:val="right"/>
            </w:pPr>
            <w:r>
              <w:t xml:space="preserve">0.480</w:t>
            </w:r>
          </w:p>
        </w:tc>
        <w:tc>
          <w:tcPr/>
          <w:p>
            <w:pPr>
              <w:pStyle w:val="Compact"/>
              <w:jc w:val="right"/>
            </w:pPr>
            <w:r>
              <w:t xml:space="preserve">0</w:t>
            </w:r>
          </w:p>
        </w:tc>
      </w:tr>
    </w:tbl>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3.246949e-15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6"/>
    <w:bookmarkStart w:id="90"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8" name="Picture"/>
            <a:graphic>
              <a:graphicData uri="http://schemas.openxmlformats.org/drawingml/2006/picture">
                <pic:pic>
                  <pic:nvPicPr>
                    <pic:cNvPr descr="mapping-wetland-inundation-lake-chilwa_files/figure-docx/rf-classify-1.png" id="89" name="Picture"/>
                    <pic:cNvPicPr>
                      <a:picLocks noChangeArrowheads="1" noChangeAspect="1"/>
                    </pic:cNvPicPr>
                  </pic:nvPicPr>
                  <pic:blipFill>
                    <a:blip r:embed="rId87"/>
                    <a:stretch>
                      <a:fillRect/>
                    </a:stretch>
                  </pic:blipFill>
                  <pic:spPr bwMode="auto">
                    <a:xfrm>
                      <a:off x="0" y="0"/>
                      <a:ext cx="5943600" cy="4754880"/>
                    </a:xfrm>
                    <a:prstGeom prst="rect">
                      <a:avLst/>
                    </a:prstGeom>
                    <a:noFill/>
                    <a:ln w="9525">
                      <a:noFill/>
                      <a:headEnd/>
                      <a:tailEnd/>
                    </a:ln>
                  </pic:spPr>
                </pic:pic>
              </a:graphicData>
            </a:graphic>
          </wp:inline>
        </w:drawing>
      </w:r>
    </w:p>
    <w:bookmarkEnd w:id="90"/>
    <w:bookmarkStart w:id="91"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91"/>
    <w:bookmarkStart w:id="92"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92"/>
    <w:bookmarkEnd w:id="93"/>
    <w:bookmarkStart w:id="94"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4"/>
    <w:bookmarkEnd w:id="95"/>
    <w:bookmarkStart w:id="111" w:name="results"/>
    <w:p>
      <w:pPr>
        <w:pStyle w:val="Heading2"/>
      </w:pPr>
      <w:r>
        <w:t xml:space="preserve">Results</w:t>
      </w:r>
    </w:p>
    <w:bookmarkStart w:id="99"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r>
        <w:drawing>
          <wp:inline>
            <wp:extent cx="5943600" cy="3428999"/>
            <wp:effectExtent b="0" l="0" r="0" t="0"/>
            <wp:docPr descr="" title="" id="97" name="Picture"/>
            <a:graphic>
              <a:graphicData uri="http://schemas.openxmlformats.org/drawingml/2006/picture">
                <pic:pic>
                  <pic:nvPicPr>
                    <pic:cNvPr descr="../03.outputs/PNG/fig04_inundation_hydrograph.png" id="98" name="Picture"/>
                    <pic:cNvPicPr>
                      <a:picLocks noChangeArrowheads="1" noChangeAspect="1"/>
                    </pic:cNvPicPr>
                  </pic:nvPicPr>
                  <pic:blipFill>
                    <a:blip r:embed="rId96"/>
                    <a:stretch>
                      <a:fillRect/>
                    </a:stretch>
                  </pic:blipFill>
                  <pic:spPr bwMode="auto">
                    <a:xfrm>
                      <a:off x="0" y="0"/>
                      <a:ext cx="5943600" cy="3428999"/>
                    </a:xfrm>
                    <a:prstGeom prst="rect">
                      <a:avLst/>
                    </a:prstGeom>
                    <a:noFill/>
                    <a:ln w="9525">
                      <a:noFill/>
                      <a:headEnd/>
                      <a:tailEnd/>
                    </a:ln>
                  </pic:spPr>
                </pic:pic>
              </a:graphicData>
            </a:graphic>
          </wp:inline>
        </w:drawing>
      </w: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9"/>
    <w:bookmarkStart w:id="103"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vegetation. Basin-mean annual MNDWI ranged from -0.52 to -0.23, its troughs and peaks falling in the recession and refill years of the mixture record.</w:t>
      </w:r>
    </w:p>
    <w:p>
      <w:pPr>
        <w:pStyle w:val="BodyText"/>
      </w:pPr>
      <w:r>
        <w:drawing>
          <wp:inline>
            <wp:extent cx="5943600" cy="2827430"/>
            <wp:effectExtent b="0" l="0" r="0" t="0"/>
            <wp:docPr descr="" title="" id="101" name="Picture"/>
            <a:graphic>
              <a:graphicData uri="http://schemas.openxmlformats.org/drawingml/2006/picture">
                <pic:pic>
                  <pic:nvPicPr>
                    <pic:cNvPr descr="../03.outputs/PNG/fig05_index_performance.png" id="102" name="Picture"/>
                    <pic:cNvPicPr>
                      <a:picLocks noChangeArrowheads="1" noChangeAspect="1"/>
                    </pic:cNvPicPr>
                  </pic:nvPicPr>
                  <pic:blipFill>
                    <a:blip r:embed="rId100"/>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103"/>
    <w:bookmarkStart w:id="107"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105" name="Picture"/>
            <a:graphic>
              <a:graphicData uri="http://schemas.openxmlformats.org/drawingml/2006/picture">
                <pic:pic>
                  <pic:nvPicPr>
                    <pic:cNvPr descr="../03.outputs/PNG/fig06_sar_seasonality.png" id="106" name="Picture"/>
                    <pic:cNvPicPr>
                      <a:picLocks noChangeArrowheads="1" noChangeAspect="1"/>
                    </pic:cNvPicPr>
                  </pic:nvPicPr>
                  <pic:blipFill>
                    <a:blip r:embed="rId104"/>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stand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7"/>
    <w:bookmarkStart w:id="108"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8"/>
    <w:bookmarkStart w:id="109"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9"/>
    <w:bookmarkStart w:id="110"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10"/>
    <w:bookmarkEnd w:id="111"/>
    <w:bookmarkStart w:id="124" w:name="discussion"/>
    <w:p>
      <w:pPr>
        <w:pStyle w:val="Heading2"/>
      </w:pPr>
      <w:r>
        <w:t xml:space="preserve">Discussion</w:t>
      </w:r>
    </w:p>
    <w:bookmarkStart w:id="113"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flooding beneath the vegetation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inundation beneath the vegetation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vegetation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stand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evidence for water beneath the vegetation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12"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vegetation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inundation beneath the vegetation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vegetation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12"/>
    <w:bookmarkEnd w:id="113"/>
    <w:bookmarkStart w:id="114"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14"/>
    <w:bookmarkStart w:id="115"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15"/>
    <w:bookmarkStart w:id="116"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6"/>
    <w:bookmarkStart w:id="117"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vegetation,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7"/>
    <w:bookmarkStart w:id="123"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pPr>
        <w:pStyle w:val="CaptionedFigure"/>
      </w:pPr>
      <w:r>
        <w:drawing>
          <wp:inline>
            <wp:extent cx="5943600" cy="4269827"/>
            <wp:effectExtent b="0" l="0" r="0" t="0"/>
            <wp:docPr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title="" id="119" name="Picture"/>
            <a:graphic>
              <a:graphicData uri="http://schemas.openxmlformats.org/drawingml/2006/picture">
                <pic:pic>
                  <pic:nvPicPr>
                    <pic:cNvPr descr="../03.outputs/PNG/socio-hydrological-causal-loop.png" id="120" name="Picture"/>
                    <pic:cNvPicPr>
                      <a:picLocks noChangeArrowheads="1" noChangeAspect="1"/>
                    </pic:cNvPicPr>
                  </pic:nvPicPr>
                  <pic:blipFill>
                    <a:blip r:embed="rId118"/>
                    <a:stretch>
                      <a:fillRect/>
                    </a:stretch>
                  </pic:blipFill>
                  <pic:spPr bwMode="auto">
                    <a:xfrm>
                      <a:off x="0" y="0"/>
                      <a:ext cx="5943600" cy="4269827"/>
                    </a:xfrm>
                    <a:prstGeom prst="rect">
                      <a:avLst/>
                    </a:prstGeom>
                    <a:noFill/>
                    <a:ln w="9525">
                      <a:noFill/>
                      <a:headEnd/>
                      <a:tailEnd/>
                    </a:ln>
                  </pic:spPr>
                </pic:pic>
              </a:graphicData>
            </a:graphic>
          </wp:inline>
        </w:drawing>
      </w:r>
    </w:p>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21"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121"/>
    <w:bookmarkStart w:id="122"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detection of flooding beneath vegetation beneath dense Typha stands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122"/>
    <w:bookmarkEnd w:id="123"/>
    <w:bookmarkEnd w:id="124"/>
    <w:bookmarkStart w:id="125"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detection of flooding beneath vegetation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125"/>
    <w:bookmarkStart w:id="126"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126"/>
    <w:bookmarkStart w:id="127"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7"/>
    <w:bookmarkStart w:id="12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28"/>
    <w:bookmarkStart w:id="129"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29"/>
    <w:bookmarkStart w:id="130"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30"/>
    <w:bookmarkStart w:id="131"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31"/>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DefaultParagraphFont"/>
    <w:link w:val="SourceCode"/>
    <w:rPr>
      <w:rFonts w:ascii="Consolas" w:cs="Consolas" w:hAnsi="Consolas"/>
      <w:i w:val="0"/>
      <w:sz w:val="18"/>
      <w:szCs w:val="18"/>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qFormat/>
    <w:pPr>
      <w:keepLines/>
      <w:shd w:color="auto" w:fill="F8F8F8" w:val="clear"/>
      <w:spacing w:after="0" w:before="0" w:line="240" w:lineRule="auto"/>
      <w:contextualSpacing/>
      <w:ind w:firstLine="0" w:left="0" w:right="0"/>
      <w:jc w:val="left"/>
    </w:pPr>
    <w:rPr>
      <w:rFonts w:ascii="Consolas" w:cs="Consolas" w:hAnsi="Consolas"/>
      <w:i w:val="0"/>
      <w:sz w:val="18"/>
      <w:szCs w:val="18"/>
    </w:rPr>
  </w:style>
  <w:style w:customStyle="1" w:styleId="KeywordTok" w:type="character">
    <w:name w:val="KeywordTok"/>
    <w:basedOn w:val="VerbatimChar"/>
    <w:rPr>
      <w:rFonts w:ascii="Consolas" w:hAnsi="Consolas"/>
      <w:b/>
      <w:i w:val="0"/>
      <w:color w:val="204A87"/>
      <w:sz w:val="18"/>
      <w:szCs w:val="18"/>
      <w:shd w:color="auto" w:fill="F8F8F8" w:val="clear"/>
    </w:rPr>
  </w:style>
  <w:style w:customStyle="1" w:styleId="DataTypeTok" w:type="character">
    <w:name w:val="DataTypeTok"/>
    <w:basedOn w:val="VerbatimChar"/>
    <w:rPr>
      <w:rFonts w:ascii="Consolas" w:hAnsi="Consolas"/>
      <w:i w:val="0"/>
      <w:color w:val="204A87"/>
      <w:sz w:val="18"/>
      <w:szCs w:val="18"/>
      <w:shd w:color="auto" w:fill="F8F8F8" w:val="clear"/>
    </w:rPr>
  </w:style>
  <w:style w:customStyle="1" w:styleId="DecValTok" w:type="character">
    <w:name w:val="DecValTok"/>
    <w:basedOn w:val="VerbatimChar"/>
    <w:rPr>
      <w:rFonts w:ascii="Consolas" w:hAnsi="Consolas"/>
      <w:i w:val="0"/>
      <w:color w:val="0000CF"/>
      <w:sz w:val="18"/>
      <w:szCs w:val="18"/>
      <w:shd w:color="auto" w:fill="F8F8F8" w:val="clear"/>
    </w:rPr>
  </w:style>
  <w:style w:customStyle="1" w:styleId="BaseNTok" w:type="character">
    <w:name w:val="BaseNTok"/>
    <w:basedOn w:val="VerbatimChar"/>
    <w:rPr>
      <w:rFonts w:ascii="Consolas" w:hAnsi="Consolas"/>
      <w:i w:val="0"/>
      <w:color w:val="0000CF"/>
      <w:sz w:val="18"/>
      <w:szCs w:val="18"/>
      <w:shd w:color="auto" w:fill="F8F8F8" w:val="clear"/>
    </w:rPr>
  </w:style>
  <w:style w:customStyle="1" w:styleId="FloatTok" w:type="character">
    <w:name w:val="FloatTok"/>
    <w:basedOn w:val="VerbatimChar"/>
    <w:rPr>
      <w:rFonts w:ascii="Consolas" w:hAnsi="Consolas"/>
      <w:i w:val="0"/>
      <w:color w:val="0000CF"/>
      <w:sz w:val="18"/>
      <w:szCs w:val="18"/>
      <w:shd w:color="auto" w:fill="F8F8F8" w:val="clear"/>
    </w:rPr>
  </w:style>
  <w:style w:customStyle="1" w:styleId="ConstantTok" w:type="character">
    <w:name w:val="ConstantTok"/>
    <w:basedOn w:val="VerbatimChar"/>
    <w:rPr>
      <w:rFonts w:ascii="Consolas" w:hAnsi="Consolas"/>
      <w:i w:val="0"/>
      <w:color w:val="8F5902"/>
      <w:sz w:val="18"/>
      <w:szCs w:val="18"/>
      <w:shd w:color="auto" w:fill="F8F8F8" w:val="clear"/>
    </w:rPr>
  </w:style>
  <w:style w:customStyle="1" w:styleId="CharTok" w:type="character">
    <w:name w:val="CharTok"/>
    <w:basedOn w:val="VerbatimChar"/>
    <w:rPr>
      <w:rFonts w:ascii="Consolas" w:hAnsi="Consolas"/>
      <w:i w:val="0"/>
      <w:color w:val="4E9A06"/>
      <w:sz w:val="18"/>
      <w:szCs w:val="18"/>
      <w:shd w:color="auto" w:fill="F8F8F8" w:val="clear"/>
    </w:rPr>
  </w:style>
  <w:style w:customStyle="1" w:styleId="SpecialCharTok" w:type="character">
    <w:name w:val="SpecialCharTok"/>
    <w:basedOn w:val="VerbatimChar"/>
    <w:rPr>
      <w:rFonts w:ascii="Consolas" w:hAnsi="Consolas"/>
      <w:b/>
      <w:i w:val="0"/>
      <w:color w:val="CE5C00"/>
      <w:sz w:val="18"/>
      <w:szCs w:val="18"/>
      <w:shd w:color="auto" w:fill="F8F8F8" w:val="clear"/>
    </w:rPr>
  </w:style>
  <w:style w:customStyle="1" w:styleId="StringTok" w:type="character">
    <w:name w:val="StringTok"/>
    <w:basedOn w:val="VerbatimChar"/>
    <w:rPr>
      <w:rFonts w:ascii="Consolas" w:hAnsi="Consolas"/>
      <w:i w:val="0"/>
      <w:color w:val="4E9A06"/>
      <w:sz w:val="18"/>
      <w:szCs w:val="18"/>
      <w:shd w:color="auto" w:fill="F8F8F8" w:val="clear"/>
    </w:rPr>
  </w:style>
  <w:style w:customStyle="1" w:styleId="VerbatimStringTok" w:type="character">
    <w:name w:val="VerbatimStringTok"/>
    <w:basedOn w:val="VerbatimChar"/>
    <w:rPr>
      <w:rFonts w:ascii="Consolas" w:hAnsi="Consolas"/>
      <w:i w:val="0"/>
      <w:color w:val="4E9A06"/>
      <w:sz w:val="18"/>
      <w:szCs w:val="18"/>
      <w:shd w:color="auto" w:fill="F8F8F8" w:val="clear"/>
    </w:rPr>
  </w:style>
  <w:style w:customStyle="1" w:styleId="SpecialStringTok" w:type="character">
    <w:name w:val="SpecialStringTok"/>
    <w:basedOn w:val="VerbatimChar"/>
    <w:rPr>
      <w:rFonts w:ascii="Consolas" w:hAnsi="Consolas"/>
      <w:i w:val="0"/>
      <w:color w:val="4E9A06"/>
      <w:sz w:val="18"/>
      <w:szCs w:val="18"/>
      <w:shd w:color="auto" w:fill="F8F8F8" w:val="clear"/>
    </w:rPr>
  </w:style>
  <w:style w:customStyle="1" w:styleId="ImportTok" w:type="character">
    <w:name w:val="ImportTok"/>
    <w:basedOn w:val="VerbatimChar"/>
    <w:rPr>
      <w:rFonts w:ascii="Consolas" w:hAnsi="Consolas"/>
      <w:i w:val="0"/>
      <w:sz w:val="18"/>
      <w:szCs w:val="18"/>
      <w:shd w:color="auto" w:fill="F8F8F8" w:val="clear"/>
    </w:rPr>
  </w:style>
  <w:style w:customStyle="1" w:styleId="CommentTok" w:type="character">
    <w:name w:val="CommentTok"/>
    <w:basedOn w:val="VerbatimChar"/>
    <w:rPr>
      <w:rFonts w:ascii="Consolas" w:hAnsi="Consolas"/>
      <w:i/>
      <w:color w:val="8F5902"/>
      <w:sz w:val="18"/>
      <w:szCs w:val="18"/>
      <w:shd w:color="auto" w:fill="F8F8F8" w:val="clear"/>
    </w:rPr>
  </w:style>
  <w:style w:customStyle="1" w:styleId="DocumentationTok" w:type="character">
    <w:name w:val="DocumentationTok"/>
    <w:basedOn w:val="VerbatimChar"/>
    <w:rPr>
      <w:rFonts w:ascii="Consolas" w:hAnsi="Consolas"/>
      <w:b/>
      <w:i/>
      <w:color w:val="8F5902"/>
      <w:sz w:val="18"/>
      <w:szCs w:val="18"/>
      <w:shd w:color="auto" w:fill="F8F8F8" w:val="clear"/>
    </w:rPr>
  </w:style>
  <w:style w:customStyle="1" w:styleId="AnnotationTok" w:type="character">
    <w:name w:val="AnnotationTok"/>
    <w:basedOn w:val="VerbatimChar"/>
    <w:rPr>
      <w:rFonts w:ascii="Consolas" w:hAnsi="Consolas"/>
      <w:b/>
      <w:i/>
      <w:color w:val="8F5902"/>
      <w:sz w:val="18"/>
      <w:szCs w:val="18"/>
      <w:shd w:color="auto" w:fill="F8F8F8" w:val="clear"/>
    </w:rPr>
  </w:style>
  <w:style w:customStyle="1" w:styleId="CommentVarTok" w:type="character">
    <w:name w:val="CommentVarTok"/>
    <w:basedOn w:val="VerbatimChar"/>
    <w:rPr>
      <w:rFonts w:ascii="Consolas" w:hAnsi="Consolas"/>
      <w:b/>
      <w:i/>
      <w:color w:val="8F5902"/>
      <w:sz w:val="18"/>
      <w:szCs w:val="18"/>
      <w:shd w:color="auto" w:fill="F8F8F8" w:val="clear"/>
    </w:rPr>
  </w:style>
  <w:style w:customStyle="1" w:styleId="OtherTok" w:type="character">
    <w:name w:val="OtherTok"/>
    <w:basedOn w:val="VerbatimChar"/>
    <w:rPr>
      <w:rFonts w:ascii="Consolas" w:hAnsi="Consolas"/>
      <w:i w:val="0"/>
      <w:color w:val="8F5902"/>
      <w:sz w:val="18"/>
      <w:szCs w:val="18"/>
      <w:shd w:color="auto" w:fill="F8F8F8" w:val="clear"/>
    </w:rPr>
  </w:style>
  <w:style w:customStyle="1" w:styleId="FunctionTok" w:type="character">
    <w:name w:val="FunctionTok"/>
    <w:basedOn w:val="VerbatimChar"/>
    <w:rPr>
      <w:rFonts w:ascii="Consolas" w:hAnsi="Consolas"/>
      <w:b/>
      <w:i w:val="0"/>
      <w:color w:val="204A87"/>
      <w:sz w:val="18"/>
      <w:szCs w:val="18"/>
      <w:shd w:color="auto" w:fill="F8F8F8" w:val="clear"/>
    </w:rPr>
  </w:style>
  <w:style w:customStyle="1" w:styleId="VariableTok" w:type="character">
    <w:name w:val="VariableTok"/>
    <w:basedOn w:val="VerbatimChar"/>
    <w:rPr>
      <w:rFonts w:ascii="Consolas" w:hAnsi="Consolas"/>
      <w:i w:val="0"/>
      <w:color w:val="000000"/>
      <w:sz w:val="18"/>
      <w:szCs w:val="18"/>
      <w:shd w:color="auto" w:fill="F8F8F8" w:val="clear"/>
    </w:rPr>
  </w:style>
  <w:style w:customStyle="1" w:styleId="ControlFlowTok" w:type="character">
    <w:name w:val="ControlFlowTok"/>
    <w:basedOn w:val="VerbatimChar"/>
    <w:rPr>
      <w:rFonts w:ascii="Consolas" w:hAnsi="Consolas"/>
      <w:b/>
      <w:i w:val="0"/>
      <w:color w:val="204A87"/>
      <w:sz w:val="18"/>
      <w:szCs w:val="18"/>
      <w:shd w:color="auto" w:fill="F8F8F8" w:val="clear"/>
    </w:rPr>
  </w:style>
  <w:style w:customStyle="1" w:styleId="OperatorTok" w:type="character">
    <w:name w:val="OperatorTok"/>
    <w:basedOn w:val="VerbatimChar"/>
    <w:rPr>
      <w:rFonts w:ascii="Consolas" w:hAnsi="Consolas"/>
      <w:b/>
      <w:i w:val="0"/>
      <w:color w:val="CE5C00"/>
      <w:sz w:val="18"/>
      <w:szCs w:val="18"/>
      <w:shd w:color="auto" w:fill="F8F8F8" w:val="clear"/>
    </w:rPr>
  </w:style>
  <w:style w:customStyle="1" w:styleId="BuiltInTok" w:type="character">
    <w:name w:val="BuiltInTok"/>
    <w:basedOn w:val="VerbatimChar"/>
    <w:rPr>
      <w:rFonts w:ascii="Consolas" w:hAnsi="Consolas"/>
      <w:i w:val="0"/>
      <w:sz w:val="18"/>
      <w:szCs w:val="18"/>
      <w:shd w:color="auto" w:fill="F8F8F8" w:val="clear"/>
    </w:rPr>
  </w:style>
  <w:style w:customStyle="1" w:styleId="ExtensionTok" w:type="character">
    <w:name w:val="ExtensionTok"/>
    <w:basedOn w:val="VerbatimChar"/>
    <w:rPr>
      <w:rFonts w:ascii="Consolas" w:hAnsi="Consolas"/>
      <w:i w:val="0"/>
      <w:sz w:val="18"/>
      <w:szCs w:val="18"/>
      <w:shd w:color="auto" w:fill="F8F8F8" w:val="clear"/>
    </w:rPr>
  </w:style>
  <w:style w:customStyle="1" w:styleId="PreprocessorTok" w:type="character">
    <w:name w:val="PreprocessorTok"/>
    <w:basedOn w:val="VerbatimChar"/>
    <w:rPr>
      <w:rFonts w:ascii="Consolas" w:hAnsi="Consolas"/>
      <w:i/>
      <w:color w:val="8F5902"/>
      <w:sz w:val="18"/>
      <w:szCs w:val="18"/>
      <w:shd w:color="auto" w:fill="F8F8F8" w:val="clear"/>
    </w:rPr>
  </w:style>
  <w:style w:customStyle="1" w:styleId="AttributeTok" w:type="character">
    <w:name w:val="AttributeTok"/>
    <w:basedOn w:val="VerbatimChar"/>
    <w:rPr>
      <w:rFonts w:ascii="Consolas" w:hAnsi="Consolas"/>
      <w:i w:val="0"/>
      <w:color w:val="204A87"/>
      <w:sz w:val="18"/>
      <w:szCs w:val="18"/>
      <w:shd w:color="auto" w:fill="F8F8F8" w:val="clear"/>
    </w:rPr>
  </w:style>
  <w:style w:customStyle="1" w:styleId="RegionMarkerTok" w:type="character">
    <w:name w:val="RegionMarkerTok"/>
    <w:basedOn w:val="VerbatimChar"/>
    <w:rPr>
      <w:rFonts w:ascii="Consolas" w:hAnsi="Consolas"/>
      <w:i w:val="0"/>
      <w:sz w:val="18"/>
      <w:szCs w:val="18"/>
      <w:shd w:color="auto" w:fill="F8F8F8" w:val="clear"/>
    </w:rPr>
  </w:style>
  <w:style w:customStyle="1" w:styleId="InformationTok" w:type="character">
    <w:name w:val="InformationTok"/>
    <w:basedOn w:val="VerbatimChar"/>
    <w:rPr>
      <w:rFonts w:ascii="Consolas" w:hAnsi="Consolas"/>
      <w:b/>
      <w:i/>
      <w:color w:val="8F5902"/>
      <w:sz w:val="18"/>
      <w:szCs w:val="18"/>
      <w:shd w:color="auto" w:fill="F8F8F8" w:val="clear"/>
    </w:rPr>
  </w:style>
  <w:style w:customStyle="1" w:styleId="WarningTok" w:type="character">
    <w:name w:val="WarningTok"/>
    <w:basedOn w:val="VerbatimChar"/>
    <w:rPr>
      <w:rFonts w:ascii="Consolas" w:hAnsi="Consolas"/>
      <w:b/>
      <w:i/>
      <w:color w:val="8F5902"/>
      <w:sz w:val="18"/>
      <w:szCs w:val="18"/>
      <w:shd w:color="auto" w:fill="F8F8F8" w:val="clear"/>
    </w:rPr>
  </w:style>
  <w:style w:customStyle="1" w:styleId="AlertTok" w:type="character">
    <w:name w:val="AlertTok"/>
    <w:basedOn w:val="VerbatimChar"/>
    <w:rPr>
      <w:rFonts w:ascii="Consolas" w:hAnsi="Consolas"/>
      <w:i w:val="0"/>
      <w:color w:val="EF2929"/>
      <w:sz w:val="18"/>
      <w:szCs w:val="18"/>
      <w:shd w:color="auto" w:fill="F8F8F8" w:val="clear"/>
    </w:rPr>
  </w:style>
  <w:style w:customStyle="1" w:styleId="ErrorTok" w:type="character">
    <w:name w:val="ErrorTok"/>
    <w:basedOn w:val="VerbatimChar"/>
    <w:rPr>
      <w:rFonts w:ascii="Consolas" w:hAnsi="Consolas"/>
      <w:b/>
      <w:i w:val="0"/>
      <w:color w:val="A40000"/>
      <w:sz w:val="18"/>
      <w:szCs w:val="18"/>
      <w:shd w:color="auto" w:fill="F8F8F8" w:val="clear"/>
    </w:rPr>
  </w:style>
  <w:style w:customStyle="1" w:styleId="NormalTok" w:type="character">
    <w:name w:val="NormalTok"/>
    <w:basedOn w:val="VerbatimChar"/>
    <w:rPr>
      <w:rFonts w:ascii="Consolas" w:hAnsi="Consolas"/>
      <w:i w:val="0"/>
      <w:sz w:val="18"/>
      <w:szCs w:val="18"/>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2" Target="media/rId82.png" /><Relationship Type="http://schemas.openxmlformats.org/officeDocument/2006/relationships/image" Id="rId118" Target="media/rId118.png"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72" Target="media/rId72.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41" Target="media/rId41.png" /><Relationship Type="http://schemas.openxmlformats.org/officeDocument/2006/relationships/image" Id="rId44" Target="media/rId44.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Seamus Murphy; John Wilson; Lauren K Banks</dc:creator>
  <cp:keywords>Wetland inundation dynamics, SAR backscatter, Spectral mixture analysis, Participatory mapping, Socio-hydrological systems, Endorheic lakes, Lake Chilwa</cp:keywords>
  <dcterms:created xsi:type="dcterms:W3CDTF">2026-07-31T01:32:49Z</dcterms:created>
  <dcterms:modified xsi:type="dcterms:W3CDTF">2026-07-31T01:32:49Z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2026-07-30</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tex_engine">
    <vt:lpwstr>xelatex</vt:lpwstr>
  </property>
  <property fmtid="{D5CDD505-2E9C-101B-9397-08002B2CF9AE}" pid="17" name="subtitle">
    <vt:lpwstr>Integrating optical-radar time-series data with participatory mapping of migrant fishing communities</vt:lpwstr>
  </property>
  <property fmtid="{D5CDD505-2E9C-101B-9397-08002B2CF9AE}" pid="18" name="toc-title">
    <vt:lpwstr>Table of contents</vt:lpwstr>
  </property>
</Properties>
</file>