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p>
    <w:p>
      <w:pPr>
        <w:pStyle w:val="FirstParagraph"/>
      </w:pPr>
      <w:r>
        <w:t xml:space="preserve">Endorheic watersheds in Africa present distinct challenges for remote sensing. Their shallow, turbid waters confound optical classification. Their margins shift seasonally and inter-annually across kilometres of flat terrain. Their ecological and economic significance is mediated by social systems that satellites cannot observe. Remote sensing provides spatial data essential to wetland monitoring</w:t>
      </w:r>
      <w:r>
        <w:t xml:space="preserve"> </w:t>
      </w:r>
      <w:r>
        <w:t xml:space="preserve">(Eva &amp; Lambin, 2000; Ozesmi &amp; Bauer, 2002; Philippe &amp; Karume, 2019)</w:t>
      </w:r>
      <w:r>
        <w:t xml:space="preserve">, yet it captures neither the adaptive strategies of local resource users nor the political ecology that governs access to fluctuating resources</w:t>
      </w:r>
      <w:r>
        <w:t xml:space="preserve"> </w:t>
      </w:r>
      <w:r>
        <w:t xml:space="preserve">(Demichelis et al., 2020; Sulieman &amp; Ahmed, 2013; Yiran et al., 2012)</w:t>
      </w:r>
      <w:r>
        <w:t xml:space="preserve">.</w:t>
      </w:r>
    </w:p>
    <w:p>
      <w:pPr>
        <w:pStyle w:val="BodyText"/>
      </w:pPr>
      <w:r>
        <w:t xml:space="preserve">Technical limitations compound this problem. Inland waters differ fundamentally from the terrestrial surfaces for which most satellite sensors were designed. Coloured dissolved organic matter (CDOM), suspended sediment, and phytoplankton blooms alter the spectral properties of water in ways that atmospheric correction algorithms handle poorly</w:t>
      </w:r>
      <w:r>
        <w:t xml:space="preserve"> </w:t>
      </w:r>
      <w:r>
        <w:t xml:space="preserve">(Matthews, 2011; Ogashawara et al., 2017)</w:t>
      </w:r>
      <w:r>
        <w:t xml:space="preserve">. Higher-resolution sensors introduce their own constraints in spectral coverage, radiometric sensitivity, and temporal frequency</w:t>
      </w:r>
      <w:r>
        <w:t xml:space="preserve"> </w:t>
      </w:r>
      <w:r>
        <w:t xml:space="preserve">(Kutser, 2012; Palmer et al., 2015)</w:t>
      </w:r>
      <w:r>
        <w:t xml:space="preserve">. The challenge is not merely technical. It is that remote sensing alone produces maps that are technically defensible but ecologically and socially incomplete.</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bookmarkStart w:id="20" w:name="X3e23be2a70a0c167d35697f24e3b03f777174b6"/>
    <w:p>
      <w:pPr>
        <w:pStyle w:val="Heading2"/>
      </w:pPr>
      <w:r>
        <w:t xml:space="preserve">The Problem with Optical Indices in Inland Wetlands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w:t>
      </w:r>
      <w:r>
        <w:t xml:space="preserve"> </w:t>
      </w:r>
      <w:r>
        <w:t xml:space="preserve">(Ji et al., 2009)</w:t>
      </w:r>
      <w:r>
        <w:t xml:space="preserve"> </w:t>
      </w:r>
      <w:r>
        <w:t xml:space="preserve">but struggles in shallow, turbid conditions because suspended sediment raises NIR reflectance, compressing index values toward zero</w:t>
      </w:r>
      <w:r>
        <w:t xml:space="preserve"> </w:t>
      </w:r>
      <w:r>
        <w:t xml:space="preserve">(W. Li et al., 2013; H. Xu, 2006)</w:t>
      </w:r>
      <w:r>
        <w:t xml:space="preserve">. In vegetated wetlands, canopy reflectance dominates both bands and the index cannot distinguish water beneath emergent vegetation from surrounding marshland</w:t>
      </w:r>
      <w:r>
        <w:t xml:space="preserve"> </w:t>
      </w:r>
      <w:r>
        <w:t xml:space="preserve">(Ozesmi &amp; Bauer, 2002)</w:t>
      </w:r>
      <w:r>
        <w:t xml:space="preserve">. Endorheic lakes with fluctuating shorelines present mixed pixels at the land-water boundary where NDWI thresholds systematically misclassify wet soil as dry land</w:t>
      </w:r>
      <w:r>
        <w:t xml:space="preserve"> </w:t>
      </w:r>
      <w:r>
        <w:t xml:space="preserve">(Deus &amp; Gloaguen, 2013)</w:t>
      </w:r>
      <w:r>
        <w:t xml:space="preserve">.</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w:t>
      </w:r>
      <w:r>
        <w:t xml:space="preserve"> </w:t>
      </w:r>
      <w:r>
        <w:t xml:space="preserve">(Acharya et al., 2018; W. Li et al., 2013)</w:t>
      </w:r>
      <w:r>
        <w:t xml:space="preserve"> </w:t>
      </w:r>
      <w:r>
        <w:t xml:space="preserve">and is the strongest single optical index for the conditions this study addresses. It still fails beneath emergent vegetation, where macrophyte reflectance drives values negative even where standing water persists</w:t>
      </w:r>
      <w:r>
        <w:t xml:space="preserve"> </w:t>
      </w:r>
      <w:r>
        <w:t xml:space="preserve">(Amani et al., 2020)</w:t>
      </w:r>
      <w:r>
        <w:t xml:space="preserve">. In saline and endorheic systems, dissolved salts and algal blooms shift MNDWI thresholds unpredictably, requiring adaptive or Otsu-based methods</w:t>
      </w:r>
      <w:r>
        <w:t xml:space="preserve"> </w:t>
      </w:r>
      <w:r>
        <w:t xml:space="preserve">(Pekel et al., 2016)</w:t>
      </w:r>
      <w:r>
        <w:t xml:space="preserve">. Heimhuber et al.</w:t>
      </w:r>
      <w:r>
        <w:t xml:space="preserve"> </w:t>
      </w:r>
      <w:r>
        <w:t xml:space="preserve">(2018)</w:t>
      </w:r>
      <w:r>
        <w:t xml:space="preserve"> </w:t>
      </w:r>
      <w:r>
        <w:t xml:space="preserve">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w:t>
      </w:r>
      <w:r>
        <w:t xml:space="preserve"> </w:t>
      </w:r>
      <w:r>
        <w:t xml:space="preserve">(Ji et al., 2015)</w:t>
      </w:r>
      <w:r>
        <w:t xml:space="preserve">. Fisher et al.</w:t>
      </w:r>
      <w:r>
        <w:t xml:space="preserve"> </w:t>
      </w:r>
      <w:r>
        <w:t xml:space="preserve">(2016)</w:t>
      </w:r>
      <w:r>
        <w:t xml:space="preserve"> </w:t>
      </w:r>
      <w:r>
        <w:t xml:space="preserve">found that no single index, AWEIsh included, consistently mapped shallow or seasonal water bodies in a global comparison. In endorheic systems, AWEIsh can misclassify exposed lakebed and brine as water</w:t>
      </w:r>
      <w:r>
        <w:t xml:space="preserve"> </w:t>
      </w:r>
      <w:r>
        <w:t xml:space="preserve">(Pekel et al., 2016)</w:t>
      </w:r>
      <w:r>
        <w:t xml:space="preserve">.</w:t>
      </w:r>
    </w:p>
    <w:p>
      <w:pPr>
        <w:pStyle w:val="BodyText"/>
      </w:pPr>
      <w:r>
        <w:t xml:space="preserve">The Water Ratio Index (WRI; Shen and Li, 2010) uses the ratio of visible to infrared bands, yielding values above 1.0 for water. It suppresses cloud and shadow noise effectively</w:t>
      </w:r>
      <w:r>
        <w:t xml:space="preserve"> </w:t>
      </w:r>
      <w:r>
        <w:t xml:space="preserve">(J. Li et al., 2023)</w:t>
      </w:r>
      <w:r>
        <w:t xml:space="preserve"> </w:t>
      </w:r>
      <w:r>
        <w:t xml:space="preserve">and has shown strong performance in bare-soil landscapes in Ethiopia</w:t>
      </w:r>
      <w:r>
        <w:t xml:space="preserve"> </w:t>
      </w:r>
      <w:r>
        <w:t xml:space="preserve">(Demelash et al., 2025)</w:t>
      </w:r>
      <w:r>
        <w:t xml:space="preserve">.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w:t>
      </w:r>
      <w:r>
        <w:t xml:space="preserve"> </w:t>
      </w:r>
      <w:r>
        <w:t xml:space="preserve">(2012)</w:t>
      </w:r>
      <w:r>
        <w:t xml:space="preserve"> </w:t>
      </w:r>
      <w:r>
        <w:t xml:space="preserve">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0"/>
    <w:bookmarkStart w:id="21" w:name="sar-as-a-complement-to-optical-methods"/>
    <w:p>
      <w:pPr>
        <w:pStyle w:val="Heading2"/>
      </w:pPr>
      <w:r>
        <w:t xml:space="preserve">SAR as a Complement to Optical Methods</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w:t>
      </w:r>
      <w:r>
        <w:t xml:space="preserve"> </w:t>
      </w:r>
      <w:r>
        <w:t xml:space="preserve">(Mahdavi et al., 2018)</w:t>
      </w:r>
      <w:r>
        <w:t xml:space="preserve">.</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w:t>
      </w:r>
      <w:r>
        <w:t xml:space="preserve"> </w:t>
      </w:r>
      <w:r>
        <w:t xml:space="preserve">(Martinis et al., 2015)</w:t>
      </w:r>
      <w:r>
        <w:t xml:space="preserve">.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w:t>
      </w:r>
      <w:r>
        <w:t xml:space="preserve"> </w:t>
      </w:r>
      <w:r>
        <w:t xml:space="preserve">(Hess et al., 1995; Tsyganskaya et al., 2018)</w:t>
      </w:r>
      <w:r>
        <w:t xml:space="preserve">.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w:t>
      </w:r>
      <w:r>
        <w:t xml:space="preserve"> </w:t>
      </w:r>
      <w:r>
        <w:t xml:space="preserve">(Clement et al., 2018)</w:t>
      </w:r>
      <w:r>
        <w:t xml:space="preserve">, the Amazon lowlands</w:t>
      </w:r>
      <w:r>
        <w:t xml:space="preserve"> </w:t>
      </w:r>
      <w:r>
        <w:t xml:space="preserve">(Hardy et al., 2019)</w:t>
      </w:r>
      <w:r>
        <w:t xml:space="preserve">, the Okavango Delta</w:t>
      </w:r>
      <w:r>
        <w:t xml:space="preserve"> </w:t>
      </w:r>
      <w:r>
        <w:t xml:space="preserve">(Luca et al., 2025)</w:t>
      </w:r>
      <w:r>
        <w:t xml:space="preserve">, and seasonal lake cycles on the Tibetan Plateau</w:t>
      </w:r>
      <w:r>
        <w:t xml:space="preserve"> </w:t>
      </w:r>
      <w:r>
        <w:t xml:space="preserve">(Zhang et al., 2019)</w:t>
      </w:r>
      <w:r>
        <w:t xml:space="preserve">. Multi-temporal approaches exploit wet-dry season contrast to characterise hydroperiod without ground data.</w:t>
      </w:r>
    </w:p>
    <w:p>
      <w:pPr>
        <w:pStyle w:val="BodyText"/>
      </w:pPr>
      <w:r>
        <w:t xml:space="preserve">C-band has limitations. Speckle noise degrades classification accuracy. Wind roughens water surfaces, raising backscatter above detection thresholds and causing false negatives</w:t>
      </w:r>
      <w:r>
        <w:t xml:space="preserve"> </w:t>
      </w:r>
      <w:r>
        <w:t xml:space="preserve">(Martinis et al., 2015)</w:t>
      </w:r>
      <w:r>
        <w:t xml:space="preserve">. Most critically, C-band’s 5.6 cm wavelength cannot penetrate dense emergent vegetation such as Typha and Phragmites. Clement et al.</w:t>
      </w:r>
      <w:r>
        <w:t xml:space="preserve"> </w:t>
      </w:r>
      <w:r>
        <w:t xml:space="preserve">(2018)</w:t>
      </w:r>
      <w:r>
        <w:t xml:space="preserve"> </w:t>
      </w:r>
      <w:r>
        <w:t xml:space="preserve">reported poor classification in heavily vegetated zones. L-band SAR (approximately 23 cm wavelength), carried by ALOS PALSAR and the forthcoming NISAR mission, penetrates canopies far more effectively. Hess et al.</w:t>
      </w:r>
      <w:r>
        <w:t xml:space="preserve"> </w:t>
      </w:r>
      <w:r>
        <w:t xml:space="preserve">(2003)</w:t>
      </w:r>
      <w:r>
        <w:t xml:space="preserve"> </w:t>
      </w:r>
      <w:r>
        <w:t xml:space="preserve">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w:t>
      </w:r>
      <w:r>
        <w:t xml:space="preserve"> </w:t>
      </w:r>
      <w:r>
        <w:t xml:space="preserve">(Hong &amp; Wdowinski, 2017; Wdowinski et al., 2008)</w:t>
      </w:r>
      <w:r>
        <w:t xml:space="preserve">. Kim et al.</w:t>
      </w:r>
      <w:r>
        <w:t xml:space="preserve"> </w:t>
      </w:r>
      <w:r>
        <w:t xml:space="preserve">(2021)</w:t>
      </w:r>
      <w:r>
        <w:t xml:space="preserve"> </w:t>
      </w:r>
      <w:r>
        <w:t xml:space="preserve">mapped water level gradients across Tonle Sap at sub-monthly intervals.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w:t>
      </w:r>
      <w:r>
        <w:t xml:space="preserve"> </w:t>
      </w:r>
      <w:r>
        <w:t xml:space="preserve">(Amani et al., 2019; Whyte et al., 2018)</w:t>
      </w:r>
      <w:r>
        <w:t xml:space="preserve">. Xu et al.</w:t>
      </w:r>
      <w:r>
        <w:t xml:space="preserve"> </w:t>
      </w:r>
      <w:r>
        <w:t xml:space="preserve">(2025)</w:t>
      </w:r>
      <w:r>
        <w:t xml:space="preserve"> </w:t>
      </w:r>
      <w:r>
        <w:t xml:space="preserve">mapped surface water dynamics across East Africa at 10 m resolution by integrating Sentinel-1 and Sentinel-2 time series. These studies confirm that multi-sensor integration captures dynamics that either sensor family misses alone.</w:t>
      </w:r>
    </w:p>
    <w:bookmarkEnd w:id="21"/>
    <w:bookmarkStart w:id="22" w:name="study-area"/>
    <w:p>
      <w:pPr>
        <w:pStyle w:val="Heading2"/>
      </w:pPr>
      <w:r>
        <w:t xml:space="preserve">Study Area</w:t>
      </w:r>
    </w:p>
    <w:p>
      <w:pPr>
        <w:pStyle w:val="FirstParagraph"/>
      </w:pPr>
      <w:r>
        <w:t xml:space="preserve">Lake Chilwa Basin is one of Africa’s most productive endorheic ecosystems. Located in southern Malawi, this shallow terminal basin supports one of the continent’s most densely populated regions (500 km</w:t>
      </w:r>
      <w:r>
        <w:rPr>
          <w:vertAlign w:val="superscript"/>
        </w:rPr>
        <w:t xml:space="preserve">-1</w:t>
      </w:r>
      <w:r>
        <w:t xml:space="preserve">) and exhibits remarkable ecological productivity during wet periods</w:t>
      </w:r>
      <w:r>
        <w:t xml:space="preserve"> </w:t>
      </w:r>
      <w:r>
        <w:t xml:space="preserve">(Njaya et al., 2011)</w:t>
      </w:r>
      <w:r>
        <w:t xml:space="preserve">.</w:t>
      </w:r>
    </w:p>
    <w:p>
      <w:pPr>
        <w:pStyle w:val="BodyText"/>
      </w:pPr>
      <w:r>
        <w:t xml:space="preserve">The basin’s hydrology is driven by unimodal rainfall (November to April) and sporadic chiperone rains (May to August). Annual fluctuations follow precipitation patterns closely</w:t>
      </w:r>
      <w:r>
        <w:t xml:space="preserve"> </w:t>
      </w:r>
      <w:r>
        <w:t xml:space="preserve">(Ngongondo et al., 2011; Nicholson et al., 2014)</w:t>
      </w:r>
      <w:r>
        <w:t xml:space="preserve">. Longer-term cycles of approximately 15 to 20 years produce dramatic lake recessions and varying degrees of complete desiccation</w:t>
      </w:r>
      <w:r>
        <w:t xml:space="preserve"> </w:t>
      </w:r>
      <w:r>
        <w:t xml:space="preserve">(Kambombe et al., 2021)</w:t>
      </w:r>
      <w:r>
        <w:t xml:space="preserve">. Historical records document major recessions in 1879, 1900, 1914-15, 1922, 1931-32, 1934, 1954, 1960-61, 1967, 1973, 1995, and 2012.</w:t>
      </w:r>
    </w:p>
    <w:p>
      <w:pPr>
        <w:pStyle w:val="BodyText"/>
      </w:pPr>
      <w:r>
        <w:t xml:space="preserve">During recession, aquatic species take refuge in residual swamps dominated by salt-hardy</w:t>
      </w:r>
      <w:r>
        <w:t xml:space="preserve"> </w:t>
      </w:r>
      <w:r>
        <w:rPr>
          <w:i/>
          <w:iCs/>
        </w:rPr>
        <w:t xml:space="preserve">Typha domingensis</w:t>
      </w:r>
      <w:r>
        <w:t xml:space="preserve"> </w:t>
      </w:r>
      <w:r>
        <w:t xml:space="preserve">Pers.</w:t>
      </w:r>
      <w:r>
        <w:t xml:space="preserve"> </w:t>
      </w:r>
      <w:r>
        <w:t xml:space="preserve">(Howard-Williams &amp; Gaudet, 1985; Howard-Williams &amp; Walker, 1974)</w:t>
      </w:r>
      <w:r>
        <w:t xml:space="preserve">. Refilling initiates complex succession dynamics, with emergent food webs driven by detritus and bacterial processes in alkaline, nutrient-rich sediments</w:t>
      </w:r>
      <w:r>
        <w:t xml:space="preserve"> </w:t>
      </w:r>
      <w:r>
        <w:t xml:space="preserve">(Furse et al., 1979; Kalk &amp; Schulten-Senden, 1977)</w:t>
      </w:r>
      <w:r>
        <w:t xml:space="preserve">. Peak productivity reaches 159 kg ha</w:t>
      </w:r>
      <w:r>
        <w:rPr>
          <w:vertAlign w:val="superscript"/>
        </w:rPr>
        <w:t xml:space="preserve">-1</w:t>
      </w:r>
      <w:r>
        <w:t xml:space="preserve"> </w:t>
      </w:r>
      <w:r>
        <w:t xml:space="preserve">(1979) and 113 kg ha</w:t>
      </w:r>
      <w:r>
        <w:rPr>
          <w:vertAlign w:val="superscript"/>
        </w:rPr>
        <w:t xml:space="preserve">-1</w:t>
      </w:r>
      <w:r>
        <w:t xml:space="preserve"> </w:t>
      </w:r>
      <w:r>
        <w:t xml:space="preserve">(1990), surpassing Lake Malawi (40 kg ha</w:t>
      </w:r>
      <w:r>
        <w:rPr>
          <w:vertAlign w:val="superscript"/>
        </w:rPr>
        <w:t xml:space="preserve">-1</w:t>
      </w:r>
      <w:r>
        <w:t xml:space="preserve">), Lake Tanganyika (90 kg ha</w:t>
      </w:r>
      <w:r>
        <w:rPr>
          <w:vertAlign w:val="superscript"/>
        </w:rPr>
        <w:t xml:space="preserve">-1</w:t>
      </w:r>
      <w:r>
        <w:t xml:space="preserve">), and Lake Victoria (116 kg ha</w:t>
      </w:r>
      <w:r>
        <w:rPr>
          <w:vertAlign w:val="superscript"/>
        </w:rPr>
        <w:t xml:space="preserve">-1</w:t>
      </w:r>
      <w:r>
        <w:t xml:space="preserve">)</w:t>
      </w:r>
      <w:r>
        <w:t xml:space="preserve"> </w:t>
      </w:r>
      <w:r>
        <w:t xml:space="preserve">(Njaya et al., 2011; Vanden Bossche &amp; Bernacsek, 1990)</w:t>
      </w:r>
      <w:r>
        <w:t xml:space="preserve">. This boom-and-bust pattern sustains permanent lakeshore communities and seasonal migrant fishing populations.</w:t>
      </w:r>
    </w:p>
    <w:bookmarkEnd w:id="22"/>
    <w:bookmarkStart w:id="72" w:name="research-objectives"/>
    <w:p>
      <w:pPr>
        <w:pStyle w:val="Heading2"/>
      </w:pPr>
      <w:r>
        <w:t xml:space="preserve">Research Objectives</w:t>
      </w:r>
    </w:p>
    <w:p>
      <w:pPr>
        <w:pStyle w:val="FirstParagraph"/>
      </w:pPr>
      <w:r>
        <w:t xml:space="preserve">This study presents an integrated remote sensing and participatory mapping approach to characterise lacustrine transgression-regression dynamics and associated socio-ecological patterns in the Lake Chilwa Basin. The objectives are:</w:t>
      </w:r>
    </w:p>
    <w:p>
      <w:pPr>
        <w:numPr>
          <w:ilvl w:val="0"/>
          <w:numId w:val="1001"/>
        </w:numPr>
      </w:pPr>
      <w:r>
        <w:t xml:space="preserve">Evaluate five optical water-extraction indices (NDWI, MNDWI, AWEIsh, WRI, NDPI) and Sentinel-1 C-band SAR for mapping inundation extent across the basin’s full range of conditions, from deep open water through shallow turbid zones to vegetated marshland.</w:t>
      </w:r>
    </w:p>
    <w:p>
      <w:pPr>
        <w:numPr>
          <w:ilvl w:val="0"/>
          <w:numId w:val="1001"/>
        </w:numPr>
      </w:pPr>
      <w:r>
        <w:t xml:space="preserve">Integrate SAR and optical time series using spectral mixture analysis to quantify hydroperiod fluctuations and littoral zone dynamics across multiple recession-refilling cycles.</w:t>
      </w:r>
    </w:p>
    <w:p>
      <w:pPr>
        <w:numPr>
          <w:ilvl w:val="0"/>
          <w:numId w:val="1001"/>
        </w:numPr>
      </w:pPr>
      <w:r>
        <w:t xml:space="preserve">Validate satellite-derived classifications against ethnographic data collected through key informant interviews, focus group discussions, and participatory mapping with migrant fishing communities.</w:t>
      </w:r>
    </w:p>
    <w:p>
      <w:pPr>
        <w:numPr>
          <w:ilvl w:val="0"/>
          <w:numId w:val="1001"/>
        </w:numPr>
      </w:pPr>
      <w:r>
        <w:t xml:space="preserve">Document the spatiotemporal structure of fishing regulations, population movements, and resource use patterns that formal monitoring frameworks have not captured.</w:t>
      </w:r>
    </w:p>
    <w:bookmarkStart w:id="71" w:name="refs"/>
    <w:bookmarkStart w:id="23" w:name="ref-acharya2018"/>
    <w:p>
      <w:pPr>
        <w:pStyle w:val="Bibliography"/>
      </w:pPr>
      <w:r>
        <w:t xml:space="preserve">Acharya, T. D., Subedi, A., &amp; Lee, D. H. (2018). Evaluation of water indices for surface water extraction in a</w:t>
      </w:r>
      <w:r>
        <w:t xml:space="preserve"> </w:t>
      </w:r>
      <w:r>
        <w:t xml:space="preserve">Landsat</w:t>
      </w:r>
      <w:r>
        <w:t xml:space="preserve"> </w:t>
      </w:r>
      <w:r>
        <w:t xml:space="preserve">8 scene of</w:t>
      </w:r>
      <w:r>
        <w:t xml:space="preserve"> </w:t>
      </w:r>
      <w:r>
        <w:t xml:space="preserve">Nepal</w:t>
      </w:r>
      <w:r>
        <w:t xml:space="preserve">.</w:t>
      </w:r>
      <w:r>
        <w:t xml:space="preserve"> </w:t>
      </w:r>
      <w:r>
        <w:rPr>
          <w:i/>
          <w:iCs/>
        </w:rPr>
        <w:t xml:space="preserve">Sensors</w:t>
      </w:r>
      <w:r>
        <w:t xml:space="preserve">,</w:t>
      </w:r>
      <w:r>
        <w:t xml:space="preserve"> </w:t>
      </w:r>
      <w:r>
        <w:rPr>
          <w:i/>
          <w:iCs/>
        </w:rPr>
        <w:t xml:space="preserve">18</w:t>
      </w:r>
      <w:r>
        <w:t xml:space="preserve">(8), 2580.</w:t>
      </w:r>
    </w:p>
    <w:bookmarkEnd w:id="23"/>
    <w:bookmarkStart w:id="24" w:name="ref-amani2019"/>
    <w:p>
      <w:pPr>
        <w:pStyle w:val="Bibliography"/>
      </w:pPr>
      <w:r>
        <w:t xml:space="preserve">Amani, M. et al. (2019). Wetland mapping using multi-source and multi-temporal satellite imagery and environmental data.</w:t>
      </w:r>
      <w:r>
        <w:t xml:space="preserve"> </w:t>
      </w:r>
      <w:r>
        <w:rPr>
          <w:i/>
          <w:iCs/>
        </w:rPr>
        <w:t xml:space="preserve">GIScience and Remote Sensing</w:t>
      </w:r>
      <w:r>
        <w:t xml:space="preserve">,</w:t>
      </w:r>
      <w:r>
        <w:t xml:space="preserve"> </w:t>
      </w:r>
      <w:r>
        <w:rPr>
          <w:i/>
          <w:iCs/>
        </w:rPr>
        <w:t xml:space="preserve">56</w:t>
      </w:r>
      <w:r>
        <w:t xml:space="preserve">(7), 1023–1045.</w:t>
      </w:r>
    </w:p>
    <w:bookmarkEnd w:id="24"/>
    <w:bookmarkStart w:id="25" w:name="ref-amani2020"/>
    <w:p>
      <w:pPr>
        <w:pStyle w:val="Bibliography"/>
      </w:pPr>
      <w:r>
        <w:t xml:space="preserve">Amani, M. et al. (2020). Canadian wetland inventory using</w:t>
      </w:r>
      <w:r>
        <w:t xml:space="preserve"> </w:t>
      </w:r>
      <w:r>
        <w:t xml:space="preserve">Google Earth Engine</w:t>
      </w:r>
      <w:r>
        <w:t xml:space="preserve">: The first map and preliminary results.</w:t>
      </w:r>
      <w:r>
        <w:t xml:space="preserve"> </w:t>
      </w:r>
      <w:r>
        <w:rPr>
          <w:i/>
          <w:iCs/>
        </w:rPr>
        <w:t xml:space="preserve">Remote Sensing</w:t>
      </w:r>
      <w:r>
        <w:t xml:space="preserve">,</w:t>
      </w:r>
      <w:r>
        <w:t xml:space="preserve"> </w:t>
      </w:r>
      <w:r>
        <w:rPr>
          <w:i/>
          <w:iCs/>
        </w:rPr>
        <w:t xml:space="preserve">12</w:t>
      </w:r>
      <w:r>
        <w:t xml:space="preserve">, 1190.</w:t>
      </w:r>
    </w:p>
    <w:bookmarkEnd w:id="25"/>
    <w:bookmarkStart w:id="26" w:name="ref-campos2012"/>
    <w:p>
      <w:pPr>
        <w:pStyle w:val="Bibliography"/>
      </w:pPr>
      <w:r>
        <w:t xml:space="preserve">Campos, J. C., Sillero, N., &amp; Brito, J. C. (2012). Normalized difference water indexes have dissimilar performances in detecting seasonal and permanent water in the</w:t>
      </w:r>
      <w:r>
        <w:t xml:space="preserve"> </w:t>
      </w:r>
      <w:r>
        <w:t xml:space="preserve">Sahara-Sahel</w:t>
      </w:r>
      <w:r>
        <w:t xml:space="preserve"> </w:t>
      </w:r>
      <w:r>
        <w:t xml:space="preserve">transition zone.</w:t>
      </w:r>
      <w:r>
        <w:t xml:space="preserve"> </w:t>
      </w:r>
      <w:r>
        <w:rPr>
          <w:i/>
          <w:iCs/>
        </w:rPr>
        <w:t xml:space="preserve">Journal of Hydrology</w:t>
      </w:r>
      <w:r>
        <w:t xml:space="preserve">,</w:t>
      </w:r>
      <w:r>
        <w:t xml:space="preserve"> </w:t>
      </w:r>
      <w:r>
        <w:rPr>
          <w:i/>
          <w:iCs/>
        </w:rPr>
        <w:t xml:space="preserve">464–465</w:t>
      </w:r>
      <w:r>
        <w:t xml:space="preserve">, 438–446.</w:t>
      </w:r>
    </w:p>
    <w:bookmarkEnd w:id="26"/>
    <w:bookmarkStart w:id="27" w:name="ref-clement2018"/>
    <w:p>
      <w:pPr>
        <w:pStyle w:val="Bibliography"/>
      </w:pPr>
      <w:r>
        <w:t xml:space="preserve">Clement, M. A. et al.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bookmarkEnd w:id="27"/>
    <w:bookmarkStart w:id="28" w:name="ref-demelash2025"/>
    <w:p>
      <w:pPr>
        <w:pStyle w:val="Bibliography"/>
      </w:pPr>
      <w:r>
        <w:t xml:space="preserve">Demelash, T. et al. (2025). Evaluation of water extraction indices for mapping surface water dynamics.</w:t>
      </w:r>
      <w:r>
        <w:t xml:space="preserve"> </w:t>
      </w:r>
      <w:r>
        <w:rPr>
          <w:i/>
          <w:iCs/>
        </w:rPr>
        <w:t xml:space="preserve">H2Open Journal</w:t>
      </w:r>
      <w:r>
        <w:t xml:space="preserve">,</w:t>
      </w:r>
      <w:r>
        <w:t xml:space="preserve"> </w:t>
      </w:r>
      <w:r>
        <w:rPr>
          <w:i/>
          <w:iCs/>
        </w:rPr>
        <w:t xml:space="preserve">8</w:t>
      </w:r>
      <w:r>
        <w:t xml:space="preserve">(5), 402.</w:t>
      </w:r>
    </w:p>
    <w:bookmarkEnd w:id="28"/>
    <w:bookmarkStart w:id="29" w:name="ref-demichelis2020"/>
    <w:p>
      <w:pPr>
        <w:pStyle w:val="Bibliography"/>
      </w:pPr>
      <w:r>
        <w:t xml:space="preserve">Demichelis, C., Oszwald, J., Gasquet-Blanchard, C., Narat, V., Bokika, J.-C., Pennec, F., &amp; Giles-Vernick, T. (2020). Multidimensional analysis of landscape dynamics in a central african forest-savannah mosaic.</w:t>
      </w:r>
      <w:r>
        <w:t xml:space="preserve"> </w:t>
      </w:r>
      <w:r>
        <w:rPr>
          <w:i/>
          <w:iCs/>
        </w:rPr>
        <w:t xml:space="preserve">African Journal of Ecology</w:t>
      </w:r>
      <w:r>
        <w:t xml:space="preserve">,</w:t>
      </w:r>
      <w:r>
        <w:t xml:space="preserve"> </w:t>
      </w:r>
      <w:r>
        <w:rPr>
          <w:i/>
          <w:iCs/>
        </w:rPr>
        <w:t xml:space="preserve">58</w:t>
      </w:r>
      <w:r>
        <w:t xml:space="preserve">(4), 692708.</w:t>
      </w:r>
    </w:p>
    <w:bookmarkEnd w:id="29"/>
    <w:bookmarkStart w:id="30" w:name="ref-deus2013"/>
    <w:p>
      <w:pPr>
        <w:pStyle w:val="Bibliography"/>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 5765–5781.</w:t>
      </w:r>
    </w:p>
    <w:bookmarkEnd w:id="30"/>
    <w:bookmarkStart w:id="31" w:name="ref-eva2000"/>
    <w:p>
      <w:pPr>
        <w:pStyle w:val="Bibliography"/>
      </w:pPr>
      <w:r>
        <w:t xml:space="preserve">Eva, H., &amp; Lambin, E. F. (2000). Fires and land-cover change in the tropics: A remote sensing analysis at the landscape scale.</w:t>
      </w:r>
      <w:r>
        <w:t xml:space="preserve"> </w:t>
      </w:r>
      <w:r>
        <w:rPr>
          <w:i/>
          <w:iCs/>
        </w:rPr>
        <w:t xml:space="preserve">Journal of Biogeography</w:t>
      </w:r>
      <w:r>
        <w:t xml:space="preserve">,</w:t>
      </w:r>
      <w:r>
        <w:t xml:space="preserve"> </w:t>
      </w:r>
      <w:r>
        <w:rPr>
          <w:i/>
          <w:iCs/>
        </w:rPr>
        <w:t xml:space="preserve">27</w:t>
      </w:r>
      <w:r>
        <w:t xml:space="preserve">(3), 765776.</w:t>
      </w:r>
    </w:p>
    <w:bookmarkEnd w:id="31"/>
    <w:bookmarkStart w:id="32" w:name="ref-fisher2016"/>
    <w:p>
      <w:pPr>
        <w:pStyle w:val="Bibliography"/>
      </w:pPr>
      <w:r>
        <w:t xml:space="preserve">Fisher, A., Flood, N., &amp; Danaher, T. (2016). Comparing</w:t>
      </w:r>
      <w:r>
        <w:t xml:space="preserve"> </w:t>
      </w:r>
      <w:r>
        <w:t xml:space="preserve">Landsat</w:t>
      </w:r>
      <w:r>
        <w:t xml:space="preserve"> </w:t>
      </w:r>
      <w:r>
        <w:t xml:space="preserve">water index methods for automated water classification in eastern</w:t>
      </w:r>
      <w:r>
        <w:t xml:space="preserve"> </w:t>
      </w:r>
      <w:r>
        <w:t xml:space="preserve">Australia</w:t>
      </w:r>
      <w:r>
        <w:t xml:space="preserve">.</w:t>
      </w:r>
      <w:r>
        <w:t xml:space="preserve"> </w:t>
      </w:r>
      <w:r>
        <w:rPr>
          <w:i/>
          <w:iCs/>
        </w:rPr>
        <w:t xml:space="preserve">Remote Sensing of Environment</w:t>
      </w:r>
      <w:r>
        <w:t xml:space="preserve">,</w:t>
      </w:r>
      <w:r>
        <w:t xml:space="preserve"> </w:t>
      </w:r>
      <w:r>
        <w:rPr>
          <w:i/>
          <w:iCs/>
        </w:rPr>
        <w:t xml:space="preserve">175</w:t>
      </w:r>
      <w:r>
        <w:t xml:space="preserve">, 167–177.</w:t>
      </w:r>
    </w:p>
    <w:bookmarkEnd w:id="32"/>
    <w:bookmarkStart w:id="33" w:name="ref-furse1979"/>
    <w:p>
      <w:pPr>
        <w:pStyle w:val="Bibliography"/>
      </w:pPr>
      <w:r>
        <w:t xml:space="preserve">Furse, M., Morgan, P., &amp; Kalk, M. (1979).</w:t>
      </w:r>
      <w:r>
        <w:t xml:space="preserve"> </w:t>
      </w:r>
      <w:r>
        <w:rPr>
          <w:i/>
          <w:iCs/>
        </w:rPr>
        <w:t xml:space="preserve">The fisheries of lake chilwa</w:t>
      </w:r>
      <w:r>
        <w:t xml:space="preserve"> </w:t>
      </w:r>
      <w:r>
        <w:t xml:space="preserve">(p. 209229). Springer.</w:t>
      </w:r>
    </w:p>
    <w:bookmarkEnd w:id="33"/>
    <w:bookmarkStart w:id="34" w:name="ref-hardy2019"/>
    <w:p>
      <w:pPr>
        <w:pStyle w:val="Bibliography"/>
      </w:pPr>
      <w:r>
        <w:t xml:space="preserve">Hardy, A. et al. (2019). Automatic detection of open and vegetated water bodies using</w:t>
      </w:r>
      <w:r>
        <w:t xml:space="preserve"> </w:t>
      </w:r>
      <w:r>
        <w:t xml:space="preserve">Sentinel-1</w:t>
      </w:r>
      <w:r>
        <w:t xml:space="preserve"> </w:t>
      </w:r>
      <w:r>
        <w:t xml:space="preserve">to map</w:t>
      </w:r>
      <w:r>
        <w:t xml:space="preserve"> </w:t>
      </w:r>
      <w:r>
        <w:t xml:space="preserve">African</w:t>
      </w:r>
      <w:r>
        <w:t xml:space="preserve"> </w:t>
      </w:r>
      <w:r>
        <w:t xml:space="preserve">malaria vector mosquito breeding habitats.</w:t>
      </w:r>
      <w:r>
        <w:t xml:space="preserve"> </w:t>
      </w:r>
      <w:r>
        <w:rPr>
          <w:i/>
          <w:iCs/>
        </w:rPr>
        <w:t xml:space="preserve">Remote Sensing</w:t>
      </w:r>
      <w:r>
        <w:t xml:space="preserve">,</w:t>
      </w:r>
      <w:r>
        <w:t xml:space="preserve"> </w:t>
      </w:r>
      <w:r>
        <w:rPr>
          <w:i/>
          <w:iCs/>
        </w:rPr>
        <w:t xml:space="preserve">11</w:t>
      </w:r>
      <w:r>
        <w:t xml:space="preserve">(6), 720.</w:t>
      </w:r>
    </w:p>
    <w:bookmarkEnd w:id="34"/>
    <w:bookmarkStart w:id="35" w:name="ref-heimhuber2018"/>
    <w:p>
      <w:pPr>
        <w:pStyle w:val="Bibliography"/>
      </w:pPr>
      <w:r>
        <w:t xml:space="preserve">Heimhuber, V. et al. (2018). Modeling 25 years of spatio-temporal surface water and inundation dynamics on large river basin scale using time series of</w:t>
      </w:r>
      <w:r>
        <w:t xml:space="preserve"> </w:t>
      </w:r>
      <w:r>
        <w:t xml:space="preserve">Earth</w:t>
      </w:r>
      <w:r>
        <w:t xml:space="preserve"> </w:t>
      </w:r>
      <w:r>
        <w:t xml:space="preserve">observation data.</w:t>
      </w:r>
      <w:r>
        <w:t xml:space="preserve"> </w:t>
      </w:r>
      <w:r>
        <w:rPr>
          <w:i/>
          <w:iCs/>
        </w:rPr>
        <w:t xml:space="preserve">Remote Sensing of Environment</w:t>
      </w:r>
      <w:r>
        <w:t xml:space="preserve">,</w:t>
      </w:r>
      <w:r>
        <w:t xml:space="preserve"> </w:t>
      </w:r>
      <w:r>
        <w:rPr>
          <w:i/>
          <w:iCs/>
        </w:rPr>
        <w:t xml:space="preserve">209</w:t>
      </w:r>
      <w:r>
        <w:t xml:space="preserve">, 27–42.</w:t>
      </w:r>
    </w:p>
    <w:bookmarkEnd w:id="35"/>
    <w:bookmarkStart w:id="36" w:name="ref-hess1995"/>
    <w:p>
      <w:pPr>
        <w:pStyle w:val="Bibliography"/>
      </w:pPr>
      <w:r>
        <w:t xml:space="preserve">Hess, L. L. et al. (1995). Delineation of inundated area and vegetation along the</w:t>
      </w:r>
      <w:r>
        <w:t xml:space="preserve"> </w:t>
      </w:r>
      <w:r>
        <w:t xml:space="preserve">Amazon</w:t>
      </w:r>
      <w:r>
        <w:t xml:space="preserve"> </w:t>
      </w:r>
      <w:r>
        <w:t xml:space="preserve">floodplain with the</w:t>
      </w:r>
      <w:r>
        <w:t xml:space="preserve"> </w:t>
      </w:r>
      <w:r>
        <w:t xml:space="preserve">SIR-C</w:t>
      </w:r>
      <w:r>
        <w:t xml:space="preserve"> </w:t>
      </w:r>
      <w:r>
        <w:t xml:space="preserve">synthetic aperture radar.</w:t>
      </w:r>
      <w:r>
        <w:t xml:space="preserve"> </w:t>
      </w:r>
      <w:r>
        <w:rPr>
          <w:i/>
          <w:iCs/>
        </w:rPr>
        <w:t xml:space="preserve">IEEE Transactions on Geoscience and Remote Sensing</w:t>
      </w:r>
      <w:r>
        <w:t xml:space="preserve">,</w:t>
      </w:r>
      <w:r>
        <w:t xml:space="preserve"> </w:t>
      </w:r>
      <w:r>
        <w:rPr>
          <w:i/>
          <w:iCs/>
        </w:rPr>
        <w:t xml:space="preserve">33</w:t>
      </w:r>
      <w:r>
        <w:t xml:space="preserve">(4), 896–904.</w:t>
      </w:r>
    </w:p>
    <w:bookmarkEnd w:id="36"/>
    <w:bookmarkStart w:id="37" w:name="ref-hess2003"/>
    <w:p>
      <w:pPr>
        <w:pStyle w:val="Bibliography"/>
      </w:pPr>
      <w:r>
        <w:t xml:space="preserve">Hess, L. L. et al. (2003). Dual-season mapping of wetland inundation and vegetation for the central</w:t>
      </w:r>
      <w:r>
        <w:t xml:space="preserve"> </w:t>
      </w:r>
      <w:r>
        <w:t xml:space="preserve">Amazon</w:t>
      </w:r>
      <w:r>
        <w:t xml:space="preserve"> </w:t>
      </w:r>
      <w:r>
        <w:t xml:space="preserve">basin.</w:t>
      </w:r>
      <w:r>
        <w:t xml:space="preserve"> </w:t>
      </w:r>
      <w:r>
        <w:rPr>
          <w:i/>
          <w:iCs/>
        </w:rPr>
        <w:t xml:space="preserve">Remote Sensing of Environment</w:t>
      </w:r>
      <w:r>
        <w:t xml:space="preserve">,</w:t>
      </w:r>
      <w:r>
        <w:t xml:space="preserve"> </w:t>
      </w:r>
      <w:r>
        <w:rPr>
          <w:i/>
          <w:iCs/>
        </w:rPr>
        <w:t xml:space="preserve">87</w:t>
      </w:r>
      <w:r>
        <w:t xml:space="preserve">, 404–428.</w:t>
      </w:r>
    </w:p>
    <w:bookmarkEnd w:id="37"/>
    <w:bookmarkStart w:id="38" w:name="ref-hong2017"/>
    <w:p>
      <w:pPr>
        <w:pStyle w:val="Bibliography"/>
      </w:pPr>
      <w:r>
        <w:t xml:space="preserve">Hong, S.-H., &amp; Wdowinski, S. (2017). Double-bounce component in cross-polarimetric</w:t>
      </w:r>
      <w:r>
        <w:t xml:space="preserve"> </w:t>
      </w:r>
      <w:r>
        <w:t xml:space="preserve">SAR</w:t>
      </w:r>
      <w:r>
        <w:t xml:space="preserve"> </w:t>
      </w:r>
      <w:r>
        <w:t xml:space="preserve">from a new scattering target decomposition.</w:t>
      </w:r>
      <w:r>
        <w:t xml:space="preserve"> </w:t>
      </w:r>
      <w:r>
        <w:rPr>
          <w:i/>
          <w:iCs/>
        </w:rPr>
        <w:t xml:space="preserve">IEEE Geoscience and Remote Sensing Letters</w:t>
      </w:r>
      <w:r>
        <w:t xml:space="preserve">,</w:t>
      </w:r>
      <w:r>
        <w:t xml:space="preserve"> </w:t>
      </w:r>
      <w:r>
        <w:rPr>
          <w:i/>
          <w:iCs/>
        </w:rPr>
        <w:t xml:space="preserve">14</w:t>
      </w:r>
      <w:r>
        <w:t xml:space="preserve">(8), 1370–1374.</w:t>
      </w:r>
    </w:p>
    <w:bookmarkEnd w:id="38"/>
    <w:bookmarkStart w:id="40" w:name="ref-howard-williams1985"/>
    <w:p>
      <w:pPr>
        <w:pStyle w:val="Bibliography"/>
      </w:pPr>
      <w:r>
        <w:t xml:space="preserve">Howard-Williams, C., &amp; Gaudet, J. J. (1985).</w:t>
      </w:r>
      <w:r>
        <w:t xml:space="preserve"> </w:t>
      </w:r>
      <w:r>
        <w:rPr>
          <w:i/>
          <w:iCs/>
        </w:rPr>
        <w:t xml:space="preserve">The structure and functioning of african swamps</w:t>
      </w:r>
      <w:r>
        <w:t xml:space="preserve"> </w:t>
      </w:r>
      <w:r>
        <w:t xml:space="preserve">(P. Denny, Ed.; p. 153175). Springer Netherlands.</w:t>
      </w:r>
      <w:r>
        <w:t xml:space="preserve"> </w:t>
      </w:r>
      <w:hyperlink r:id="rId39">
        <w:r>
          <w:rPr>
            <w:rStyle w:val="Hyperlink"/>
          </w:rPr>
          <w:t xml:space="preserve">https://doi.org/10.1007/978-94-009-5504-2_6</w:t>
        </w:r>
      </w:hyperlink>
    </w:p>
    <w:bookmarkEnd w:id="40"/>
    <w:bookmarkStart w:id="41" w:name="ref-howard-williams1974"/>
    <w:p>
      <w:pPr>
        <w:pStyle w:val="Bibliography"/>
      </w:pPr>
      <w:r>
        <w:t xml:space="preserve">Howard-Williams, C., &amp; Walker, B. (1974). The vegetation of a tropical african lake: Classification and ordination of the vegetation of lake chilwa (malawi).</w:t>
      </w:r>
      <w:r>
        <w:t xml:space="preserve"> </w:t>
      </w:r>
      <w:r>
        <w:rPr>
          <w:i/>
          <w:iCs/>
        </w:rPr>
        <w:t xml:space="preserve">The Journal of Ecology</w:t>
      </w:r>
      <w:r>
        <w:t xml:space="preserve">, 831854.</w:t>
      </w:r>
    </w:p>
    <w:bookmarkEnd w:id="41"/>
    <w:bookmarkStart w:id="42" w:name="ref-ji2015"/>
    <w:p>
      <w:pPr>
        <w:pStyle w:val="Bibliography"/>
      </w:pPr>
      <w:r>
        <w:t xml:space="preserve">Ji, L. et al. (2015). Improving the accuracy of the water surface cover type in the 30 m</w:t>
      </w:r>
      <w:r>
        <w:t xml:space="preserve"> </w:t>
      </w:r>
      <w:r>
        <w:t xml:space="preserve">FROM-GLC</w:t>
      </w:r>
      <w:r>
        <w:t xml:space="preserve"> </w:t>
      </w:r>
      <w:r>
        <w:t xml:space="preserve">product.</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bookmarkEnd w:id="42"/>
    <w:bookmarkStart w:id="43" w:name="ref-ji2009"/>
    <w:p>
      <w:pPr>
        <w:pStyle w:val="Bibliography"/>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bookmarkEnd w:id="43"/>
    <w:bookmarkStart w:id="44" w:name="ref-kalk1977"/>
    <w:p>
      <w:pPr>
        <w:pStyle w:val="Bibliography"/>
      </w:pPr>
      <w:r>
        <w:t xml:space="preserve">Kalk, M., &amp; Schulten-Senden, C. (1977). Zooplankton in a tropical endorheic lake (lake chilwa, malawi) during drying and recovery phases.</w:t>
      </w:r>
      <w:r>
        <w:t xml:space="preserve"> </w:t>
      </w:r>
      <w:r>
        <w:rPr>
          <w:i/>
          <w:iCs/>
        </w:rPr>
        <w:t xml:space="preserve">Journal of the Limnological Society of Southern Africa</w:t>
      </w:r>
      <w:r>
        <w:t xml:space="preserve">,</w:t>
      </w:r>
      <w:r>
        <w:t xml:space="preserve"> </w:t>
      </w:r>
      <w:r>
        <w:rPr>
          <w:i/>
          <w:iCs/>
        </w:rPr>
        <w:t xml:space="preserve">3</w:t>
      </w:r>
      <w:r>
        <w:t xml:space="preserve">(1), 17.</w:t>
      </w:r>
    </w:p>
    <w:bookmarkEnd w:id="44"/>
    <w:bookmarkStart w:id="45" w:name="ref-kambombe2021"/>
    <w:p>
      <w:pPr>
        <w:pStyle w:val="Bibliography"/>
      </w:pPr>
      <w:r>
        <w:t xml:space="preserve">Kambombe, O., Ngongondo, C., Eneya, L., Monjerezi, M., &amp; Boyce, C. (2021). Spatio-temporal analysis of droughts in the lake chilwa basin, malawi.</w:t>
      </w:r>
      <w:r>
        <w:t xml:space="preserve"> </w:t>
      </w:r>
      <w:r>
        <w:rPr>
          <w:i/>
          <w:iCs/>
        </w:rPr>
        <w:t xml:space="preserve">Theoretical and Applied Climatology</w:t>
      </w:r>
      <w:r>
        <w:t xml:space="preserve">,</w:t>
      </w:r>
      <w:r>
        <w:t xml:space="preserve"> </w:t>
      </w:r>
      <w:r>
        <w:rPr>
          <w:i/>
          <w:iCs/>
        </w:rPr>
        <w:t xml:space="preserve">144</w:t>
      </w:r>
      <w:r>
        <w:t xml:space="preserve">, 12191231.</w:t>
      </w:r>
    </w:p>
    <w:bookmarkEnd w:id="45"/>
    <w:bookmarkStart w:id="46" w:name="ref-kim2021"/>
    <w:p>
      <w:pPr>
        <w:pStyle w:val="Bibliography"/>
      </w:pPr>
      <w:r>
        <w:t xml:space="preserve">Kim, S. et al. (2021). Monitoring</w:t>
      </w:r>
      <w:r>
        <w:t xml:space="preserve"> </w:t>
      </w:r>
      <w:r>
        <w:t xml:space="preserve">Tonle Sap</w:t>
      </w:r>
      <w:r>
        <w:t xml:space="preserve"> </w:t>
      </w:r>
      <w:r>
        <w:t xml:space="preserve">water level changes using</w:t>
      </w:r>
      <w:r>
        <w:t xml:space="preserve"> </w:t>
      </w:r>
      <w:r>
        <w:t xml:space="preserve">Sentinel-1</w:t>
      </w:r>
      <w:r>
        <w:t xml:space="preserve"> </w:t>
      </w:r>
      <w:r>
        <w:t xml:space="preserve">SAR</w:t>
      </w:r>
      <w:r>
        <w:t xml:space="preserve"> </w:t>
      </w:r>
      <w:r>
        <w:t xml:space="preserve">data.</w:t>
      </w:r>
      <w:r>
        <w:t xml:space="preserve"> </w:t>
      </w:r>
      <w:r>
        <w:rPr>
          <w:i/>
          <w:iCs/>
        </w:rPr>
        <w:t xml:space="preserve">Remote Sensing of Environment</w:t>
      </w:r>
      <w:r>
        <w:t xml:space="preserve">,</w:t>
      </w:r>
      <w:r>
        <w:t xml:space="preserve"> </w:t>
      </w:r>
      <w:r>
        <w:rPr>
          <w:i/>
          <w:iCs/>
        </w:rPr>
        <w:t xml:space="preserve">252</w:t>
      </w:r>
      <w:r>
        <w:t xml:space="preserve">, 112150.</w:t>
      </w:r>
    </w:p>
    <w:bookmarkEnd w:id="46"/>
    <w:bookmarkStart w:id="47" w:name="ref-kutser2012"/>
    <w:p>
      <w:pPr>
        <w:pStyle w:val="Bibliography"/>
      </w:pPr>
      <w:r>
        <w:t xml:space="preserve">Kutser, T. (2012). The possibility of using the landsat image archive for monitoring long time trends in coloured dissolved organic matter concentration in lake waters.</w:t>
      </w:r>
      <w:r>
        <w:t xml:space="preserve"> </w:t>
      </w:r>
      <w:r>
        <w:rPr>
          <w:i/>
          <w:iCs/>
        </w:rPr>
        <w:t xml:space="preserve">Remote Sensing of Environment</w:t>
      </w:r>
      <w:r>
        <w:t xml:space="preserve">,</w:t>
      </w:r>
      <w:r>
        <w:t xml:space="preserve"> </w:t>
      </w:r>
      <w:r>
        <w:rPr>
          <w:i/>
          <w:iCs/>
        </w:rPr>
        <w:t xml:space="preserve">123</w:t>
      </w:r>
      <w:r>
        <w:t xml:space="preserve">, 334338.</w:t>
      </w:r>
    </w:p>
    <w:bookmarkEnd w:id="47"/>
    <w:bookmarkStart w:id="48" w:name="ref-li2023"/>
    <w:p>
      <w:pPr>
        <w:pStyle w:val="Bibliography"/>
      </w:pPr>
      <w:r>
        <w:t xml:space="preserve">Li, J. et al. (2023). Surface water mapping from remote sensing images using water indices and machine learning.</w:t>
      </w:r>
      <w:r>
        <w:t xml:space="preserve"> </w:t>
      </w:r>
      <w:r>
        <w:rPr>
          <w:i/>
          <w:iCs/>
        </w:rPr>
        <w:t xml:space="preserve">Remote Sensing</w:t>
      </w:r>
      <w:r>
        <w:t xml:space="preserve">,</w:t>
      </w:r>
      <w:r>
        <w:t xml:space="preserve"> </w:t>
      </w:r>
      <w:r>
        <w:rPr>
          <w:i/>
          <w:iCs/>
        </w:rPr>
        <w:t xml:space="preserve">15</w:t>
      </w:r>
      <w:r>
        <w:t xml:space="preserve">(6), 1678.</w:t>
      </w:r>
    </w:p>
    <w:bookmarkEnd w:id="48"/>
    <w:bookmarkStart w:id="49" w:name="ref-li2013"/>
    <w:p>
      <w:pPr>
        <w:pStyle w:val="Bibliography"/>
      </w:pPr>
      <w:r>
        <w:t xml:space="preserve">Li, W. et al. (2013). A comparison of land surface water mapping using the normalized difference water index from</w:t>
      </w:r>
      <w:r>
        <w:t xml:space="preserve"> </w:t>
      </w:r>
      <w:r>
        <w:t xml:space="preserve">TM</w:t>
      </w:r>
      <w:r>
        <w:t xml:space="preserve">,</w:t>
      </w:r>
      <w:r>
        <w:t xml:space="preserve"> </w:t>
      </w:r>
      <w:r>
        <w:t xml:space="preserve">ETM+</w:t>
      </w:r>
      <w:r>
        <w:t xml:space="preserve"> </w:t>
      </w:r>
      <w:r>
        <w:t xml:space="preserve">and</w:t>
      </w:r>
      <w:r>
        <w:t xml:space="preserve"> </w:t>
      </w:r>
      <w:r>
        <w:t xml:space="preserve">ALI</w:t>
      </w:r>
      <w:r>
        <w:t xml:space="preserve">.</w:t>
      </w:r>
      <w:r>
        <w:t xml:space="preserve"> </w:t>
      </w:r>
      <w:r>
        <w:rPr>
          <w:i/>
          <w:iCs/>
        </w:rPr>
        <w:t xml:space="preserve">Remote Sensing</w:t>
      </w:r>
      <w:r>
        <w:t xml:space="preserve">,</w:t>
      </w:r>
      <w:r>
        <w:t xml:space="preserve"> </w:t>
      </w:r>
      <w:r>
        <w:rPr>
          <w:i/>
          <w:iCs/>
        </w:rPr>
        <w:t xml:space="preserve">5</w:t>
      </w:r>
      <w:r>
        <w:t xml:space="preserve">(11), 5530–5549.</w:t>
      </w:r>
    </w:p>
    <w:bookmarkEnd w:id="49"/>
    <w:bookmarkStart w:id="50" w:name="ref-luca2025"/>
    <w:p>
      <w:pPr>
        <w:pStyle w:val="Bibliography"/>
      </w:pPr>
      <w:r>
        <w:t xml:space="preserve">Luca, G. et al. (2025). Mapping seasonal flooding in the</w:t>
      </w:r>
      <w:r>
        <w:t xml:space="preserve"> </w:t>
      </w:r>
      <w:r>
        <w:t xml:space="preserve">Okavango Delta</w:t>
      </w:r>
      <w:r>
        <w:t xml:space="preserve"> </w:t>
      </w:r>
      <w:r>
        <w:t xml:space="preserve">using</w:t>
      </w:r>
      <w:r>
        <w:t xml:space="preserve"> </w:t>
      </w:r>
      <w:r>
        <w:t xml:space="preserve">Sentinel-1</w:t>
      </w:r>
      <w:r>
        <w:t xml:space="preserve"> </w:t>
      </w:r>
      <w:r>
        <w:t xml:space="preserve">time series.</w:t>
      </w:r>
      <w:r>
        <w:t xml:space="preserve"> </w:t>
      </w:r>
      <w:r>
        <w:rPr>
          <w:i/>
          <w:iCs/>
        </w:rPr>
        <w:t xml:space="preserve">Remote Sensing of Environment</w:t>
      </w:r>
      <w:r>
        <w:t xml:space="preserve">,</w:t>
      </w:r>
      <w:r>
        <w:t xml:space="preserve"> </w:t>
      </w:r>
      <w:r>
        <w:rPr>
          <w:i/>
          <w:iCs/>
        </w:rPr>
        <w:t xml:space="preserve">310</w:t>
      </w:r>
      <w:r>
        <w:t xml:space="preserve">, 114474.</w:t>
      </w:r>
    </w:p>
    <w:bookmarkEnd w:id="50"/>
    <w:bookmarkStart w:id="51" w:name="ref-mahdavi2018"/>
    <w:p>
      <w:pPr>
        <w:pStyle w:val="Bibliography"/>
      </w:pPr>
      <w:r>
        <w:t xml:space="preserve">Mahdavi, S. et al.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bookmarkEnd w:id="51"/>
    <w:bookmarkStart w:id="52" w:name="ref-martinis2015"/>
    <w:p>
      <w:pPr>
        <w:pStyle w:val="Bibliography"/>
      </w:pPr>
      <w:r>
        <w:t xml:space="preserve">Martinis, S. et al. (2015). Towards operational near real-time flood detection using a split-based automatic thresholding procedure on high resolution</w:t>
      </w:r>
      <w:r>
        <w:t xml:space="preserve"> </w:t>
      </w:r>
      <w:r>
        <w:t xml:space="preserve">TerraSAR-X</w:t>
      </w:r>
      <w:r>
        <w:t xml:space="preserve"> </w:t>
      </w:r>
      <w:r>
        <w:t xml:space="preserve">data.</w:t>
      </w:r>
      <w:r>
        <w:t xml:space="preserve"> </w:t>
      </w:r>
      <w:r>
        <w:rPr>
          <w:i/>
          <w:iCs/>
        </w:rPr>
        <w:t xml:space="preserve">Natural Hazards and Earth System Sciences</w:t>
      </w:r>
      <w:r>
        <w:t xml:space="preserve">,</w:t>
      </w:r>
      <w:r>
        <w:t xml:space="preserve"> </w:t>
      </w:r>
      <w:r>
        <w:rPr>
          <w:i/>
          <w:iCs/>
        </w:rPr>
        <w:t xml:space="preserve">15</w:t>
      </w:r>
      <w:r>
        <w:t xml:space="preserve">(5), 1069–1085.</w:t>
      </w:r>
    </w:p>
    <w:bookmarkEnd w:id="52"/>
    <w:bookmarkStart w:id="53" w:name="ref-matthews2011"/>
    <w:p>
      <w:pPr>
        <w:pStyle w:val="Bibliography"/>
      </w:pPr>
      <w:r>
        <w:t xml:space="preserve">Matthews, M. W. (2011). A current review of empirical procedures of remote sensing in inland and near-coastal transitional waters.</w:t>
      </w:r>
      <w:r>
        <w:t xml:space="preserve"> </w:t>
      </w:r>
      <w:r>
        <w:rPr>
          <w:i/>
          <w:iCs/>
        </w:rPr>
        <w:t xml:space="preserve">International Journal of Remote Sensing</w:t>
      </w:r>
      <w:r>
        <w:t xml:space="preserve">,</w:t>
      </w:r>
      <w:r>
        <w:t xml:space="preserve"> </w:t>
      </w:r>
      <w:r>
        <w:rPr>
          <w:i/>
          <w:iCs/>
        </w:rPr>
        <w:t xml:space="preserve">32</w:t>
      </w:r>
      <w:r>
        <w:t xml:space="preserve">(21), 68556899.</w:t>
      </w:r>
    </w:p>
    <w:bookmarkEnd w:id="53"/>
    <w:bookmarkStart w:id="54" w:name="ref-ngongondo2011"/>
    <w:p>
      <w:pPr>
        <w:pStyle w:val="Bibliography"/>
      </w:pPr>
      <w:r>
        <w:t xml:space="preserve">Ngongondo, C., Xu, C.-Y., Gottschalk, L., &amp; Alemaw, B. (2011). Evaluation of spatial and temporal characteristics of rainfall in malawi: A case of data scarce region.</w:t>
      </w:r>
      <w:r>
        <w:t xml:space="preserve"> </w:t>
      </w:r>
      <w:r>
        <w:rPr>
          <w:i/>
          <w:iCs/>
        </w:rPr>
        <w:t xml:space="preserve">Theoretical and Applied Climatology</w:t>
      </w:r>
      <w:r>
        <w:t xml:space="preserve">,</w:t>
      </w:r>
      <w:r>
        <w:t xml:space="preserve"> </w:t>
      </w:r>
      <w:r>
        <w:rPr>
          <w:i/>
          <w:iCs/>
        </w:rPr>
        <w:t xml:space="preserve">106</w:t>
      </w:r>
      <w:r>
        <w:t xml:space="preserve">, 7993.</w:t>
      </w:r>
    </w:p>
    <w:bookmarkEnd w:id="54"/>
    <w:bookmarkStart w:id="55" w:name="ref-nicholson2014"/>
    <w:p>
      <w:pPr>
        <w:pStyle w:val="Bibliography"/>
      </w:pPr>
      <w:r>
        <w:t xml:space="preserve">Nicholson, S., Klotter, D., &amp; Chavula, G. (2014). A detailed rainfall climatology for malawi, southern africa.</w:t>
      </w:r>
      <w:r>
        <w:t xml:space="preserve"> </w:t>
      </w:r>
      <w:r>
        <w:rPr>
          <w:i/>
          <w:iCs/>
        </w:rPr>
        <w:t xml:space="preserve">International Journal of Climatology</w:t>
      </w:r>
      <w:r>
        <w:t xml:space="preserve">,</w:t>
      </w:r>
      <w:r>
        <w:t xml:space="preserve"> </w:t>
      </w:r>
      <w:r>
        <w:rPr>
          <w:i/>
          <w:iCs/>
        </w:rPr>
        <w:t xml:space="preserve">34</w:t>
      </w:r>
      <w:r>
        <w:t xml:space="preserve">(2), 315325.</w:t>
      </w:r>
    </w:p>
    <w:bookmarkEnd w:id="55"/>
    <w:bookmarkStart w:id="56" w:name="ref-njaya2011"/>
    <w:p>
      <w:pPr>
        <w:pStyle w:val="Bibliography"/>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 1525.</w:t>
      </w:r>
    </w:p>
    <w:bookmarkEnd w:id="56"/>
    <w:bookmarkStart w:id="57" w:name="ref-ogashawara2017"/>
    <w:p>
      <w:pPr>
        <w:pStyle w:val="Bibliography"/>
      </w:pPr>
      <w:r>
        <w:t xml:space="preserve">Ogashawara, I., Mishra, D. R., &amp; Gitelson, A. A. (2017).</w:t>
      </w:r>
      <w:r>
        <w:t xml:space="preserve"> </w:t>
      </w:r>
      <w:r>
        <w:rPr>
          <w:i/>
          <w:iCs/>
        </w:rPr>
        <w:t xml:space="preserve">Remote sensing of inland waters: Background and current state-of-the-art</w:t>
      </w:r>
      <w:r>
        <w:t xml:space="preserve"> </w:t>
      </w:r>
      <w:r>
        <w:t xml:space="preserve">(p. 124). Elsevier.</w:t>
      </w:r>
    </w:p>
    <w:bookmarkEnd w:id="57"/>
    <w:bookmarkStart w:id="58" w:name="ref-ozesmi2002"/>
    <w:p>
      <w:pPr>
        <w:pStyle w:val="Bibliography"/>
      </w:pPr>
      <w:r>
        <w:t xml:space="preserve">Ozesmi, S. L., &amp; Bauer, M. E. (2002). Satellite remote sensing of wetlands.</w:t>
      </w:r>
      <w:r>
        <w:t xml:space="preserve"> </w:t>
      </w:r>
      <w:r>
        <w:rPr>
          <w:i/>
          <w:iCs/>
        </w:rPr>
        <w:t xml:space="preserve">Wetlands Ecology and Management</w:t>
      </w:r>
      <w:r>
        <w:t xml:space="preserve">,</w:t>
      </w:r>
      <w:r>
        <w:t xml:space="preserve"> </w:t>
      </w:r>
      <w:r>
        <w:rPr>
          <w:i/>
          <w:iCs/>
        </w:rPr>
        <w:t xml:space="preserve">10</w:t>
      </w:r>
      <w:r>
        <w:t xml:space="preserve">, 381402.</w:t>
      </w:r>
    </w:p>
    <w:bookmarkEnd w:id="58"/>
    <w:bookmarkStart w:id="59" w:name="ref-palmer2015"/>
    <w:p>
      <w:pPr>
        <w:pStyle w:val="Bibliography"/>
      </w:pPr>
      <w:r>
        <w:t xml:space="preserve">Palmer, S. C., Kutser, T., &amp; Hunter, P. D. (2015).</w:t>
      </w:r>
      <w:r>
        <w:t xml:space="preserve"> </w:t>
      </w:r>
      <w:r>
        <w:rPr>
          <w:i/>
          <w:iCs/>
        </w:rPr>
        <w:t xml:space="preserve">Remote sensing of inland waters: Challenges, progress and future directions</w:t>
      </w:r>
      <w:r>
        <w:t xml:space="preserve">.</w:t>
      </w:r>
    </w:p>
    <w:bookmarkEnd w:id="59"/>
    <w:bookmarkStart w:id="60" w:name="ref-pekel2016"/>
    <w:p>
      <w:pPr>
        <w:pStyle w:val="Bibliography"/>
      </w:pPr>
      <w:r>
        <w:t xml:space="preserve">Pekel, J.-F. et al.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 418–422.</w:t>
      </w:r>
    </w:p>
    <w:bookmarkEnd w:id="60"/>
    <w:bookmarkStart w:id="61" w:name="ref-philippe2019"/>
    <w:p>
      <w:pPr>
        <w:pStyle w:val="Bibliography"/>
      </w:pPr>
      <w:r>
        <w:t xml:space="preserve">Philippe, M. T., &amp; Karume, K. (2019). Assessing forest cover change and deforestation hot-spots in the north kivu province, DR-congo using remote sensing and GIS.</w:t>
      </w:r>
      <w:r>
        <w:t xml:space="preserve"> </w:t>
      </w:r>
      <w:r>
        <w:rPr>
          <w:i/>
          <w:iCs/>
        </w:rPr>
        <w:t xml:space="preserve">American Journal of Geographic Information System [En Línea]</w:t>
      </w:r>
      <w:r>
        <w:t xml:space="preserve">,</w:t>
      </w:r>
      <w:r>
        <w:t xml:space="preserve"> </w:t>
      </w:r>
      <w:r>
        <w:rPr>
          <w:i/>
          <w:iCs/>
        </w:rPr>
        <w:t xml:space="preserve">8</w:t>
      </w:r>
      <w:r>
        <w:t xml:space="preserve">(2), 3954.</w:t>
      </w:r>
    </w:p>
    <w:bookmarkEnd w:id="61"/>
    <w:bookmarkStart w:id="62" w:name="ref-sulieman2013"/>
    <w:p>
      <w:pPr>
        <w:pStyle w:val="Bibliography"/>
      </w:pPr>
      <w:r>
        <w:t xml:space="preserve">Sulieman, H. M., &amp; Ahmed, A. G. M. (2013). Monitoring changes in pastoral resources in eastern sudan: A synthesis of remote sensing and local knowledge.</w:t>
      </w:r>
      <w:r>
        <w:t xml:space="preserve"> </w:t>
      </w:r>
      <w:r>
        <w:rPr>
          <w:i/>
          <w:iCs/>
        </w:rPr>
        <w:t xml:space="preserve">Pastoralism: Research, Policy and Practice</w:t>
      </w:r>
      <w:r>
        <w:t xml:space="preserve">,</w:t>
      </w:r>
      <w:r>
        <w:t xml:space="preserve"> </w:t>
      </w:r>
      <w:r>
        <w:rPr>
          <w:i/>
          <w:iCs/>
        </w:rPr>
        <w:t xml:space="preserve">3</w:t>
      </w:r>
      <w:r>
        <w:t xml:space="preserve">(1), 116.</w:t>
      </w:r>
    </w:p>
    <w:bookmarkEnd w:id="62"/>
    <w:bookmarkStart w:id="63" w:name="ref-tsyganskaya2018"/>
    <w:p>
      <w:pPr>
        <w:pStyle w:val="Bibliography"/>
      </w:pPr>
      <w:r>
        <w:t xml:space="preserve">Tsyganskaya, V. et al. (2018).</w:t>
      </w:r>
      <w:r>
        <w:t xml:space="preserve"> </w:t>
      </w:r>
      <w:r>
        <w:t xml:space="preserve">SAR</w:t>
      </w:r>
      <w:r>
        <w:t xml:space="preserve">-based detection of flooded vegetation.</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bookmarkEnd w:id="63"/>
    <w:bookmarkStart w:id="64" w:name="ref-vandenbossche1990"/>
    <w:p>
      <w:pPr>
        <w:pStyle w:val="Bibliography"/>
      </w:pPr>
      <w:r>
        <w:t xml:space="preserve">Vanden Bossche, J.-P., &amp; Bernacsek, G. M. (1990).</w:t>
      </w:r>
      <w:r>
        <w:t xml:space="preserve"> </w:t>
      </w:r>
      <w:r>
        <w:rPr>
          <w:i/>
          <w:iCs/>
        </w:rPr>
        <w:t xml:space="preserve">Source book for the inland fishery resources of africa</w:t>
      </w:r>
      <w:r>
        <w:t xml:space="preserve"> </w:t>
      </w:r>
      <w:r>
        <w:t xml:space="preserve">(Vol. 1). Food &amp; Agriculture Org.</w:t>
      </w:r>
    </w:p>
    <w:bookmarkEnd w:id="64"/>
    <w:bookmarkStart w:id="65" w:name="ref-wdowinski2008"/>
    <w:p>
      <w:pPr>
        <w:pStyle w:val="Bibliography"/>
      </w:pPr>
      <w:r>
        <w:t xml:space="preserve">Wdowinski, S. et al. (2008). Space-based detection of wetlands’ surface water level changes from</w:t>
      </w:r>
      <w:r>
        <w:t xml:space="preserve"> </w:t>
      </w:r>
      <w:r>
        <w:t xml:space="preserve">L-band SAR</w:t>
      </w:r>
      <w:r>
        <w:t xml:space="preserve"> </w:t>
      </w:r>
      <w:r>
        <w:t xml:space="preserve">interferometry.</w:t>
      </w:r>
      <w:r>
        <w:t xml:space="preserve"> </w:t>
      </w:r>
      <w:r>
        <w:rPr>
          <w:i/>
          <w:iCs/>
        </w:rPr>
        <w:t xml:space="preserve">Remote Sensing of Environment</w:t>
      </w:r>
      <w:r>
        <w:t xml:space="preserve">,</w:t>
      </w:r>
      <w:r>
        <w:t xml:space="preserve"> </w:t>
      </w:r>
      <w:r>
        <w:rPr>
          <w:i/>
          <w:iCs/>
        </w:rPr>
        <w:t xml:space="preserve">112</w:t>
      </w:r>
      <w:r>
        <w:t xml:space="preserve">, 681–696.</w:t>
      </w:r>
    </w:p>
    <w:bookmarkEnd w:id="65"/>
    <w:bookmarkStart w:id="66" w:name="ref-whyte2018"/>
    <w:p>
      <w:pPr>
        <w:pStyle w:val="Bibliography"/>
      </w:pPr>
      <w:r>
        <w:t xml:space="preserve">Whyte, A. et al. (2018). A new synergistic approach for monitoring wetlands using</w:t>
      </w:r>
      <w:r>
        <w:t xml:space="preserve"> </w:t>
      </w:r>
      <w:r>
        <w:t xml:space="preserve">Sentinels-1</w:t>
      </w:r>
      <w:r>
        <w:t xml:space="preserve"> </w:t>
      </w:r>
      <w:r>
        <w:t xml:space="preserve">and</w:t>
      </w:r>
      <w:r>
        <w:t xml:space="preserve"> </w:t>
      </w:r>
      <w:r>
        <w:t xml:space="preserve">2</w:t>
      </w:r>
      <w:r>
        <w:t xml:space="preserve"> </w:t>
      </w:r>
      <w:r>
        <w:t xml:space="preserve">data with object-based machine learning.</w:t>
      </w:r>
      <w:r>
        <w:t xml:space="preserve"> </w:t>
      </w:r>
      <w:r>
        <w:rPr>
          <w:i/>
          <w:iCs/>
        </w:rPr>
        <w:t xml:space="preserve">Environmental Modelling and Software</w:t>
      </w:r>
      <w:r>
        <w:t xml:space="preserve">,</w:t>
      </w:r>
      <w:r>
        <w:t xml:space="preserve"> </w:t>
      </w:r>
      <w:r>
        <w:rPr>
          <w:i/>
          <w:iCs/>
        </w:rPr>
        <w:t xml:space="preserve">104</w:t>
      </w:r>
      <w:r>
        <w:t xml:space="preserve">, 40–54.</w:t>
      </w:r>
    </w:p>
    <w:bookmarkEnd w:id="66"/>
    <w:bookmarkStart w:id="67" w:name="ref-xu2006"/>
    <w:p>
      <w:pPr>
        <w:pStyle w:val="Bibliography"/>
      </w:pPr>
      <w:r>
        <w:t xml:space="preserve">Xu, H. (2006). Modification of normalised difference water index (</w:t>
      </w:r>
      <w:r>
        <w:t xml:space="preserve">NDWI</w:t>
      </w:r>
      <w:r>
        <w:t xml:space="preserve">)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bookmarkEnd w:id="67"/>
    <w:bookmarkStart w:id="68" w:name="ref-xu2025"/>
    <w:p>
      <w:pPr>
        <w:pStyle w:val="Bibliography"/>
      </w:pPr>
      <w:r>
        <w:t xml:space="preserve">Xu, Y. et al. (2025). Mapping surface water dynamics across</w:t>
      </w:r>
      <w:r>
        <w:t xml:space="preserve"> </w:t>
      </w:r>
      <w:r>
        <w:t xml:space="preserve">East Africa</w:t>
      </w:r>
      <w:r>
        <w:t xml:space="preserve"> </w:t>
      </w:r>
      <w:r>
        <w:t xml:space="preserve">at 10 m resolution.</w:t>
      </w:r>
      <w:r>
        <w:t xml:space="preserve"> </w:t>
      </w:r>
      <w:r>
        <w:rPr>
          <w:i/>
          <w:iCs/>
        </w:rPr>
        <w:t xml:space="preserve">ISPRS Journal of Photogrammetry and Remote Sensing</w:t>
      </w:r>
      <w:r>
        <w:t xml:space="preserve">,</w:t>
      </w:r>
      <w:r>
        <w:t xml:space="preserve"> </w:t>
      </w:r>
      <w:r>
        <w:rPr>
          <w:i/>
          <w:iCs/>
        </w:rPr>
        <w:t xml:space="preserve">215</w:t>
      </w:r>
      <w:r>
        <w:t xml:space="preserve">, 101–118.</w:t>
      </w:r>
    </w:p>
    <w:bookmarkEnd w:id="68"/>
    <w:bookmarkStart w:id="69" w:name="ref-yiran2012"/>
    <w:p>
      <w:pPr>
        <w:pStyle w:val="Bibliography"/>
      </w:pPr>
      <w:r>
        <w:t xml:space="preserve">Yiran, G., Kusimi, J., &amp; Kufogbe, S.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bookmarkEnd w:id="69"/>
    <w:bookmarkStart w:id="70" w:name="ref-zhang2019"/>
    <w:p>
      <w:pPr>
        <w:pStyle w:val="Bibliography"/>
      </w:pPr>
      <w:r>
        <w:t xml:space="preserve">Zhang, G. et al. (2019). Monitoring lake level changes on the</w:t>
      </w:r>
      <w:r>
        <w:t xml:space="preserve"> </w:t>
      </w:r>
      <w:r>
        <w:t xml:space="preserve">Tibetan Plateau</w:t>
      </w:r>
      <w:r>
        <w:t xml:space="preserve"> </w:t>
      </w:r>
      <w:r>
        <w:t xml:space="preserve">using</w:t>
      </w:r>
      <w:r>
        <w:t xml:space="preserve"> </w:t>
      </w:r>
      <w:r>
        <w:t xml:space="preserve">ICESat</w:t>
      </w:r>
      <w:r>
        <w:t xml:space="preserve"> </w:t>
      </w:r>
      <w:r>
        <w:t xml:space="preserve">altimetry data.</w:t>
      </w:r>
      <w:r>
        <w:t xml:space="preserve"> </w:t>
      </w:r>
      <w:r>
        <w:rPr>
          <w:i/>
          <w:iCs/>
        </w:rPr>
        <w:t xml:space="preserve">Science of the Total Environment</w:t>
      </w:r>
      <w:r>
        <w:t xml:space="preserve">,</w:t>
      </w:r>
      <w:r>
        <w:t xml:space="preserve"> </w:t>
      </w:r>
      <w:r>
        <w:rPr>
          <w:i/>
          <w:iCs/>
        </w:rPr>
        <w:t xml:space="preserve">655</w:t>
      </w:r>
      <w:r>
        <w:t xml:space="preserve">, 1390–1401.</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doi.org/10.1007/978-94-009-5504-2_6"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7/978-94-009-5504-2_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
  <cp:keywords/>
  <dcterms:created xsi:type="dcterms:W3CDTF">2026-04-06T03:56:58Z</dcterms:created>
  <dcterms:modified xsi:type="dcterms:W3CDTF">2026-04-06T03:56:58Z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