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Socio-Ecological Systems Framework</w:t>
      </w:r>
    </w:p>
    <w:bookmarkStart w:id="20" w:name="overview"/>
    <w:p>
      <w:pPr>
        <w:pStyle w:val="Heading2"/>
      </w:pPr>
      <w:r>
        <w:t xml:space="preserve">Overview</w:t>
      </w:r>
    </w:p>
    <w:p>
      <w:pPr>
        <w:pStyle w:val="FirstParagraph"/>
      </w:pPr>
      <w:r>
        <w:t xml:space="preserve">The study employs a two-stage socio-ecological systems (SES) framework integrating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w:t>
      </w:r>
    </w:p>
    <w:bookmarkEnd w:id="20"/>
    <w:bookmarkStart w:id="21" w:name="qualitative-data-collection"/>
    <w:p>
      <w:pPr>
        <w:pStyle w:val="Heading2"/>
      </w:pPr>
      <w:r>
        <w:t xml:space="preserve">Qualitative Data Collection</w:t>
      </w:r>
    </w:p>
    <w:p>
      <w:pPr>
        <w:pStyle w:val="FirstParagraph"/>
      </w:pPr>
      <w:r>
        <w:t xml:space="preserve">Qualitative data collection comprised four methods.</w:t>
      </w:r>
    </w:p>
    <w:p>
      <w:pPr>
        <w:pStyle w:val="BodyText"/>
      </w:pPr>
      <w:r>
        <w:t xml:space="preserve">Key informant interviews (n=45) were semi-structured conversations with village leaders, fishing camp chairmen, Department of Fisheries officers, and long-term residents, focused on historical lake dynamics, fishing regulations, and seasonal migration.</w:t>
      </w:r>
    </w:p>
    <w:p>
      <w:pPr>
        <w:pStyle w:val="BodyText"/>
      </w:pPr>
      <w:r>
        <w:t xml:space="preserve">Focus group discussions (n=18) convened separate sessions with migrant fishers, women fish processors, boat owners, and service providers to capture competing perspectives on resource access, livelihood strategies, and enforcement disputes.</w:t>
      </w:r>
    </w:p>
    <w:p>
      <w:pPr>
        <w:pStyle w:val="BodyText"/>
      </w:pPr>
      <w:r>
        <w:t xml:space="preserve">Participatory rural appraisals employed seasonal calendars, resource mapping, and historical timelines to document collective knowledge of lake dynamics and fishery management.</w:t>
      </w:r>
    </w:p>
    <w:p>
      <w:pPr>
        <w:pStyle w:val="BodyText"/>
      </w:pPr>
      <w:r>
        <w:t xml:space="preserve">Extended participatory observation in fishing camps documented daily practices, operational logistics, social networks, and adaptive strategies during different hydrological phases.</w:t>
      </w:r>
    </w:p>
    <w:bookmarkEnd w:id="21"/>
    <w:bookmarkStart w:id="22" w:name="geographic-data-collection"/>
    <w:p>
      <w:pPr>
        <w:pStyle w:val="Heading2"/>
      </w:pPr>
      <w:r>
        <w:t xml:space="preserve">Geographic Data Collection</w:t>
      </w:r>
    </w:p>
    <w:p>
      <w:pPr>
        <w:pStyle w:val="FirstParagraph"/>
      </w:pPr>
      <w:r>
        <w:t xml:space="preserve">Differential GPS receivers recorded landscape structure and lakeshore dynamics during field visits. Participatory workshops enabled community identification of fishing infrastructure (permanent and seasonal camps, landing sites, processing areas), ecological zones (wetland boundaries, vegetation transitions, spawning areas), cultural landscapes (sacred sites, traditional fishing territories, conflict zones), and seasonal patterns (water level indicators, migration routes, market locations).</w:t>
      </w:r>
    </w:p>
    <w:p>
      <w:pPr>
        <w:pStyle w:val="BodyText"/>
      </w:pPr>
      <w:r>
        <w:t xml:space="preserve">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Socio-Ecological Systems Framework</dc:title>
  <dc:creator/>
  <cp:keywords/>
  <dcterms:created xsi:type="dcterms:W3CDTF">2026-04-06T03:56:59Z</dcterms:created>
  <dcterms:modified xsi:type="dcterms:W3CDTF">2026-04-06T03:56:59Z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config">
    <vt:lpwstr>True</vt:lpwstr>
  </property>
  <property fmtid="{D5CDD505-2E9C-101B-9397-08002B2CF9AE}" pid="4" name="bibliography">
    <vt:lpwstr/>
  </property>
  <property fmtid="{D5CDD505-2E9C-101B-9397-08002B2CF9AE}" pid="5" name="csl">
    <vt:lpwstr>references/apa.csl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atex_engine">
    <vt:lpwstr>xelatex</vt:lpwstr>
  </property>
  <property fmtid="{D5CDD505-2E9C-101B-9397-08002B2CF9AE}" pid="11" name="toc-title">
    <vt:lpwstr>Table of contents</vt:lpwstr>
  </property>
</Properties>
</file>