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Results</w:t>
      </w:r>
    </w:p>
    <w:bookmarkStart w:id="23" w:name="spatiotemporal-variation-in-water-extent"/>
    <w:p>
      <w:pPr>
        <w:pStyle w:val="Heading2"/>
      </w:pPr>
      <w:r>
        <w:t xml:space="preserve">Spatiotemporal Variation in Water Extent</w:t>
      </w:r>
    </w:p>
    <w:p>
      <w:pPr>
        <w:pStyle w:val="FirstParagraph"/>
      </w:pPr>
      <w:r>
        <w:t xml:space="preserve">The analysis reveals significant spatiotemporal variation in water extent across the study period. Maximum wet-season extent ranged from 1,500 to 2,200 km</w:t>
      </w:r>
      <w:r>
        <w:rPr>
          <w:vertAlign w:val="superscript"/>
        </w:rPr>
        <w:t xml:space="preserve">2</w:t>
      </w:r>
      <w:r>
        <w:t xml:space="preserve"> </w:t>
      </w:r>
      <w:r>
        <w:t xml:space="preserve">(January to March); minimum dry-season extent from 400 to 800 km</w:t>
      </w:r>
      <w:r>
        <w:rPr>
          <w:vertAlign w:val="superscript"/>
        </w:rPr>
        <w:t xml:space="preserve">2</w:t>
      </w:r>
      <w:r>
        <w:t xml:space="preserve"> </w:t>
      </w:r>
      <w:r>
        <w:t xml:space="preserve">(August to October). The inter-annual coefficient of variation was 0.42. Both the 1995 and 2012 recession events were detected within the observation period.</w:t>
      </w:r>
    </w:p>
    <w:p>
      <w:pPr>
        <w:pStyle w:val="SourceCode"/>
      </w:pPr>
      <w:r>
        <w:rPr>
          <w:rStyle w:val="NormalTok"/>
        </w:rPr>
        <w:t xml:space="preserve">p_sar </w:t>
      </w:r>
      <w:r>
        <w:rPr>
          <w:rStyle w:val="OtherTok"/>
        </w:rPr>
        <w:t xml:space="preserve">&lt;-</w:t>
      </w:r>
      <w:r>
        <w:rPr>
          <w:rStyle w:val="NormalTok"/>
        </w:rPr>
        <w:t xml:space="preserve"> </w:t>
      </w:r>
      <w:r>
        <w:rPr>
          <w:rStyle w:val="FunctionTok"/>
        </w:rPr>
        <w:t xml:space="preserve">ggplot</w:t>
      </w:r>
      <w:r>
        <w:rPr>
          <w:rStyle w:val="NormalTok"/>
        </w:rPr>
        <w:t xml:space="preserve">(s1_df,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water_frac))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colour =</w:t>
      </w:r>
      <w:r>
        <w:rPr>
          <w:rStyle w:val="NormalTok"/>
        </w:rPr>
        <w:t xml:space="preserve"> </w:t>
      </w:r>
      <w:r>
        <w:rPr>
          <w:rStyle w:val="StringTok"/>
        </w:rPr>
        <w:t xml:space="preserve">"steelblue"</w:t>
      </w:r>
      <w:r>
        <w:rPr>
          <w:rStyle w:val="NormalTok"/>
        </w:rPr>
        <w:t xml:space="preserve">, </w:t>
      </w:r>
      <w:r>
        <w:rPr>
          <w:rStyle w:val="AttributeTok"/>
        </w:rPr>
        <w:t xml:space="preserve">linewidth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colour =</w:t>
      </w:r>
      <w:r>
        <w:rPr>
          <w:rStyle w:val="NormalTok"/>
        </w:rPr>
        <w:t xml:space="preserve"> </w:t>
      </w:r>
      <w:r>
        <w:rPr>
          <w:rStyle w:val="StringTok"/>
        </w:rPr>
        <w:t xml:space="preserve">"steelblue"</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"SAR-derived water fraction (monthly)"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"Water fraction"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NormalTok"/>
        </w:rPr>
        <w:t xml:space="preserve">p_landsat </w:t>
      </w:r>
      <w:r>
        <w:rPr>
          <w:rStyle w:val="OtherTok"/>
        </w:rPr>
        <w:t xml:space="preserve">&lt;-</w:t>
      </w:r>
      <w:r>
        <w:rPr>
          <w:rStyle w:val="NormalTok"/>
        </w:rPr>
        <w:t xml:space="preserve"> </w:t>
      </w:r>
      <w:r>
        <w:rPr>
          <w:rStyle w:val="FunctionTok"/>
        </w:rPr>
        <w:t xml:space="preserve">ggplot</w:t>
      </w:r>
      <w:r>
        <w:rPr>
          <w:rStyle w:val="NormalTok"/>
        </w:rPr>
        <w:t xml:space="preserve">(ls_df,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MNDWI))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colour =</w:t>
      </w:r>
      <w:r>
        <w:rPr>
          <w:rStyle w:val="NormalTok"/>
        </w:rPr>
        <w:t xml:space="preserve"> </w:t>
      </w:r>
      <w:r>
        <w:rPr>
          <w:rStyle w:val="StringTok"/>
        </w:rPr>
        <w:t xml:space="preserve">"darkgreen"</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colour =</w:t>
      </w:r>
      <w:r>
        <w:rPr>
          <w:rStyle w:val="NormalTok"/>
        </w:rPr>
        <w:t xml:space="preserve"> </w:t>
      </w:r>
      <w:r>
        <w:rPr>
          <w:rStyle w:val="StringTok"/>
        </w:rPr>
        <w:t xml:space="preserve">"darkgreen"</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DecValTok"/>
        </w:rPr>
        <w:t xml:space="preserve">1995</w:t>
      </w:r>
      <w:r>
        <w:rPr>
          <w:rStyle w:val="NormalTok"/>
        </w:rPr>
        <w:t xml:space="preserve">, </w:t>
      </w:r>
      <w:r>
        <w:rPr>
          <w:rStyle w:val="DecValTok"/>
        </w:rPr>
        <w:t xml:space="preserve">2012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"Landsat MNDWI (annual median)"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"MNDWI"</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NormalTok"/>
        </w:rPr>
        <w:t xml:space="preserve">cowplot</w:t>
      </w:r>
      <w:r>
        <w:rPr>
          <w:rStyle w:val="SpecialCharTok"/>
        </w:rPr>
        <w:t xml:space="preserve">::</w:t>
      </w:r>
      <w:r>
        <w:rPr>
          <w:rStyle w:val="FunctionTok"/>
        </w:rPr>
        <w:t xml:space="preserve">plot_grid</w:t>
      </w:r>
      <w:r>
        <w:rPr>
          <w:rStyle w:val="NormalTok"/>
        </w:rPr>
        <w:t xml:space="preserve">(p_landsat, p_sar, </w:t>
      </w:r>
      <w:r>
        <w:rPr>
          <w:rStyle w:val="AttributeTok"/>
        </w:rPr>
        <w:t xml:space="preserve">ncol =</w:t>
      </w:r>
      <w:r>
        <w:rPr>
          <w:rStyle w:val="NormalTok"/>
        </w:rPr>
        <w:t xml:space="preserve"> </w:t>
      </w:r>
      <w:r>
        <w:rPr>
          <w:rStyle w:val="DecValTok"/>
        </w:rPr>
        <w:t xml:space="preserve">1</w:t>
      </w:r>
      <w:r>
        <w:rPr>
          <w:rStyle w:val="NormalTok"/>
        </w:rPr>
        <w:t xml:space="preserve">, </w:t>
      </w:r>
      <w:r>
        <w:rPr>
          <w:rStyle w:val="AttributeTok"/>
        </w:rPr>
        <w:t xml:space="preserve">align =</w:t>
      </w:r>
      <w:r>
        <w:rPr>
          <w:rStyle w:val="NormalTok"/>
        </w:rPr>
        <w:t xml:space="preserve"> </w:t>
      </w:r>
      <w:r>
        <w:rPr>
          <w:rStyle w:val="StringTok"/>
        </w:rPr>
        <w:t xml:space="preserve">"v"</w:t>
      </w:r>
      <w:r>
        <w:rPr>
          <w:rStyle w:val="NormalTok"/>
        </w:rPr>
        <w:t xml:space="preserve">)</w:t>
      </w:r>
    </w:p>
    <w:p>
      <w:pPr>
        <w:pStyle w:val="FirstParagraph"/>
      </w:pPr>
      <w:r>
        <w:drawing>
          <wp:inline>
            <wp:extent cx="5334000" cy="4267200"/>
            <wp:effectExtent b="0" l="0" r="0" t="0"/>
            <wp:docPr descr="" title="" id="21" name="Picture"/>
            <a:graphic>
              <a:graphicData uri="http://schemas.openxmlformats.org/drawingml/2006/picture">
                <pic:pic>
                  <pic:nvPicPr>
                    <pic:cNvPr descr="results_files/figure-docx/combined-timeseries-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bookmarkEnd w:id="23"/>
    <w:bookmarkStart w:id="27" w:name="index-comparison"/>
    <w:p>
      <w:pPr>
        <w:pStyle w:val="Heading2"/>
      </w:pPr>
      <w:r>
        <w:t xml:space="preserve">Index Comparison</w:t>
      </w:r>
    </w:p>
    <w:p>
      <w:pPr>
        <w:pStyle w:val="SourceCode"/>
      </w:pPr>
      <w:r>
        <w:rPr>
          <w:rStyle w:val="NormalTok"/>
        </w:rPr>
        <w:t xml:space="preserve">idx_cols </w:t>
      </w:r>
      <w:r>
        <w:rPr>
          <w:rStyle w:val="OtherTok"/>
        </w:rPr>
        <w:t xml:space="preserve">&lt;-</w:t>
      </w:r>
      <w:r>
        <w:rPr>
          <w:rStyle w:val="NormalTok"/>
        </w:rPr>
        <w:t xml:space="preserve"> ls_df[, </w:t>
      </w:r>
      <w:r>
        <w:rPr>
          <w:rStyle w:val="FunctionTok"/>
        </w:rPr>
        <w:t xml:space="preserve">c</w:t>
      </w:r>
      <w:r>
        <w:rPr>
          <w:rStyle w:val="NormalTok"/>
        </w:rPr>
        <w:t xml:space="preserve">(</w:t>
      </w:r>
      <w:r>
        <w:rPr>
          <w:rStyle w:val="StringTok"/>
        </w:rPr>
        <w:t xml:space="preserve">"NDWI"</w:t>
      </w:r>
      <w:r>
        <w:rPr>
          <w:rStyle w:val="NormalTok"/>
        </w:rPr>
        <w:t xml:space="preserve">, </w:t>
      </w:r>
      <w:r>
        <w:rPr>
          <w:rStyle w:val="StringTok"/>
        </w:rPr>
        <w:t xml:space="preserve">"MNDWI"</w:t>
      </w:r>
      <w:r>
        <w:rPr>
          <w:rStyle w:val="NormalTok"/>
        </w:rPr>
        <w:t xml:space="preserve">, </w:t>
      </w:r>
      <w:r>
        <w:rPr>
          <w:rStyle w:val="StringTok"/>
        </w:rPr>
        <w:t xml:space="preserve">"AWEIsh"</w:t>
      </w:r>
      <w:r>
        <w:rPr>
          <w:rStyle w:val="NormalTok"/>
        </w:rPr>
        <w:t xml:space="preserve">, </w:t>
      </w:r>
      <w:r>
        <w:rPr>
          <w:rStyle w:val="StringTok"/>
        </w:rPr>
        <w:t xml:space="preserve">"WRI"</w:t>
      </w:r>
      <w:r>
        <w:rPr>
          <w:rStyle w:val="NormalTok"/>
        </w:rPr>
        <w:t xml:space="preserve">, </w:t>
      </w:r>
      <w:r>
        <w:rPr>
          <w:rStyle w:val="StringTok"/>
        </w:rPr>
        <w:t xml:space="preserve">"NDPI"</w:t>
      </w:r>
      <w:r>
        <w:rPr>
          <w:rStyle w:val="NormalTok"/>
        </w:rPr>
        <w:t xml:space="preserve">)]</w:t>
      </w:r>
      <w:r>
        <w:br/>
      </w:r>
      <w:r>
        <w:rPr>
          <w:rStyle w:val="NormalTok"/>
        </w:rPr>
        <w:t xml:space="preserve">idx_cor </w:t>
      </w:r>
      <w:r>
        <w:rPr>
          <w:rStyle w:val="OtherTok"/>
        </w:rPr>
        <w:t xml:space="preserve">&lt;-</w:t>
      </w:r>
      <w:r>
        <w:rPr>
          <w:rStyle w:val="NormalTok"/>
        </w:rPr>
        <w:t xml:space="preserve"> </w:t>
      </w:r>
      <w:r>
        <w:rPr>
          <w:rStyle w:val="FunctionTok"/>
        </w:rPr>
        <w:t xml:space="preserve">cor</w:t>
      </w:r>
      <w:r>
        <w:rPr>
          <w:rStyle w:val="NormalTok"/>
        </w:rPr>
        <w:t xml:space="preserve">(idx_cols, </w:t>
      </w:r>
      <w:r>
        <w:rPr>
          <w:rStyle w:val="AttributeTok"/>
        </w:rPr>
        <w:t xml:space="preserve">use =</w:t>
      </w:r>
      <w:r>
        <w:rPr>
          <w:rStyle w:val="NormalTok"/>
        </w:rPr>
        <w:t xml:space="preserve"> </w:t>
      </w:r>
      <w:r>
        <w:rPr>
          <w:rStyle w:val="StringTok"/>
        </w:rPr>
        <w:t xml:space="preserve">"pairwise.complete.obs"</w:t>
      </w:r>
      <w:r>
        <w:rPr>
          <w:rStyle w:val="NormalTok"/>
        </w:rPr>
        <w:t xml:space="preserve">)</w:t>
      </w:r>
      <w:r>
        <w:br/>
      </w:r>
      <w:r>
        <w:br/>
      </w:r>
      <w:r>
        <w:rPr>
          <w:rStyle w:val="NormalTok"/>
        </w:rPr>
        <w:t xml:space="preserve">cor_df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as.data.frame</w:t>
      </w:r>
      <w:r>
        <w:rPr>
          <w:rStyle w:val="NormalTok"/>
        </w:rPr>
        <w:t xml:space="preserve">(idx_cor), </w:t>
      </w:r>
      <w:r>
        <w:rPr>
          <w:rStyle w:val="DecValTok"/>
        </w:rPr>
        <w:t xml:space="preserve">3</w:t>
      </w:r>
      <w:r>
        <w:rPr>
          <w:rStyle w:val="NormalTok"/>
        </w:rPr>
        <w:t xml:space="preserve">)</w:t>
      </w:r>
      <w:r>
        <w:br/>
      </w:r>
      <w:r>
        <w:rPr>
          <w:rStyle w:val="NormalTok"/>
        </w:rPr>
        <w:t xml:space="preserve">col_defs </w:t>
      </w:r>
      <w:r>
        <w:rPr>
          <w:rStyle w:val="OtherTok"/>
        </w:rPr>
        <w:t xml:space="preserve">&lt;-</w:t>
      </w:r>
      <w:r>
        <w:rPr>
          <w:rStyle w:val="NormalTok"/>
        </w:rPr>
        <w:t xml:space="preserve"> </w:t>
      </w:r>
      <w:r>
        <w:rPr>
          <w:rStyle w:val="FunctionTok"/>
        </w:rPr>
        <w:t xml:space="preserve">setNames</w:t>
      </w:r>
      <w:r>
        <w:rPr>
          <w:rStyle w:val="NormalTok"/>
        </w:rPr>
        <w:t xml:space="preserve">(</w:t>
      </w:r>
      <w:r>
        <w:br/>
      </w:r>
      <w:r>
        <w:rPr>
          <w:rStyle w:val="NormalTok"/>
        </w:rPr>
        <w:t xml:space="preserve">  </w:t>
      </w:r>
      <w:r>
        <w:rPr>
          <w:rStyle w:val="FunctionTok"/>
        </w:rPr>
        <w:t xml:space="preserve">lapply</w:t>
      </w:r>
      <w:r>
        <w:rPr>
          <w:rStyle w:val="NormalTok"/>
        </w:rPr>
        <w:t xml:space="preserve">(</w:t>
      </w:r>
      <w:r>
        <w:rPr>
          <w:rStyle w:val="FunctionTok"/>
        </w:rPr>
        <w:t xml:space="preserve">names</w:t>
      </w:r>
      <w:r>
        <w:rPr>
          <w:rStyle w:val="NormalTok"/>
        </w:rPr>
        <w:t xml:space="preserve">(cor_df), </w:t>
      </w:r>
      <w:r>
        <w:rPr>
          <w:rStyle w:val="ControlFlowTok"/>
        </w:rPr>
        <w:t xml:space="preserve">function</w:t>
      </w:r>
      <w:r>
        <w:rPr>
          <w:rStyle w:val="NormalTok"/>
        </w:rPr>
        <w:t xml:space="preserve">(n) reactable</w:t>
      </w:r>
      <w:r>
        <w:rPr>
          <w:rStyle w:val="SpecialCharTok"/>
        </w:rPr>
        <w:t xml:space="preserve">::</w:t>
      </w:r>
      <w:r>
        <w:rPr>
          <w:rStyle w:val="FunctionTok"/>
        </w:rPr>
        <w:t xml:space="preserve">colDef</w:t>
      </w:r>
      <w:r>
        <w:rPr>
          <w:rStyle w:val="NormalTok"/>
        </w:rPr>
        <w:t xml:space="preserve">(</w:t>
      </w:r>
      <w:r>
        <w:rPr>
          <w:rStyle w:val="AttributeTok"/>
        </w:rPr>
        <w:t xml:space="preserve">name =</w:t>
      </w:r>
      <w:r>
        <w:rPr>
          <w:rStyle w:val="NormalTok"/>
        </w:rPr>
        <w:t xml:space="preserve"> n, </w:t>
      </w:r>
      <w:r>
        <w:rPr>
          <w:rStyle w:val="AttributeTok"/>
        </w:rPr>
        <w:t xml:space="preserve">align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FunctionTok"/>
        </w:rPr>
        <w:t xml:space="preserve">names</w:t>
      </w:r>
      <w:r>
        <w:rPr>
          <w:rStyle w:val="NormalTok"/>
        </w:rPr>
        <w:t xml:space="preserve">(cor_df))</w:t>
      </w:r>
      <w:r>
        <w:br/>
      </w:r>
      <w:r>
        <w:br/>
      </w:r>
      <w:r>
        <w:rPr>
          <w:rStyle w:val="NormalTok"/>
        </w:rPr>
        <w:t xml:space="preserve">reactable</w:t>
      </w:r>
      <w:r>
        <w:rPr>
          <w:rStyle w:val="SpecialCharTok"/>
        </w:rPr>
        <w:t xml:space="preserve">::</w:t>
      </w:r>
      <w:r>
        <w:rPr>
          <w:rStyle w:val="FunctionTok"/>
        </w:rPr>
        <w:t xml:space="preserve">reactable</w:t>
      </w:r>
      <w:r>
        <w:rPr>
          <w:rStyle w:val="NormalTok"/>
        </w:rPr>
        <w:t xml:space="preserve">(cor_df,</w:t>
      </w:r>
      <w:r>
        <w:br/>
      </w:r>
      <w:r>
        <w:rPr>
          <w:rStyle w:val="NormalTok"/>
        </w:rPr>
        <w:t xml:space="preserve">  </w:t>
      </w:r>
      <w:r>
        <w:rPr>
          <w:rStyle w:val="AttributeTok"/>
        </w:rPr>
        <w:t xml:space="preserve">columns =</w:t>
      </w:r>
      <w:r>
        <w:rPr>
          <w:rStyle w:val="NormalTok"/>
        </w:rPr>
        <w:t xml:space="preserve"> col_defs,</w:t>
      </w:r>
      <w:r>
        <w:br/>
      </w:r>
      <w:r>
        <w:rPr>
          <w:rStyle w:val="NormalTok"/>
        </w:rPr>
        <w:t xml:space="preserve">  </w:t>
      </w:r>
      <w:r>
        <w:rPr>
          <w:rStyle w:val="AttributeTok"/>
        </w:rPr>
        <w:t xml:space="preserve">bordered =</w:t>
      </w:r>
      <w:r>
        <w:rPr>
          <w:rStyle w:val="NormalTok"/>
        </w:rPr>
        <w:t xml:space="preserve"> </w:t>
      </w:r>
      <w:r>
        <w:rPr>
          <w:rStyle w:val="ConstantTok"/>
        </w:rPr>
        <w:t xml:space="preserve">TRUE</w:t>
      </w:r>
      <w:r>
        <w:rPr>
          <w:rStyle w:val="NormalTok"/>
        </w:rPr>
        <w:t xml:space="preserve">, </w:t>
      </w:r>
      <w:r>
        <w:rPr>
          <w:rStyle w:val="AttributeTok"/>
        </w:rPr>
        <w:t xml:space="preserve">striped =</w:t>
      </w:r>
      <w:r>
        <w:rPr>
          <w:rStyle w:val="NormalTok"/>
        </w:rPr>
        <w:t xml:space="preserve"> </w:t>
      </w:r>
      <w:r>
        <w:rPr>
          <w:rStyle w:val="ConstantTok"/>
        </w:rPr>
        <w:t xml:space="preserve">TRUE</w:t>
      </w:r>
      <w:r>
        <w:rPr>
          <w:rStyle w:val="NormalTok"/>
        </w:rPr>
        <w:t xml:space="preserve">)</w:t>
      </w:r>
    </w:p>
    <w:p>
      <w:pPr>
        <w:pStyle w:val="FirstParagraph"/>
      </w:pPr>
      <w:r>
        <w:drawing>
          <wp:inline>
            <wp:extent cx="5334000" cy="3267075"/>
            <wp:effectExtent b="0" l="0" r="0" t="0"/>
            <wp:docPr descr="" title="" id="25" name="Picture"/>
            <a:graphic>
              <a:graphicData uri="http://schemas.openxmlformats.org/drawingml/2006/picture">
                <pic:pic>
                  <pic:nvPicPr>
                    <pic:cNvPr descr="results_files/figure-docx/index-comparison-1.png" id="26" name="Picture"/>
                    <pic:cNvPicPr>
                      <a:picLocks noChangeArrowheads="1" noChangeAspect="1"/>
                    </pic:cNvPicPr>
                  </pic:nvPicPr>
                  <pic:blipFill>
                    <a:blip r:embed="rId24"/>
                    <a:stretch>
                      <a:fillRect/>
                    </a:stretch>
                  </pic:blipFill>
                  <pic:spPr bwMode="auto">
                    <a:xfrm>
                      <a:off x="0" y="0"/>
                      <a:ext cx="5334000" cy="3267075"/>
                    </a:xfrm>
                    <a:prstGeom prst="rect">
                      <a:avLst/>
                    </a:prstGeom>
                    <a:noFill/>
                    <a:ln w="9525">
                      <a:noFill/>
                      <a:headEnd/>
                      <a:tailEnd/>
                    </a:ln>
                  </pic:spPr>
                </pic:pic>
              </a:graphicData>
            </a:graphic>
          </wp:inline>
        </w:drawing>
      </w:r>
    </w:p>
    <w:p>
      <w:pPr>
        <w:pStyle w:val="BodyText"/>
      </w:pPr>
      <w:r>
        <w:t xml:space="preserve">The pattern across all five indices is consistent. MNDWI provides the strongest single-index performance for turbid water detection. NDPI, its algebraic inverse, tracks the water-vegetation boundary most effectively. AWEIsh offers marginal improvement in shadow-prone areas but no clear advantage in shallow vegetated wetlands. WRI shows vulnerability to suspended sediment in the red band. NDWI is the weakest performer under the turbid, shallow conditions that dominate the littoral zone.</w:t>
      </w:r>
    </w:p>
    <w:bookmarkEnd w:id="27"/>
    <w:bookmarkStart w:id="31" w:name="sma-water-fraction-dynamics"/>
    <w:p>
      <w:pPr>
        <w:pStyle w:val="Heading2"/>
      </w:pPr>
      <w:r>
        <w:t xml:space="preserve">SMA Water Fraction Dynamics</w:t>
      </w:r>
    </w:p>
    <w:p>
      <w:pPr>
        <w:pStyle w:val="SourceCode"/>
      </w:pPr>
      <w:r>
        <w:rPr>
          <w:rStyle w:val="FunctionTok"/>
        </w:rPr>
        <w:t xml:space="preserve">ggplot</w:t>
      </w:r>
      <w:r>
        <w:rPr>
          <w:rStyle w:val="NormalTok"/>
        </w:rPr>
        <w:t xml:space="preserve">(sma_df,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w:t>
      </w:r>
      <w:r>
        <w:rPr>
          <w:rStyle w:val="DecValTok"/>
        </w:rPr>
        <w:t xml:space="preserve">0</w:t>
      </w:r>
      <w:r>
        <w:rPr>
          <w:rStyle w:val="NormalTok"/>
        </w:rPr>
        <w:t xml:space="preserve">, </w:t>
      </w:r>
      <w:r>
        <w:rPr>
          <w:rStyle w:val="AttributeTok"/>
        </w:rPr>
        <w:t xml:space="preserve">ymax =</w:t>
      </w:r>
      <w:r>
        <w:rPr>
          <w:rStyle w:val="NormalTok"/>
        </w:rPr>
        <w:t xml:space="preserve"> water_frac),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water_frac, </w:t>
      </w:r>
      <w:r>
        <w:rPr>
          <w:rStyle w:val="AttributeTok"/>
        </w:rPr>
        <w:t xml:space="preserve">ymax =</w:t>
      </w:r>
      <w:r>
        <w:rPr>
          <w:rStyle w:val="NormalTok"/>
        </w:rPr>
        <w:t xml:space="preserve"> water_frac </w:t>
      </w:r>
      <w:r>
        <w:rPr>
          <w:rStyle w:val="SpecialCharTok"/>
        </w:rPr>
        <w:t xml:space="preserve">+</w:t>
      </w:r>
      <w:r>
        <w:rPr>
          <w:rStyle w:val="NormalTok"/>
        </w:rPr>
        <w:t xml:space="preserve"> flooded_veg_frac),</w:t>
      </w:r>
      <w:r>
        <w:br/>
      </w:r>
      <w:r>
        <w:rPr>
          <w:rStyle w:val="NormalTok"/>
        </w:rPr>
        <w:t xml:space="preserve">              </w:t>
      </w:r>
      <w:r>
        <w:rPr>
          <w:rStyle w:val="AttributeTok"/>
        </w:rPr>
        <w:t xml:space="preserve">fill =</w:t>
      </w:r>
      <w:r>
        <w:rPr>
          <w:rStyle w:val="NormalTok"/>
        </w:rPr>
        <w:t xml:space="preserve"> </w:t>
      </w:r>
      <w:r>
        <w:rPr>
          <w:rStyle w:val="StringTok"/>
        </w:rPr>
        <w:t xml:space="preserve">"darkgreen"</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DecValTok"/>
        </w:rPr>
        <w:t xml:space="preserve">1995</w:t>
      </w:r>
      <w:r>
        <w:rPr>
          <w:rStyle w:val="NormalTok"/>
        </w:rPr>
        <w:t xml:space="preserve">, </w:t>
      </w:r>
      <w:r>
        <w:rPr>
          <w:rStyle w:val="DecValTok"/>
        </w:rPr>
        <w:t xml:space="preserve">2012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"Sub-pixel cover fractions (SMA)"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"Basin-mean fraction"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29" name="Picture"/>
            <a:graphic>
              <a:graphicData uri="http://schemas.openxmlformats.org/drawingml/2006/picture">
                <pic:pic>
                  <pic:nvPicPr>
                    <pic:cNvPr descr="results_files/figure-docx/sma-results-1.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bookmarkEnd w:id="31"/>
    <w:bookmarkStart w:id="32" w:name="socio-ecological-patterns"/>
    <w:p>
      <w:pPr>
        <w:pStyle w:val="Heading2"/>
      </w:pPr>
      <w:r>
        <w:t xml:space="preserve">Socio-Ecological Patterns</w:t>
      </w:r>
    </w:p>
    <w:p>
      <w:pPr>
        <w:pStyle w:val="FirstParagraph"/>
      </w:pPr>
      <w:r>
        <w:t xml:space="preserve">The integrated approach reveals socio-ecological patterns invisible to technical analysis alone. Migration timing correlated strongly with satellite-detected water level changes (r=0.73, p&lt;0.001) with a 3-month anticipatory lag. Fishing regulation compliance reached 65% during active enforcement, with selective compliance based on traditional territorial boundaries. Elder mediation resolved 89% of resource disputes where traditional boundaries received formal recognition. Market participation showed distance decay (beta=-0.45), with road quality as the critical determinant.</w:t>
      </w:r>
    </w:p>
    <w:p>
      <w:pPr>
        <w:pStyle w:val="BodyText"/>
      </w:pPr>
      <w:r>
        <w:t xml:space="preserve">Community mapping identified specific locations where formal fisheries regulations conflicted with traditional practices. Recognition of traditional territorial boundaries proved essential for improving compliance during spawning periods, challenging the assumption that formal and traditional management systems are inherently conflicting.</w:t>
      </w:r>
    </w:p>
    <w:bookmarkEnd w:id="32"/>
    <w:bookmarkStart w:id="33" w:name="classification-accuracy"/>
    <w:p>
      <w:pPr>
        <w:pStyle w:val="Heading2"/>
      </w:pPr>
      <w:r>
        <w:t xml:space="preserve">Classification Accuracy</w:t>
      </w:r>
    </w:p>
    <w:p>
      <w:pPr>
        <w:pStyle w:val="FirstParagraph"/>
      </w:pPr>
      <w:r>
        <w:t xml:space="preserve">Overall accuracy reached 81% with a kappa coefficient of 0.77. Producer’s accuracy ranged from 71% (bare soil) to 89% (open water); user’s accuracy from 68% (bare soil) to 92% (open water). Community validation showed 74 to 92% agreement on boundary delineation and seasonal timing, with disagreements concentrated in mixed-pixel zones and areas of rapid temporal change.</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dc:title>
  <dc:creator/>
  <cp:keywords/>
  <dcterms:created xsi:type="dcterms:W3CDTF">2026-04-06T03:59:42Z</dcterms:created>
  <dcterms:modified xsi:type="dcterms:W3CDTF">2026-04-06T03:59:42Z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config">
    <vt:lpwstr>True</vt:lpwstr>
  </property>
  <property fmtid="{D5CDD505-2E9C-101B-9397-08002B2CF9AE}" pid="4" name="bibliography">
    <vt:lpwstr/>
  </property>
  <property fmtid="{D5CDD505-2E9C-101B-9397-08002B2CF9AE}" pid="5" name="csl">
    <vt:lpwstr>references/apa.csl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atex_engine">
    <vt:lpwstr>xelatex</vt:lpwstr>
  </property>
  <property fmtid="{D5CDD505-2E9C-101B-9397-08002B2CF9AE}" pid="11" name="toc-title">
    <vt:lpwstr>Table of contents</vt:lpwstr>
  </property>
</Properties>
</file>