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8.png" ContentType="image/png"/>
  <Override PartName="/word/media/rId55.png" ContentType="image/png"/>
  <Override PartName="/word/media/rId67.png" ContentType="image/png"/>
  <Override PartName="/word/media/rId102.png" ContentType="image/png"/>
  <Override PartName="/word/media/rId106.png" ContentType="image/png"/>
  <Override PartName="/word/media/rId110.png" ContentType="image/png"/>
  <Override PartName="/word/media/rId83.png" ContentType="image/png"/>
  <Override PartName="/word/media/rId125.png" ContentType="image/png"/>
  <Override PartName="/word/media/rId30.png" ContentType="image/png"/>
  <Override PartName="/word/media/rId33.png" ContentType="image/png"/>
  <Override PartName="/word/media/rId73.png" ContentType="image/png"/>
  <Override PartName="/word/media/rId62.png" ContentType="image/png"/>
  <Override PartName="/word/media/rId98.png" ContentType="image/png"/>
  <Override PartName="/word/media/rId80.png" ContentType="image/png"/>
  <Override PartName="/word/media/rId77.png" ContentType="image/png"/>
  <Override PartName="/word/media/rId41.png" ContentType="image/png"/>
  <Override PartName="/word/media/rId44.png" ContentType="image/png"/>
  <Override PartName="/word/media/rId3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the wetland inundation dynamics of Lake Chilwa’s recession and refilling cycles using multisource remote sensing data</w:t>
      </w:r>
    </w:p>
    <w:p>
      <w:pPr>
        <w:pStyle w:val="Subtitle"/>
      </w:pPr>
      <w:r>
        <w:t xml:space="preserve">Integrating optical-radar time-series data with participatory mapping of migrant fishing communities</w:t>
      </w:r>
    </w:p>
    <w:p>
      <w:pPr>
        <w:pStyle w:val="Author"/>
      </w:pPr>
      <w:r>
        <w:t xml:space="preserve">Seamus Murphy</w:t>
      </w:r>
    </w:p>
    <w:p>
      <w:pPr>
        <w:pStyle w:val="Author"/>
      </w:pPr>
      <w:r>
        <w:t xml:space="preserve">John Wilson</w:t>
      </w:r>
    </w:p>
    <w:p>
      <w:pPr>
        <w:pStyle w:val="Author"/>
      </w:pPr>
      <w:r>
        <w:t xml:space="preserve">Lauren K Banks</w:t>
      </w:r>
    </w:p>
    <w:p>
      <w:pPr>
        <w:pStyle w:val="Date"/>
      </w:pPr>
      <w:r>
        <w:t xml:space="preserve">2026-09-26</w:t>
      </w:r>
    </w:p>
    <w:p>
      <w:pPr>
        <w:pStyle w:val="AbstractTitle"/>
      </w:pPr>
      <w:r>
        <w:t xml:space="preserve">Abstract</w:t>
      </w:r>
    </w:p>
    <w:p>
      <w:pPr>
        <w:pStyle w:val="Abstract"/>
      </w:pPr>
      <w:r>
        <w:t xml:space="preserve">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Water area measured by Landsat and by the Moderate Resolution Imaging Spectroradiometer was combined in a state-space model, a statistical model that updated its estimate of the lake at each sixteen-day step as observations arrived and gave the uncertainty of every estimate. The design followed a published pixel-by-pixel method for combining the two satellites but was applied to the water area of the whole basin, and it filled the seventeen months from October 2011 to March 2013 when the only Landsat satellite over the basin, Landsat 7, recorded images with strips of missing data.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actually moves, with the uncertainty that the archive earns, changes which years read as recessions and therefore which years a migratory fishery is understood to have responded to.</w:t>
      </w:r>
    </w:p>
    <w:bookmarkStart w:id="27"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0"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vegetation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0"/>
    <w:bookmarkStart w:id="21" w:name="flooded-vegetation-signatures"/>
    <w:p>
      <w:pPr>
        <w:pStyle w:val="Heading3"/>
      </w:pPr>
      <w:r>
        <w:t xml:space="preserve">1.2 Flooded Vegetation Signatures</w:t>
      </w:r>
    </w:p>
    <w:p>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w:t>
      </w:r>
      <w:r>
        <w:t xml:space="preserve"> </w:t>
      </w:r>
      <w:r>
        <w:t xml:space="preserve">“In contrast to open flood surfaces, there is little research on the detection of flooded areas underneath vegetation. However, the disregard of FV can lead to an underestimation of the extent of an inundation.”</w:t>
      </w:r>
      <w:r>
        <w:t xml:space="preserve"> </w:t>
      </w:r>
      <w:r>
        <w:t xml:space="preserve">Six years later Amitrano et al. (2024) still describe flooding beneath the vegetation as</w:t>
      </w:r>
      <w:r>
        <w:t xml:space="preserve"> </w:t>
      </w:r>
      <w:r>
        <w:t xml:space="preserve">“a less explored challenge”</w:t>
      </w:r>
      <w:r>
        <w:t xml:space="preserve"> </w:t>
      </w:r>
      <w:r>
        <w:t xml:space="preserve">and warn that</w:t>
      </w:r>
      <w:r>
        <w:t xml:space="preserve"> </w:t>
      </w:r>
      <w:r>
        <w:t xml:space="preserve">“the presence of vegetation may lead to an underestimation of the extent of inundated areas.”</w:t>
      </w:r>
    </w:p>
    <w:p>
      <w:pPr>
        <w:pStyle w:val="BodyText"/>
      </w:pPr>
      <w:r>
        <w:t xml:space="preserve">Optical sensors cannot solve it, and the reason is physical rather than methodological. Mahdavi et al. (2018) put the limit categorically:</w:t>
      </w:r>
      <w:r>
        <w:t xml:space="preserve"> </w:t>
      </w:r>
      <w:r>
        <w:t xml:space="preserve">“the penetration depth of optical sensors is so low that detection of the water beneath trees/dense vegetation is not possible.”</w:t>
      </w:r>
      <w:r>
        <w:t xml:space="preserve"> </w:t>
      </w:r>
      <w:r>
        <w:t xml:space="preserve">Adam et al. (2010) explain why the vegetation above that water is itself hard to resolve, since the reflectance spectra of wetland vegetation</w:t>
      </w:r>
      <w:r>
        <w:t xml:space="preserve"> </w:t>
      </w:r>
      <w:r>
        <w:t xml:space="preserve">“are often very similar and are combined with reflectance spectra of the underlying soil, hydrologic regime, and atmospheric vapour,”</w:t>
      </w:r>
      <w:r>
        <w:t xml:space="preserve"> </w:t>
      </w:r>
      <w:r>
        <w:t xml:space="preserve">a mixture that depresses reflectance most severely</w:t>
      </w:r>
      <w:r>
        <w:t xml:space="preserve"> </w:t>
      </w:r>
      <w:r>
        <w:t xml:space="preserve">“in the near-to mid-infrared regions where water absorption is stronger,”</w:t>
      </w:r>
      <w:r>
        <w:t xml:space="preserve"> </w:t>
      </w:r>
      <w:r>
        <w:t xml:space="preserve">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w:t>
      </w:r>
      <w:r>
        <w:t xml:space="preserve"> </w:t>
      </w:r>
      <w:r>
        <w:t xml:space="preserve">“it has been virtually impossible to detect the presence of standing water or wet soils under a full canopy of emergent macrophytes,”</w:t>
      </w:r>
      <w:r>
        <w:t xml:space="preserve"> </w:t>
      </w:r>
      <w:r>
        <w:t xml:space="preserve">and placing</w:t>
      </w:r>
      <w:r>
        <w:t xml:space="preserve"> </w:t>
      </w:r>
      <w:r>
        <w:t xml:space="preserve">“assessing the impact of water beneath the vegetation canopy”</w:t>
      </w:r>
      <w:r>
        <w:t xml:space="preserve"> </w:t>
      </w:r>
      <w:r>
        <w:t xml:space="preserve">among the field’s defining research needs. Gallant (2015) generalises the diagnosis: from a remote sensing perspective wetlands are a moving target,</w:t>
      </w:r>
      <w:r>
        <w:t xml:space="preserve"> </w:t>
      </w:r>
      <w:r>
        <w:t xml:space="preserve">“representing more of a moisture regime than a cover type.”</w:t>
      </w:r>
    </w:p>
    <w:p>
      <w:pPr>
        <w:pStyle w:val="BodyText"/>
      </w:pPr>
      <w:r>
        <w:t xml:space="preserve">Radar addresses the problem in principle and saturates in practice. The double-bounce return from a water surface and vertical plant stems is the physical basis for detection beneath the vegetation, but it is conditional on wavelength, polarisation, incidence angle, and standing biomass. Tsyganskaya et al. (2018) report that studies converge on saturation points</w:t>
      </w:r>
      <w:r>
        <w:t xml:space="preserve"> </w:t>
      </w:r>
      <w:r>
        <w:t xml:space="preserve">“at which water beneath the canopy cannot be detected any longer,”</w:t>
      </w:r>
      <w:r>
        <w:t xml:space="preserve"> </w:t>
      </w:r>
      <w:r>
        <w:t xml:space="preserve">beyond which</w:t>
      </w:r>
      <w:r>
        <w:t xml:space="preserve"> </w:t>
      </w:r>
      <w:r>
        <w:t xml:space="preserve">“volume scattering from the canopy completely superimposes the contribution of double bounce,”</w:t>
      </w:r>
      <w:r>
        <w:t xml:space="preserve"> </w:t>
      </w:r>
      <w:r>
        <w:t xml:space="preserve">and note a lower bound as well, since</w:t>
      </w:r>
      <w:r>
        <w:t xml:space="preserve"> </w:t>
      </w:r>
      <w:r>
        <w:t xml:space="preserve">“if the emerging part of the plants becomes too small, no considerable double-bounce scattering can be produced.”</w:t>
      </w:r>
      <w:r>
        <w:t xml:space="preserve"> </w:t>
      </w:r>
      <w:r>
        <w:t xml:space="preserve">Polarisation matters as much as wavelength. Adeli et al. (2020) identify the specific weakness of the configuration this study inherits from Sentinel-1: vertical transmit</w:t>
      </w:r>
      <w:r>
        <w:t xml:space="preserve"> </w:t>
      </w:r>
      <w:r>
        <w:t xml:space="preserve">“may not reach the water surface beneath the vegetation cover because of its vertical orientation,”</w:t>
      </w:r>
      <w:r>
        <w:t xml:space="preserve"> </w:t>
      </w:r>
      <w:r>
        <w:t xml:space="preserve">while Mahdianpari et al. (2020) find that</w:t>
      </w:r>
      <w:r>
        <w:t xml:space="preserve"> </w:t>
      </w:r>
      <w:r>
        <w:t xml:space="preserve">“the HH polarized signal is better able to distinguish wetland vegetation from water under calm water conditions.”</w:t>
      </w:r>
      <w:r>
        <w:t xml:space="preserve"> </w:t>
      </w:r>
      <w:r>
        <w:t xml:space="preserve">Battaglia and Bourgeau-Chavez (2025) quantify the dependence for</w:t>
      </w:r>
      <w:r>
        <w:t xml:space="preserve"> </w:t>
      </w:r>
      <w:r>
        <w:rPr>
          <w:i/>
          <w:iCs/>
        </w:rPr>
        <w:t xml:space="preserve">Typha</w:t>
      </w:r>
      <w:r>
        <w:t xml:space="preserve">, the genus that dominates the Chilwa swamp, measuring stems of roughly 1.6 cm diameter at 20 to 28 per square metre and 1.8 to 2.2 m tall, a structure within reach of C-, S-, and L-band alike; for the denser and finer-stemmed</w:t>
      </w:r>
      <w:r>
        <w:t xml:space="preserve"> </w:t>
      </w:r>
      <w:r>
        <w:rPr>
          <w:i/>
          <w:iCs/>
        </w:rPr>
        <w:t xml:space="preserve">Phragmites</w:t>
      </w:r>
      <w:r>
        <w:t xml:space="preserve"> </w:t>
      </w:r>
      <w:r>
        <w:t xml:space="preserve">of the same study, C-band</w:t>
      </w:r>
      <w:r>
        <w:t xml:space="preserve"> </w:t>
      </w:r>
      <w:r>
        <w:t xml:space="preserve">“was not able to detect flooding beneath mature Phragmites stands in many cases.”</w:t>
      </w:r>
      <w:r>
        <w:t xml:space="preserve"> </w:t>
      </w:r>
      <w:r>
        <w:t xml:space="preserve">Their strongest result is that the answer depends on the instrument: flooded-vegetation area over one delta varied by 22 per cent across the three wavelengths on the same scene.</w:t>
      </w:r>
    </w:p>
    <w:p>
      <w:pPr>
        <w:pStyle w:val="BodyText"/>
      </w:pPr>
      <w:r>
        <w:t xml:space="preserve">The cost of the failure has been measured, and it falls on this class alone. Slagter et al. (2020), working in a South African coastal wetland with the same sensors and classifier family used here, report that</w:t>
      </w:r>
      <w:r>
        <w:t xml:space="preserve"> </w:t>
      </w:r>
      <w:r>
        <w:t xml:space="preserve">“subcanopy flooding could not be detected with Sentinel-1’s C-band sensors operating in VV/VH mode,”</w:t>
      </w:r>
      <w:r>
        <w:t xml:space="preserve"> </w:t>
      </w:r>
      <w:r>
        <w:t xml:space="preserve">and resolved the problem by removing the class: their headline accuracy of 88.5 per cent is stated for the case</w:t>
      </w:r>
      <w:r>
        <w:t xml:space="preserve"> </w:t>
      </w:r>
      <w:r>
        <w:t xml:space="preserve">“when excluding high-vegetated areas.”</w:t>
      </w:r>
      <w:r>
        <w:t xml:space="preserve"> </w:t>
      </w:r>
      <w:r>
        <w:t xml:space="preserve">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w:t>
      </w:r>
      <w:r>
        <w:t xml:space="preserve"> </w:t>
      </w:r>
      <w:r>
        <w:t xml:space="preserve">“located at the interface of mudflats and other classes.”</w:t>
      </w:r>
    </w:p>
    <w:p>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w:t>
      </w:r>
      <w:r>
        <w:t xml:space="preserve"> </w:t>
      </w:r>
      <w:r>
        <w:t xml:space="preserve">“In this study, we only consider open water bodies as surface water, whereas, in previous studies, water under vegetation was included as surface water.”</w:t>
      </w:r>
      <w:r>
        <w:t xml:space="preserve"> </w:t>
      </w:r>
      <w:r>
        <w:t xml:space="preserve">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w:t>
      </w:r>
      <w:r>
        <w:t xml:space="preserve"> </w:t>
      </w:r>
      <w:r>
        <w:t xml:space="preserve">“the exact figures require validation against ground-based measurements”</w:t>
      </w:r>
      <w:r>
        <w:t xml:space="preserve"> </w:t>
      </w:r>
      <w:r>
        <w:t xml:space="preserve">that the wetland’s inaccessibility precluded. Validation is the recurring casualty. On the Kafue Flats, Aduah and Mantey (2012) report that</w:t>
      </w:r>
      <w:r>
        <w:t xml:space="preserve"> </w:t>
      </w:r>
      <w:r>
        <w:t xml:space="preserve">“accuracy assessment of the derived maps was not conducted since ground truth data at the time of satellite over pass was not available,”</w:t>
      </w:r>
      <w:r>
        <w:t xml:space="preserve"> </w:t>
      </w:r>
      <w:r>
        <w:t xml:space="preserve">and attribute their success to the scarcity of the difficult class, since the tall</w:t>
      </w:r>
      <w:r>
        <w:t xml:space="preserve"> </w:t>
      </w:r>
      <w:r>
        <w:rPr>
          <w:i/>
          <w:iCs/>
        </w:rPr>
        <w:t xml:space="preserve">Typha</w:t>
      </w:r>
      <w:r>
        <w:t xml:space="preserve"> </w:t>
      </w:r>
      <w:r>
        <w:t xml:space="preserve">and</w:t>
      </w:r>
      <w:r>
        <w:t xml:space="preserve"> </w:t>
      </w:r>
      <w:r>
        <w:rPr>
          <w:i/>
          <w:iCs/>
        </w:rPr>
        <w:t xml:space="preserve">Papyrus</w:t>
      </w:r>
      <w:r>
        <w:t xml:space="preserve"> </w:t>
      </w:r>
      <w:r>
        <w:t xml:space="preserve">stands</w:t>
      </w:r>
      <w:r>
        <w:t xml:space="preserve"> </w:t>
      </w:r>
      <w:r>
        <w:t xml:space="preserve">“cover a small percentage of the study area”</w:t>
      </w:r>
      <w:r>
        <w:t xml:space="preserve"> </w:t>
      </w:r>
      <w:r>
        <w:t xml:space="preserve">and the dominant short grasses submerge completely. That condition is the inverse of Lake Chilwa, where the</w:t>
      </w:r>
      <w:r>
        <w:t xml:space="preserve"> </w:t>
      </w:r>
      <w:r>
        <w:rPr>
          <w:i/>
          <w:iCs/>
        </w:rPr>
        <w:t xml:space="preserve">Typha</w:t>
      </w:r>
      <w:r>
        <w:t xml:space="preserve"> </w:t>
      </w:r>
      <w:r>
        <w:t xml:space="preserve">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w:t>
      </w:r>
      <w:r>
        <w:t xml:space="preserve"> </w:t>
      </w:r>
      <w:r>
        <w:t xml:space="preserve">“70% of the total water extent mapped was attributed to vegetated water, highlighting the importance of mapping both open and vegetated water bodies for surface water mapping.”</w:t>
      </w:r>
    </w:p>
    <w:p>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w:t>
      </w:r>
      <w:r>
        <w:t xml:space="preserve"> </w:t>
      </w:r>
      <w:r>
        <w:t xml:space="preserve">“inundated vegetation can account for over three-quarters of the total inundated area, yet widely used EO mapping approaches are limited to the detection of open water bodies,”</w:t>
      </w:r>
      <w:r>
        <w:t xml:space="preserve"> </w:t>
      </w:r>
      <w:r>
        <w:t xml:space="preserve">with inundated vegetation accounting for a mean 80 per cent of wet-season inundation; they concede that any method resting on C-band backscatter, theirs included,</w:t>
      </w:r>
      <w:r>
        <w:t xml:space="preserve"> </w:t>
      </w:r>
      <w:r>
        <w:t xml:space="preserve">“will underestimate the extent of inundation.”</w:t>
      </w:r>
      <w:r>
        <w:t xml:space="preserve"> </w:t>
      </w:r>
      <w:r>
        <w:t xml:space="preserve">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w:t>
      </w:r>
      <w:r>
        <w:t xml:space="preserve"> </w:t>
      </w:r>
      <w:r>
        <w:t xml:space="preserve">“capture less than 25 %”</w:t>
      </w:r>
      <w:r>
        <w:t xml:space="preserve"> </w:t>
      </w:r>
      <w:r>
        <w:t xml:space="preserve">of the wetland area they mapped. Schroeder et al. (2015) put the same contrast in areal terms over the central Amazon, where radar returned 25,400 km² of open water but 67,700 km² once flooded vegetation was included, and reported their own coarse-resolution product limited by</w:t>
      </w:r>
      <w:r>
        <w:t xml:space="preserve"> </w:t>
      </w:r>
      <w:r>
        <w:t xml:space="preserve">“the inability to detect standing water bodies underneath closed forest canopies.”</w:t>
      </w:r>
      <w:r>
        <w:t xml:space="preserve"> </w:t>
      </w:r>
      <w:r>
        <w:t xml:space="preserve">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w:t>
      </w:r>
      <w:r>
        <w:t xml:space="preserve"> </w:t>
      </w:r>
      <w:r>
        <w:t xml:space="preserve">“multi-platform remote sensing using both radar and optical observations are integrated at higher spatial resolution to resolve issues associated with low-detection probabilities in closed-forest canopy regions.”</w:t>
      </w:r>
      <w:r>
        <w:t xml:space="preserve"> </w:t>
      </w:r>
      <w:r>
        <w:t xml:space="preserve">The compilers of the standard global inventory reach the same conclusion from the other direction, noting that seasonal inundation driven by vegetation and saturated soils</w:t>
      </w:r>
      <w:r>
        <w:t xml:space="preserve"> </w:t>
      </w:r>
      <w:r>
        <w:t xml:space="preserve">“are not as reliably mapped and contribute disproportionately to the large uncertainties in global wetland estimates,”</w:t>
      </w:r>
      <w:r>
        <w:t xml:space="preserve"> </w:t>
      </w:r>
      <w:r>
        <w:t xml:space="preserve">and naming among the field’s outstanding needs</w:t>
      </w:r>
      <w:r>
        <w:t xml:space="preserve"> </w:t>
      </w:r>
      <w:r>
        <w:t xml:space="preserve">“dependable estimates of soil surface moisture, sub-canopy inundation, refined topographic data and detection of hydrophytic vegetation”</w:t>
      </w:r>
      <w:r>
        <w:t xml:space="preserve"> </w:t>
      </w:r>
      <w:r>
        <w:t xml:space="preserve">(Lehner et al., 2025). This study takes that remedy as its primary methodological objective, retaining the class that the state of the art excludes and measuring what its retention costs and recovers.</w:t>
      </w:r>
    </w:p>
    <w:p>
      <w:pPr>
        <w:pStyle w:val="BodyText"/>
      </w:pPr>
      <w:r>
        <w:t xml:space="preserve">The same gap runs through the hydrological models built on these maps. Global reach-scale reconstructions delineate their river networks from elevation and open-water layers (Yamazaki et al., 2019), then route water through channels (Lin et al., 2019; Song et al., 2025; Ji et al., 2025). A wetland enters such a network as a set of flow paths rather than as a store, so water standing within a reed stand for months is routed downstream in the model as it is passed over in the map. Calibration cannot correct what the structure omits, and in Africa there is little to calibrate against: Ji et al. (2025) report that their model could not reproduce observed runoff trends in the Niger or the Congo, attributing the failure to a paucity of training data. The measurement problem and the modelling problem are one. Both are limited by reference data rather than by method.</w:t>
      </w:r>
    </w:p>
    <w:bookmarkEnd w:id="21"/>
    <w:bookmarkStart w:id="23" w:name="sar-optical-fusion"/>
    <w:p>
      <w:pPr>
        <w:pStyle w:val="Heading3"/>
      </w:pPr>
      <w:r>
        <w:t xml:space="preserve">1.3 SAR-Optical Fusion</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vegetation is the physical basis for detecting inundation beneath the vegetation.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vegetation far more effectively. Hess et al. (2003) showed that L-band detected flooding beneath the vegetation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pPr>
        <w:pStyle w:val="BodyText"/>
      </w:pPr>
      <w:r>
        <w:t xml:space="preserve">Combining satellites through time addressed a different problem, the gaps that cloud and instrument faults left in the optical record. Landsat recorded the basin at 30 m every sixteen days and the Moderate Resolution Imaging Spectroradiometer (MODIS) at 500 m every day. Spatiotemporal fusion, which predicts a sharp image on a given date from the coarse image of that date and from pairs of sharp and coarse images taken on other dates, joined the two (Gao et al., 2006; Zhu et al., 2010). A Kalman filter, a method that keeps a running estimate and corrects it each time an observation arrives according to how reliable that observation is, removed the need for fixed image pairs, and Sedano et al. (2014) used one to combine Landsat and MODIS vegetation index into complete 30 m sequences at sixteen-day steps. Moreno-Martínez et al. (2020) extended the approach to large areas in Google Earth Engine as the Highly Scalable Temporal Adaptive Reflectance Fusion Model (HISTARFM), writing that they</w:t>
      </w:r>
      <w:r>
        <w:t xml:space="preserve"> </w:t>
      </w:r>
      <w:r>
        <w:t xml:space="preserve">“implement a bias-aware Kalman filter method in the Google Earth Engine (GEE) platform to obtain fused images at the Landsat spatial-resolution”</w:t>
      </w:r>
      <w:r>
        <w:t xml:space="preserve"> </w:t>
      </w:r>
      <w:r>
        <w:t xml:space="preserve">(p. 1), where bias-aware meant that the filter also corrected errors that ran consistently in one direction. The result was a monthly 30 m reflectance record with no gaps and an uncertainty for every pixel. HISTARFM was built and tested on vegetated land, and the gap that mattered at Lake Chilwa was longer than any cloudy season. For seventeen months between the last Landsat 5 image and the first Landsat 8 image, the only Landsat satellite over the basin was Landsat 7, whose images had carried wedge-shaped strips of missing data since its scan-line corrector, the part that keeps the scan lines parallel, failed in May 2003.</w:t>
      </w:r>
    </w:p>
    <w:bookmarkStart w:id="22" w:name="environment-setup"/>
    <w:p>
      <w:pPr>
        <w:pStyle w:val="Heading5"/>
      </w:pPr>
      <w:r>
        <w:t xml:space="preserve">Environment Setup</w:t>
      </w:r>
    </w:p>
    <w:p>
      <w:pPr>
        <w:pStyle w:val="FirstParagraph"/>
      </w:pPr>
      <w:r>
        <w:t xml:space="preserve">A one-time Earth Engine setup adapted below from previous rgee workflows was render hidden. Run this chunk named</w:t>
      </w:r>
      <w:r>
        <w:t xml:space="preserve"> </w:t>
      </w:r>
      <w:r>
        <w:rPr>
          <w:rStyle w:val="VerbatimChar"/>
        </w:rPr>
        <w:t xml:space="preserve">gee-setup-once</w:t>
      </w:r>
      <w:r>
        <w:t xml:space="preserve"> </w:t>
      </w:r>
      <w:r>
        <w:t xml:space="preserve">using</w:t>
      </w:r>
      <w:r>
        <w:t xml:space="preserve"> </w:t>
      </w:r>
      <w:r>
        <w:rPr>
          <w:rStyle w:val="VerbatimChar"/>
        </w:rPr>
        <w:t xml:space="preserve">eval: true</w:t>
      </w:r>
      <w:r>
        <w:t xml:space="preserve"> </w:t>
      </w:r>
      <w:r>
        <w:t xml:space="preserve">in a fresh R session to build the project virtual environment. This will install the Earth Engine Python API into it, and authenticate. It does not run on render as cloned.</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"kable"</w:t>
      </w:r>
      <w:r>
        <w:rPr>
          <w:rStyle w:val="NormalTok"/>
        </w:rPr>
        <w:t xml:space="preserve">, </w:t>
      </w:r>
      <w:r>
        <w:rPr>
          <w:rStyle w:val="StringTok"/>
        </w:rPr>
        <w:t xml:space="preserve">"kableExtrra"</w:t>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br/>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The analysis stack ----------------------------------------------------</w:t>
      </w:r>
      <w:r>
        <w:br/>
      </w:r>
      <w:r>
        <w:rPr>
          <w:rStyle w:val="CommentTok"/>
        </w:rPr>
        <w:t xml:space="preserve"># Loaded here so every later cell can assume them. The inundation record in</w:t>
      </w:r>
      <w:r>
        <w:br/>
      </w:r>
      <w:r>
        <w:rPr>
          <w:rStyle w:val="CommentTok"/>
        </w:rPr>
        <w:t xml:space="preserve"># Section 2.3 is built from these alone and needs no Earth Engine session.</w:t>
      </w:r>
      <w:r>
        <w:br/>
      </w:r>
      <w:r>
        <w:rPr>
          <w:rStyle w:val="FunctionTok"/>
        </w:rPr>
        <w:t xml:space="preserve">suppressPackageStartupMessages</w:t>
      </w:r>
      <w:r>
        <w:rPr>
          <w:rStyle w:val="NormalTok"/>
        </w:rPr>
        <w:t xml:space="preserve">({</w:t>
      </w:r>
      <w:r>
        <w:br/>
      </w:r>
      <w:r>
        <w:rPr>
          <w:rStyle w:val="NormalTok"/>
        </w:rPr>
        <w:t xml:space="preserve">  </w:t>
      </w:r>
      <w:r>
        <w:rPr>
          <w:rStyle w:val="FunctionTok"/>
        </w:rPr>
        <w:t xml:space="preserve">library</w:t>
      </w:r>
      <w:r>
        <w:rPr>
          <w:rStyle w:val="NormalTok"/>
        </w:rPr>
        <w:t xml:space="preserve">(dplyr)      </w:t>
      </w:r>
      <w:r>
        <w:rPr>
          <w:rStyle w:val="CommentTok"/>
        </w:rPr>
        <w:t xml:space="preserve"># data manipulation</w:t>
      </w:r>
      <w:r>
        <w:br/>
      </w:r>
      <w:r>
        <w:rPr>
          <w:rStyle w:val="NormalTok"/>
        </w:rPr>
        <w:t xml:space="preserve">  </w:t>
      </w:r>
      <w:r>
        <w:rPr>
          <w:rStyle w:val="FunctionTok"/>
        </w:rPr>
        <w:t xml:space="preserve">library</w:t>
      </w:r>
      <w:r>
        <w:rPr>
          <w:rStyle w:val="NormalTok"/>
        </w:rPr>
        <w:t xml:space="preserve">(tidyr)      </w:t>
      </w:r>
      <w:r>
        <w:rPr>
          <w:rStyle w:val="CommentTok"/>
        </w:rPr>
        <w:t xml:space="preserve"># reshaping, pivot_wider and drop_na</w:t>
      </w:r>
      <w:r>
        <w:br/>
      </w:r>
      <w:r>
        <w:rPr>
          <w:rStyle w:val="NormalTok"/>
        </w:rPr>
        <w:t xml:space="preserve">  </w:t>
      </w:r>
      <w:r>
        <w:rPr>
          <w:rStyle w:val="FunctionTok"/>
        </w:rPr>
        <w:t xml:space="preserve">library</w:t>
      </w:r>
      <w:r>
        <w:rPr>
          <w:rStyle w:val="NormalTok"/>
        </w:rPr>
        <w:t xml:space="preserve">(readr)      </w:t>
      </w:r>
      <w:r>
        <w:rPr>
          <w:rStyle w:val="CommentTok"/>
        </w:rPr>
        <w:t xml:space="preserve"># read_csv without type guessing surprises</w:t>
      </w:r>
      <w:r>
        <w:br/>
      </w:r>
      <w:r>
        <w:rPr>
          <w:rStyle w:val="NormalTok"/>
        </w:rPr>
        <w:t xml:space="preserve">  </w:t>
      </w:r>
      <w:r>
        <w:rPr>
          <w:rStyle w:val="FunctionTok"/>
        </w:rPr>
        <w:t xml:space="preserve">library</w:t>
      </w:r>
      <w:r>
        <w:rPr>
          <w:rStyle w:val="NormalTok"/>
        </w:rPr>
        <w:t xml:space="preserve">(purrr)      </w:t>
      </w:r>
      <w:r>
        <w:rPr>
          <w:rStyle w:val="CommentTok"/>
        </w:rPr>
        <w:t xml:space="preserve"># map_dbl over the smoother's time steps</w:t>
      </w:r>
      <w:r>
        <w:br/>
      </w:r>
      <w:r>
        <w:rPr>
          <w:rStyle w:val="NormalTok"/>
        </w:rPr>
        <w:t xml:space="preserve">  </w:t>
      </w:r>
      <w:r>
        <w:rPr>
          <w:rStyle w:val="FunctionTok"/>
        </w:rPr>
        <w:t xml:space="preserve">library</w:t>
      </w:r>
      <w:r>
        <w:rPr>
          <w:rStyle w:val="NormalTok"/>
        </w:rPr>
        <w:t xml:space="preserve">(tibble)     </w:t>
      </w:r>
      <w:r>
        <w:rPr>
          <w:rStyle w:val="CommentTok"/>
        </w:rPr>
        <w:t xml:space="preserve"># tibbles for every table</w:t>
      </w:r>
      <w:r>
        <w:br/>
      </w:r>
      <w:r>
        <w:rPr>
          <w:rStyle w:val="NormalTok"/>
        </w:rPr>
        <w:t xml:space="preserve">  </w:t>
      </w:r>
      <w:r>
        <w:rPr>
          <w:rStyle w:val="FunctionTok"/>
        </w:rPr>
        <w:t xml:space="preserve">library</w:t>
      </w:r>
      <w:r>
        <w:rPr>
          <w:rStyle w:val="NormalTok"/>
        </w:rPr>
        <w:t xml:space="preserve">(ggplot2)    </w:t>
      </w:r>
      <w:r>
        <w:rPr>
          <w:rStyle w:val="CommentTok"/>
        </w:rPr>
        <w:t xml:space="preserve"># the record's figure</w:t>
      </w:r>
      <w:r>
        <w:br/>
      </w:r>
      <w:r>
        <w:rPr>
          <w:rStyle w:val="NormalTok"/>
        </w:rPr>
        <w:t xml:space="preserve">  </w:t>
      </w:r>
      <w:r>
        <w:rPr>
          <w:rStyle w:val="FunctionTok"/>
        </w:rPr>
        <w:t xml:space="preserve">library</w:t>
      </w:r>
      <w:r>
        <w:rPr>
          <w:rStyle w:val="NormalTok"/>
        </w:rPr>
        <w:t xml:space="preserve">(here)       </w:t>
      </w:r>
      <w:r>
        <w:rPr>
          <w:rStyle w:val="CommentTok"/>
        </w:rPr>
        <w:t xml:space="preserve"># paths that hold wherever the render runs from</w:t>
      </w:r>
      <w:r>
        <w:br/>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p>
    <w:p>
      <w:pPr>
        <w:pStyle w:val="SourceCode"/>
      </w:pPr>
      <w:r>
        <w:rPr>
          <w:rStyle w:val="VerbatimChar"/>
        </w:rPr>
        <w:t xml:space="preserve">NA </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2"/>
    <w:bookmarkEnd w:id="23"/>
    <w:bookmarkStart w:id="24" w:name="study-area"/>
    <w:p>
      <w:pPr>
        <w:pStyle w:val="Heading3"/>
      </w:pPr>
      <w:r>
        <w:t xml:space="preserve">1.4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4"/>
    <w:bookmarkStart w:id="25" w:name="participatory-mapping-data"/>
    <w:p>
      <w:pPr>
        <w:pStyle w:val="Heading3"/>
      </w:pPr>
      <w:r>
        <w:t xml:space="preserve">1.5 Participatory Mapping Data</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the vegetation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5"/>
    <w:bookmarkStart w:id="26" w:name="research-objectives"/>
    <w:p>
      <w:pPr>
        <w:pStyle w:val="Heading3"/>
      </w:pPr>
      <w:r>
        <w:t xml:space="preserve">1.6 Research Objectives</w:t>
      </w:r>
    </w:p>
    <w:p>
      <w:pPr>
        <w:pStyle w:val="FirstParagraph"/>
      </w:pPr>
      <w:r>
        <w:t xml:space="preserve">This study pursues two aims. The first and primary aim is methodological. Surface water extent in vegetated wetlands is systematically underestimated, because it is mapped as open water. The two terms are used as though they were synonyms, so products that report surface water report only the fraction of it that lies open to the sky. Where flooded vegetation holds most of the standing water, as it does at Lake Chilwa, this is not a bias to be corrected at the margin but a measurement of the wrong quantity. We therefore measure surface water as the sum of open water and water standing within emergent vegetation, and we retain the vegetated class through every stage of the analysis rather than excluding it to protect the accuracy figures (Slagter et al., 2020). The obstacle is not the sensor alone. Water standing within a reed stand cannot be labelled from above at any resolution, and the marsh interior cannot be reached from the shore, so no conventional survey can supply the reference data the class requires. Fishers work that interior through the recession cycle and observe the standing water directly. Their observations are the training data this class has never had.</w:t>
      </w:r>
    </w:p>
    <w:p>
      <w:pPr>
        <w:pStyle w:val="BodyText"/>
      </w:pPr>
      <w:r>
        <w:t xml:space="preserve">The model we build on those labels combines four elements the literature has treated separately. It draws on multi-decadal optical reflectance, combined from Landsat and MODIS into a sixteen-day record of inundated area that covered the 2011 to 2013 gap in the Landsat archive, and on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the vegetation that C-band cannot (Adeli et al., 2020; Mahdianpari et al., 2020). It is fitted through spectral endmember mixture analysis, which resolves the water-and-vegetation mixture below the 30 m pixel as continuous fractions rather than forcing it wholly into one class or the other. And it is trained on participatory mapping with the basin’s fishing communities, who work the marsh interior through the recession cycle and can report standing water within a reed stand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Three hypotheses follow, and each can fail.</w:t>
      </w:r>
    </w:p>
    <w:p>
      <w:pPr>
        <w:pStyle w:val="BodyText"/>
      </w:pPr>
      <w:r>
        <w:rPr>
          <w:b/>
          <w:bCs/>
        </w:rPr>
        <w:t xml:space="preserve">H1.</w:t>
      </w:r>
      <w:r>
        <w:t xml:space="preserve"> </w:t>
      </w:r>
      <w:r>
        <w:t xml:space="preserve">Most of Lake Chilwa’s surface water stands beneath aquatic vegetation rather than open to the sky. Total inundated area therefore cannot be recovered from open-water mapping, and existing surface-water records understate the basin’s inundation by a large and measurable fraction. Leblanc et al. (2011) established this necessity for Lake Chad; Chilwa is the same class of shallow, vegetation-dominated lake.</w:t>
      </w:r>
    </w:p>
    <w:p>
      <w:pPr>
        <w:pStyle w:val="BodyText"/>
      </w:pPr>
      <w:r>
        <w:rPr>
          <w:b/>
          <w:bCs/>
        </w:rPr>
        <w:t xml:space="preserve">H2.</w:t>
      </w:r>
      <w:r>
        <w:t xml:space="preserve"> </w:t>
      </w:r>
      <w:r>
        <w:t xml:space="preserve">No imagery-derived reference set can label the vegetated fraction: optical sensors observe only the skin surface of the vegetation, and C-band backscatter over water is continually modulated by wind roughening. Fisher-derived reference points supply labels for that class, and a classifier trained on them returns a flooded-vegetation extent that differs materially from one trained on image-interpreted or global-product reference data.</w:t>
      </w:r>
    </w:p>
    <w:p>
      <w:pPr>
        <w:pStyle w:val="BodyText"/>
      </w:pPr>
      <w:r>
        <w:rPr>
          <w:b/>
          <w:bCs/>
        </w:rPr>
        <w:t xml:space="preserve">H3.</w:t>
      </w:r>
      <w:r>
        <w:t xml:space="preserve"> </w:t>
      </w:r>
      <w:r>
        <w:t xml:space="preserve">Vegetation activity remains elevated for weeks to months after water has receded, so index-based records date a past inundation rather than measuring a present one. Fisher observation registers recession as it happens, and the offset between the two records is therefore a property of the spectral response, not of revisit frequency.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6"/>
    <w:bookmarkEnd w:id="27"/>
    <w:bookmarkStart w:id="97" w:name="methods"/>
    <w:p>
      <w:pPr>
        <w:pStyle w:val="Heading2"/>
      </w:pPr>
      <w:r>
        <w:t xml:space="preserve">Methods</w:t>
      </w:r>
    </w:p>
    <w:bookmarkStart w:id="29" w:name="socio-hydrological-systems"/>
    <w:p>
      <w:pPr>
        <w:pStyle w:val="Heading3"/>
      </w:pPr>
      <w:r>
        <w:t xml:space="preserve">2.1 Socio-Hydrological Systems</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Description</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t xml:space="preserve">Aligned to Group Village Headmen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t xml:space="preserve">Aligned to Traditional Authorities</w:t>
            </w:r>
          </w:p>
        </w:tc>
      </w:tr>
    </w:tbl>
    <w:bookmarkStart w:id="28" w:name="participatory-ground-truth"/>
    <w:p>
      <w:pPr>
        <w:pStyle w:val="Heading4"/>
      </w:pPr>
      <w:r>
        <w:t xml:space="preserve">2.1.1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8"/>
    <w:bookmarkEnd w:id="29"/>
    <w:bookmarkStart w:id="90"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beneath vegetation (Adeli et al., 2020). Cover fractions are estimated at sub-pixel scale by endmember mixture analysis and enter the model as continuous predictors, because the water-and-vegetation mixture falls below the 30 m pixel and hard assignment discards it. Training labels come from the participatory and field record of Section 2.1.1 rather than from image interpretation, because inundation beneath the vegetation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stand where C-band cannot. The Landsat stream (Sections 2.2.4 to 2.2.6) treated the Thematic Mapper, Enhanced Thematic Mapper Plus and Operational Land Imager records as one Collection 2 series, computed the five water indices and estimated the cover within each pixel by spectral mixture analysis. A MODIS series at 500 m was combined with it at sixteen-day steps to fill the gaps left by cloud and by the seventeen months in which Landsat 7 was the only Landsat satellite over the basin (Section 2.3).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pPr>
        <w:pStyle w:val="BodyText"/>
      </w:pPr>
      <w:r>
        <w:t xml:space="preserve">The three streams did not share a common window, and the gaps between them limited what could be compared (Table 1). Thematic Mapper imaging over the basin ended on 18 October 2011 and the Operational Land Imager began on 25 March 2013, so for seventeen months the Enhanced Thematic Mapper Plus on Landsat 7 was the only Landsat instrument over the basin. Its strips of missing data fell in different places on successive passes, so a stack of scenes filled what any single scene left empty, and fifteen scenes acquired between February and June 2012 left 18 km2 of the 8,752 km2 basin never observed (Section 2.3.1). Sentinel-1 began only in 2015, and the L-band record stopped with the loss of ALOS-1 in May 2011 and resumed with the launch of ALOS-2 in May 2014, so no PALSAR mosaic covered 2011 to 2014. One radar record, from Envisat ASAR, reached into the fieldwork period, since it acquired images until contact was lost on 8 April 2012, and its alternating-polarisation mode transmitted horizontally, which separated flooded from non-flooded vegetation more reliably than the vertical transmission of Sentinel-1 (Mahdianpari et al., 2020).</w:t>
      </w:r>
    </w:p>
    <w:p>
      <w:pPr>
        <w:pStyle w:val="BodyText"/>
      </w:pPr>
      <w:r>
        <w:t xml:space="preserve">The field evidence fell almost entirely in 2012, inside the recession the study targeted and inside the seventeen months when Landsat 7 was the only Landsat satellite over the basin. The field record was the reason for the study, because fisher observation supplied labels for water beneath vegetation that no sensor and no image interpreter could produce, so the imagery was matched to the field points rather than the reverse, and the gap was filled at two scales. For the basin as a whole, the sixteen-day record of Section 2.3 combined Landsat and MODIS water area in a state-space model, a statistical model that updated its estimate at each step as observations arrived. It followed the design of HISTARFM (Moreno-Martínez et al., 2020) but estimated the water area of the basin rather than the reflectance of each pixel. For each 30 m pixel, a harmonic model, a smooth curve of sine and cosine waves that repeats each year, was fitted to four years of Landsat 5, 7 and 8 water index values and gave a water surface for the date of each photograph session in 2012 (Section 2.3.1). Water beneath the vegetation in the same months came from the seven usable Envisat dates.</w:t>
      </w:r>
    </w:p>
    <w:p>
      <w:pPr>
        <w:pStyle w:val="BodyText"/>
      </w:pPr>
      <w:r>
        <w:rPr>
          <w:i/>
          <w:iCs/>
        </w:rPr>
        <w:t xml:space="preserve">Table 1: Temporal coverage of each data stream, with the gaps that limited cross-sensor comparison. From 18 October 2011 to 25 March 2013 Landsat 7 was the only Landsat satellite imaging the basin, and the sixteen-day record filled that interval mainly with MODIS calibrated to Landsat.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stream</w:t>
            </w:r>
          </w:p>
        </w:tc>
        <w:tc>
          <w:tcPr/>
          <w:p>
            <w:pPr>
              <w:pStyle w:val="Compact"/>
            </w:pPr>
            <w:r>
              <w:t xml:space="preserve">Coverage</w:t>
            </w:r>
          </w:p>
        </w:tc>
        <w:tc>
          <w:tcPr/>
          <w:p>
            <w:pPr>
              <w:pStyle w:val="Compact"/>
            </w:pPr>
            <w:r>
              <w:t xml:space="preserve">Gaps</w:t>
            </w:r>
          </w:p>
        </w:tc>
      </w:tr>
      <w:tr>
        <w:tc>
          <w:tcPr/>
          <w:p>
            <w:pPr>
              <w:pStyle w:val="Compact"/>
            </w:pPr>
            <w:r>
              <w:t xml:space="preserve">Landsat 4, 5, 7, 8 and 9</w:t>
            </w:r>
          </w:p>
        </w:tc>
        <w:tc>
          <w:tcPr/>
          <w:p>
            <w:pPr>
              <w:pStyle w:val="Compact"/>
            </w:pPr>
            <w:r>
              <w:t xml:space="preserve">1984 to 2024; 16-day record from all five, annual composites from Landsat 5 and 8</w:t>
            </w:r>
          </w:p>
        </w:tc>
        <w:tc>
          <w:tcPr/>
          <w:p>
            <w:pPr>
              <w:pStyle w:val="Compact"/>
            </w:pPr>
            <w:r>
              <w:t xml:space="preserve">Landsat 7 alone from 18 Oct 2011 to 25 Mar 2013; annual composites absent for 1985, 1988, 2002 and 2012</w:t>
            </w:r>
          </w:p>
        </w:tc>
      </w:tr>
      <w:tr>
        <w:tc>
          <w:tcPr/>
          <w:p>
            <w:pPr>
              <w:pStyle w:val="Compact"/>
            </w:pPr>
            <w:r>
              <w:t xml:space="preserve">MODIS surface reflectance</w:t>
            </w:r>
          </w:p>
        </w:tc>
        <w:tc>
          <w:tcPr/>
          <w:p>
            <w:pPr>
              <w:pStyle w:val="Compact"/>
            </w:pPr>
            <w:r>
              <w:t xml:space="preserve">Feb 2000 to 2024, combined with Landsat at 16-day steps</w:t>
            </w:r>
          </w:p>
        </w:tc>
        <w:tc>
          <w:tcPr/>
          <w:p>
            <w:pPr>
              <w:pStyle w:val="Compact"/>
            </w:pPr>
            <w:r>
              <w:t xml:space="preserve">500 m grid cannot resolve the vegetated class</w:t>
            </w:r>
          </w:p>
        </w:tc>
      </w:tr>
      <w:tr>
        <w:tc>
          <w:tcPr/>
          <w:p>
            <w:pPr>
              <w:pStyle w:val="Compact"/>
            </w:pPr>
            <w:r>
              <w:t xml:space="preserve">Sentinel-1 C-band</w:t>
            </w:r>
          </w:p>
        </w:tc>
        <w:tc>
          <w:tcPr/>
          <w:p>
            <w:pPr>
              <w:pStyle w:val="Compact"/>
            </w:pPr>
            <w:r>
              <w:t xml:space="preserve">2015 to 2024, monthly composites</w:t>
            </w:r>
          </w:p>
        </w:tc>
        <w:tc>
          <w:tcPr/>
          <w:p>
            <w:pPr>
              <w:pStyle w:val="Compact"/>
            </w:pPr>
            <w:r>
              <w:t xml:space="preserve">2016 absent; 2014 scenes too few to composite</w:t>
            </w:r>
          </w:p>
        </w:tc>
      </w:tr>
      <w:tr>
        <w:tc>
          <w:tcPr/>
          <w:p>
            <w:pPr>
              <w:pStyle w:val="Compact"/>
            </w:pPr>
            <w:r>
              <w:t xml:space="preserve">ALOS PALSAR L-band</w:t>
            </w:r>
          </w:p>
        </w:tc>
        <w:tc>
          <w:tcPr/>
          <w:p>
            <w:pPr>
              <w:pStyle w:val="Compact"/>
            </w:pPr>
            <w:r>
              <w:t xml:space="preserve">2007 to 2010, 2015 to 2024</w:t>
            </w:r>
          </w:p>
        </w:tc>
        <w:tc>
          <w:tcPr/>
          <w:p>
            <w:pPr>
              <w:pStyle w:val="Compact"/>
            </w:pPr>
            <w:r>
              <w:t xml:space="preserve">2011 to 2014 absent between the two missions</w:t>
            </w:r>
          </w:p>
        </w:tc>
      </w:tr>
      <w:tr>
        <w:tc>
          <w:tcPr/>
          <w:p>
            <w:pPr>
              <w:pStyle w:val="Compact"/>
            </w:pPr>
            <w:r>
              <w:t xml:space="preserve">Envisat ASAR</w:t>
            </w:r>
          </w:p>
        </w:tc>
        <w:tc>
          <w:tcPr/>
          <w:p>
            <w:pPr>
              <w:pStyle w:val="Compact"/>
            </w:pPr>
            <w:r>
              <w:t xml:space="preserve">16 Nov 2011 to 15 Mar 2012, 7 usable dates on 2 tracks</w:t>
            </w:r>
          </w:p>
        </w:tc>
        <w:tc>
          <w:tcPr/>
          <w:p>
            <w:pPr>
              <w:pStyle w:val="Compact"/>
            </w:pPr>
            <w:r>
              <w:t xml:space="preserve">Mission ended 8 Apr 2012</w:t>
            </w:r>
          </w:p>
        </w:tc>
      </w:tr>
      <w:tr>
        <w:tc>
          <w:tcPr/>
          <w:p>
            <w:pPr>
              <w:pStyle w:val="Compact"/>
            </w:pPr>
            <w:r>
              <w:t xml:space="preserve">Field photographs</w:t>
            </w:r>
          </w:p>
        </w:tc>
        <w:tc>
          <w:tcPr/>
          <w:p>
            <w:pPr>
              <w:pStyle w:val="Compact"/>
            </w:pPr>
            <w:r>
              <w:t xml:space="preserve">2011 to 2014, 244 frames</w:t>
            </w:r>
          </w:p>
        </w:tc>
        <w:tc>
          <w:tcPr/>
          <w:p>
            <w:pPr>
              <w:pStyle w:val="Compact"/>
            </w:pPr>
            <w:r>
              <w:t xml:space="preserve">219 fall in February to June 2012; 21 carry unusable camera-clock defaults</w:t>
            </w:r>
          </w:p>
        </w:tc>
      </w:tr>
      <w:tr>
        <w:tc>
          <w:tcPr/>
          <w:p>
            <w:pPr>
              <w:pStyle w:val="Compact"/>
            </w:pPr>
            <w:r>
              <w:t xml:space="preserve">Participatory and interview record</w:t>
            </w:r>
          </w:p>
        </w:tc>
        <w:tc>
          <w:tcPr/>
          <w:p>
            <w:pPr>
              <w:pStyle w:val="Compact"/>
            </w:pPr>
            <w:r>
              <w:t xml:space="preserve">September 2012 to March 2014</w:t>
            </w:r>
          </w:p>
        </w:tc>
        <w:tc>
          <w:tcPr/>
          <w:p>
            <w:pPr>
              <w:pStyle w:val="Compact"/>
            </w:pPr>
            <w:r>
              <w:t xml:space="preserve">Continuous</w:t>
            </w:r>
          </w:p>
        </w:tc>
      </w:tr>
      <w:tr>
        <w:tc>
          <w:tcPr/>
          <w:p>
            <w:pPr>
              <w:pStyle w:val="Compact"/>
            </w:pPr>
            <w:r>
              <w:t xml:space="preserve">Climate reanalysis and satellite</w:t>
            </w:r>
          </w:p>
        </w:tc>
        <w:tc>
          <w:tcPr/>
          <w:p>
            <w:pPr>
              <w:pStyle w:val="Compact"/>
            </w:pPr>
            <w:r>
              <w:t xml:space="preserve">1984 to 2024, 492 monthly steps</w:t>
            </w:r>
          </w:p>
        </w:tc>
        <w:tc>
          <w:tcPr/>
          <w:p>
            <w:pPr>
              <w:pStyle w:val="Compact"/>
            </w:pPr>
            <w:r>
              <w:t xml:space="preserve">Continuous; TerraClimate and SPEI end December 2024</w:t>
            </w:r>
          </w:p>
        </w:tc>
      </w:tr>
    </w:tbl>
    <w:bookmarkStart w:id="40" w:name="climatic-hydrological-contexts"/>
    <w:p>
      <w:pPr>
        <w:pStyle w:val="Heading4"/>
      </w:pPr>
      <w:r>
        <w:t xml:space="preserve">2.2.1 Climatic &amp; Hydrological Contexts</w:t>
      </w:r>
    </w:p>
    <w:p>
      <w:pPr>
        <w:pStyle w:val="FirstParagraph"/>
      </w:pPr>
      <w:r>
        <w:t xml:space="preserve">Lake Chilwa is endorheic, so water leaves the basin only by evaporation and seepage, and the balance between rainfall and atmospheric demand sets the level the lake can hold. We assembled a basin-mean climate record over the same window as the satellite series, 1984 to 2024, drawing on three products so that no single reanalysis or satellite estimate carries it alone: CHIRPS pentad precipitation, which blends station observations across Africa; TerraClimate monthly precipitation, potential evapotranspiration, and air temperature; and ERA5-Land monthly precipitation and two-metre air temperature. Drought state comes from the standardised precipitation-evapotranspiration index at a twelve-month accumulation (Vicente-Serrano et al., 2010), chosen over the more common standardised precipitation index because the evaporative term is not optional in a closed basin.</w:t>
      </w:r>
    </w:p>
    <w:p>
      <w:pPr>
        <w:pStyle w:val="BodyText"/>
      </w:pPr>
      <w:r>
        <w:t xml:space="preserve">Precipitation averages 1,112 mm a year against potential evapotranspiration of 1,347 mm, a mean deficit of 235 mm, and the deficit is the normal state: rainfall exceeded atmospheric demand in only seven of the forty-one years. Rainfall is the variable term, ranging from 659 mm in 1992 to 1,444 mm in 1997 with a coefficient of variation of 0.17, while demand is nearly fixed, its standard deviation 45 mm against a mean of 1,347 mm. Mean annual air temperature is 22.4 °C and rises at 0.19 °C per decade across the record, from 21.6 °C in 1985 to 23.3 °C in 2024, lifting the evaporative term any refill must overcome.</w:t>
      </w:r>
    </w:p>
    <w:p>
      <w:pPr>
        <w:pStyle w:val="BodyText"/>
      </w:pPr>
      <w:r>
        <w:t xml:space="preserve">The drought index dates the dry periods but does not predict the lake. SPEI-12 falls below -1.5 in 1992, 1994, 1995, 2005, and 2006, and two of those years, 1992 and 1995, sit among the five lowest in sub-pixel open water. The extremes contradict, however. The lowest open-water year of the record, 2003, was climatically unremarkable at 1,250 mm of rainfall, and the highest, 2024, was dry at 859 mm, following 2023, one of only three years since 2005 in which precipitation exceeded atmospheric demand. Across the record annual rainfall explains little of the annual variation in open water, the lagged cross-correlation peaking at r = 0.28 at one year over thirty-two paired years. The lake integrates its inputs over intervals the annual composite does not resolve, which is a reason to measure inundation from imagery rather than infer it from rainfall.</w:t>
      </w:r>
    </w:p>
    <w:p>
      <w:pPr>
        <w:pStyle w:val="SourceCode"/>
      </w:pPr>
      <w:r>
        <w:rPr>
          <w:rStyle w:val="CommentTok"/>
        </w:rPr>
        <w:t xml:space="preserve"># Basin-mean monthly climate, 1984 to 2024, over the self-derived basin polygon.</w:t>
      </w:r>
      <w:r>
        <w:br/>
      </w:r>
      <w:r>
        <w:rPr>
          <w:rStyle w:val="CommentTok"/>
        </w:rPr>
        <w:t xml:space="preserve"># Run once; the full script is 05.scripts/extract_climate_timeseries.R, which</w:t>
      </w:r>
      <w:r>
        <w:br/>
      </w:r>
      <w:r>
        <w:rPr>
          <w:rStyle w:val="CommentTok"/>
        </w:rPr>
        <w:t xml:space="preserve"># writes 03.outputs/CSV/climate_monthly.csv and climate_annual.csv.</w:t>
      </w:r>
      <w:r>
        <w:br/>
      </w:r>
      <w:r>
        <w:rPr>
          <w:rStyle w:val="NormalTok"/>
        </w:rPr>
        <w:t xml:space="preserve">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1984</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2025</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months </w:t>
      </w:r>
      <w:r>
        <w:rPr>
          <w:rStyle w:val="OtherTok"/>
        </w:rPr>
        <w:t xml:space="preserve">&lt;-</w:t>
      </w:r>
      <w:r>
        <w:rPr>
          <w:rStyle w:val="NormalTok"/>
        </w:rPr>
        <w:t xml:space="preserve"> ee</w:t>
      </w:r>
      <w:r>
        <w:rPr>
          <w:rStyle w:val="SpecialCharTok"/>
        </w:rPr>
        <w:t xml:space="preserve">$</w:t>
      </w:r>
      <w:r>
        <w:rPr>
          <w:rStyle w:val="NormalTok"/>
        </w:rPr>
        <w:t xml:space="preserve">List</w:t>
      </w:r>
      <w:r>
        <w:rPr>
          <w:rStyle w:val="SpecialCharTok"/>
        </w:rPr>
        <w:t xml:space="preserve">$</w:t>
      </w:r>
      <w:r>
        <w:rPr>
          <w:rStyle w:val="FunctionTok"/>
        </w:rPr>
        <w:t xml:space="preserve">sequence</w:t>
      </w:r>
      <w:r>
        <w:rPr>
          <w:rStyle w:val="NormalTok"/>
        </w:rPr>
        <w:t xml:space="preserve">(</w:t>
      </w:r>
      <w:r>
        <w:rPr>
          <w:rStyle w:val="DecValTok"/>
        </w:rPr>
        <w:t xml:space="preserve">0</w:t>
      </w:r>
      <w:r>
        <w:rPr>
          <w:rStyle w:val="NormalTok"/>
        </w:rPr>
        <w:t xml:space="preserve">, </w:t>
      </w:r>
      <w:r>
        <w:rPr>
          <w:rStyle w:val="DecValTok"/>
        </w:rPr>
        <w:t xml:space="preserve">41</w:t>
      </w:r>
      <w:r>
        <w:rPr>
          <w:rStyle w:val="NormalTok"/>
        </w:rPr>
        <w:t xml:space="preserve">L </w:t>
      </w:r>
      <w:r>
        <w:rPr>
          <w:rStyle w:val="SpecialCharTok"/>
        </w:rPr>
        <w:t xml:space="preserve">*</w:t>
      </w:r>
      <w:r>
        <w:rPr>
          <w:rStyle w:val="NormalTok"/>
        </w:rPr>
        <w:t xml:space="preserve"> </w:t>
      </w:r>
      <w:r>
        <w:rPr>
          <w:rStyle w:val="DecValTok"/>
        </w:rPr>
        <w:t xml:space="preserve">12</w:t>
      </w:r>
      <w:r>
        <w:rPr>
          <w:rStyle w:val="NormalTok"/>
        </w:rPr>
        <w:t xml:space="preserve">L </w:t>
      </w:r>
      <w:r>
        <w:rPr>
          <w:rStyle w:val="SpecialCharTok"/>
        </w:rPr>
        <w:t xml:space="preserve">-</w:t>
      </w:r>
      <w:r>
        <w:rPr>
          <w:rStyle w:val="NormalTok"/>
        </w:rPr>
        <w:t xml:space="preserve"> </w:t>
      </w:r>
      <w:r>
        <w:rPr>
          <w:rStyle w:val="DecValTok"/>
        </w:rPr>
        <w:t xml:space="preserve">1</w:t>
      </w:r>
      <w:r>
        <w:rPr>
          <w:rStyle w:val="NormalTok"/>
        </w:rPr>
        <w:t xml:space="preserve">L)</w:t>
      </w:r>
      <w:r>
        <w:br/>
      </w:r>
      <w:r>
        <w:br/>
      </w:r>
      <w:r>
        <w:rPr>
          <w:rStyle w:val="CommentTok"/>
        </w:rPr>
        <w:t xml:space="preserve"># reduceRegion at each product's native grid; a coarser scale would alias.</w:t>
      </w:r>
      <w:r>
        <w:br/>
      </w:r>
      <w:r>
        <w:rPr>
          <w:rStyle w:val="NormalTok"/>
        </w:rPr>
        <w:t xml:space="preserve">basin_mean </w:t>
      </w:r>
      <w:r>
        <w:rPr>
          <w:rStyle w:val="OtherTok"/>
        </w:rPr>
        <w:t xml:space="preserve">&lt;-</w:t>
      </w:r>
      <w:r>
        <w:rPr>
          <w:rStyle w:val="NormalTok"/>
        </w:rPr>
        <w:t xml:space="preserve"> </w:t>
      </w:r>
      <w:r>
        <w:rPr>
          <w:rStyle w:val="ControlFlowTok"/>
        </w:rPr>
        <w:t xml:space="preserve">function</w:t>
      </w:r>
      <w:r>
        <w:rPr>
          <w:rStyle w:val="NormalTok"/>
        </w:rPr>
        <w:t xml:space="preserve">(img, scale, date_str) {</w:t>
      </w:r>
      <w:r>
        <w:br/>
      </w:r>
      <w:r>
        <w:rPr>
          <w:rStyle w:val="NormalTok"/>
        </w:rPr>
        <w:t xml:space="preserve">  v </w:t>
      </w:r>
      <w:r>
        <w:rPr>
          <w:rStyle w:val="OtherTok"/>
        </w:rPr>
        <w:t xml:space="preserve">&lt;-</w:t>
      </w:r>
      <w:r>
        <w:rPr>
          <w:rStyle w:val="NormalTok"/>
        </w:rPr>
        <w:t xml:space="preserve"> img</w:t>
      </w:r>
      <w:r>
        <w:rPr>
          <w:rStyle w:val="SpecialCharTok"/>
        </w:rPr>
        <w:t xml:space="preserve">$</w:t>
      </w:r>
      <w:r>
        <w:rPr>
          <w:rStyle w:val="FunctionTok"/>
        </w:rPr>
        <w:t xml:space="preserve">reduceRegion</w:t>
      </w:r>
      <w:r>
        <w:rPr>
          <w:rStyle w:val="NormalTok"/>
        </w:rPr>
        <w:t xml:space="preserve">(ee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aoi_ee, scale, </w:t>
      </w:r>
      <w:r>
        <w:rPr>
          <w:rStyle w:val="AttributeTok"/>
        </w:rPr>
        <w:t xml:space="preserve">maxPixels =</w:t>
      </w:r>
      <w:r>
        <w:rPr>
          <w:rStyle w:val="NormalTok"/>
        </w:rPr>
        <w:t xml:space="preserve"> </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v)</w:t>
      </w:r>
      <w:r>
        <w:rPr>
          <w:rStyle w:val="SpecialCharTok"/>
        </w:rPr>
        <w:t xml:space="preserve">$</w:t>
      </w:r>
      <w:r>
        <w:rPr>
          <w:rStyle w:val="FunctionTok"/>
        </w:rPr>
        <w:t xml:space="preserve">set</w:t>
      </w:r>
      <w:r>
        <w:rPr>
          <w:rStyle w:val="NormalTok"/>
        </w:rPr>
        <w:t xml:space="preserve">(</w:t>
      </w:r>
      <w:r>
        <w:rPr>
          <w:rStyle w:val="StringTok"/>
        </w:rPr>
        <w:t xml:space="preserve">"date"</w:t>
      </w:r>
      <w:r>
        <w:rPr>
          <w:rStyle w:val="NormalTok"/>
        </w:rPr>
        <w:t xml:space="preserve">, date_str)</w:t>
      </w:r>
      <w:r>
        <w:br/>
      </w:r>
      <w:r>
        <w:rPr>
          <w:rStyle w:val="NormalTok"/>
        </w:rPr>
        <w:t xml:space="preserve">}</w:t>
      </w:r>
      <w:r>
        <w:br/>
      </w:r>
      <w:r>
        <w:rPr>
          <w:rStyle w:val="NormalTok"/>
        </w:rPr>
        <w:t xml:space="preserve">month_of </w:t>
      </w:r>
      <w:r>
        <w:rPr>
          <w:rStyle w:val="OtherTok"/>
        </w:rPr>
        <w:t xml:space="preserve">&lt;-</w:t>
      </w:r>
      <w:r>
        <w:rPr>
          <w:rStyle w:val="NormalTok"/>
        </w:rPr>
        <w:t xml:space="preserve"> </w:t>
      </w:r>
      <w:r>
        <w:rPr>
          <w:rStyle w:val="ControlFlowTok"/>
        </w:rPr>
        <w:t xml:space="preserve">function</w:t>
      </w:r>
      <w:r>
        <w:rPr>
          <w:rStyle w:val="NormalTok"/>
        </w:rPr>
        <w:t xml:space="preserve">(img)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br/>
      </w:r>
      <w:r>
        <w:rPr>
          <w:rStyle w:val="CommentTok"/>
        </w:rPr>
        <w:t xml:space="preserve"># CHIRPS pentads summed to calendar months: six per month, none straddling.</w:t>
      </w:r>
      <w:r>
        <w:br/>
      </w:r>
      <w:r>
        <w:rPr>
          <w:rStyle w:val="NormalTok"/>
        </w:rPr>
        <w:t xml:space="preserve">chirps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"UCSB-CHG/CHIRPS/PENTAD"</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"precipitation"</w:t>
      </w:r>
      <w:r>
        <w:rPr>
          <w:rStyle w:val="NormalTok"/>
        </w:rPr>
        <w:t xml:space="preserve">)</w:t>
      </w:r>
      <w:r>
        <w:br/>
      </w:r>
      <w:r>
        <w:rPr>
          <w:rStyle w:val="NormalTok"/>
        </w:rPr>
        <w:t xml:space="preserve">chirps_fc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(months</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(m) {</w:t>
      </w:r>
      <w:r>
        <w:br/>
      </w:r>
      <w:r>
        <w:rPr>
          <w:rStyle w:val="NormalTok"/>
        </w:rPr>
        <w:t xml:space="preserve">  s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(m, </w:t>
      </w:r>
      <w:r>
        <w:rPr>
          <w:rStyle w:val="StringTok"/>
        </w:rPr>
        <w:t xml:space="preserve">"month"</w:t>
      </w:r>
      <w:r>
        <w:rPr>
          <w:rStyle w:val="NormalTok"/>
        </w:rPr>
        <w:t xml:space="preserve">)</w:t>
      </w:r>
      <w:r>
        <w:br/>
      </w:r>
      <w:r>
        <w:rPr>
          <w:rStyle w:val="NormalTok"/>
        </w:rPr>
        <w:t xml:space="preserve">  </w:t>
      </w:r>
      <w:r>
        <w:rPr>
          <w:rStyle w:val="FunctionTok"/>
        </w:rPr>
        <w:t xml:space="preserve">basin_mean</w:t>
      </w:r>
      <w:r>
        <w:rPr>
          <w:rStyle w:val="NormalTok"/>
        </w:rPr>
        <w:t xml:space="preserve">(chirps</w:t>
      </w:r>
      <w:r>
        <w:rPr>
          <w:rStyle w:val="SpecialCharTok"/>
        </w:rPr>
        <w:t xml:space="preserve">$</w:t>
      </w:r>
      <w:r>
        <w:rPr>
          <w:rStyle w:val="FunctionTok"/>
        </w:rPr>
        <w:t xml:space="preserve">filterDate</w:t>
      </w:r>
      <w:r>
        <w:rPr>
          <w:rStyle w:val="NormalTok"/>
        </w:rPr>
        <w:t xml:space="preserve">(s, s</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 </w:t>
      </w:r>
      <w:r>
        <w:rPr>
          <w:rStyle w:val="StringTok"/>
        </w:rPr>
        <w:t xml:space="preserve">"month"</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"pr_chirps"</w:t>
      </w:r>
      <w:r>
        <w:rPr>
          <w:rStyle w:val="NormalTok"/>
        </w:rPr>
        <w:t xml:space="preserve">),</w:t>
      </w:r>
      <w:r>
        <w:br/>
      </w:r>
      <w:r>
        <w:rPr>
          <w:rStyle w:val="NormalTok"/>
        </w:rPr>
        <w:t xml:space="preserve">             </w:t>
      </w:r>
      <w:r>
        <w:rPr>
          <w:rStyle w:val="DecValTok"/>
        </w:rPr>
        <w:t xml:space="preserve">5566</w:t>
      </w:r>
      <w:r>
        <w:rPr>
          <w:rStyle w:val="NormalTok"/>
        </w:rPr>
        <w:t xml:space="preserve">, s</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rPr>
          <w:rStyle w:val="NormalTok"/>
        </w:rPr>
        <w:t xml:space="preserve">})))</w:t>
      </w:r>
      <w:r>
        <w:br/>
      </w:r>
      <w:r>
        <w:br/>
      </w:r>
      <w:r>
        <w:rPr>
          <w:rStyle w:val="CommentTok"/>
        </w:rPr>
        <w:t xml:space="preserve"># TerraClimate scale factors: pet, tmmx and tmmn are 0.1; pdsi is 0.01.</w:t>
      </w:r>
      <w:r>
        <w:br/>
      </w:r>
      <w:r>
        <w:rPr>
          <w:rStyle w:val="NormalTok"/>
        </w:rPr>
        <w:t xml:space="preserve">tc_fc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"IDAHO_EPSCOR/TERRACLIMATE"</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"pr"</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"pet"</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"pet_terraclim"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"tmmx"</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"tmax_terraclim"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"tmmn"</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"tmin_terraclim"</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4638</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ERA5-Land: precipitation in metres, air temperature in kelvin.</w:t>
      </w:r>
      <w:r>
        <w:br/>
      </w:r>
      <w:r>
        <w:rPr>
          <w:rStyle w:val="NormalTok"/>
        </w:rPr>
        <w:t xml:space="preserve">era_fc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"ECMWF/ERA5_LAND/MONTHLY_AGGR"</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"total_precipitation_sum"</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1000</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"pr_era5"</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"temperature_2m"</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FloatTok"/>
        </w:rPr>
        <w:t xml:space="preserve">273.15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"tmean_era5"</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11132</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SPEI at twelve months: the wet or dry state of the preceding hydrological year.</w:t>
      </w:r>
      <w:r>
        <w:br/>
      </w:r>
      <w:r>
        <w:rPr>
          <w:rStyle w:val="NormalTok"/>
        </w:rPr>
        <w:t xml:space="preserve">spei_fc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"CSIC/SPEI/2_11"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"SPEI_12_month"</w:t>
      </w:r>
      <w:r>
        <w:rPr>
          <w:rStyle w:val="NormalTok"/>
        </w:rPr>
        <w:t xml:space="preserve">)</w:t>
      </w:r>
      <w:r>
        <w:rPr>
          <w:rStyle w:val="SpecialCharTok"/>
        </w:rPr>
        <w:t xml:space="preserve">$</w:t>
      </w:r>
      <w:r>
        <w:br/>
      </w:r>
      <w:r>
        <w:rPr>
          <w:rStyle w:val="NormalTok"/>
        </w:rPr>
        <w:t xml:space="preserve">  </w:t>
      </w:r>
      <w:r>
        <w:rPr>
          <w:rStyle w:val="FunctionTok"/>
        </w:rPr>
        <w:t xml:space="preserve">filterDate</w:t>
      </w:r>
      <w:r>
        <w:rPr>
          <w:rStyle w:val="NormalTok"/>
        </w:rPr>
        <w:t xml:space="preserve">(start, end)</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w:t>
      </w:r>
      <w:r>
        <w:rPr>
          <w:rStyle w:val="FunctionTok"/>
        </w:rPr>
        <w:t xml:space="preserve">basin_mean</w:t>
      </w:r>
      <w:r>
        <w:rPr>
          <w:rStyle w:val="NormalTok"/>
        </w:rPr>
        <w:t xml:space="preserve">(img</w:t>
      </w:r>
      <w:r>
        <w:rPr>
          <w:rStyle w:val="SpecialCharTok"/>
        </w:rPr>
        <w:t xml:space="preserve">$</w:t>
      </w:r>
      <w:r>
        <w:rPr>
          <w:rStyle w:val="FunctionTok"/>
        </w:rPr>
        <w:t xml:space="preserve">rename</w:t>
      </w:r>
      <w:r>
        <w:rPr>
          <w:rStyle w:val="NormalTok"/>
        </w:rPr>
        <w:t xml:space="preserve">(</w:t>
      </w:r>
      <w:r>
        <w:rPr>
          <w:rStyle w:val="StringTok"/>
        </w:rPr>
        <w:t xml:space="preserve">"spei12"</w:t>
      </w:r>
      <w:r>
        <w:rPr>
          <w:rStyle w:val="NormalTok"/>
        </w:rPr>
        <w:t xml:space="preserve">), </w:t>
      </w:r>
      <w:r>
        <w:rPr>
          <w:rStyle w:val="DecValTok"/>
        </w:rPr>
        <w:t xml:space="preserve">55660</w:t>
      </w:r>
      <w:r>
        <w:rPr>
          <w:rStyle w:val="NormalTok"/>
        </w:rPr>
        <w:t xml:space="preserve">, </w:t>
      </w:r>
      <w:r>
        <w:rPr>
          <w:rStyle w:val="FunctionTok"/>
        </w:rPr>
        <w:t xml:space="preserve">month_of</w:t>
      </w:r>
      <w:r>
        <w:rPr>
          <w:rStyle w:val="NormalTok"/>
        </w:rPr>
        <w:t xml:space="preserve">(img))</w:t>
      </w:r>
      <w:r>
        <w:br/>
      </w:r>
      <w:r>
        <w:rPr>
          <w:rStyle w:val="NormalTok"/>
        </w:rPr>
        <w:t xml:space="preserve">  }))</w:t>
      </w:r>
    </w:p>
    <w:p>
      <w:pPr>
        <w:pStyle w:val="SourceCode"/>
      </w:pPr>
      <w:r>
        <w:rPr>
          <w:rStyle w:val="NormalTok"/>
        </w:rPr>
        <w:t xml:space="preserve">climate_annual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"climate_annual.csv"</w:t>
      </w:r>
      <w:r>
        <w:rPr>
          <w:rStyle w:val="NormalTok"/>
        </w:rPr>
        <w:t xml:space="preserve">))</w:t>
      </w:r>
      <w:r>
        <w:br/>
      </w:r>
      <w:r>
        <w:br/>
      </w:r>
      <w:r>
        <w:rPr>
          <w:rStyle w:val="NormalTok"/>
        </w:rPr>
        <w:t xml:space="preserve">theme_clim </w:t>
      </w:r>
      <w:r>
        <w:rPr>
          <w:rStyle w:val="OtherTok"/>
        </w:rPr>
        <w:t xml:space="preserve">&lt;-</w:t>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legend.key.height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"mm"</w:t>
      </w:r>
      <w:r>
        <w:rPr>
          <w:rStyle w:val="NormalTok"/>
        </w:rPr>
        <w:t xml:space="preserve">))</w:t>
      </w:r>
      <w:r>
        <w:br/>
      </w:r>
      <w:r>
        <w:rPr>
          <w:rStyle w:val="NormalTok"/>
        </w:rPr>
        <w:t xml:space="preserve">wet_dry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TRUE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"#4C72B0"</w:t>
      </w:r>
      <w:r>
        <w:rPr>
          <w:rStyle w:val="NormalTok"/>
        </w:rPr>
        <w:t xml:space="preserve">, </w:t>
      </w:r>
      <w:r>
        <w:rPr>
          <w:rStyle w:val="StringTok"/>
        </w:rPr>
        <w:t xml:space="preserve">`</w:t>
      </w:r>
      <w:r>
        <w:rPr>
          <w:rStyle w:val="AttributeTok"/>
        </w:rPr>
        <w:t xml:space="preserve">FALSE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"#C44E52"</w:t>
      </w:r>
      <w:r>
        <w:rPr>
          <w:rStyle w:val="NormalTok"/>
        </w:rPr>
        <w:t xml:space="preserve">)</w:t>
      </w:r>
      <w:r>
        <w:br/>
      </w:r>
      <w:r>
        <w:br/>
      </w:r>
      <w:r>
        <w:rPr>
          <w:rStyle w:val="NormalTok"/>
        </w:rPr>
        <w:t xml:space="preserve">p_pr </w:t>
      </w:r>
      <w:r>
        <w:rPr>
          <w:rStyle w:val="OtherTok"/>
        </w:rPr>
        <w:t xml:space="preserve">&lt;-</w:t>
      </w:r>
      <w:r>
        <w:rPr>
          <w:rStyle w:val="NormalTok"/>
        </w:rPr>
        <w:t xml:space="preserve"> climate_annual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(year, </w:t>
      </w:r>
      <w:r>
        <w:rPr>
          <w:rStyle w:val="AttributeTok"/>
        </w:rPr>
        <w:t xml:space="preserve">CHIRPS =</w:t>
      </w:r>
      <w:r>
        <w:rPr>
          <w:rStyle w:val="NormalTok"/>
        </w:rPr>
        <w:t xml:space="preserve"> pr_chirps, </w:t>
      </w:r>
      <w:r>
        <w:rPr>
          <w:rStyle w:val="AttributeTok"/>
        </w:rPr>
        <w:t xml:space="preserve">TerraClimate =</w:t>
      </w:r>
      <w:r>
        <w:rPr>
          <w:rStyle w:val="NormalTok"/>
        </w:rPr>
        <w:t xml:space="preserve"> pr_terraclim,</w:t>
      </w:r>
      <w:r>
        <w:br/>
      </w:r>
      <w:r>
        <w:rPr>
          <w:rStyle w:val="NormalTok"/>
        </w:rPr>
        <w:t xml:space="preserve">                </w:t>
      </w:r>
      <w:r>
        <w:rPr>
          <w:rStyle w:val="StringTok"/>
        </w:rPr>
        <w:t xml:space="preserve">`</w:t>
      </w:r>
      <w:r>
        <w:rPr>
          <w:rStyle w:val="AttributeTok"/>
        </w:rPr>
        <w:t xml:space="preserve">ERA5-Land</w:t>
      </w:r>
      <w:r>
        <w:rPr>
          <w:rStyle w:val="StringTok"/>
        </w:rPr>
        <w:t xml:space="preserve">`</w:t>
      </w:r>
      <w:r>
        <w:rPr>
          <w:rStyle w:val="NormalTok"/>
        </w:rPr>
        <w:t xml:space="preserve"> </w:t>
      </w:r>
      <w:r>
        <w:rPr>
          <w:rStyle w:val="OtherTok"/>
        </w:rPr>
        <w:t xml:space="preserve">=</w:t>
      </w:r>
      <w:r>
        <w:rPr>
          <w:rStyle w:val="NormalTok"/>
        </w:rPr>
        <w:t xml:space="preserve"> pr_era5)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value, </w:t>
      </w:r>
      <w:r>
        <w:rPr>
          <w:rStyle w:val="AttributeTok"/>
        </w:rPr>
        <w:t xml:space="preserve">colour =</w:t>
      </w:r>
      <w:r>
        <w:rPr>
          <w:rStyle w:val="NormalTok"/>
        </w:rPr>
        <w:t xml:space="preserve"> name))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climate_annual, ggplot2</w:t>
      </w:r>
      <w:r>
        <w:rPr>
          <w:rStyle w:val="SpecialCharTok"/>
        </w:rPr>
        <w:t xml:space="preserve">::</w:t>
      </w:r>
      <w:r>
        <w:rPr>
          <w:rStyle w:val="FunctionTok"/>
        </w:rPr>
        <w:t xml:space="preserve">aes</w:t>
      </w:r>
      <w:r>
        <w:rPr>
          <w:rStyle w:val="NormalTok"/>
        </w:rPr>
        <w:t xml:space="preserve">(year, pr_ensemble),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"#4C72B0"</w:t>
      </w:r>
      <w:r>
        <w:rPr>
          <w:rStyle w:val="NormalTok"/>
        </w:rPr>
        <w:t xml:space="preserve">, </w:t>
      </w:r>
      <w:r>
        <w:rPr>
          <w:rStyle w:val="StringTok"/>
        </w:rPr>
        <w:t xml:space="preserve">"#DD8452"</w:t>
      </w:r>
      <w:r>
        <w:rPr>
          <w:rStyle w:val="NormalTok"/>
        </w:rPr>
        <w:t xml:space="preserve">, </w:t>
      </w:r>
      <w:r>
        <w:rPr>
          <w:rStyle w:val="StringTok"/>
        </w:rPr>
        <w:t xml:space="preserve">"#55A868"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 Annual precipitation, three products and their mean"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p_bal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p_minus_pet))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p_minus_pet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 Climatic water balance, precipitation minus PET"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p_tmp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tmean_ensemble))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"#C44E52"</w:t>
      </w:r>
      <w:r>
        <w:rPr>
          <w:rStyle w:val="NormalTok"/>
        </w:rPr>
        <w:t xml:space="preserve">, </w:t>
      </w:r>
      <w:r>
        <w:rPr>
          <w:rStyle w:val="AttributeTok"/>
        </w:rPr>
        <w:t xml:space="preserve">linewidth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 Mean annual air temperature"</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theme_clim</w:t>
      </w:r>
      <w:r>
        <w:br/>
      </w:r>
      <w:r>
        <w:br/>
      </w:r>
      <w:r>
        <w:rPr>
          <w:rStyle w:val="NormalTok"/>
        </w:rPr>
        <w:t xml:space="preserve">p_spei </w:t>
      </w:r>
      <w:r>
        <w:rPr>
          <w:rStyle w:val="OtherTok"/>
        </w:rPr>
        <w:t xml:space="preserve">&lt;-</w:t>
      </w:r>
      <w:r>
        <w:rPr>
          <w:rStyle w:val="NormalTok"/>
        </w:rPr>
        <w:t xml:space="preserve"> climate_annual[</w:t>
      </w:r>
      <w:r>
        <w:rPr>
          <w:rStyle w:val="SpecialCharTok"/>
        </w:rPr>
        <w:t xml:space="preserve">!</w:t>
      </w:r>
      <w:r>
        <w:rPr>
          <w:rStyle w:val="FunctionTok"/>
        </w:rPr>
        <w:t xml:space="preserve">is.na</w:t>
      </w:r>
      <w:r>
        <w:rPr>
          <w:rStyle w:val="NormalTok"/>
        </w:rPr>
        <w:t xml:space="preserve">(climate_annual</w:t>
      </w:r>
      <w:r>
        <w:rPr>
          <w:rStyle w:val="SpecialCharTok"/>
        </w:rPr>
        <w:t xml:space="preserve">$</w:t>
      </w:r>
      <w:r>
        <w:rPr>
          <w:rStyle w:val="NormalTok"/>
        </w:rPr>
        <w:t xml:space="preserve">spei12_oct), ]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spei12_oct))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spei12_oct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1.5</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DecValTok"/>
        </w:rPr>
        <w:t xml:space="preserve">3</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 SPEI-12 at October, wet and dry periods"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"SPEI"</w:t>
      </w:r>
      <w:r>
        <w:rPr>
          <w:rStyle w:val="NormalTok"/>
        </w:rPr>
        <w:t xml:space="preserve">) </w:t>
      </w:r>
      <w:r>
        <w:rPr>
          <w:rStyle w:val="SpecialCharTok"/>
        </w:rPr>
        <w:t xml:space="preserve">+</w:t>
      </w:r>
      <w:r>
        <w:rPr>
          <w:rStyle w:val="NormalTok"/>
        </w:rPr>
        <w:t xml:space="preserve"> theme_clim</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(p_pr, p_bal, p_tmp, p_spei, </w:t>
      </w:r>
      <w:r>
        <w:rPr>
          <w:rStyle w:val="AttributeTok"/>
        </w:rPr>
        <w:t xml:space="preserve">ncol =</w:t>
      </w:r>
      <w:r>
        <w:rPr>
          <w:rStyle w:val="NormalTok"/>
        </w:rPr>
        <w:t xml:space="preserve"> </w:t>
      </w:r>
      <w:r>
        <w:rPr>
          <w:rStyle w:val="DecValTok"/>
        </w:rPr>
        <w:t xml:space="preserve">1</w:t>
      </w:r>
      <w:r>
        <w:rPr>
          <w:rStyle w:val="NormalTok"/>
        </w:rPr>
        <w:t xml:space="preserve">)</w:t>
      </w:r>
    </w:p>
    <w:p>
      <w:pPr>
        <w:pStyle w:val="FirstParagraph"/>
      </w:pPr>
      <w:r>
        <w:drawing>
          <wp:inline>
            <wp:extent cx="5943600" cy="6932766"/>
            <wp:effectExtent b="0" l="0" r="0" t="0"/>
            <wp:docPr descr="" title="" id="31" name="Picture"/>
            <a:graphic>
              <a:graphicData uri="http://schemas.openxmlformats.org/drawingml/2006/picture">
                <pic:pic>
                  <pic:nvPicPr>
                    <pic:cNvPr descr="Manuscript_2026-08-03_files/figure-docx/climate-timeseries-1.png" id="32" name="Picture"/>
                    <pic:cNvPicPr>
                      <a:picLocks noChangeArrowheads="1" noChangeAspect="1"/>
                    </pic:cNvPicPr>
                  </pic:nvPicPr>
                  <pic:blipFill>
                    <a:blip r:embed="rId30"/>
                    <a:stretch>
                      <a:fillRect/>
                    </a:stretch>
                  </pic:blipFill>
                  <pic:spPr bwMode="auto">
                    <a:xfrm>
                      <a:off x="0" y="0"/>
                      <a:ext cx="5943600" cy="6932766"/>
                    </a:xfrm>
                    <a:prstGeom prst="rect">
                      <a:avLst/>
                    </a:prstGeom>
                    <a:noFill/>
                    <a:ln w="9525">
                      <a:noFill/>
                      <a:headEnd/>
                      <a:tailEnd/>
                    </a:ln>
                  </pic:spPr>
                </pic:pic>
              </a:graphicData>
            </a:graphic>
          </wp:inline>
        </w:drawing>
      </w:r>
    </w:p>
    <w:p>
      <w:pPr>
        <w:pStyle w:val="BodyText"/>
      </w:pPr>
      <w:r>
        <w:rPr>
          <w:i/>
          <w:iCs/>
        </w:rPr>
        <w:t xml:space="preserve">Climatic setting of the Lake Chilwa basin, 1984 to 2024, over the same window as the optical and radar record. (a) Annual precipitation from CHIRPS, TerraClimate, and ERA5-Land, with their mean in black. (b) Climatic water balance, precipitation minus potential evapotranspiration; the deficit is the normal state and only seven years are positive. (c) Mean annual air temperature, rising at 0.19 °C per decade. (d) Twelve-month SPEI at October, with the conventional thresholds at plus and minus 1.5.</w:t>
      </w:r>
    </w:p>
    <w:bookmarkStart w:id="39" w:name="import-aoi-data"/>
    <w:p>
      <w:pPr>
        <w:pStyle w:val="Heading5"/>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1.4.</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4" name="Picture"/>
            <a:graphic>
              <a:graphicData uri="http://schemas.openxmlformats.org/drawingml/2006/picture">
                <pic:pic>
                  <pic:nvPicPr>
                    <pic:cNvPr descr="Manuscript_2026-08-03_files/figure-docx/import-aoi-1.png" id="35" name="Picture"/>
                    <pic:cNvPicPr>
                      <a:picLocks noChangeArrowheads="1" noChangeAspect="1"/>
                    </pic:cNvPicPr>
                  </pic:nvPicPr>
                  <pic:blipFill>
                    <a:blip r:embed="rId33"/>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7" name="Picture"/>
            <a:graphic>
              <a:graphicData uri="http://schemas.openxmlformats.org/drawingml/2006/picture">
                <pic:pic>
                  <pic:nvPicPr>
                    <pic:cNvPr descr="https://raw.githubusercontent.com/seamusrobertmurphy/map-templates/refs/heads/main/assets/outputs/03-locator-map.png" id="38" name="Picture"/>
                    <pic:cNvPicPr>
                      <a:picLocks noChangeArrowheads="1" noChangeAspect="1"/>
                    </pic:cNvPicPr>
                  </pic:nvPicPr>
                  <pic:blipFill>
                    <a:blip r:embed="rId3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1.4 provides the clip boundary for all Earth Engine queries.</w:t>
      </w:r>
    </w:p>
    <w:bookmarkEnd w:id="39"/>
    <w:bookmarkEnd w:id="40"/>
    <w:bookmarkStart w:id="47" w:name="flow-routing-analysis"/>
    <w:p>
      <w:pPr>
        <w:pStyle w:val="Heading4"/>
      </w:pPr>
      <w:r>
        <w:t xml:space="preserve">2.2.2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1.4),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derivation, 1 arc-second SRTM, run from this notebook.</w:t>
      </w:r>
      <w:r>
        <w:br/>
      </w:r>
      <w:r>
        <w:rPr>
          <w:rStyle w:val="CommentTok"/>
        </w:rPr>
        <w:t xml:space="preserve">#</w:t>
      </w:r>
      <w:r>
        <w:br/>
      </w:r>
      <w:r>
        <w:rPr>
          <w:rStyle w:val="CommentTok"/>
        </w:rPr>
        <w:t xml:space="preserve"># The elevation model is SRTM 1 arc-second (USGS/SRTMGL1_003), ~30 m at this</w:t>
      </w:r>
      <w:r>
        <w:br/>
      </w:r>
      <w:r>
        <w:rPr>
          <w:rStyle w:val="CommentTok"/>
        </w:rPr>
        <w:t xml:space="preserve"># latitude. The 15 arc-second SRTM15Plus product used in earlier drafts is a</w:t>
      </w:r>
      <w:r>
        <w:br/>
      </w:r>
      <w:r>
        <w:rPr>
          <w:rStyle w:val="CommentTok"/>
        </w:rPr>
        <w:t xml:space="preserve"># global OCEAN BATHYMETRY dataset (Tozer et al., 2019) that carries land at</w:t>
      </w:r>
      <w:r>
        <w:br/>
      </w:r>
      <w:r>
        <w:rPr>
          <w:rStyle w:val="CommentTok"/>
        </w:rPr>
        <w:t xml:space="preserve"># ~450 m; on a basin whose floor relief is a few metres it cannot hold the</w:t>
      </w:r>
      <w:r>
        <w:br/>
      </w:r>
      <w:r>
        <w:rPr>
          <w:rStyle w:val="CommentTok"/>
        </w:rPr>
        <w:t xml:space="preserve"># gradients D-infinity routing needs, and it is retired here.</w:t>
      </w:r>
      <w:r>
        <w:br/>
      </w:r>
      <w:r>
        <w:rPr>
          <w:rStyle w:val="CommentTok"/>
        </w:rPr>
        <w:t xml:space="preserve">#</w:t>
      </w:r>
      <w:r>
        <w:br/>
      </w:r>
      <w:r>
        <w:rPr>
          <w:rStyle w:val="CommentTok"/>
        </w:rPr>
        <w:t xml:space="preserve"># Conditioning is least-cost depression breaching only, never filling</w:t>
      </w:r>
      <w:r>
        <w:br/>
      </w:r>
      <w:r>
        <w:rPr>
          <w:rStyle w:val="CommentTok"/>
        </w:rPr>
        <w:t xml:space="preserve"># (Lindsay, 2016), because filling flattens the basin floor. Routing is</w:t>
      </w:r>
      <w:r>
        <w:br/>
      </w:r>
      <w:r>
        <w:rPr>
          <w:rStyle w:val="CommentTok"/>
        </w:rPr>
        <w:t xml:space="preserve"># D-infinity (Tarboton, 1997). Earth Engine has no breaching, flow-accumulation</w:t>
      </w:r>
      <w:r>
        <w:br/>
      </w:r>
      <w:r>
        <w:rPr>
          <w:rStyle w:val="CommentTok"/>
        </w:rPr>
        <w:t xml:space="preserve"># or D-infinity operator, so conditioning and routing run locally in</w:t>
      </w:r>
      <w:r>
        <w:br/>
      </w:r>
      <w:r>
        <w:rPr>
          <w:rStyle w:val="CommentTok"/>
        </w:rPr>
        <w:t xml:space="preserve"># WhiteboxTools while the elevation model itself is pulled from Earth Engine.</w:t>
      </w:r>
      <w:r>
        <w:br/>
      </w:r>
      <w:r>
        <w:rPr>
          <w:rStyle w:val="CommentTok"/>
        </w:rPr>
        <w:t xml:space="preserve">#</w:t>
      </w:r>
      <w:r>
        <w:br/>
      </w:r>
      <w:r>
        <w:rPr>
          <w:rStyle w:val="CommentTok"/>
        </w:rPr>
        <w:t xml:space="preserve"># Each step is skipped when its output already exists, so a re-render costs</w:t>
      </w:r>
      <w:r>
        <w:br/>
      </w:r>
      <w:r>
        <w:rPr>
          <w:rStyle w:val="CommentTok"/>
        </w:rPr>
        <w:t xml:space="preserve"># nothing; delete the files in 03.outputs/DEM/extracted to force a rebuild.</w:t>
      </w:r>
      <w:r>
        <w:br/>
      </w:r>
      <w:r>
        <w:rPr>
          <w:rStyle w:val="NormalTok"/>
        </w:rPr>
        <w:t xml:space="preserve">dem_extract_dir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f_ll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"srtm30m_chilwa.tif"</w:t>
      </w:r>
      <w:r>
        <w:rPr>
          <w:rStyle w:val="NormalTok"/>
        </w:rPr>
        <w:t xml:space="preserve">)           </w:t>
      </w:r>
      <w:r>
        <w:rPr>
          <w:rStyle w:val="CommentTok"/>
        </w:rPr>
        <w:t xml:space="preserve"># 4326 source</w:t>
      </w:r>
      <w:r>
        <w:br/>
      </w:r>
      <w:r>
        <w:rPr>
          <w:rStyle w:val="NormalTok"/>
        </w:rPr>
        <w:t xml:space="preserve">f_utm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"srtm30m_utm.tif"</w:t>
      </w:r>
      <w:r>
        <w:rPr>
          <w:rStyle w:val="NormalTok"/>
        </w:rPr>
        <w:t xml:space="preserve">)              </w:t>
      </w:r>
      <w:r>
        <w:rPr>
          <w:rStyle w:val="CommentTok"/>
        </w:rPr>
        <w:t xml:space="preserve"># 32736, 30 m</w:t>
      </w:r>
      <w:r>
        <w:br/>
      </w:r>
      <w:r>
        <w:rPr>
          <w:rStyle w:val="NormalTok"/>
        </w:rPr>
        <w:t xml:space="preserve">f_brc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"srtm30m_breached.tif"</w:t>
      </w:r>
      <w:r>
        <w:rPr>
          <w:rStyle w:val="NormalTok"/>
        </w:rPr>
        <w:t xml:space="preserve">)</w:t>
      </w:r>
      <w:r>
        <w:br/>
      </w:r>
      <w:r>
        <w:rPr>
          <w:rStyle w:val="NormalTok"/>
        </w:rPr>
        <w:t xml:space="preserve">f_ptr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"dinf30m_FlowDirectionang.tif"</w:t>
      </w:r>
      <w:r>
        <w:rPr>
          <w:rStyle w:val="NormalTok"/>
        </w:rPr>
        <w:t xml:space="preserve">)</w:t>
      </w:r>
      <w:r>
        <w:br/>
      </w:r>
      <w:r>
        <w:rPr>
          <w:rStyle w:val="NormalTok"/>
        </w:rPr>
        <w:t xml:space="preserve">f_sca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"dinf30m_areasca.tif"</w:t>
      </w:r>
      <w:r>
        <w:rPr>
          <w:rStyle w:val="NormalTok"/>
        </w:rPr>
        <w:t xml:space="preserve">)</w:t>
      </w:r>
      <w:r>
        <w:br/>
      </w:r>
      <w:r>
        <w:br/>
      </w:r>
      <w:r>
        <w:rPr>
          <w:rStyle w:val="NormalTok"/>
        </w:rPr>
        <w:t xml:space="preserve">whitebox</w:t>
      </w:r>
      <w:r>
        <w:rPr>
          <w:rStyle w:val="SpecialCharTok"/>
        </w:rPr>
        <w:t xml:space="preserve">::</w:t>
      </w:r>
      <w:r>
        <w:rPr>
          <w:rStyle w:val="FunctionTok"/>
        </w:rPr>
        <w:t xml:space="preserve">wbt_init</w:t>
      </w:r>
      <w:r>
        <w:rPr>
          <w:rStyle w:val="NormalTok"/>
        </w:rPr>
        <w:t xml:space="preserve">()</w:t>
      </w:r>
      <w:r>
        <w:br/>
      </w:r>
      <w:r>
        <w:rPr>
          <w:rStyle w:val="NormalTok"/>
        </w:rPr>
        <w:t xml:space="preserve">terra</w:t>
      </w:r>
      <w:r>
        <w:rPr>
          <w:rStyle w:val="SpecialCharTok"/>
        </w:rPr>
        <w:t xml:space="preserve">::</w:t>
      </w:r>
      <w:r>
        <w:rPr>
          <w:rStyle w:val="FunctionTok"/>
        </w:rPr>
        <w:t xml:space="preserve">terraOptions</w:t>
      </w:r>
      <w:r>
        <w:rPr>
          <w:rStyle w:val="NormalTok"/>
        </w:rPr>
        <w:t xml:space="preserve">(</w:t>
      </w:r>
      <w:r>
        <w:rPr>
          <w:rStyle w:val="AttributeTok"/>
        </w:rPr>
        <w:t xml:space="preserve">memfrac =</w:t>
      </w:r>
      <w:r>
        <w:rPr>
          <w:rStyle w:val="NormalTok"/>
        </w:rPr>
        <w:t xml:space="preserve"> </w:t>
      </w:r>
      <w:r>
        <w:rPr>
          <w:rStyle w:val="FloatTok"/>
        </w:rPr>
        <w:t xml:space="preserve">0.5</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w:t>
      </w:r>
      <w:r>
        <w:br/>
      </w:r>
      <w:r>
        <w:br/>
      </w:r>
      <w:r>
        <w:rPr>
          <w:rStyle w:val="CommentTok"/>
        </w:rPr>
        <w:t xml:space="preserve"># 1. Elevation model, tiled out of Earth Engine to stay inside the download cap.</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(f_ll)) {</w:t>
      </w:r>
      <w:r>
        <w:br/>
      </w:r>
      <w:r>
        <w:rPr>
          <w:rStyle w:val="NormalTok"/>
        </w:rPr>
        <w:t xml:space="preserve">  bb  </w:t>
      </w:r>
      <w:r>
        <w:rPr>
          <w:rStyle w:val="OtherTok"/>
        </w:rPr>
        <w:t xml:space="preserve">&lt;-</w:t>
      </w:r>
      <w:r>
        <w:rPr>
          <w:rStyle w:val="NormalTok"/>
        </w:rPr>
        <w:t xml:space="preserve"> </w:t>
      </w:r>
      <w:r>
        <w:rPr>
          <w:rStyle w:val="FunctionTok"/>
        </w:rPr>
        <w:t xml:space="preserve">as.numeric</w:t>
      </w:r>
      <w:r>
        <w:rPr>
          <w:rStyle w:val="NormalTok"/>
        </w:rPr>
        <w:t xml:space="preserve">(sf</w:t>
      </w:r>
      <w:r>
        <w:rPr>
          <w:rStyle w:val="SpecialCharTok"/>
        </w:rPr>
        <w:t xml:space="preserve">::</w:t>
      </w:r>
      <w:r>
        <w:rPr>
          <w:rStyle w:val="FunctionTok"/>
        </w:rPr>
        <w:t xml:space="preserve">st_bbox</w:t>
      </w:r>
      <w:r>
        <w:rPr>
          <w:rStyle w:val="NormalTok"/>
        </w:rPr>
        <w:t xml:space="preserve">(aoi_sf)); pad </w:t>
      </w:r>
      <w:r>
        <w:rPr>
          <w:rStyle w:val="OtherTok"/>
        </w:rPr>
        <w:t xml:space="preserve">&lt;-</w:t>
      </w:r>
      <w:r>
        <w:rPr>
          <w:rStyle w:val="NormalTok"/>
        </w:rPr>
        <w:t xml:space="preserve"> </w:t>
      </w:r>
      <w:r>
        <w:rPr>
          <w:rStyle w:val="FloatTok"/>
        </w:rPr>
        <w:t xml:space="preserve">0.05</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1</w:t>
      </w:r>
      <w:r>
        <w:rPr>
          <w:rStyle w:val="NormalTok"/>
        </w:rPr>
        <w:t xml:space="preserve">] </w:t>
      </w:r>
      <w:r>
        <w:rPr>
          <w:rStyle w:val="SpecialCharTok"/>
        </w:rPr>
        <w:t xml:space="preserve">-</w:t>
      </w:r>
      <w:r>
        <w:rPr>
          <w:rStyle w:val="NormalTok"/>
        </w:rPr>
        <w:t xml:space="preserve"> pad, bb[</w:t>
      </w:r>
      <w:r>
        <w:rPr>
          <w:rStyle w:val="DecValTok"/>
        </w:rPr>
        <w:t xml:space="preserve">3</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ys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2</w:t>
      </w:r>
      <w:r>
        <w:rPr>
          <w:rStyle w:val="NormalTok"/>
        </w:rPr>
        <w:t xml:space="preserve">] </w:t>
      </w:r>
      <w:r>
        <w:rPr>
          <w:rStyle w:val="SpecialCharTok"/>
        </w:rPr>
        <w:t xml:space="preserve">-</w:t>
      </w:r>
      <w:r>
        <w:rPr>
          <w:rStyle w:val="NormalTok"/>
        </w:rPr>
        <w:t xml:space="preserve"> pad, bb[</w:t>
      </w:r>
      <w:r>
        <w:rPr>
          <w:rStyle w:val="DecValTok"/>
        </w:rPr>
        <w:t xml:space="preserve">4</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srtm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"USGS/SRTMGL1_003"</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"elevation"</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g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list</w:t>
      </w:r>
      <w:r>
        <w:rPr>
          <w:rStyle w:val="NormalTok"/>
        </w:rPr>
        <w:t xml:space="preserve">(xs[i], ys[j], xs[i </w:t>
      </w:r>
      <w:r>
        <w:rPr>
          <w:rStyle w:val="SpecialCharTok"/>
        </w:rPr>
        <w:t xml:space="preserve">+</w:t>
      </w:r>
      <w:r>
        <w:rPr>
          <w:rStyle w:val="NormalTok"/>
        </w:rPr>
        <w:t xml:space="preserve"> </w:t>
      </w:r>
      <w:r>
        <w:rPr>
          <w:rStyle w:val="DecValTok"/>
        </w:rPr>
        <w:t xml:space="preserve">1</w:t>
      </w:r>
      <w:r>
        <w:rPr>
          <w:rStyle w:val="NormalTok"/>
        </w:rPr>
        <w:t xml:space="preserve">], ys[j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therTok"/>
        </w:rPr>
        <w:t xml:space="preserve">&lt;-</w:t>
      </w:r>
      <w:r>
        <w:rPr>
          <w:rStyle w:val="NormalTok"/>
        </w:rPr>
        <w:t xml:space="preserve"> srtm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rPr>
          <w:rStyle w:val="AttributeTok"/>
        </w:rPr>
        <w:t xml:space="preserve">scale =</w:t>
      </w:r>
      <w:r>
        <w:rPr>
          <w:rStyle w:val="NormalTok"/>
        </w:rPr>
        <w:t xml:space="preserve"> </w:t>
      </w:r>
      <w:r>
        <w:rPr>
          <w:rStyle w:val="DecValTok"/>
        </w:rPr>
        <w:t xml:space="preserve">30</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region =</w:t>
      </w:r>
      <w:r>
        <w:rPr>
          <w:rStyle w:val="NormalTok"/>
        </w:rPr>
        <w:t xml:space="preserve"> g,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tf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".tif"</w:t>
      </w:r>
      <w:r>
        <w:rPr>
          <w:rStyle w:val="NormalTok"/>
        </w:rPr>
        <w:t xml:space="preserve">); </w:t>
      </w:r>
      <w:r>
        <w:rPr>
          <w:rStyle w:val="FunctionTok"/>
        </w:rPr>
        <w:t xml:space="preserve">download.file</w:t>
      </w:r>
      <w:r>
        <w:rPr>
          <w:rStyle w:val="NormalTok"/>
        </w:rPr>
        <w:t xml:space="preserve">(u, tf,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w:t>
      </w:r>
      <w:r>
        <w:rPr>
          <w:rStyle w:val="NormalTok"/>
        </w:rPr>
        <w:t xml:space="preserve">(tiles, tf)</w:t>
      </w:r>
      <w:r>
        <w:br/>
      </w:r>
      <w:r>
        <w:rPr>
          <w:rStyle w:val="NormalTok"/>
        </w:rPr>
        <w:t xml:space="preserve">  }</w:t>
      </w:r>
      <w:r>
        <w:br/>
      </w:r>
      <w:r>
        <w:rPr>
          <w:rStyle w:val="NormalTok"/>
        </w:rPr>
        <w:t xml:space="preserve">  terra</w:t>
      </w:r>
      <w:r>
        <w:rPr>
          <w:rStyle w:val="SpecialCharTok"/>
        </w:rPr>
        <w:t xml:space="preserve">::</w:t>
      </w:r>
      <w:r>
        <w:rPr>
          <w:rStyle w:val="FunctionTok"/>
        </w:rPr>
        <w:t xml:space="preserve">writeRaster</w:t>
      </w:r>
      <w:r>
        <w:rPr>
          <w:rStyle w:val="NormalTok"/>
        </w:rPr>
        <w:t xml:space="preserve">(</w:t>
      </w:r>
      <w:r>
        <w:rPr>
          <w:rStyle w:val="FunctionTok"/>
        </w:rPr>
        <w:t xml:space="preserve">do.call</w:t>
      </w:r>
      <w:r>
        <w:rPr>
          <w:rStyle w:val="NormalTok"/>
        </w:rPr>
        <w:t xml:space="preserve">(terra</w:t>
      </w:r>
      <w:r>
        <w:rPr>
          <w:rStyle w:val="SpecialCharTok"/>
        </w:rPr>
        <w:t xml:space="preserve">::</w:t>
      </w:r>
      <w:r>
        <w:rPr>
          <w:rStyle w:val="NormalTok"/>
        </w:rPr>
        <w:t xml:space="preserve">merge, </w:t>
      </w:r>
      <w:r>
        <w:rPr>
          <w:rStyle w:val="FunctionTok"/>
        </w:rPr>
        <w:t xml:space="preserve">lapply</w:t>
      </w:r>
      <w:r>
        <w:rPr>
          <w:rStyle w:val="NormalTok"/>
        </w:rPr>
        <w:t xml:space="preserve">(tiles, terra</w:t>
      </w:r>
      <w:r>
        <w:rPr>
          <w:rStyle w:val="SpecialCharTok"/>
        </w:rPr>
        <w:t xml:space="preserve">::</w:t>
      </w:r>
      <w:r>
        <w:rPr>
          <w:rStyle w:val="NormalTok"/>
        </w:rPr>
        <w:t xml:space="preserve">rast)),</w:t>
      </w:r>
      <w:r>
        <w:br/>
      </w:r>
      <w:r>
        <w:rPr>
          <w:rStyle w:val="NormalTok"/>
        </w:rPr>
        <w:t xml:space="preserve">                     f_ll,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datatype =</w:t>
      </w:r>
      <w:r>
        <w:rPr>
          <w:rStyle w:val="NormalTok"/>
        </w:rPr>
        <w:t xml:space="preserve"> </w:t>
      </w:r>
      <w:r>
        <w:rPr>
          <w:rStyle w:val="StringTok"/>
        </w:rPr>
        <w:t xml:space="preserve">"INT2S"</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2. Project to metres so slope, distance and contributing area are physical.</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(f_utm)) {</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(f_ll), </w:t>
      </w:r>
      <w:r>
        <w:rPr>
          <w:rStyle w:val="StringTok"/>
        </w:rPr>
        <w:t xml:space="preserve">"EPSG:32736"</w:t>
      </w:r>
      <w:r>
        <w:rPr>
          <w:rStyle w:val="NormalTok"/>
        </w:rPr>
        <w:t xml:space="preserve">,</w:t>
      </w:r>
      <w:r>
        <w:br/>
      </w:r>
      <w:r>
        <w:rPr>
          <w:rStyle w:val="NormalTok"/>
        </w:rPr>
        <w:t xml:space="preserve">                                    </w:t>
      </w:r>
      <w:r>
        <w:rPr>
          <w:rStyle w:val="AttributeTok"/>
        </w:rPr>
        <w:t xml:space="preserve">res =</w:t>
      </w:r>
      <w:r>
        <w:rPr>
          <w:rStyle w:val="NormalTok"/>
        </w:rPr>
        <w:t xml:space="preserve"> </w:t>
      </w:r>
      <w:r>
        <w:rPr>
          <w:rStyle w:val="DecValTok"/>
        </w:rPr>
        <w:t xml:space="preserve">30</w:t>
      </w:r>
      <w:r>
        <w:rPr>
          <w:rStyle w:val="NormalTok"/>
        </w:rPr>
        <w:t xml:space="preserve">, </w:t>
      </w:r>
      <w:r>
        <w:rPr>
          <w:rStyle w:val="AttributeTok"/>
        </w:rPr>
        <w:t xml:space="preserve">method =</w:t>
      </w:r>
      <w:r>
        <w:rPr>
          <w:rStyle w:val="NormalTok"/>
        </w:rPr>
        <w:t xml:space="preserve"> </w:t>
      </w:r>
      <w:r>
        <w:rPr>
          <w:rStyle w:val="StringTok"/>
        </w:rPr>
        <w:t xml:space="preserve">"bilinear"</w:t>
      </w:r>
      <w:r>
        <w:rPr>
          <w:rStyle w:val="NormalTok"/>
        </w:rPr>
        <w:t xml:space="preserve">),</w:t>
      </w:r>
      <w:r>
        <w:br/>
      </w:r>
      <w:r>
        <w:rPr>
          <w:rStyle w:val="NormalTok"/>
        </w:rPr>
        <w:t xml:space="preserve">                     f_utm,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3. Breaching only, fill = FALSE.</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(f_brc)) {</w:t>
      </w:r>
      <w:r>
        <w:br/>
      </w:r>
      <w:r>
        <w:rPr>
          <w:rStyle w:val="NormalTok"/>
        </w:rPr>
        <w:t xml:space="preserve">  whitebox</w:t>
      </w:r>
      <w:r>
        <w:rPr>
          <w:rStyle w:val="SpecialCharTok"/>
        </w:rPr>
        <w:t xml:space="preserve">::</w:t>
      </w:r>
      <w:r>
        <w:rPr>
          <w:rStyle w:val="FunctionTok"/>
        </w:rPr>
        <w:t xml:space="preserve">wbt_breach_depressions_least_cost</w:t>
      </w:r>
      <w:r>
        <w:rPr>
          <w:rStyle w:val="NormalTok"/>
        </w:rPr>
        <w:t xml:space="preserve">(</w:t>
      </w:r>
      <w:r>
        <w:br/>
      </w:r>
      <w:r>
        <w:rPr>
          <w:rStyle w:val="NormalTok"/>
        </w:rPr>
        <w:t xml:space="preserve">    </w:t>
      </w:r>
      <w:r>
        <w:rPr>
          <w:rStyle w:val="AttributeTok"/>
        </w:rPr>
        <w:t xml:space="preserve">dem =</w:t>
      </w:r>
      <w:r>
        <w:rPr>
          <w:rStyle w:val="NormalTok"/>
        </w:rPr>
        <w:t xml:space="preserve"> f_utm, </w:t>
      </w:r>
      <w:r>
        <w:rPr>
          <w:rStyle w:val="AttributeTok"/>
        </w:rPr>
        <w:t xml:space="preserve">output =</w:t>
      </w:r>
      <w:r>
        <w:rPr>
          <w:rStyle w:val="NormalTok"/>
        </w:rPr>
        <w:t xml:space="preserve"> f_brc, </w:t>
      </w:r>
      <w:r>
        <w:rPr>
          <w:rStyle w:val="AttributeTok"/>
        </w:rPr>
        <w:t xml:space="preserve">dist =</w:t>
      </w:r>
      <w:r>
        <w:rPr>
          <w:rStyle w:val="NormalTok"/>
        </w:rPr>
        <w:t xml:space="preserve"> </w:t>
      </w:r>
      <w:r>
        <w:rPr>
          <w:rStyle w:val="DecValTok"/>
        </w:rPr>
        <w:t xml:space="preserve">200</w:t>
      </w:r>
      <w:r>
        <w:rPr>
          <w:rStyle w:val="NormalTok"/>
        </w:rPr>
        <w:t xml:space="preserve">, </w:t>
      </w:r>
      <w:r>
        <w:rPr>
          <w:rStyle w:val="AttributeTok"/>
        </w:rPr>
        <w:t xml:space="preserve">min_dist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flat_increment =</w:t>
      </w:r>
      <w:r>
        <w:rPr>
          <w:rStyle w:val="NormalTok"/>
        </w:rPr>
        <w:t xml:space="preserve"> </w:t>
      </w:r>
      <w:r>
        <w:rPr>
          <w:rStyle w:val="FloatTok"/>
        </w:rPr>
        <w:t xml:space="preserve">0.001</w:t>
      </w:r>
      <w:r>
        <w:rPr>
          <w:rStyle w:val="NormalTok"/>
        </w:rPr>
        <w:t xml:space="preserve">, </w:t>
      </w:r>
      <w:r>
        <w:rPr>
          <w:rStyle w:val="AttributeTok"/>
        </w:rPr>
        <w:t xml:space="preserve">fill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4. D-infinity pointer and specific contributing area.</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(f_ptr))</w:t>
      </w:r>
      <w:r>
        <w:br/>
      </w:r>
      <w:r>
        <w:rPr>
          <w:rStyle w:val="NormalTok"/>
        </w:rPr>
        <w:t xml:space="preserve">  whitebox</w:t>
      </w:r>
      <w:r>
        <w:rPr>
          <w:rStyle w:val="SpecialCharTok"/>
        </w:rPr>
        <w:t xml:space="preserve">::</w:t>
      </w:r>
      <w:r>
        <w:rPr>
          <w:rStyle w:val="FunctionTok"/>
        </w:rPr>
        <w:t xml:space="preserve">wbt_d_inf_pointer</w:t>
      </w:r>
      <w:r>
        <w:rPr>
          <w:rStyle w:val="NormalTok"/>
        </w:rPr>
        <w:t xml:space="preserve">(</w:t>
      </w:r>
      <w:r>
        <w:rPr>
          <w:rStyle w:val="AttributeTok"/>
        </w:rPr>
        <w:t xml:space="preserve">dem =</w:t>
      </w:r>
      <w:r>
        <w:rPr>
          <w:rStyle w:val="NormalTok"/>
        </w:rPr>
        <w:t xml:space="preserve"> f_brc, </w:t>
      </w:r>
      <w:r>
        <w:rPr>
          <w:rStyle w:val="AttributeTok"/>
        </w:rPr>
        <w:t xml:space="preserve">output =</w:t>
      </w:r>
      <w:r>
        <w:rPr>
          <w:rStyle w:val="NormalTok"/>
        </w:rPr>
        <w:t xml:space="preserve"> f_ptr)</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(f_sca))</w:t>
      </w:r>
      <w:r>
        <w:br/>
      </w:r>
      <w:r>
        <w:rPr>
          <w:rStyle w:val="NormalTok"/>
        </w:rPr>
        <w:t xml:space="preserve">  whitebox</w:t>
      </w:r>
      <w:r>
        <w:rPr>
          <w:rStyle w:val="SpecialCharTok"/>
        </w:rPr>
        <w:t xml:space="preserve">::</w:t>
      </w:r>
      <w:r>
        <w:rPr>
          <w:rStyle w:val="FunctionTok"/>
        </w:rPr>
        <w:t xml:space="preserve">wbt_d_inf_flow_accumulation</w:t>
      </w:r>
      <w:r>
        <w:rPr>
          <w:rStyle w:val="NormalTok"/>
        </w:rPr>
        <w:t xml:space="preserve">(</w:t>
      </w:r>
      <w:r>
        <w:rPr>
          <w:rStyle w:val="AttributeTok"/>
        </w:rPr>
        <w:t xml:space="preserve">input =</w:t>
      </w:r>
      <w:r>
        <w:rPr>
          <w:rStyle w:val="NormalTok"/>
        </w:rPr>
        <w:t xml:space="preserve"> f_brc, </w:t>
      </w:r>
      <w:r>
        <w:rPr>
          <w:rStyle w:val="AttributeTok"/>
        </w:rPr>
        <w:t xml:space="preserve">output =</w:t>
      </w:r>
      <w:r>
        <w:rPr>
          <w:rStyle w:val="NormalTok"/>
        </w:rPr>
        <w:t xml:space="preserve"> f_sca,</w:t>
      </w:r>
      <w:r>
        <w:br/>
      </w:r>
      <w:r>
        <w:rPr>
          <w:rStyle w:val="NormalTok"/>
        </w:rPr>
        <w:t xml:space="preserve">                                        </w:t>
      </w:r>
      <w:r>
        <w:rPr>
          <w:rStyle w:val="AttributeTok"/>
        </w:rPr>
        <w:t xml:space="preserve">out_type =</w:t>
      </w:r>
      <w:r>
        <w:rPr>
          <w:rStyle w:val="NormalTok"/>
        </w:rPr>
        <w:t xml:space="preserve"> </w:t>
      </w:r>
      <w:r>
        <w:rPr>
          <w:rStyle w:val="StringTok"/>
        </w:rPr>
        <w:t xml:space="preserve">"Specific Contributing Area"</w:t>
      </w:r>
      <w:r>
        <w:rPr>
          <w:rStyle w:val="NormalTok"/>
        </w:rPr>
        <w:t xml:space="preserve">)</w:t>
      </w:r>
      <w:r>
        <w:br/>
      </w:r>
      <w:r>
        <w:br/>
      </w:r>
      <w:r>
        <w:rPr>
          <w:rStyle w:val="CommentTok"/>
        </w:rPr>
        <w:t xml:space="preserve"># 5. Geographic copies for the map chunks, which crop in degrees.</w:t>
      </w:r>
      <w:r>
        <w:br/>
      </w:r>
      <w:r>
        <w:rPr>
          <w:rStyle w:val="ControlFlowTok"/>
        </w:rPr>
        <w:t xml:space="preserve">for</w:t>
      </w:r>
      <w:r>
        <w:rPr>
          <w:rStyle w:val="NormalTok"/>
        </w:rPr>
        <w:t xml:space="preserve"> (pr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(f_utm, </w:t>
      </w:r>
      <w:r>
        <w:rPr>
          <w:rStyle w:val="StringTok"/>
        </w:rPr>
        <w:t xml:space="preserve">"srtm30m_ll.tif"</w:t>
      </w:r>
      <w:r>
        <w:rPr>
          <w:rStyle w:val="NormalTok"/>
        </w:rPr>
        <w:t xml:space="preserve">, </w:t>
      </w:r>
      <w:r>
        <w:rPr>
          <w:rStyle w:val="StringTok"/>
        </w:rPr>
        <w:t xml:space="preserve">"bilinear"</w:t>
      </w:r>
      <w:r>
        <w:rPr>
          <w:rStyle w:val="NormalTok"/>
        </w:rPr>
        <w:t xml:space="preserve">),</w:t>
      </w:r>
      <w:r>
        <w:br/>
      </w:r>
      <w:r>
        <w:rPr>
          <w:rStyle w:val="NormalTok"/>
        </w:rPr>
        <w:t xml:space="preserve">                </w:t>
      </w:r>
      <w:r>
        <w:rPr>
          <w:rStyle w:val="FunctionTok"/>
        </w:rPr>
        <w:t xml:space="preserve">c</w:t>
      </w:r>
      <w:r>
        <w:rPr>
          <w:rStyle w:val="NormalTok"/>
        </w:rPr>
        <w:t xml:space="preserve">(f_ptr, </w:t>
      </w:r>
      <w:r>
        <w:rPr>
          <w:rStyle w:val="StringTok"/>
        </w:rPr>
        <w:t xml:space="preserve">"dinf30m_FlowDirectionang_ll.tif"</w:t>
      </w:r>
      <w:r>
        <w:rPr>
          <w:rStyle w:val="NormalTok"/>
        </w:rPr>
        <w:t xml:space="preserve">, </w:t>
      </w:r>
      <w:r>
        <w:rPr>
          <w:rStyle w:val="StringTok"/>
        </w:rPr>
        <w:t xml:space="preserve">"near"</w:t>
      </w:r>
      <w:r>
        <w:rPr>
          <w:rStyle w:val="NormalTok"/>
        </w:rPr>
        <w:t xml:space="preserve">),</w:t>
      </w:r>
      <w:r>
        <w:br/>
      </w:r>
      <w:r>
        <w:rPr>
          <w:rStyle w:val="NormalTok"/>
        </w:rPr>
        <w:t xml:space="preserve">                </w:t>
      </w:r>
      <w:r>
        <w:rPr>
          <w:rStyle w:val="FunctionTok"/>
        </w:rPr>
        <w:t xml:space="preserve">c</w:t>
      </w:r>
      <w:r>
        <w:rPr>
          <w:rStyle w:val="NormalTok"/>
        </w:rPr>
        <w:t xml:space="preserve">(f_sca, </w:t>
      </w:r>
      <w:r>
        <w:rPr>
          <w:rStyle w:val="StringTok"/>
        </w:rPr>
        <w:t xml:space="preserve">"dinf30m_areasca_ll.tif"</w:t>
      </w:r>
      <w:r>
        <w:rPr>
          <w:rStyle w:val="NormalTok"/>
        </w:rPr>
        <w:t xml:space="preserve">, </w:t>
      </w:r>
      <w:r>
        <w:rPr>
          <w:rStyle w:val="StringTok"/>
        </w:rPr>
        <w:t xml:space="preserve">"bilinear"</w:t>
      </w:r>
      <w:r>
        <w:rPr>
          <w:rStyle w:val="NormalTok"/>
        </w:rPr>
        <w:t xml:space="preserve">))) {</w:t>
      </w:r>
      <w:r>
        <w:br/>
      </w:r>
      <w:r>
        <w:rPr>
          <w:rStyle w:val="NormalTok"/>
        </w:rPr>
        <w:t xml:space="preserve">  fo </w:t>
      </w:r>
      <w:r>
        <w:rPr>
          <w:rStyle w:val="OtherTok"/>
        </w:rPr>
        <w:t xml:space="preserve">&lt;-</w:t>
      </w:r>
      <w:r>
        <w:rPr>
          <w:rStyle w:val="NormalTok"/>
        </w:rPr>
        <w:t xml:space="preserve"> </w:t>
      </w:r>
      <w:r>
        <w:rPr>
          <w:rStyle w:val="FunctionTok"/>
        </w:rPr>
        <w:t xml:space="preserve">file.path</w:t>
      </w:r>
      <w:r>
        <w:rPr>
          <w:rStyle w:val="NormalTok"/>
        </w:rPr>
        <w:t xml:space="preserve">(dem_extract_dir, pr[</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(fo) </w:t>
      </w:r>
      <w:r>
        <w:rPr>
          <w:rStyle w:val="SpecialCharTok"/>
        </w:rPr>
        <w:t xml:space="preserve">&amp;&amp;</w:t>
      </w:r>
      <w:r>
        <w:rPr>
          <w:rStyle w:val="NormalTok"/>
        </w:rPr>
        <w:t xml:space="preserve"> </w:t>
      </w:r>
      <w:r>
        <w:rPr>
          <w:rStyle w:val="FunctionTok"/>
        </w:rPr>
        <w:t xml:space="preserve">file.exists</w:t>
      </w:r>
      <w:r>
        <w:rPr>
          <w:rStyle w:val="NormalTok"/>
        </w:rPr>
        <w:t xml:space="preserve">(pr[</w:t>
      </w:r>
      <w:r>
        <w:rPr>
          <w:rStyle w:val="DecValTok"/>
        </w:rPr>
        <w:t xml:space="preserve">1</w:t>
      </w:r>
      <w:r>
        <w:rPr>
          <w:rStyle w:val="NormalTok"/>
        </w:rPr>
        <w:t xml:space="preserve">]))</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(pr[</w:t>
      </w:r>
      <w:r>
        <w:rPr>
          <w:rStyle w:val="DecValTok"/>
        </w:rPr>
        <w:t xml:space="preserve">1</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method =</w:t>
      </w:r>
      <w:r>
        <w:rPr>
          <w:rStyle w:val="NormalTok"/>
        </w:rPr>
        <w:t xml:space="preserve"> pr[</w:t>
      </w:r>
      <w:r>
        <w:rPr>
          <w:rStyle w:val="DecValTok"/>
        </w:rPr>
        <w:t xml:space="preserve">3</w:t>
      </w:r>
      <w:r>
        <w:rPr>
          <w:rStyle w:val="NormalTok"/>
        </w:rPr>
        <w:t xml:space="preserve">]),</w:t>
      </w:r>
      <w:r>
        <w:br/>
      </w:r>
      <w:r>
        <w:rPr>
          <w:rStyle w:val="NormalTok"/>
        </w:rPr>
        <w:t xml:space="preserve">                       fo,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w:t>
      </w:r>
      <w:r>
        <w:br/>
      </w:r>
      <w:r>
        <w:rPr>
          <w:rStyle w:val="NormalTok"/>
        </w:rPr>
        <w:t xml:space="preserve">}</w:t>
      </w:r>
      <w:r>
        <w:br/>
      </w:r>
      <w:r>
        <w:br/>
      </w:r>
      <w:r>
        <w:rPr>
          <w:rStyle w:val="CommentTok"/>
        </w:rPr>
        <w:t xml:space="preserve"># Resolution actually in use, printed so the record cannot drift again.</w:t>
      </w:r>
      <w:r>
        <w:br/>
      </w:r>
      <w:r>
        <w:rPr>
          <w:rStyle w:val="FunctionTok"/>
        </w:rPr>
        <w:t xml:space="preserve">data.frame</w:t>
      </w:r>
      <w:r>
        <w:rPr>
          <w:rStyle w:val="NormalTok"/>
        </w:rPr>
        <w:t xml:space="preserve">(</w:t>
      </w:r>
      <w:r>
        <w:br/>
      </w:r>
      <w:r>
        <w:rPr>
          <w:rStyle w:val="NormalTok"/>
        </w:rPr>
        <w:t xml:space="preserve">  </w:t>
      </w:r>
      <w:r>
        <w:rPr>
          <w:rStyle w:val="AttributeTok"/>
        </w:rPr>
        <w:t xml:space="preserve">grid =</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 </w:t>
      </w:r>
      <w:r>
        <w:rPr>
          <w:rStyle w:val="StringTok"/>
        </w:rPr>
        <w:t xml:space="preserve">"D-inf direction"</w:t>
      </w:r>
      <w:r>
        <w:rPr>
          <w:rStyle w:val="NormalTok"/>
        </w:rPr>
        <w:t xml:space="preserve">, </w:t>
      </w:r>
      <w:r>
        <w:rPr>
          <w:rStyle w:val="StringTok"/>
        </w:rPr>
        <w:t xml:space="preserve">"D-inf contributing area"</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AttributeTok"/>
        </w:rPr>
        <w:t xml:space="preserve">res_m =</w:t>
      </w:r>
      <w:r>
        <w:rPr>
          <w:rStyle w:val="NormalTok"/>
        </w:rPr>
        <w:t xml:space="preserve"> </w:t>
      </w:r>
      <w:r>
        <w:rPr>
          <w:rStyle w:val="FunctionTok"/>
        </w:rPr>
        <w:t xml:space="preserve">vapply</w:t>
      </w:r>
      <w:r>
        <w:rPr>
          <w:rStyle w:val="NormalTok"/>
        </w:rPr>
        <w:t xml:space="preserve">(</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ControlFlowTok"/>
        </w:rPr>
        <w:t xml:space="preserve">function</w:t>
      </w:r>
      <w:r>
        <w:rPr>
          <w:rStyle w:val="NormalTok"/>
        </w:rPr>
        <w:t xml:space="preserve">(f) {</w:t>
      </w:r>
      <w:r>
        <w:br/>
      </w:r>
      <w:r>
        <w:rPr>
          <w:rStyle w:val="NormalTok"/>
        </w:rPr>
        <w:t xml:space="preserve">                   fp </w:t>
      </w:r>
      <w:r>
        <w:rPr>
          <w:rStyle w:val="OtherTok"/>
        </w:rPr>
        <w:t xml:space="preserve">&lt;-</w:t>
      </w:r>
      <w:r>
        <w:rPr>
          <w:rStyle w:val="NormalTok"/>
        </w:rPr>
        <w:t xml:space="preserve"> </w:t>
      </w:r>
      <w:r>
        <w:rPr>
          <w:rStyle w:val="FunctionTok"/>
        </w:rPr>
        <w:t xml:space="preserve">file.path</w:t>
      </w:r>
      <w:r>
        <w:rPr>
          <w:rStyle w:val="NormalTok"/>
        </w:rPr>
        <w:t xml:space="preserve">(dem_extract_dir, f)</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(fp))</w:t>
      </w:r>
      <w:r>
        <w:br/>
      </w:r>
      <w:r>
        <w:rPr>
          <w:rStyle w:val="NormalTok"/>
        </w:rPr>
        <w:t xml:space="preserve">                     </w:t>
      </w:r>
      <w:r>
        <w:rPr>
          <w:rStyle w:val="FunctionTok"/>
        </w:rPr>
        <w:t xml:space="preserve">round</w:t>
      </w:r>
      <w:r>
        <w:rPr>
          <w:rStyle w:val="NormalTok"/>
        </w:rPr>
        <w:t xml:space="preserve">(terra</w:t>
      </w:r>
      <w:r>
        <w:rPr>
          <w:rStyle w:val="SpecialCharTok"/>
        </w:rPr>
        <w:t xml:space="preserve">::</w:t>
      </w:r>
      <w:r>
        <w:rPr>
          <w:rStyle w:val="FunctionTok"/>
        </w:rPr>
        <w:t xml:space="preserve">res</w:t>
      </w:r>
      <w:r>
        <w:rPr>
          <w:rStyle w:val="NormalTok"/>
        </w:rPr>
        <w:t xml:space="preserve">(terra</w:t>
      </w:r>
      <w:r>
        <w:rPr>
          <w:rStyle w:val="SpecialCharTok"/>
        </w:rPr>
        <w:t xml:space="preserve">::</w:t>
      </w:r>
      <w:r>
        <w:rPr>
          <w:rStyle w:val="FunctionTok"/>
        </w:rPr>
        <w:t xml:space="preserve">rast</w:t>
      </w:r>
      <w:r>
        <w:rPr>
          <w:rStyle w:val="NormalTok"/>
        </w:rPr>
        <w:t xml:space="preserve">(fp))[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111320</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p>
    <w:tbl>
      <w:tblPr>
        <w:tblStyle w:val="Table"/>
        <w:tblW w:type="pct" w:w="5000"/>
        <w:tblLayout w:type="fixed"/>
        <w:tblLook w:firstRow="1" w:lastRow="0" w:firstColumn="0" w:lastColumn="0" w:noHBand="0" w:noVBand="0" w:val="0020"/>
      </w:tblPr>
      <w:tblGrid>
        <w:gridCol w:w="2696"/>
        <w:gridCol w:w="2022"/>
        <w:gridCol w:w="2696"/>
        <w:gridCol w:w="505"/>
      </w:tblGrid>
      <w:tr>
        <w:trPr>
          <w:tblHeader w:val="on"/>
        </w:trPr>
        <w:tc>
          <w:tcPr/>
          <w:p>
            <w:pPr>
              <w:pStyle w:val="Compact"/>
            </w:pPr>
          </w:p>
        </w:tc>
        <w:tc>
          <w:tcPr/>
          <w:p>
            <w:pPr>
              <w:pStyle w:val="Compact"/>
              <w:jc w:val="left"/>
            </w:pPr>
            <w:r>
              <w:t xml:space="preserve">grid</w:t>
            </w:r>
          </w:p>
        </w:tc>
        <w:tc>
          <w:tcPr/>
          <w:p>
            <w:pPr>
              <w:pStyle w:val="Compact"/>
              <w:jc w:val="left"/>
            </w:pPr>
            <w:r>
              <w:t xml:space="preserve">file</w:t>
            </w:r>
          </w:p>
        </w:tc>
        <w:tc>
          <w:tcPr/>
          <w:p>
            <w:pPr>
              <w:pStyle w:val="Compact"/>
              <w:jc w:val="right"/>
            </w:pPr>
            <w:r>
              <w:t xml:space="preserve">res_m</w:t>
            </w:r>
          </w:p>
        </w:tc>
      </w:tr>
      <w:tr>
        <w:tc>
          <w:tcPr/>
          <w:p>
            <w:pPr>
              <w:pStyle w:val="Compact"/>
              <w:jc w:val="left"/>
            </w:pPr>
            <w:r>
              <w:t xml:space="preserve">srtm30m_ll.tif</w:t>
            </w:r>
          </w:p>
        </w:tc>
        <w:tc>
          <w:tcPr/>
          <w:p>
            <w:pPr>
              <w:pStyle w:val="Compact"/>
              <w:jc w:val="left"/>
            </w:pPr>
            <w:r>
              <w:t xml:space="preserve">elevation</w:t>
            </w:r>
          </w:p>
        </w:tc>
        <w:tc>
          <w:tcPr/>
          <w:p>
            <w:pPr>
              <w:pStyle w:val="Compact"/>
              <w:jc w:val="left"/>
            </w:pPr>
            <w:r>
              <w:t xml:space="preserve">srtm30m_ll.tif</w:t>
            </w:r>
          </w:p>
        </w:tc>
        <w:tc>
          <w:tcPr/>
          <w:p>
            <w:pPr>
              <w:pStyle w:val="Compact"/>
              <w:jc w:val="right"/>
            </w:pPr>
            <w:r>
              <w:t xml:space="preserve">31</w:t>
            </w:r>
          </w:p>
        </w:tc>
      </w:tr>
      <w:tr>
        <w:tc>
          <w:tcPr/>
          <w:p>
            <w:pPr>
              <w:pStyle w:val="Compact"/>
              <w:jc w:val="left"/>
            </w:pPr>
            <w:r>
              <w:t xml:space="preserve">dinf30m_FlowDirectionang_ll.tif</w:t>
            </w:r>
          </w:p>
        </w:tc>
        <w:tc>
          <w:tcPr/>
          <w:p>
            <w:pPr>
              <w:pStyle w:val="Compact"/>
              <w:jc w:val="left"/>
            </w:pPr>
            <w:r>
              <w:t xml:space="preserve">D-inf direction</w:t>
            </w:r>
          </w:p>
        </w:tc>
        <w:tc>
          <w:tcPr/>
          <w:p>
            <w:pPr>
              <w:pStyle w:val="Compact"/>
              <w:jc w:val="left"/>
            </w:pPr>
            <w:r>
              <w:t xml:space="preserve">dinf30m_FlowDirectionang_ll.tif</w:t>
            </w:r>
          </w:p>
        </w:tc>
        <w:tc>
          <w:tcPr/>
          <w:p>
            <w:pPr>
              <w:pStyle w:val="Compact"/>
              <w:jc w:val="right"/>
            </w:pPr>
            <w:r>
              <w:t xml:space="preserve">31</w:t>
            </w:r>
          </w:p>
        </w:tc>
      </w:tr>
      <w:tr>
        <w:tc>
          <w:tcPr/>
          <w:p>
            <w:pPr>
              <w:pStyle w:val="Compact"/>
              <w:jc w:val="left"/>
            </w:pPr>
            <w:r>
              <w:t xml:space="preserve">dinf30m_areasca_ll.tif</w:t>
            </w:r>
          </w:p>
        </w:tc>
        <w:tc>
          <w:tcPr/>
          <w:p>
            <w:pPr>
              <w:pStyle w:val="Compact"/>
              <w:jc w:val="left"/>
            </w:pPr>
            <w:r>
              <w:t xml:space="preserve">D-inf contributing area</w:t>
            </w:r>
          </w:p>
        </w:tc>
        <w:tc>
          <w:tcPr/>
          <w:p>
            <w:pPr>
              <w:pStyle w:val="Compact"/>
              <w:jc w:val="left"/>
            </w:pPr>
            <w:r>
              <w:t xml:space="preserve">dinf30m_areasca_ll.tif</w:t>
            </w:r>
          </w:p>
        </w:tc>
        <w:tc>
          <w:tcPr/>
          <w:p>
            <w:pPr>
              <w:pStyle w:val="Compact"/>
              <w:jc w:val="right"/>
            </w:pPr>
            <w:r>
              <w:t xml:space="preserve">31</w:t>
            </w:r>
          </w:p>
        </w:tc>
      </w:tr>
    </w:tbl>
    <w:p>
      <w:pPr>
        <w:pStyle w:val="SourceCode"/>
      </w:pPr>
      <w:r>
        <w:rPr>
          <w:rStyle w:val="CommentTok"/>
        </w:rPr>
        <w:t xml:space="preserve"># The SRTM input and the D-infinity grids from the breach-conditioned derivation.</w:t>
      </w:r>
      <w:r>
        <w:br/>
      </w:r>
      <w:r>
        <w:rPr>
          <w:rStyle w:val="CommentTok"/>
        </w:rPr>
        <w:t xml:space="preserve"># Routing is computed in EPSG:32736 so slopes and areas are metric; the grids</w:t>
      </w:r>
      <w:r>
        <w:br/>
      </w:r>
      <w:r>
        <w:rPr>
          <w:rStyle w:val="CommentTok"/>
        </w:rPr>
        <w:t xml:space="preserve"># are carried here in EPSG:4326 to match the AOI used by the map chunks below.</w:t>
      </w:r>
      <w:r>
        <w:br/>
      </w:r>
      <w:r>
        <w:rPr>
          <w:rStyle w:val="NormalTok"/>
        </w:rPr>
        <w:t xml:space="preserve">srtm30m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"srtm30m_ll.tif"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"dinf30m_FlowDirectionang_ll.tif"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"dinf30m_areasca_ll.tif"</w:t>
      </w:r>
      <w:r>
        <w:rPr>
          <w:rStyle w:val="NormalTok"/>
        </w:rPr>
        <w:t xml:space="preserve">))</w:t>
      </w:r>
      <w:r>
        <w:br/>
      </w:r>
      <w:r>
        <w:br/>
      </w:r>
      <w:r>
        <w:rPr>
          <w:rStyle w:val="FunctionTok"/>
        </w:rPr>
        <w:t xml:space="preserve">print</w:t>
      </w:r>
      <w:r>
        <w:rPr>
          <w:rStyle w:val="NormalTok"/>
        </w:rPr>
        <w:t xml:space="preserve">(srtm30m)</w:t>
      </w:r>
    </w:p>
    <w:p>
      <w:pPr>
        <w:pStyle w:val="SourceCode"/>
      </w:pPr>
      <w:r>
        <w:rPr>
          <w:rStyle w:val="VerbatimChar"/>
        </w:rPr>
        <w:t xml:space="preserve">class       : SpatRaster </w:t>
      </w:r>
      <w:r>
        <w:br/>
      </w:r>
      <w:r>
        <w:rPr>
          <w:rStyle w:val="VerbatimChar"/>
        </w:rPr>
        <w:t xml:space="preserve">size        : 4596, 4838, 1  (nrow, ncol, nlyr)</w:t>
      </w:r>
      <w:r>
        <w:br/>
      </w:r>
      <w:r>
        <w:rPr>
          <w:rStyle w:val="VerbatimChar"/>
        </w:rPr>
        <w:t xml:space="preserve">resolution  : 0.0002753002, 0.0002753002  (x, y)</w:t>
      </w:r>
      <w:r>
        <w:br/>
      </w:r>
      <w:r>
        <w:rPr>
          <w:rStyle w:val="VerbatimChar"/>
        </w:rPr>
        <w:t xml:space="preserve">extent      : 35.03363, 36.36554, -15.97515, -14.70987  (xmin, xmax, ymin, ymax)</w:t>
      </w:r>
      <w:r>
        <w:br/>
      </w:r>
      <w:r>
        <w:rPr>
          <w:rStyle w:val="VerbatimChar"/>
        </w:rPr>
        <w:t xml:space="preserve">coord. ref. : lon/lat WGS 84 (EPSG:4326) </w:t>
      </w:r>
      <w:r>
        <w:br/>
      </w:r>
      <w:r>
        <w:rPr>
          <w:rStyle w:val="VerbatimChar"/>
        </w:rPr>
        <w:t xml:space="preserve">source      : srtm30m_ll.tif </w:t>
      </w:r>
      <w:r>
        <w:br/>
      </w:r>
      <w:r>
        <w:rPr>
          <w:rStyle w:val="VerbatimChar"/>
        </w:rPr>
        <w:t xml:space="preserve">name        :     t_1_1 </w:t>
      </w:r>
      <w:r>
        <w:br/>
      </w:r>
      <w:r>
        <w:rPr>
          <w:rStyle w:val="VerbatimChar"/>
        </w:rPr>
        <w:t xml:space="preserve">min value   :  457.0245 </w:t>
      </w:r>
      <w:r>
        <w:br/>
      </w:r>
      <w:r>
        <w:rPr>
          <w:rStyle w:val="VerbatimChar"/>
        </w:rPr>
        <w:t xml:space="preserve">max value   : 2977.3696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2" name="Picture"/>
            <a:graphic>
              <a:graphicData uri="http://schemas.openxmlformats.org/drawingml/2006/picture">
                <pic:pic>
                  <pic:nvPicPr>
                    <pic:cNvPr descr="Manuscript_2026-08-03_files/figure-docx/terrain-dinf-maps-1.png" id="43" name="Picture"/>
                    <pic:cNvPicPr>
                      <a:picLocks noChangeArrowheads="1" noChangeAspect="1"/>
                    </pic:cNvPicPr>
                  </pic:nvPicPr>
                  <pic:blipFill>
                    <a:blip r:embed="rId41"/>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5" name="Picture"/>
            <a:graphic>
              <a:graphicData uri="http://schemas.openxmlformats.org/drawingml/2006/picture">
                <pic:pic>
                  <pic:nvPicPr>
                    <pic:cNvPr descr="Manuscript_2026-08-03_files/figure-docx/terrain-dinf-maps-2.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7"/>
    <w:bookmarkStart w:id="66" w:name="sar-backscatter-processing"/>
    <w:p>
      <w:pPr>
        <w:pStyle w:val="Heading4"/>
      </w:pPr>
      <w:r>
        <w:t xml:space="preserve">2.2.3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The Sentinel-1 configuration is therefore adequate for open water and weakest for the class this study targets. Sentinel-1 acquires in VV and VH only, and vertically polarised transmit</w:t>
      </w:r>
      <w:r>
        <w:t xml:space="preserve"> </w:t>
      </w:r>
      <w:r>
        <w:t xml:space="preserve">“may not reach the water surface beneath the vegetation cover because of its vertical orientation”</w:t>
      </w:r>
      <w:r>
        <w:t xml:space="preserve"> </w:t>
      </w:r>
      <w:r>
        <w:t xml:space="preserve">(Adeli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vegetation, accepting its coarser resolution and annual frequency as the price of the longer wavelength. Detection beneath vegetation is conditional rather than assured even at L-band, since double-bounce return saturates as standing biomass rises and fails again where the emergent stems are too small or too sparse to produce it (Tsyganskaya et al., 2018). For</w:t>
      </w:r>
      <w:r>
        <w:t xml:space="preserve"> </w:t>
      </w:r>
      <w:r>
        <w:rPr>
          <w:i/>
          <w:iCs/>
        </w:rPr>
        <w:t xml:space="preserve">Typha domingensis</w:t>
      </w:r>
      <w:r>
        <w:t xml:space="preserve">,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971"</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1969-12-19"</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8"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8"/>
    <w:bookmarkStart w:id="49"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9"/>
    <w:bookmarkStart w:id="50"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50"/>
    <w:bookmarkStart w:id="51"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51"/>
    <w:bookmarkStart w:id="54"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pPr>
        <w:pStyle w:val="BodyText"/>
      </w:pPr>
      <w:r>
        <w:t xml:space="preserve">Maps of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52" w:name="htmlwidget-2729"/>
    <w:bookmarkEnd w:id="52"/>
    <w:bookmarkStart w:id="53" w:name="htmlwidget-4186"/>
    <w:bookmarkEnd w:id="53"/>
    <w:bookmarkEnd w:id="54"/>
    <w:bookmarkStart w:id="61" w:name="export-sar-series"/>
    <w:p>
      <w:pPr>
        <w:pStyle w:val="Heading5"/>
      </w:pPr>
      <w:r>
        <w:t xml:space="preserve">Export SAR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6" name="Picture"/>
            <a:graphic>
              <a:graphicData uri="http://schemas.openxmlformats.org/drawingml/2006/picture">
                <pic:pic>
                  <pic:nvPicPr>
                    <pic:cNvPr descr="../03.outputs/PNG/SNAP-processing.png" id="57" name="Picture"/>
                    <pic:cNvPicPr>
                      <a:picLocks noChangeArrowheads="1" noChangeAspect="1"/>
                    </pic:cNvPicPr>
                  </pic:nvPicPr>
                  <pic:blipFill>
                    <a:blip r:embed="rId55"/>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9" name="Picture"/>
            <a:graphic>
              <a:graphicData uri="http://schemas.openxmlformats.org/drawingml/2006/picture">
                <pic:pic>
                  <pic:nvPicPr>
                    <pic:cNvPr descr="../03.outputs/PNG/RADAR-render.png" id="60" name="Picture"/>
                    <pic:cNvPicPr>
                      <a:picLocks noChangeArrowheads="1" noChangeAspect="1"/>
                    </pic:cNvPicPr>
                  </pic:nvPicPr>
                  <pic:blipFill>
                    <a:blip r:embed="rId58"/>
                    <a:stretch>
                      <a:fillRect/>
                    </a:stretch>
                  </pic:blipFill>
                  <pic:spPr bwMode="auto">
                    <a:xfrm>
                      <a:off x="0" y="0"/>
                      <a:ext cx="5943600" cy="4245428"/>
                    </a:xfrm>
                    <a:prstGeom prst="rect">
                      <a:avLst/>
                    </a:prstGeom>
                    <a:noFill/>
                    <a:ln w="9525">
                      <a:noFill/>
                      <a:headEnd/>
                      <a:tailEnd/>
                    </a:ln>
                  </pic:spPr>
                </pic:pic>
              </a:graphicData>
            </a:graphic>
          </wp:inline>
        </w:drawing>
      </w:r>
    </w:p>
    <w:bookmarkEnd w:id="61"/>
    <w:bookmarkStart w:id="65" w:name="l-band-flooded-vegetation"/>
    <w:p>
      <w:pPr>
        <w:pStyle w:val="Heading5"/>
      </w:pPr>
      <w:r>
        <w:t xml:space="preserve">L-band &amp; Flooded Vegetation</w:t>
      </w:r>
    </w:p>
    <w:p>
      <w:pPr>
        <w:pStyle w:val="FirstParagraph"/>
      </w:pPr>
      <w:r>
        <w:t xml:space="preserve">C-band cannot penetrate the dense Typha stand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vegetation scatters into HV, so the HH-minus-HV contrast isolates inundation beneath the vegetation that neither optical indices nor C-band resolve. The L-band HH and HV channels enter the 2020 feature stack alongside the optical and C-band features, and the per-year basin series probes how the beneath-vegetation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3" name="Picture"/>
            <a:graphic>
              <a:graphicData uri="http://schemas.openxmlformats.org/drawingml/2006/picture">
                <pic:pic>
                  <pic:nvPicPr>
                    <pic:cNvPr descr="Manuscript_2026-08-03_files/figure-docx/palsar-map-1.png" id="64" name="Picture"/>
                    <pic:cNvPicPr>
                      <a:picLocks noChangeArrowheads="1" noChangeAspect="1"/>
                    </pic:cNvPicPr>
                  </pic:nvPicPr>
                  <pic:blipFill>
                    <a:blip r:embed="rId62"/>
                    <a:stretch>
                      <a:fillRect/>
                    </a:stretch>
                  </pic:blipFill>
                  <pic:spPr bwMode="auto">
                    <a:xfrm>
                      <a:off x="0" y="0"/>
                      <a:ext cx="5943600" cy="4754880"/>
                    </a:xfrm>
                    <a:prstGeom prst="rect">
                      <a:avLst/>
                    </a:prstGeom>
                    <a:noFill/>
                    <a:ln w="9525">
                      <a:noFill/>
                      <a:headEnd/>
                      <a:tailEnd/>
                    </a:ln>
                  </pic:spPr>
                </pic:pic>
              </a:graphicData>
            </a:graphic>
          </wp:inline>
        </w:drawing>
      </w:r>
    </w:p>
    <w:bookmarkEnd w:id="65"/>
    <w:bookmarkEnd w:id="66"/>
    <w:bookmarkStart w:id="72" w:name="landsat-image-processing"/>
    <w:p>
      <w:pPr>
        <w:pStyle w:val="Heading4"/>
      </w:pPr>
      <w:r>
        <w:t xml:space="preserve">2.2.4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and for the mixture analysis of Section 2.2.6, and changes within each year were measured by the sixteen-day record of Section 2.3.</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727"</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1970-01-19"</w:t>
      </w:r>
    </w:p>
    <w:bookmarkStart w:id="70" w:name="data-availability"/>
    <w:p>
      <w:pPr>
        <w:pStyle w:val="Heading5"/>
      </w:pPr>
      <w:r>
        <w:t xml:space="preserve">Data Availability</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showed the trade-off that fixed the analysis window, in that the Thematic Mapper record reached 1984 with usable coverage and closed in October 2011, the Enhanced Thematic Mapper Plus alone covered the seventeen months to March 2013, the Operational Land Imager continued the record from 2013, and C-band radar began only in late 2014. Landsat Multispectral Scanner scenes extend to 1972 but carry no shortwave-infrared band, so the SWIR-based indices central to this study cannot be computed from them; they are therefore excluded, and the optical window opens in 1984. Cloud metadata did not record the strips lost to the scan-line corrector failure, so a cloud-filtered scene count did not measure how usable the Enhanced Thematic Mapper Plus was, and its coverage of the basin was measured from observed pixels instead (Section 2.3.1).</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39    L8 OLI         all</w:t>
      </w:r>
      <w:r>
        <w:br/>
      </w:r>
      <w:r>
        <w:rPr>
          <w:rStyle w:val="VerbatimChar"/>
        </w:rPr>
        <w:t xml:space="preserve">NA 79 2026  21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88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8" name="Picture"/>
            <a:graphic>
              <a:graphicData uri="http://schemas.openxmlformats.org/drawingml/2006/picture">
                <pic:pic>
                  <pic:nvPicPr>
                    <pic:cNvPr descr="../03.outputs/PNG/fig03_sensor_availability.png" id="69" name="Picture"/>
                    <pic:cNvPicPr>
                      <a:picLocks noChangeArrowheads="1" noChangeAspect="1"/>
                    </pic:cNvPicPr>
                  </pic:nvPicPr>
                  <pic:blipFill>
                    <a:blip r:embed="rId67"/>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70"/>
    <w:bookmarkStart w:id="71" w:name="modis-gap-filling"/>
    <w:p>
      <w:pPr>
        <w:pStyle w:val="Heading5"/>
      </w:pPr>
      <w:r>
        <w:t xml:space="preserve">MODIS Gap-Filling</w:t>
      </w:r>
    </w:p>
    <w:p>
      <w:pPr>
        <w:pStyle w:val="FirstParagraph"/>
      </w:pPr>
      <w:r>
        <w:t xml:space="preserve">MODIS supplied the frequent observations in the sixteen-day record. Its eight-day 500 m surface reflectance composites (MOD09A1) included the green and shortwave-infrared bands that MNDWI requires and ran without a break from February 2000, through the seventeen months in which Landsat 7 was the only Landsat satellite over the basin. Coarse imagery had been used for this purpose before. Li et al. (2019) built an eight-day 500 m surface-water-fraction series from MCD43A4 across eighteen years because cloud left gaps in the Landsat record that prevented accurate assessment of surface-water dynamics, and Landmann et al. (2010) mapped wetland classes across 360,000 km² of semi-arid West Africa from 250 m MODIS metrics, checking them against Landsat by the share of each class within each coarse cell. Ticehurst et al. (2014) found the viewing angle a strong source of bias in MODIS water products for small water bodies, so MODIS entered the record after calibration to Landsat rather than at face value (Section 2.3).</w:t>
      </w:r>
    </w:p>
    <w:p>
      <w:pPr>
        <w:pStyle w:val="BodyText"/>
      </w:pPr>
      <w:r>
        <w:t xml:space="preserve">MODIS entered the record as water area rather than as reflectance. Spatiotemporal fusion predicted 30 m reflectance on a target date from the coarse image of that date and from pairs of Landsat and MODIS images on other dates (Gao et al., 2006; Zhu et al., 2010). It had been applied to inland water, where a comparison across 45 lakes found ESTARFM, an enhanced form of the same method, the most accurate of five algorithms (Xu et al., 2024), and to an eight-day series of 30 m floodplain inundation maps for the Murray-Darling (Heimhuber et al., 2018). HISTARFM extended the approach to a monthly product with no gaps and an uncertainty for every pixel. It made a first estimate from a ten-year Landsat average for each month and from a regression of Landsat on MODIS fitted pixel by pixel, and then corrected that estimate with</w:t>
      </w:r>
      <w:r>
        <w:t xml:space="preserve"> </w:t>
      </w:r>
      <w:r>
        <w:t xml:space="preserve">“a Kalman filter (shown in green color in the flowchart and explained in detail in Section 3.3) that corrects the bias of the reflectance produced by the first estimator”</w:t>
      </w:r>
      <w:r>
        <w:t xml:space="preserve"> </w:t>
      </w:r>
      <w:r>
        <w:t xml:space="preserve">(Moreno-Martínez et al., 2020, p. 4). The sixteen-day record used the same two parts, a regression of the sharp sensor on the coarse one and a Kalman filter that updated the estimate between observations, but applied them to the water area of the basin, so the quantity the study reported was estimated directly with its own uncertainty. The pixel-by-pixel version was not used for the record for two reasons. HISTARFM removed</w:t>
      </w:r>
      <w:r>
        <w:t xml:space="preserve"> </w:t>
      </w:r>
      <w:r>
        <w:t xml:space="preserve">“pixels with negative values of Normalized Difference Vegetation Index (NDVI) (lower than -0.1), surface reflectance values higher than 0.4 in the visible bands, and values higher than 0.7 for NIR and IR bands”</w:t>
      </w:r>
      <w:r>
        <w:t xml:space="preserve"> </w:t>
      </w:r>
      <w:r>
        <w:t xml:space="preserve">(p. 4), and open water commonly lay below that vegetation-index threshold. No HISTARFM collection covered southern Africa either, so a pixel-by-pixel product would have meant rebuilding the algorithm over about 9.7 million 30 m pixels.</w:t>
      </w:r>
    </w:p>
    <w:p>
      <w:pPr>
        <w:pStyle w:val="BodyText"/>
      </w:pPr>
      <w:r>
        <w:t xml:space="preserve">The coarse grid was also where the field record could be checked most reliably. A ground-truth point carried an error in position as well as in class, and a 30 m pixel tolerated almost none, since an error of one or two pixels moved a point across the boundary between water and vegetation and counted the surveyor’s mistake against the classifier. The Chilwa reed fringe was wide enough to tolerate a coarser grid, because emergent vegetation covered between five and thirteen per cent of the basin across the record along a shoreline of a few hundred kilometres, so the reed belt averaged one to three kilometres in width. A 500 m cell placed inside it was pure in most cases, while the same location at 30 m fell in a mix of water, reed and exposed bed that no field note could separate. Accuracy was therefore assessed on both grids, at 30 m against the 2012 harmonic surface of Section 2.3.1 and at 500 m after that surface was aggregated to the MODIS grid as water fractions. The 500 m product was MOD09A1 rather than the finer 250 m MOD09Q1, because only the former included the green and shortwave-infrared bands that MNDWI requires, while the 250 m product offered red and near-infrared alone.</w:t>
      </w:r>
    </w:p>
    <w:p>
      <w:pPr>
        <w:pStyle w:val="BodyText"/>
      </w:pPr>
      <w:r>
        <w:t xml:space="preserve">The design had two limits. MODIS provided most of the observations inside the gap, because Landsat 7 produced a view clear enough to pass the rule of Section 2.3, that at least eighty per cent of the lake be visible, on only five of the thirty-three sixteen-day steps between October 2011 and March 2013, the first on 5 May 2012. The fieldwork months of February to April were therefore observed at 500 m and calibrated to the 30 m reference. At 500 m the signal could not detect water standing beneath the Typha, so the combined record measured open water only, and water beneath the vegetation came from radar (Section 2.3).</w:t>
      </w:r>
    </w:p>
    <w:p>
      <w:pPr>
        <w:pStyle w:val="SourceCode"/>
      </w:pPr>
      <w:r>
        <w:rPr>
          <w:rStyle w:val="CommentTok"/>
        </w:rPr>
        <w:t xml:space="preserve"># MODIS fills the windows Landsat misses, including 18 October 2011 to 25 March 2013, when Landsat 7 was the only Landsat satellite.</w:t>
      </w:r>
      <w:r>
        <w:br/>
      </w:r>
      <w:r>
        <w:rPr>
          <w:rStyle w:val="CommentTok"/>
        </w:rPr>
        <w:t xml:space="preserve"># MOD09A1 is the 8-day 500 m surface reflectance composite; band 4 is green,</w:t>
      </w:r>
      <w:r>
        <w:br/>
      </w:r>
      <w:r>
        <w:rPr>
          <w:rStyle w:val="CommentTok"/>
        </w:rPr>
        <w:t xml:space="preserve"># band 6 SWIR1, band 1 red, band 2 NIR, so MNDWI and WRI follow the Landsat</w:t>
      </w:r>
      <w:r>
        <w:br/>
      </w:r>
      <w:r>
        <w:rPr>
          <w:rStyle w:val="CommentTok"/>
        </w:rPr>
        <w:t xml:space="preserve"># definitions exactly. Reported as an open-water hydrograph only: at 500 m the</w:t>
      </w:r>
      <w:r>
        <w:br/>
      </w:r>
      <w:r>
        <w:rPr>
          <w:rStyle w:val="CommentTok"/>
        </w:rPr>
        <w:t xml:space="preserve"># vegetated fraction is not resolvable and no class map is produced.</w:t>
      </w:r>
      <w:r>
        <w:br/>
      </w:r>
      <w:r>
        <w:rPr>
          <w:rStyle w:val="NormalTok"/>
        </w:rPr>
        <w:t xml:space="preserve">modis_indices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g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"sur_refl_b04"</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r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"sur_refl_b01"</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n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"sur_refl_b02"</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"sur_refl_b06"</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0.0001</w:t>
      </w:r>
      <w:r>
        <w:rPr>
          <w:rStyle w:val="NormalTok"/>
        </w:rPr>
        <w:t xml:space="preserve">)</w:t>
      </w:r>
      <w:r>
        <w:br/>
      </w:r>
      <w:r>
        <w:rPr>
          <w:rStyle w:val="NormalTok"/>
        </w:rPr>
        <w:t xml:space="preserve">  mndwi </w:t>
      </w:r>
      <w:r>
        <w:rPr>
          <w:rStyle w:val="OtherTok"/>
        </w:rPr>
        <w:t xml:space="preserve">&lt;-</w:t>
      </w:r>
      <w:r>
        <w:rPr>
          <w:rStyle w:val="NormalTok"/>
        </w:rPr>
        <w:t xml:space="preserve"> g</w:t>
      </w:r>
      <w:r>
        <w:rPr>
          <w:rStyle w:val="SpecialCharTok"/>
        </w:rPr>
        <w:t xml:space="preserve">$</w:t>
      </w:r>
      <w:r>
        <w:rPr>
          <w:rStyle w:val="FunctionTok"/>
        </w:rPr>
        <w:t xml:space="preserve">subtract</w:t>
      </w:r>
      <w:r>
        <w:rPr>
          <w:rStyle w:val="NormalTok"/>
        </w:rPr>
        <w:t xml:space="preserve">(s)</w:t>
      </w:r>
      <w:r>
        <w:rPr>
          <w:rStyle w:val="SpecialCharTok"/>
        </w:rPr>
        <w:t xml:space="preserve">$</w:t>
      </w:r>
      <w:r>
        <w:rPr>
          <w:rStyle w:val="FunctionTok"/>
        </w:rPr>
        <w:t xml:space="preserve">divide</w:t>
      </w:r>
      <w:r>
        <w:rPr>
          <w:rStyle w:val="NormalTok"/>
        </w:rPr>
        <w:t xml:space="preserve">(g</w:t>
      </w:r>
      <w:r>
        <w:rPr>
          <w:rStyle w:val="SpecialCharTok"/>
        </w:rPr>
        <w:t xml:space="preserve">$</w:t>
      </w:r>
      <w:r>
        <w:rPr>
          <w:rStyle w:val="FunctionTok"/>
        </w:rPr>
        <w:t xml:space="preserve">add</w:t>
      </w:r>
      <w:r>
        <w:rPr>
          <w:rStyle w:val="NormalTok"/>
        </w:rPr>
        <w:t xml:space="preserve">(s))</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wri   </w:t>
      </w:r>
      <w:r>
        <w:rPr>
          <w:rStyle w:val="OtherTok"/>
        </w:rPr>
        <w:t xml:space="preserve">&lt;-</w:t>
      </w:r>
      <w:r>
        <w:rPr>
          <w:rStyle w:val="NormalTok"/>
        </w:rPr>
        <w:t xml:space="preserve"> g</w:t>
      </w:r>
      <w:r>
        <w:rPr>
          <w:rStyle w:val="SpecialCharTok"/>
        </w:rPr>
        <w:t xml:space="preserve">$</w:t>
      </w:r>
      <w:r>
        <w:rPr>
          <w:rStyle w:val="FunctionTok"/>
        </w:rPr>
        <w:t xml:space="preserve">add</w:t>
      </w:r>
      <w:r>
        <w:rPr>
          <w:rStyle w:val="NormalTok"/>
        </w:rPr>
        <w:t xml:space="preserve">(r)</w:t>
      </w:r>
      <w:r>
        <w:rPr>
          <w:rStyle w:val="SpecialCharTok"/>
        </w:rPr>
        <w:t xml:space="preserve">$</w:t>
      </w:r>
      <w:r>
        <w:rPr>
          <w:rStyle w:val="FunctionTok"/>
        </w:rPr>
        <w:t xml:space="preserve">divide</w:t>
      </w:r>
      <w:r>
        <w:rPr>
          <w:rStyle w:val="NormalTok"/>
        </w:rPr>
        <w:t xml:space="preserve">(n</w:t>
      </w:r>
      <w:r>
        <w:rPr>
          <w:rStyle w:val="SpecialCharTok"/>
        </w:rPr>
        <w:t xml:space="preserve">$</w:t>
      </w:r>
      <w:r>
        <w:rPr>
          <w:rStyle w:val="FunctionTok"/>
        </w:rPr>
        <w:t xml:space="preserve">add</w:t>
      </w:r>
      <w:r>
        <w:rPr>
          <w:rStyle w:val="NormalTok"/>
        </w:rPr>
        <w:t xml:space="preserve">(s))</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(mndwi)</w:t>
      </w:r>
      <w:r>
        <w:rPr>
          <w:rStyle w:val="SpecialCharTok"/>
        </w:rPr>
        <w:t xml:space="preserve">$</w:t>
      </w:r>
      <w:r>
        <w:rPr>
          <w:rStyle w:val="FunctionTok"/>
        </w:rPr>
        <w:t xml:space="preserve">addBands</w:t>
      </w:r>
      <w:r>
        <w:rPr>
          <w:rStyle w:val="NormalTok"/>
        </w:rPr>
        <w:t xml:space="preserve">(wri)</w:t>
      </w:r>
      <w:r>
        <w:br/>
      </w:r>
      <w:r>
        <w:rPr>
          <w:rStyle w:val="NormalTok"/>
        </w:rPr>
        <w:t xml:space="preserve">}</w:t>
      </w:r>
      <w:r>
        <w:br/>
      </w:r>
      <w:r>
        <w:br/>
      </w:r>
      <w:r>
        <w:rPr>
          <w:rStyle w:val="NormalTok"/>
        </w:rPr>
        <w:t xml:space="preserve">modis_col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"MODIS/061/MOD09A1"</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"2000-01-01"</w:t>
      </w:r>
      <w:r>
        <w:rPr>
          <w:rStyle w:val="NormalTok"/>
        </w:rPr>
        <w:t xml:space="preserve">, </w:t>
      </w:r>
      <w:r>
        <w:rPr>
          <w:rStyle w:val="StringTok"/>
        </w:rPr>
        <w:t xml:space="preserve">"2025-01-01"</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(modis_indices)</w:t>
      </w:r>
      <w:r>
        <w:br/>
      </w:r>
      <w:r>
        <w:br/>
      </w:r>
      <w:r>
        <w:rPr>
          <w:rStyle w:val="CommentTok"/>
        </w:rPr>
        <w:t xml:space="preserve"># Basin open-water fraction per 8-day step, MNDWI &gt; 0 following the Landsat rule.</w:t>
      </w:r>
      <w:r>
        <w:br/>
      </w:r>
      <w:r>
        <w:rPr>
          <w:rStyle w:val="NormalTok"/>
        </w:rPr>
        <w:t xml:space="preserve">modis_water </w:t>
      </w:r>
      <w:r>
        <w:rPr>
          <w:rStyle w:val="OtherTok"/>
        </w:rPr>
        <w:t xml:space="preserve">&lt;-</w:t>
      </w:r>
      <w:r>
        <w:rPr>
          <w:rStyle w:val="NormalTok"/>
        </w:rPr>
        <w:t xml:space="preserve"> modis_col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 {</w:t>
      </w:r>
      <w:r>
        <w:br/>
      </w:r>
      <w:r>
        <w:rPr>
          <w:rStyle w:val="NormalTok"/>
        </w:rPr>
        <w:t xml:space="preserve">  w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frac </w:t>
      </w:r>
      <w:r>
        <w:rPr>
          <w:rStyle w:val="OtherTok"/>
        </w:rPr>
        <w:t xml:space="preserve">&lt;-</w:t>
      </w:r>
      <w:r>
        <w:rPr>
          <w:rStyle w:val="NormalTok"/>
        </w:rPr>
        <w:t xml:space="preserve"> w</w:t>
      </w:r>
      <w:r>
        <w:rPr>
          <w:rStyle w:val="SpecialCharTok"/>
        </w:rPr>
        <w:t xml:space="preserve">$</w:t>
      </w:r>
      <w:r>
        <w:rPr>
          <w:rStyle w:val="FunctionTok"/>
        </w:rPr>
        <w:t xml:space="preserve">reduceRegion</w:t>
      </w:r>
      <w:r>
        <w:rPr>
          <w:rStyle w:val="NormalTok"/>
        </w:rPr>
        <w:t xml:space="preserve">(</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500</w:t>
      </w:r>
      <w:r>
        <w:rPr>
          <w:rStyle w:val="NormalTok"/>
        </w:rPr>
        <w:t xml:space="preserve">, </w:t>
      </w:r>
      <w:r>
        <w:rPr>
          <w:rStyle w:val="AttributeTok"/>
        </w:rPr>
        <w:t xml:space="preserve">maxPixels =</w:t>
      </w:r>
      <w:r>
        <w:rPr>
          <w:rStyle w:val="NormalTok"/>
        </w:rPr>
        <w:t xml:space="preserve"> </w:t>
      </w:r>
      <w:r>
        <w:rPr>
          <w:rStyle w:val="FloatTok"/>
        </w:rPr>
        <w:t xml:space="preserve">1e9</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"water"</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w:t>
      </w:r>
      <w:r>
        <w:rPr>
          <w:rStyle w:val="FunctionTok"/>
        </w:rPr>
        <w:t xml:space="preserve">list</w:t>
      </w:r>
      <w:r>
        <w:rPr>
          <w:rStyle w:val="NormalTok"/>
        </w:rPr>
        <w:t xml:space="preserve">(</w:t>
      </w:r>
      <w:r>
        <w:rPr>
          <w:rStyle w:val="AttributeTok"/>
        </w:rPr>
        <w:t xml:space="preserve">date =</w:t>
      </w:r>
      <w:r>
        <w:rPr>
          <w:rStyle w:val="NormalTok"/>
        </w:rPr>
        <w:t xml:space="preserve"> img</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br/>
      </w:r>
      <w:r>
        <w:rPr>
          <w:rStyle w:val="NormalTok"/>
        </w:rPr>
        <w:t xml:space="preserve">                        </w:t>
      </w:r>
      <w:r>
        <w:rPr>
          <w:rStyle w:val="AttributeTok"/>
        </w:rPr>
        <w:t xml:space="preserve">water_fraction =</w:t>
      </w:r>
      <w:r>
        <w:rPr>
          <w:rStyle w:val="NormalTok"/>
        </w:rPr>
        <w:t xml:space="preserve"> frac))</w:t>
      </w:r>
      <w:r>
        <w:br/>
      </w:r>
      <w:r>
        <w:rPr>
          <w:rStyle w:val="NormalTok"/>
        </w:rPr>
        <w:t xml:space="preserve">})</w:t>
      </w:r>
      <w:r>
        <w:br/>
      </w:r>
      <w:r>
        <w:br/>
      </w:r>
      <w:r>
        <w:rPr>
          <w:rStyle w:val="NormalTok"/>
        </w:rPr>
        <w:t xml:space="preserve">modis_ts </w:t>
      </w:r>
      <w:r>
        <w:rPr>
          <w:rStyle w:val="OtherTok"/>
        </w:rPr>
        <w:t xml:space="preserve">&lt;-</w:t>
      </w:r>
      <w:r>
        <w:rPr>
          <w:rStyle w:val="NormalTok"/>
        </w:rPr>
        <w:t xml:space="preserve"> </w:t>
      </w:r>
      <w:r>
        <w:rPr>
          <w:rStyle w:val="FunctionTok"/>
        </w:rPr>
        <w:t xml:space="preserve">ee_as_sf</w:t>
      </w:r>
      <w:r>
        <w:rPr>
          <w:rStyle w:val="NormalTok"/>
        </w:rPr>
        <w:t xml:space="preserve">(ee</w:t>
      </w:r>
      <w:r>
        <w:rPr>
          <w:rStyle w:val="SpecialCharTok"/>
        </w:rPr>
        <w:t xml:space="preserve">$</w:t>
      </w:r>
      <w:r>
        <w:rPr>
          <w:rStyle w:val="FunctionTok"/>
        </w:rPr>
        <w:t xml:space="preserve">FeatureCollection</w:t>
      </w:r>
      <w:r>
        <w:rPr>
          <w:rStyle w:val="NormalTok"/>
        </w:rPr>
        <w:t xml:space="preserve">(modis_water))</w:t>
      </w:r>
      <w:r>
        <w:br/>
      </w:r>
      <w:r>
        <w:rPr>
          <w:rStyle w:val="FunctionTok"/>
        </w:rPr>
        <w:t xml:space="preserve">write.csv</w:t>
      </w:r>
      <w:r>
        <w:rPr>
          <w:rStyle w:val="NormalTok"/>
        </w:rPr>
        <w:t xml:space="preserve">(sf</w:t>
      </w:r>
      <w:r>
        <w:rPr>
          <w:rStyle w:val="SpecialCharTok"/>
        </w:rPr>
        <w:t xml:space="preserve">::</w:t>
      </w:r>
      <w:r>
        <w:rPr>
          <w:rStyle w:val="FunctionTok"/>
        </w:rPr>
        <w:t xml:space="preserve">st_drop_geometry</w:t>
      </w:r>
      <w:r>
        <w:rPr>
          <w:rStyle w:val="NormalTok"/>
        </w:rPr>
        <w:t xml:space="preserve">(modis_ts),</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"modis_water_fraction_8day.csv"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71"/>
    <w:bookmarkEnd w:id="72"/>
    <w:bookmarkStart w:id="76" w:name="spectral-water-indices"/>
    <w:p>
      <w:pPr>
        <w:pStyle w:val="Heading4"/>
      </w:pPr>
      <w:r>
        <w:t xml:space="preserve">2.2.5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4986"/>
        <w:tblLayout w:type="fixed"/>
        <w:tblLook w:firstRow="1" w:lastRow="0" w:firstColumn="0" w:lastColumn="0" w:noHBand="0" w:noVBand="0" w:val="0020"/>
      </w:tblPr>
      <w:tblGrid>
        <w:gridCol w:w="526"/>
        <w:gridCol w:w="1272"/>
        <w:gridCol w:w="6099"/>
      </w:tblGrid>
      <w:tr>
        <w:trPr>
          <w:tblHeader w:val="on"/>
        </w:trPr>
        <w:tc>
          <w:tcPr/>
          <w:p>
            <w:pPr>
              <w:pStyle w:val="Compact"/>
            </w:pPr>
            <w:r>
              <w:t xml:space="preserve">Index</w:t>
            </w:r>
          </w:p>
        </w:tc>
        <w:tc>
          <w:tcPr/>
          <w:p>
            <w:pPr>
              <w:pStyle w:val="Compact"/>
            </w:pPr>
            <w:r>
              <w:t xml:space="preserve">Formula</w:t>
            </w:r>
          </w:p>
        </w:tc>
        <w:tc>
          <w:tcPr/>
          <w:p>
            <w:pPr>
              <w:pStyle w:val="Compact"/>
            </w:pPr>
            <w:r>
              <w:t xml:space="preserve">Lake Chilwa Application</w:t>
            </w:r>
          </w:p>
        </w:tc>
      </w:tr>
      <w:tr>
        <w:tc>
          <w:tcPr/>
          <w:p>
            <w:pPr>
              <w:pStyle w:val="BodyText"/>
            </w:pPr>
            <w:r>
              <w:t xml:space="preserve">NDWI</w:t>
            </w:r>
          </w:p>
          <w:p>
            <w:pPr>
              <w:pStyle w:val="BodyText"/>
            </w:pPr>
            <w:r>
              <w:t xml:space="preserve">(McFeeters, 1996)</w:t>
            </w:r>
          </w:p>
        </w:tc>
        <w:tc>
          <w:tcPr/>
          <w:p>
            <w:pPr>
              <w:pStyle w:val="Compact"/>
            </w:pPr>
            <w:r>
              <w:t xml:space="preserve">(Green - NIR) / (Green + NIR)</w:t>
            </w:r>
          </w:p>
        </w:tc>
        <w:tc>
          <w:tcPr/>
          <w:p>
            <w:pPr>
              <w:pStyle w:val="Compact"/>
            </w:pPr>
            <w:r>
              <w:t xml:space="preserve">The original water index, sensitive to deep open water but prone to false negatives in turbid, shallow, or vegetated conditions because suspended sediment and vegetation raise NIR reflectance; the baseline against which the others are compared.</w:t>
            </w:r>
          </w:p>
        </w:tc>
      </w:tr>
      <w:tr>
        <w:tc>
          <w:tcPr/>
          <w:p>
            <w:pPr>
              <w:pStyle w:val="BodyText"/>
            </w:pPr>
            <w:r>
              <w:t xml:space="preserve">MNDWI</w:t>
            </w:r>
          </w:p>
          <w:p>
            <w:pPr>
              <w:pStyle w:val="BodyText"/>
            </w:pPr>
            <w:r>
              <w:t xml:space="preserve">(Xu, 2006)</w:t>
            </w:r>
          </w:p>
        </w:tc>
        <w:tc>
          <w:tcPr/>
          <w:p>
            <w:pPr>
              <w:pStyle w:val="Compact"/>
            </w:pPr>
            <w:r>
              <w:t xml:space="preserve">(Green - SWIR1) / (Green + SWIR1)</w:t>
            </w:r>
          </w:p>
        </w:tc>
        <w:tc>
          <w:tcPr/>
          <w:p>
            <w:pPr>
              <w:pStyle w:val="Compac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BodyText"/>
            </w:pPr>
            <w:r>
              <w:t xml:space="preserve">AWEIsh</w:t>
            </w:r>
          </w:p>
          <w:p>
            <w:pPr>
              <w:pStyle w:val="BodyText"/>
            </w:pPr>
            <w:r>
              <w:t xml:space="preserve">(Feyisa et al., 2014)</w:t>
            </w:r>
          </w:p>
        </w:tc>
        <w:tc>
          <w:tcPr/>
          <w:p>
            <w:pPr>
              <w:pStyle w:val="Compact"/>
            </w:pPr>
            <w:r>
              <w:t xml:space="preserve">Blue + 2.5 x Green - 1.5 x (NIR + SWIR1) - 0.25 x SWIR2</w:t>
            </w:r>
          </w:p>
        </w:tc>
        <w:tc>
          <w:tcPr/>
          <w:p>
            <w:pPr>
              <w:pStyle w:val="Compac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BodyText"/>
            </w:pPr>
            <w:r>
              <w:t xml:space="preserve">WRI</w:t>
            </w:r>
          </w:p>
          <w:p>
            <w:pPr>
              <w:pStyle w:val="BodyText"/>
            </w:pPr>
            <w:r>
              <w:t xml:space="preserve">(Shen and Li, 2010)</w:t>
            </w:r>
          </w:p>
        </w:tc>
        <w:tc>
          <w:tcPr/>
          <w:p>
            <w:pPr>
              <w:pStyle w:val="Compact"/>
            </w:pPr>
            <w:r>
              <w:t xml:space="preserve">(Green + Red) / (NIR + SWIR1)</w:t>
            </w:r>
          </w:p>
        </w:tc>
        <w:tc>
          <w:tcPr/>
          <w:p>
            <w:pPr>
              <w:pStyle w:val="Compac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BodyText"/>
            </w:pPr>
            <w:r>
              <w:t xml:space="preserve">NDPI</w:t>
            </w:r>
          </w:p>
          <w:p>
            <w:pPr>
              <w:pStyle w:val="BodyText"/>
            </w:pPr>
            <w:r>
              <w:t xml:space="preserve">(Lacaux et al., 2007)</w:t>
            </w:r>
          </w:p>
        </w:tc>
        <w:tc>
          <w:tcPr/>
          <w:p>
            <w:pPr>
              <w:pStyle w:val="Compact"/>
            </w:pPr>
            <w:r>
              <w:t xml:space="preserve">(SWIR1 - Green) / (SWIR1 + Green)</w:t>
            </w:r>
          </w:p>
        </w:tc>
        <w:tc>
          <w:tcPr/>
          <w:p>
            <w:pPr>
              <w:pStyle w:val="Compac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Manuscript_2026-08-03_files/figure-docx/index-timeseries-plot-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6"/>
    <w:bookmarkStart w:id="86" w:name="spectral-mixture-analysis"/>
    <w:p>
      <w:pPr>
        <w:pStyle w:val="Heading4"/>
      </w:pPr>
      <w:r>
        <w:t xml:space="preserve">2.2.6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8" name="Picture"/>
            <a:graphic>
              <a:graphicData uri="http://schemas.openxmlformats.org/drawingml/2006/picture">
                <pic:pic>
                  <pic:nvPicPr>
                    <pic:cNvPr descr="Manuscript_2026-08-03_files/figure-docx/sma-unmix-1.png" id="79" name="Picture"/>
                    <pic:cNvPicPr>
                      <a:picLocks noChangeArrowheads="1" noChangeAspect="1"/>
                    </pic:cNvPicPr>
                  </pic:nvPicPr>
                  <pic:blipFill>
                    <a:blip r:embed="rId77"/>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1" name="Picture"/>
            <a:graphic>
              <a:graphicData uri="http://schemas.openxmlformats.org/drawingml/2006/picture">
                <pic:pic>
                  <pic:nvPicPr>
                    <pic:cNvPr descr="Manuscript_2026-08-03_files/figure-docx/sma-plot-1.png" id="82" name="Picture"/>
                    <pic:cNvPicPr>
                      <a:picLocks noChangeArrowheads="1" noChangeAspect="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vegetation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vegetation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4" name="Picture"/>
            <a:graphic>
              <a:graphicData uri="http://schemas.openxmlformats.org/drawingml/2006/picture">
                <pic:pic>
                  <pic:nvPicPr>
                    <pic:cNvPr descr="../03.outputs/PNG/fig07_sma_endmembers.png" id="85" name="Picture"/>
                    <pic:cNvPicPr>
                      <a:picLocks noChangeArrowheads="1" noChangeAspect="1"/>
                    </pic:cNvPicPr>
                  </pic:nvPicPr>
                  <pic:blipFill>
                    <a:blip r:embed="rId83"/>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6"/>
    <w:bookmarkStart w:id="87" w:name="spectral-separability"/>
    <w:p>
      <w:pPr>
        <w:pStyle w:val="Heading4"/>
      </w:pPr>
      <w:r>
        <w:t xml:space="preserve">2.2.7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feature</w:t>
            </w:r>
          </w:p>
        </w:tc>
        <w:tc>
          <w:tcPr/>
          <w:p>
            <w:pPr>
              <w:pStyle w:val="Compact"/>
              <w:jc w:val="right"/>
            </w:pPr>
            <w:r>
              <w:t xml:space="preserve">M_mean</w:t>
            </w:r>
          </w:p>
        </w:tc>
        <w:tc>
          <w:tcPr/>
          <w:p>
            <w:pPr>
              <w:pStyle w:val="Compact"/>
              <w:jc w:val="right"/>
            </w:pPr>
            <w:r>
              <w:t xml:space="preserve">KW_p</w:t>
            </w:r>
          </w:p>
        </w:tc>
      </w:tr>
      <w:tr>
        <w:tc>
          <w:tcPr/>
          <w:p>
            <w:pPr>
              <w:pStyle w:val="Compact"/>
              <w:jc w:val="left"/>
            </w:pPr>
            <w:r>
              <w:t xml:space="preserve">MNDWI</w:t>
            </w:r>
          </w:p>
        </w:tc>
        <w:tc>
          <w:tcPr/>
          <w:p>
            <w:pPr>
              <w:pStyle w:val="Compact"/>
              <w:jc w:val="left"/>
            </w:pPr>
            <w:r>
              <w:t xml:space="preserve">MNDWI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NDPI</w:t>
            </w:r>
          </w:p>
        </w:tc>
        <w:tc>
          <w:tcPr/>
          <w:p>
            <w:pPr>
              <w:pStyle w:val="Compact"/>
              <w:jc w:val="left"/>
            </w:pPr>
            <w:r>
              <w:t xml:space="preserve">NDPI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AWEIsh</w:t>
            </w:r>
          </w:p>
        </w:tc>
        <w:tc>
          <w:tcPr/>
          <w:p>
            <w:pPr>
              <w:pStyle w:val="Compact"/>
              <w:jc w:val="left"/>
            </w:pPr>
            <w:r>
              <w:t xml:space="preserve">AWEIsh</w:t>
            </w:r>
          </w:p>
        </w:tc>
        <w:tc>
          <w:tcPr/>
          <w:p>
            <w:pPr>
              <w:pStyle w:val="Compact"/>
              <w:jc w:val="right"/>
            </w:pPr>
            <w:r>
              <w:t xml:space="preserve">3.407</w:t>
            </w:r>
          </w:p>
        </w:tc>
        <w:tc>
          <w:tcPr/>
          <w:p>
            <w:pPr>
              <w:pStyle w:val="Compact"/>
              <w:jc w:val="right"/>
            </w:pPr>
            <w:r>
              <w:t xml:space="preserve">0</w:t>
            </w:r>
          </w:p>
        </w:tc>
      </w:tr>
      <w:tr>
        <w:tc>
          <w:tcPr/>
          <w:p>
            <w:pPr>
              <w:pStyle w:val="Compact"/>
              <w:jc w:val="left"/>
            </w:pPr>
            <w:r>
              <w:t xml:space="preserve">swir1</w:t>
            </w:r>
          </w:p>
        </w:tc>
        <w:tc>
          <w:tcPr/>
          <w:p>
            <w:pPr>
              <w:pStyle w:val="Compact"/>
              <w:jc w:val="left"/>
            </w:pPr>
            <w:r>
              <w:t xml:space="preserve">swir1</w:t>
            </w:r>
          </w:p>
        </w:tc>
        <w:tc>
          <w:tcPr/>
          <w:p>
            <w:pPr>
              <w:pStyle w:val="Compact"/>
              <w:jc w:val="right"/>
            </w:pPr>
            <w:r>
              <w:t xml:space="preserve">3.025</w:t>
            </w:r>
          </w:p>
        </w:tc>
        <w:tc>
          <w:tcPr/>
          <w:p>
            <w:pPr>
              <w:pStyle w:val="Compact"/>
              <w:jc w:val="right"/>
            </w:pPr>
            <w:r>
              <w:t xml:space="preserve">0</w:t>
            </w:r>
          </w:p>
        </w:tc>
      </w:tr>
      <w:tr>
        <w:tc>
          <w:tcPr/>
          <w:p>
            <w:pPr>
              <w:pStyle w:val="Compact"/>
              <w:jc w:val="left"/>
            </w:pPr>
            <w:r>
              <w:t xml:space="preserve">swir2</w:t>
            </w:r>
          </w:p>
        </w:tc>
        <w:tc>
          <w:tcPr/>
          <w:p>
            <w:pPr>
              <w:pStyle w:val="Compact"/>
              <w:jc w:val="left"/>
            </w:pPr>
            <w:r>
              <w:t xml:space="preserve">swir2</w:t>
            </w:r>
          </w:p>
        </w:tc>
        <w:tc>
          <w:tcPr/>
          <w:p>
            <w:pPr>
              <w:pStyle w:val="Compact"/>
              <w:jc w:val="right"/>
            </w:pPr>
            <w:r>
              <w:t xml:space="preserve">2.842</w:t>
            </w:r>
          </w:p>
        </w:tc>
        <w:tc>
          <w:tcPr/>
          <w:p>
            <w:pPr>
              <w:pStyle w:val="Compact"/>
              <w:jc w:val="right"/>
            </w:pPr>
            <w:r>
              <w:t xml:space="preserve">0</w:t>
            </w:r>
          </w:p>
        </w:tc>
      </w:tr>
      <w:tr>
        <w:tc>
          <w:tcPr/>
          <w:p>
            <w:pPr>
              <w:pStyle w:val="Compact"/>
              <w:jc w:val="left"/>
            </w:pPr>
            <w:r>
              <w:t xml:space="preserve">WRI</w:t>
            </w:r>
          </w:p>
        </w:tc>
        <w:tc>
          <w:tcPr/>
          <w:p>
            <w:pPr>
              <w:pStyle w:val="Compact"/>
              <w:jc w:val="left"/>
            </w:pPr>
            <w:r>
              <w:t xml:space="preserve">WRI</w:t>
            </w:r>
          </w:p>
        </w:tc>
        <w:tc>
          <w:tcPr/>
          <w:p>
            <w:pPr>
              <w:pStyle w:val="Compact"/>
              <w:jc w:val="right"/>
            </w:pPr>
            <w:r>
              <w:t xml:space="preserve">2.756</w:t>
            </w:r>
          </w:p>
        </w:tc>
        <w:tc>
          <w:tcPr/>
          <w:p>
            <w:pPr>
              <w:pStyle w:val="Compact"/>
              <w:jc w:val="right"/>
            </w:pPr>
            <w:r>
              <w:t xml:space="preserve">0</w:t>
            </w:r>
          </w:p>
        </w:tc>
      </w:tr>
      <w:tr>
        <w:tc>
          <w:tcPr/>
          <w:p>
            <w:pPr>
              <w:pStyle w:val="Compact"/>
              <w:jc w:val="left"/>
            </w:pPr>
            <w:r>
              <w:t xml:space="preserve">water_frac</w:t>
            </w:r>
          </w:p>
        </w:tc>
        <w:tc>
          <w:tcPr/>
          <w:p>
            <w:pPr>
              <w:pStyle w:val="Compact"/>
              <w:jc w:val="left"/>
            </w:pPr>
            <w:r>
              <w:t xml:space="preserve">water_frac</w:t>
            </w:r>
          </w:p>
        </w:tc>
        <w:tc>
          <w:tcPr/>
          <w:p>
            <w:pPr>
              <w:pStyle w:val="Compact"/>
              <w:jc w:val="right"/>
            </w:pPr>
            <w:r>
              <w:t xml:space="preserve">2.660</w:t>
            </w:r>
          </w:p>
        </w:tc>
        <w:tc>
          <w:tcPr/>
          <w:p>
            <w:pPr>
              <w:pStyle w:val="Compact"/>
              <w:jc w:val="right"/>
            </w:pPr>
            <w:r>
              <w:t xml:space="preserve">0</w:t>
            </w:r>
          </w:p>
        </w:tc>
      </w:tr>
      <w:tr>
        <w:tc>
          <w:tcPr/>
          <w:p>
            <w:pPr>
              <w:pStyle w:val="Compact"/>
              <w:jc w:val="left"/>
            </w:pPr>
            <w:r>
              <w:t xml:space="preserve">NDVI</w:t>
            </w:r>
          </w:p>
        </w:tc>
        <w:tc>
          <w:tcPr/>
          <w:p>
            <w:pPr>
              <w:pStyle w:val="Compact"/>
              <w:jc w:val="left"/>
            </w:pPr>
            <w:r>
              <w:t xml:space="preserve">NDVI</w:t>
            </w:r>
          </w:p>
        </w:tc>
        <w:tc>
          <w:tcPr/>
          <w:p>
            <w:pPr>
              <w:pStyle w:val="Compact"/>
              <w:jc w:val="right"/>
            </w:pPr>
            <w:r>
              <w:t xml:space="preserve">2.099</w:t>
            </w:r>
          </w:p>
        </w:tc>
        <w:tc>
          <w:tcPr/>
          <w:p>
            <w:pPr>
              <w:pStyle w:val="Compact"/>
              <w:jc w:val="right"/>
            </w:pPr>
            <w:r>
              <w:t xml:space="preserve">0</w:t>
            </w:r>
          </w:p>
        </w:tc>
      </w:tr>
      <w:tr>
        <w:tc>
          <w:tcPr/>
          <w:p>
            <w:pPr>
              <w:pStyle w:val="Compact"/>
              <w:jc w:val="left"/>
            </w:pPr>
            <w:r>
              <w:t xml:space="preserve">NDWI</w:t>
            </w:r>
          </w:p>
        </w:tc>
        <w:tc>
          <w:tcPr/>
          <w:p>
            <w:pPr>
              <w:pStyle w:val="Compact"/>
              <w:jc w:val="left"/>
            </w:pPr>
            <w:r>
              <w:t xml:space="preserve">NDWI</w:t>
            </w:r>
          </w:p>
        </w:tc>
        <w:tc>
          <w:tcPr/>
          <w:p>
            <w:pPr>
              <w:pStyle w:val="Compact"/>
              <w:jc w:val="right"/>
            </w:pPr>
            <w:r>
              <w:t xml:space="preserve">1.938</w:t>
            </w:r>
          </w:p>
        </w:tc>
        <w:tc>
          <w:tcPr/>
          <w:p>
            <w:pPr>
              <w:pStyle w:val="Compact"/>
              <w:jc w:val="right"/>
            </w:pPr>
            <w:r>
              <w:t xml:space="preserve">0</w:t>
            </w:r>
          </w:p>
        </w:tc>
      </w:tr>
      <w:tr>
        <w:tc>
          <w:tcPr/>
          <w:p>
            <w:pPr>
              <w:pStyle w:val="Compact"/>
              <w:jc w:val="left"/>
            </w:pPr>
            <w:r>
              <w:t xml:space="preserve">nir</w:t>
            </w:r>
          </w:p>
        </w:tc>
        <w:tc>
          <w:tcPr/>
          <w:p>
            <w:pPr>
              <w:pStyle w:val="Compact"/>
              <w:jc w:val="left"/>
            </w:pPr>
            <w:r>
              <w:t xml:space="preserve">nir</w:t>
            </w:r>
          </w:p>
        </w:tc>
        <w:tc>
          <w:tcPr/>
          <w:p>
            <w:pPr>
              <w:pStyle w:val="Compact"/>
              <w:jc w:val="right"/>
            </w:pPr>
            <w:r>
              <w:t xml:space="preserve">1.837</w:t>
            </w:r>
          </w:p>
        </w:tc>
        <w:tc>
          <w:tcPr/>
          <w:p>
            <w:pPr>
              <w:pStyle w:val="Compact"/>
              <w:jc w:val="right"/>
            </w:pPr>
            <w:r>
              <w:t xml:space="preserve">0</w:t>
            </w:r>
          </w:p>
        </w:tc>
      </w:tr>
      <w:tr>
        <w:tc>
          <w:tcPr/>
          <w:p>
            <w:pPr>
              <w:pStyle w:val="Compact"/>
              <w:jc w:val="left"/>
            </w:pPr>
            <w:r>
              <w:t xml:space="preserve">red</w:t>
            </w:r>
          </w:p>
        </w:tc>
        <w:tc>
          <w:tcPr/>
          <w:p>
            <w:pPr>
              <w:pStyle w:val="Compact"/>
              <w:jc w:val="left"/>
            </w:pPr>
            <w:r>
              <w:t xml:space="preserve">red</w:t>
            </w:r>
          </w:p>
        </w:tc>
        <w:tc>
          <w:tcPr/>
          <w:p>
            <w:pPr>
              <w:pStyle w:val="Compact"/>
              <w:jc w:val="right"/>
            </w:pPr>
            <w:r>
              <w:t xml:space="preserve">1.460</w:t>
            </w:r>
          </w:p>
        </w:tc>
        <w:tc>
          <w:tcPr/>
          <w:p>
            <w:pPr>
              <w:pStyle w:val="Compact"/>
              <w:jc w:val="right"/>
            </w:pPr>
            <w:r>
              <w:t xml:space="preserve">0</w:t>
            </w:r>
          </w:p>
        </w:tc>
      </w:tr>
      <w:tr>
        <w:tc>
          <w:tcPr/>
          <w:p>
            <w:pPr>
              <w:pStyle w:val="Compact"/>
              <w:jc w:val="left"/>
            </w:pPr>
            <w:r>
              <w:t xml:space="preserve">flooded_veg_frac</w:t>
            </w:r>
          </w:p>
        </w:tc>
        <w:tc>
          <w:tcPr/>
          <w:p>
            <w:pPr>
              <w:pStyle w:val="Compact"/>
              <w:jc w:val="left"/>
            </w:pPr>
            <w:r>
              <w:t xml:space="preserve">flooded_veg_frac</w:t>
            </w:r>
          </w:p>
        </w:tc>
        <w:tc>
          <w:tcPr/>
          <w:p>
            <w:pPr>
              <w:pStyle w:val="Compact"/>
              <w:jc w:val="right"/>
            </w:pPr>
            <w:r>
              <w:t xml:space="preserve">1.212</w:t>
            </w:r>
          </w:p>
        </w:tc>
        <w:tc>
          <w:tcPr/>
          <w:p>
            <w:pPr>
              <w:pStyle w:val="Compact"/>
              <w:jc w:val="right"/>
            </w:pPr>
            <w:r>
              <w:t xml:space="preserve">0</w:t>
            </w:r>
          </w:p>
        </w:tc>
      </w:tr>
      <w:tr>
        <w:tc>
          <w:tcPr/>
          <w:p>
            <w:pPr>
              <w:pStyle w:val="Compact"/>
              <w:jc w:val="left"/>
            </w:pPr>
            <w:r>
              <w:t xml:space="preserve">VH</w:t>
            </w:r>
          </w:p>
        </w:tc>
        <w:tc>
          <w:tcPr/>
          <w:p>
            <w:pPr>
              <w:pStyle w:val="Compact"/>
              <w:jc w:val="left"/>
            </w:pPr>
            <w:r>
              <w:t xml:space="preserve">VH</w:t>
            </w:r>
          </w:p>
        </w:tc>
        <w:tc>
          <w:tcPr/>
          <w:p>
            <w:pPr>
              <w:pStyle w:val="Compact"/>
              <w:jc w:val="right"/>
            </w:pPr>
            <w:r>
              <w:t xml:space="preserve">1.152</w:t>
            </w:r>
          </w:p>
        </w:tc>
        <w:tc>
          <w:tcPr/>
          <w:p>
            <w:pPr>
              <w:pStyle w:val="Compact"/>
              <w:jc w:val="right"/>
            </w:pPr>
            <w:r>
              <w:t xml:space="preserve">0</w:t>
            </w:r>
          </w:p>
        </w:tc>
      </w:tr>
      <w:tr>
        <w:tc>
          <w:tcPr/>
          <w:p>
            <w:pPr>
              <w:pStyle w:val="Compact"/>
              <w:jc w:val="left"/>
            </w:pPr>
            <w:r>
              <w:t xml:space="preserve">VV</w:t>
            </w:r>
          </w:p>
        </w:tc>
        <w:tc>
          <w:tcPr/>
          <w:p>
            <w:pPr>
              <w:pStyle w:val="Compact"/>
              <w:jc w:val="left"/>
            </w:pPr>
            <w:r>
              <w:t xml:space="preserve">VV</w:t>
            </w:r>
          </w:p>
        </w:tc>
        <w:tc>
          <w:tcPr/>
          <w:p>
            <w:pPr>
              <w:pStyle w:val="Compact"/>
              <w:jc w:val="right"/>
            </w:pPr>
            <w:r>
              <w:t xml:space="preserve">1.079</w:t>
            </w:r>
          </w:p>
        </w:tc>
        <w:tc>
          <w:tcPr/>
          <w:p>
            <w:pPr>
              <w:pStyle w:val="Compact"/>
              <w:jc w:val="right"/>
            </w:pPr>
            <w:r>
              <w:t xml:space="preserve">0</w:t>
            </w:r>
          </w:p>
        </w:tc>
      </w:tr>
      <w:tr>
        <w:tc>
          <w:tcPr/>
          <w:p>
            <w:pPr>
              <w:pStyle w:val="Compact"/>
              <w:jc w:val="left"/>
            </w:pPr>
            <w:r>
              <w:t xml:space="preserve">green</w:t>
            </w:r>
          </w:p>
        </w:tc>
        <w:tc>
          <w:tcPr/>
          <w:p>
            <w:pPr>
              <w:pStyle w:val="Compact"/>
              <w:jc w:val="left"/>
            </w:pPr>
            <w:r>
              <w:t xml:space="preserve">green</w:t>
            </w:r>
          </w:p>
        </w:tc>
        <w:tc>
          <w:tcPr/>
          <w:p>
            <w:pPr>
              <w:pStyle w:val="Compact"/>
              <w:jc w:val="right"/>
            </w:pPr>
            <w:r>
              <w:t xml:space="preserve">0.956</w:t>
            </w:r>
          </w:p>
        </w:tc>
        <w:tc>
          <w:tcPr/>
          <w:p>
            <w:pPr>
              <w:pStyle w:val="Compact"/>
              <w:jc w:val="right"/>
            </w:pPr>
            <w:r>
              <w:t xml:space="preserve">0</w:t>
            </w:r>
          </w:p>
        </w:tc>
      </w:tr>
      <w:tr>
        <w:tc>
          <w:tcPr/>
          <w:p>
            <w:pPr>
              <w:pStyle w:val="Compact"/>
              <w:jc w:val="left"/>
            </w:pPr>
            <w:r>
              <w:t xml:space="preserve">blue</w:t>
            </w:r>
          </w:p>
        </w:tc>
        <w:tc>
          <w:tcPr/>
          <w:p>
            <w:pPr>
              <w:pStyle w:val="Compact"/>
              <w:jc w:val="left"/>
            </w:pPr>
            <w:r>
              <w:t xml:space="preserve">blue</w:t>
            </w:r>
          </w:p>
        </w:tc>
        <w:tc>
          <w:tcPr/>
          <w:p>
            <w:pPr>
              <w:pStyle w:val="Compact"/>
              <w:jc w:val="right"/>
            </w:pPr>
            <w:r>
              <w:t xml:space="preserve">0.730</w:t>
            </w:r>
          </w:p>
        </w:tc>
        <w:tc>
          <w:tcPr/>
          <w:p>
            <w:pPr>
              <w:pStyle w:val="Compact"/>
              <w:jc w:val="right"/>
            </w:pPr>
            <w:r>
              <w:t xml:space="preserve">0</w:t>
            </w:r>
          </w:p>
        </w:tc>
      </w:tr>
      <w:tr>
        <w:tc>
          <w:tcPr/>
          <w:p>
            <w:pPr>
              <w:pStyle w:val="Compact"/>
              <w:jc w:val="left"/>
            </w:pPr>
            <w:r>
              <w:t xml:space="preserve">L_HV</w:t>
            </w:r>
          </w:p>
        </w:tc>
        <w:tc>
          <w:tcPr/>
          <w:p>
            <w:pPr>
              <w:pStyle w:val="Compact"/>
              <w:jc w:val="left"/>
            </w:pPr>
            <w:r>
              <w:t xml:space="preserve">L_HV</w:t>
            </w:r>
          </w:p>
        </w:tc>
        <w:tc>
          <w:tcPr/>
          <w:p>
            <w:pPr>
              <w:pStyle w:val="Compact"/>
              <w:jc w:val="right"/>
            </w:pPr>
            <w:r>
              <w:t xml:space="preserve">0.632</w:t>
            </w:r>
          </w:p>
        </w:tc>
        <w:tc>
          <w:tcPr/>
          <w:p>
            <w:pPr>
              <w:pStyle w:val="Compact"/>
              <w:jc w:val="right"/>
            </w:pPr>
            <w:r>
              <w:t xml:space="preserve">0</w:t>
            </w:r>
          </w:p>
        </w:tc>
      </w:tr>
      <w:tr>
        <w:tc>
          <w:tcPr/>
          <w:p>
            <w:pPr>
              <w:pStyle w:val="Compact"/>
              <w:jc w:val="left"/>
            </w:pPr>
            <w:r>
              <w:t xml:space="preserve">L_HH</w:t>
            </w:r>
          </w:p>
        </w:tc>
        <w:tc>
          <w:tcPr/>
          <w:p>
            <w:pPr>
              <w:pStyle w:val="Compact"/>
              <w:jc w:val="left"/>
            </w:pPr>
            <w:r>
              <w:t xml:space="preserve">L_HH</w:t>
            </w:r>
          </w:p>
        </w:tc>
        <w:tc>
          <w:tcPr/>
          <w:p>
            <w:pPr>
              <w:pStyle w:val="Compact"/>
              <w:jc w:val="right"/>
            </w:pPr>
            <w:r>
              <w:t xml:space="preserve">0.480</w:t>
            </w:r>
          </w:p>
        </w:tc>
        <w:tc>
          <w:tcPr/>
          <w:p>
            <w:pPr>
              <w:pStyle w:val="Compact"/>
              <w:jc w:val="right"/>
            </w:pPr>
            <w:r>
              <w:t xml:space="preserve">0</w:t>
            </w:r>
          </w:p>
        </w:tc>
      </w:tr>
    </w:tbl>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8.383686e-15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2,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7"/>
    <w:bookmarkStart w:id="89" w:name="training-and-classification"/>
    <w:p>
      <w:pPr>
        <w:pStyle w:val="Heading4"/>
      </w:pPr>
      <w:r>
        <w:t xml:space="preserve">2.2.8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The fieldwork period required a second and separate assessment. The full multi-sensor stack existed only from 2015, when Sentinel-1 began and the second PALSAR period started, so 2020 was the earliest year with optical, C-band and L-band data together, and the random forest of this section was trained and applied to that year. No C-band or L-band mosaic covered 2012. For the fieldwork year the field points were therefore compared with the open-water surface of the harmonic model, read on the date of each photograph session, and with the Envisat map of water beneath vegetation on the nearest radar date (Section 2.3.1). The field points checked 2012 directly, since it was the year they recorded, and the harmonic surface was fitted to Landsat 5, 7 and 8 observations processed to the same Collection 2 Level-2 standard (Section 2.2.4).</w:t>
      </w:r>
    </w:p>
    <w:p>
      <w:pPr>
        <w:pStyle w:val="BodyText"/>
      </w:pPr>
      <w:r>
        <w:t xml:space="preserve">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SourceCode"/>
      </w:pPr>
      <w:r>
        <w:rPr>
          <w:rStyle w:val="VerbatimChar"/>
        </w:rPr>
        <w:t xml:space="preserve">Error:</w:t>
      </w:r>
      <w:r>
        <w:br/>
      </w:r>
      <w:r>
        <w:rPr>
          <w:rStyle w:val="VerbatimChar"/>
        </w:rPr>
        <w:t xml:space="preserve">! Chromote: timed out waiting for event Page.loadEventFired</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Start w:id="88" w:name="export-time-series"/>
    <w:p>
      <w:pPr>
        <w:pStyle w:val="Heading5"/>
      </w:pPr>
      <w:r>
        <w:t xml:space="preserve">Export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88"/>
    <w:bookmarkEnd w:id="89"/>
    <w:bookmarkEnd w:id="90"/>
    <w:bookmarkStart w:id="95" w:name="sixteen-day-record"/>
    <w:p>
      <w:pPr>
        <w:pStyle w:val="Heading3"/>
      </w:pPr>
      <w:r>
        <w:t xml:space="preserve">2.3 Sixteen-Day Record</w:t>
      </w:r>
    </w:p>
    <w:p>
      <w:pPr>
        <w:pStyle w:val="FirstParagraph"/>
      </w:pPr>
      <w:r>
        <w:t xml:space="preserve">Inundation was reported at sixteen-day steps, the interval at which Landsat revisits the basin, from 1 January 1984 to 16 December 2024. That gave 936 steps, of which 562 had a direct observation and 374 were estimated by the model alone. The interval was chosen because of how fast the lake moved. Across twenty-five years with clear observations in both the wet and the dry season, the lake changed by a median of 144 km2 within a single year, measured as the spread between the tenth and ninetieth percentiles, and an annual composite averages that change away.</w:t>
      </w:r>
    </w:p>
    <w:p>
      <w:pPr>
        <w:pStyle w:val="BodyText"/>
      </w:pPr>
      <w:r>
        <w:t xml:space="preserve">No single instrument covered the whole record, so observations from two satellites were combined rather than composited. The combination followed the design of HISTARFM, which joined a regression of Landsat on MODIS with a Kalman filter to produce 30 m reflectance with no gaps (Moreno-Martínez et al., 2020), and applied it to the water area of the basin rather than to the reflectance of each pixel. Landsat 4, 5, 7, 8 and 9 Collection 2 surface reflectance supplied the thirty-metre detail from 1984, water being taken as a modified normalised difference water index above zero, and the Moderate Resolution Imaging Spectroradiometer supplied density at five hundred metres from February 2000, carrying the same index because its surface reflectance product holds both a green and a shortwave infrared band. The coarse stream was calibrated onto the fine one on 229 steps observed by both, giving a Pearson correlation of 0.986 and a residual standard deviation of 58.9 km2.</w:t>
      </w:r>
    </w:p>
    <w:p>
      <w:pPr>
        <w:pStyle w:val="BodyText"/>
      </w:pPr>
      <w:r>
        <w:t xml:space="preserve">Partial views were admitted only where nearly complete, and the floor was set by measurement rather than judgement. Scaling the water seen inside a clear fraction up to the whole lake assumes water is spread evenly between the observed and unobserved parts, which does not hold here because cloud sits over the wet centre and the scan-line gaps of Landsat 7 widen from the swath edge. Partial views had biased water area at global scale as well, since correcting the cloud-affected Landsat water maps of 6,817 reservoirs raised their long-term average area from 173,000 km2 to 394,000 km2 (Zhao and Gao, 2018). Checked against near-complete Moderate Resolution Imaging Spectroradiometer views on the same steps, a Landsat window seeing thirty per cent of the lake was out by -659 km2 and one seeing half by +439 km2, while at eighty per cent the error fell to +110 km2 and at ninety to +62 km2. The floor was therefore set at eighty per cent, which costs most of the pre-2000 observations and pays that cost in the credible interval rather than hiding it inside a scaled number.</w:t>
      </w:r>
    </w:p>
    <w:p>
      <w:pPr>
        <w:pStyle w:val="BodyText"/>
      </w:pPr>
      <w:r>
        <w:t xml:space="preserve">The model followed a hidden inundated area through all 936 steps as a local linear trend, a level that moved each step by a slope that could itself change, with an annual sine and cosine pair so that the yearly flood entered as signal rather than as noise (Durbin and Koopman, 2012). Each observation entered with its own variance, a measure of how uncertain it was, which grew as the clear share of the lake fell. Where both satellites observed the same step, their areas were averaged with weights equal to the inverse of their variances, so the more reliable view counted for more. A Rauch-Tung-Striebel backward pass, a second pass run from the last step to the first, let each estimate use observations made after it as well as before (Rauch et al., 1965), which made the sparse years before 2000 usable. Sedano et al. (2014), who combined Landsat and MODIS vegetation index at sixteen-day steps with a Kalman filter, reported that</w:t>
      </w:r>
      <w:r>
        <w:t xml:space="preserve"> </w:t>
      </w:r>
      <w:r>
        <w:t xml:space="preserve">“Residuals were also significantly lower for time series of synthetic NDVI images generated at combined recursion (smoothing) than individually at forward and backward recursions (filtering)”</w:t>
      </w:r>
      <w:r>
        <w:t xml:space="preserve"> </w:t>
      </w:r>
      <w:r>
        <w:t xml:space="preserve">(p. 12381), meaning that the two-pass estimate was closer to the observations than a single pass in either direction. The standard deviation of each step in the level was 36.5 km2, and a factor of 0.377 was applied to the stated observation variances, both set by maximum likelihood, meaning the values that made the observed record most probable. The factor showed that the variances supplied with the observations were about two and a half times larger than the record’s own residuals supported. HISTARFM needed the same step, because Martínez-Ferrer et al. (2022) rescaled its uncertainties against observed error after finding that</w:t>
      </w:r>
      <w:r>
        <w:t xml:space="preserve"> </w:t>
      </w:r>
      <w:r>
        <w:t xml:space="preserve">“when the model is uncalibrated we are reporting too little uncertainty so that the predictor is overconfident”</w:t>
      </w:r>
      <w:r>
        <w:t xml:space="preserve"> </w:t>
      </w:r>
      <w:r>
        <w:t xml:space="preserve">(p. 6), meaning its stated uncertainties were too small.</w:t>
      </w:r>
    </w:p>
    <w:p>
      <w:pPr>
        <w:pStyle w:val="BodyText"/>
      </w:pPr>
      <w:r>
        <w:t xml:space="preserve">Water standing within vegetation cannot be measured optically and was taken from radar. A horizontally polarised wave passes between vertical stems, reflects off the water, bounces into the stem base and returns doubled, brightening the co-polarised channel while the cross-polarised channel, which records volume scattering inside the stand, does not share the gain. Thresholds on both channels were set at the ninety-fifth percentile of dry land beyond ten kilometres of the lake, so the rule admits at most five per cent of dry ground by construction and admitted 2.1 to 2.8 per cent across the seven usable Envisat dates. Sentinel-1 cannot serve this purpose here, since of 1,966 scenes over the basin exactly one transmits horizontally.</w:t>
      </w:r>
    </w:p>
    <w:p>
      <w:pPr>
        <w:pStyle w:val="BodyText"/>
      </w:pPr>
      <w:r>
        <w:t xml:space="preserve">Advanced Very High Resolution Radiometer imagery was tested as the pre-2000 dense stream and rejected. Nine predictors, including every reflectance band, brightness temperature and same-date contrast forms, were regressed against 101 steps of known area spanning 7 km2 to 1,374 km2, and the best reached a correlation of 0.33. At 5.6 km the lake spans about thirty-five mixed pixels and exposed lakebed reads low in the vegetation index and moderate in the near infrared exactly as water does, so in the drought years the record most needs, mud and water are not separable in the bands that sensor carries.</w:t>
      </w:r>
    </w:p>
    <w:p>
      <w:pPr>
        <w:pStyle w:val="BodyText"/>
      </w:pPr>
      <w:r>
        <w:t xml:space="preserve">The record and its acceptance test are held in</w:t>
      </w:r>
      <w:r>
        <w:t xml:space="preserve"> </w:t>
      </w:r>
      <w:r>
        <w:rPr>
          <w:rStyle w:val="VerbatimChar"/>
        </w:rPr>
        <w:t xml:space="preserve">03.outputs/CSV/chilwa_inundation_16day.csv</w:t>
      </w:r>
      <w:r>
        <w:t xml:space="preserve"> </w:t>
      </w:r>
      <w:r>
        <w:t xml:space="preserve">and</w:t>
      </w:r>
      <w:r>
        <w:t xml:space="preserve"> </w:t>
      </w:r>
      <w:r>
        <w:rPr>
          <w:rStyle w:val="VerbatimChar"/>
        </w:rPr>
        <w:t xml:space="preserve">05.scripts/eval_timeseries.py</w:t>
      </w:r>
      <w:r>
        <w:t xml:space="preserve">, the second deciding completeness against sixteen criteria covering coverage, physical bounds, interval ordering, seasonal amplitude retained against the record’s own observations, sensor provenance, model specification and byte-exact reproducibility.</w:t>
      </w:r>
    </w:p>
    <w:bookmarkStart w:id="91" w:name="closing-the-gap"/>
    <w:p>
      <w:pPr>
        <w:pStyle w:val="Heading4"/>
      </w:pPr>
      <w:r>
        <w:t xml:space="preserve">2.3.1 Closing The Gap</w:t>
      </w:r>
    </w:p>
    <w:p>
      <w:pPr>
        <w:pStyle w:val="FirstParagraph"/>
      </w:pPr>
      <w:r>
        <w:t xml:space="preserve">Landsat 5 stopped imaging the Lake Chilwa basin on 18 October 2011 and Landsat 8 began on 25 March 2013. For the seventeen months between, which included all of the 2012 fieldwork, the only Landsat satellite over the basin was Landsat 7. Its scan-line corrector failed in May 2003, so every scene it recorded afterwards had wedge-shaped strips of missing data that widened toward the edge of the image. Forty-one Landsat 7 scenes covered the basin in 2012, and the strips fell in different places on successive passes, so a stack of scenes filled what any single scene left empty. Along the satellite track numbered 167, one scene observed 6,740 km2 of the basin and thirteen scenes together observed 7,789 km2. Fifteen scenes from February to June 2012 left 18 km2 of the 8,752 km2 basin unobserved, and the forty-one scenes of the whole year left none.</w:t>
      </w:r>
    </w:p>
    <w:p>
      <w:pPr>
        <w:pStyle w:val="BodyText"/>
      </w:pPr>
      <w:r>
        <w:t xml:space="preserve">The strips themselves did not bias the water measurement, whereas scaling a partial view up to the whole lake did. On seventy-one sixteen-day windows in which Landsat 7 and Landsat 8 both saw more than half the lake, Landsat 7 recorded on average 141 km2 more water [paired t-test, t(70) = 5.23, p &lt; 0.001]. The difference came from dividing the water seen in the clear part of the lake by the size of that part, which assumes water is spread evenly between the seen and unseen parts. Cloud sat over the wet centre and the strips widened toward the edge, so neither missing part was random. Accepting only windows in which at least eighty per cent of the lake was clear removed the bias but reduced the number of observations. Between October 2011 and March 2013, Landsat 7 met that threshold on five of the thirty-three sixteen-day steps, the first on 5 May 2012.</w:t>
      </w:r>
    </w:p>
    <w:p>
      <w:pPr>
        <w:pStyle w:val="BodyText"/>
      </w:pPr>
      <w:r>
        <w:t xml:space="preserve">MODIS provided most of the record inside the gap. Of the thirty-three steps, thirty had an observation, twenty-four of them from MODIS alone after calibration to Landsat, and three were estimated by the model, with an uncertainty that widened with the time since the nearest observation. For the window containing the 22 February 2012 session of 43 photographs, the record gave 1,120 km2 of open water, with a ninety-five per cent interval of plus or minus 54 km2.</w:t>
      </w:r>
    </w:p>
    <w:p>
      <w:pPr>
        <w:pStyle w:val="BodyText"/>
      </w:pPr>
      <w:r>
        <w:t xml:space="preserve">The sixteen-day record gave the water area of the basin but not a map, so the field points were compared with a separate 30 m surface. A harmonic model of MNDWI, with a level, a linear drift and annual and half-yearly sine and cosine pairs, was fitted to each pixel from 243 Landsat 5, 7 and 8 scenes acquired between 1 June 2010 and 1 June 2014, and was read on the date of each photograph session. The model had the same role as the ten-year monthly Landsat average in HISTARFM, an expected value for each pixel on a given date (Moreno-Martínez et al., 2020), but it was fitted over four years around the gap so that the fieldwork year lay inside the fitting period rather than after it. Every pixel had at least twelve clear observations and the median pixel had forty-eight, against six coefficients. When whole dates were withheld and then predicted, the mean absolute error in MNDWI was 0.056 to 0.073, close to the 0.058 error on the observations used for the fit, so the model had not been fitted to noise. On 22 February 2012 it gave 1,158 km2 of open water, inside the interval of the sixteen-day record, and it agreed with an external surface-water product built from the same Landsat 7 scenes on 98.6 to 99.6 per cent of pixels, which confirmed the rule used to classify water rather than the observations themselves.</w:t>
      </w:r>
    </w:p>
    <w:bookmarkEnd w:id="91"/>
    <w:bookmarkStart w:id="92" w:name="observations"/>
    <w:p>
      <w:pPr>
        <w:pStyle w:val="Heading4"/>
      </w:pPr>
      <w:r>
        <w:t xml:space="preserve">2.3.2 Observations</w:t>
      </w:r>
    </w:p>
    <w:p>
      <w:pPr>
        <w:pStyle w:val="SourceCode"/>
      </w:pPr>
      <w:r>
        <w:rPr>
          <w:rStyle w:val="CommentTok"/>
        </w:rPr>
        <w:t xml:space="preserve"># Constants. Each is a measurement rather than a preference, and the origin of</w:t>
      </w:r>
      <w:r>
        <w:br/>
      </w:r>
      <w:r>
        <w:rPr>
          <w:rStyle w:val="CommentTok"/>
        </w:rPr>
        <w:t xml:space="preserve"># every value is given beside it.</w:t>
      </w:r>
      <w:r>
        <w:br/>
      </w:r>
      <w:r>
        <w:br/>
      </w:r>
      <w:r>
        <w:rPr>
          <w:rStyle w:val="NormalTok"/>
        </w:rPr>
        <w:t xml:space="preserve">grid_start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"1984-01-01"</w:t>
      </w:r>
      <w:r>
        <w:rPr>
          <w:rStyle w:val="NormalTok"/>
        </w:rPr>
        <w:t xml:space="preserve">)   </w:t>
      </w:r>
      <w:r>
        <w:rPr>
          <w:rStyle w:val="CommentTok"/>
        </w:rPr>
        <w:t xml:space="preserve"># the first Landsat scene over the basin</w:t>
      </w:r>
      <w:r>
        <w:br/>
      </w:r>
      <w:r>
        <w:rPr>
          <w:rStyle w:val="NormalTok"/>
        </w:rPr>
        <w:t xml:space="preserve">grid_end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"2024-12-31"</w:t>
      </w:r>
      <w:r>
        <w:rPr>
          <w:rStyle w:val="NormalTok"/>
        </w:rPr>
        <w:t xml:space="preserve">)</w:t>
      </w:r>
      <w:r>
        <w:br/>
      </w:r>
      <w:r>
        <w:rPr>
          <w:rStyle w:val="NormalTok"/>
        </w:rPr>
        <w:t xml:space="preserve">grid_step  </w:t>
      </w:r>
      <w:r>
        <w:rPr>
          <w:rStyle w:val="OtherTok"/>
        </w:rPr>
        <w:t xml:space="preserve">&lt;-</w:t>
      </w:r>
      <w:r>
        <w:rPr>
          <w:rStyle w:val="NormalTok"/>
        </w:rPr>
        <w:t xml:space="preserve"> </w:t>
      </w:r>
      <w:r>
        <w:rPr>
          <w:rStyle w:val="DecValTok"/>
        </w:rPr>
        <w:t xml:space="preserve">16</w:t>
      </w:r>
      <w:r>
        <w:rPr>
          <w:rStyle w:val="NormalTok"/>
        </w:rPr>
        <w:t xml:space="preserve">                      </w:t>
      </w:r>
      <w:r>
        <w:rPr>
          <w:rStyle w:val="CommentTok"/>
        </w:rPr>
        <w:t xml:space="preserve"># the Landsat repeat interval, in days</w:t>
      </w:r>
      <w:r>
        <w:br/>
      </w:r>
      <w:r>
        <w:rPr>
          <w:rStyle w:val="NormalTok"/>
        </w:rPr>
        <w:t xml:space="preserve">basin_km2  </w:t>
      </w:r>
      <w:r>
        <w:rPr>
          <w:rStyle w:val="OtherTok"/>
        </w:rPr>
        <w:t xml:space="preserve">&lt;-</w:t>
      </w:r>
      <w:r>
        <w:rPr>
          <w:rStyle w:val="NormalTok"/>
        </w:rPr>
        <w:t xml:space="preserve"> </w:t>
      </w:r>
      <w:r>
        <w:rPr>
          <w:rStyle w:val="DecValTok"/>
        </w:rPr>
        <w:t xml:space="preserve">8752</w:t>
      </w:r>
      <w:r>
        <w:rPr>
          <w:rStyle w:val="NormalTok"/>
        </w:rPr>
        <w:t xml:space="preserve">                    </w:t>
      </w:r>
      <w:r>
        <w:rPr>
          <w:rStyle w:val="CommentTok"/>
        </w:rPr>
        <w:t xml:space="preserve"># the self-derived watershed, Section 2.2</w:t>
      </w:r>
      <w:r>
        <w:br/>
      </w:r>
      <w:r>
        <w:rPr>
          <w:rStyle w:val="NormalTok"/>
        </w:rPr>
        <w:t xml:space="preserve">min_clear  </w:t>
      </w:r>
      <w:r>
        <w:rPr>
          <w:rStyle w:val="OtherTok"/>
        </w:rPr>
        <w:t xml:space="preserve">&lt;-</w:t>
      </w:r>
      <w:r>
        <w:rPr>
          <w:rStyle w:val="NormalTok"/>
        </w:rPr>
        <w:t xml:space="preserve"> </w:t>
      </w:r>
      <w:r>
        <w:rPr>
          <w:rStyle w:val="FloatTok"/>
        </w:rPr>
        <w:t xml:space="preserve">0.80</w:t>
      </w:r>
      <w:r>
        <w:rPr>
          <w:rStyle w:val="NormalTok"/>
        </w:rPr>
        <w:t xml:space="preserve">                    </w:t>
      </w:r>
      <w:r>
        <w:rPr>
          <w:rStyle w:val="CommentTok"/>
        </w:rPr>
        <w:t xml:space="preserve"># below this the scale-up error reaches</w:t>
      </w:r>
      <w:r>
        <w:br/>
      </w:r>
      <w:r>
        <w:rPr>
          <w:rStyle w:val="NormalTok"/>
        </w:rPr>
        <w:t xml:space="preserve">                                      </w:t>
      </w:r>
      <w:r>
        <w:rPr>
          <w:rStyle w:val="CommentTok"/>
        </w:rPr>
        <w:t xml:space="preserve"># hundreds of km2, see Section 2.3.1</w:t>
      </w:r>
      <w:r>
        <w:br/>
      </w:r>
      <w:r>
        <w:rPr>
          <w:rStyle w:val="NormalTok"/>
        </w:rPr>
        <w:t xml:space="preserve">landsat_sd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km2, retrieval error of a clear look</w:t>
      </w:r>
      <w:r>
        <w:br/>
      </w:r>
      <w:r>
        <w:rPr>
          <w:rStyle w:val="NormalTok"/>
        </w:rPr>
        <w:t xml:space="preserve">partial_k  </w:t>
      </w:r>
      <w:r>
        <w:rPr>
          <w:rStyle w:val="OtherTok"/>
        </w:rPr>
        <w:t xml:space="preserve">&lt;-</w:t>
      </w:r>
      <w:r>
        <w:rPr>
          <w:rStyle w:val="NormalTok"/>
        </w:rPr>
        <w:t xml:space="preserve"> </w:t>
      </w:r>
      <w:r>
        <w:rPr>
          <w:rStyle w:val="FloatTok"/>
        </w:rPr>
        <w:t xml:space="preserve">0.55</w:t>
      </w:r>
      <w:r>
        <w:rPr>
          <w:rStyle w:val="NormalTok"/>
        </w:rPr>
        <w:t xml:space="preserve">                    </w:t>
      </w:r>
      <w:r>
        <w:rPr>
          <w:rStyle w:val="CommentTok"/>
        </w:rPr>
        <w:t xml:space="preserve"># how fast variance grows with cloud</w:t>
      </w:r>
      <w:r>
        <w:br/>
      </w:r>
      <w:r>
        <w:br/>
      </w:r>
      <w:r>
        <w:rPr>
          <w:rStyle w:val="NormalTok"/>
        </w:rPr>
        <w:t xml:space="preserve">step_dates </w:t>
      </w:r>
      <w:r>
        <w:rPr>
          <w:rStyle w:val="OtherTok"/>
        </w:rPr>
        <w:t xml:space="preserve">&lt;-</w:t>
      </w:r>
      <w:r>
        <w:rPr>
          <w:rStyle w:val="NormalTok"/>
        </w:rPr>
        <w:t xml:space="preserve"> </w:t>
      </w:r>
      <w:r>
        <w:rPr>
          <w:rStyle w:val="FunctionTok"/>
        </w:rPr>
        <w:t xml:space="preserve">seq</w:t>
      </w:r>
      <w:r>
        <w:rPr>
          <w:rStyle w:val="NormalTok"/>
        </w:rPr>
        <w:t xml:space="preserve">(grid_start, grid_end, </w:t>
      </w:r>
      <w:r>
        <w:rPr>
          <w:rStyle w:val="AttributeTok"/>
        </w:rPr>
        <w:t xml:space="preserve">by =</w:t>
      </w:r>
      <w:r>
        <w:rPr>
          <w:rStyle w:val="NormalTok"/>
        </w:rPr>
        <w:t xml:space="preserve"> grid_step)</w:t>
      </w:r>
      <w:r>
        <w:br/>
      </w:r>
      <w:r>
        <w:br/>
      </w:r>
      <w:r>
        <w:rPr>
          <w:rStyle w:val="CommentTok"/>
        </w:rPr>
        <w:t xml:space="preserve"># One row per sixteen-day window per instrument family, holding the water area</w:t>
      </w:r>
      <w:r>
        <w:br/>
      </w:r>
      <w:r>
        <w:rPr>
          <w:rStyle w:val="CommentTok"/>
        </w:rPr>
        <w:t xml:space="preserve"># seen and the share of the lake clear enough to see it.</w:t>
      </w:r>
      <w:r>
        <w:br/>
      </w:r>
      <w:r>
        <w:br/>
      </w:r>
      <w:r>
        <w:rPr>
          <w:rStyle w:val="NormalTok"/>
        </w:rPr>
        <w:t xml:space="preserve">observations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"optical_water_16day.csv"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(clear_fraction </w:t>
      </w:r>
      <w:r>
        <w:rPr>
          <w:rStyle w:val="SpecialCharTok"/>
        </w:rPr>
        <w:t xml:space="preserve">&gt;=</w:t>
      </w:r>
      <w:r>
        <w:rPr>
          <w:rStyle w:val="NormalTok"/>
        </w:rPr>
        <w:t xml:space="preserve"> min_clear)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(date),</w:t>
      </w:r>
      <w:r>
        <w:br/>
      </w:r>
      <w:r>
        <w:rPr>
          <w:rStyle w:val="NormalTok"/>
        </w:rPr>
        <w:t xml:space="preserve">    </w:t>
      </w:r>
      <w:r>
        <w:rPr>
          <w:rStyle w:val="AttributeTok"/>
        </w:rPr>
        <w:t xml:space="preserve">family =</w:t>
      </w:r>
      <w:r>
        <w:rPr>
          <w:rStyle w:val="NormalTok"/>
        </w:rPr>
        <w:t xml:space="preserve"> sensor_family,</w:t>
      </w:r>
      <w:r>
        <w:br/>
      </w:r>
      <w:r>
        <w:rPr>
          <w:rStyle w:val="NormalTok"/>
        </w:rPr>
        <w:t xml:space="preserve">    </w:t>
      </w:r>
      <w:r>
        <w:rPr>
          <w:rStyle w:val="AttributeTok"/>
        </w:rPr>
        <w:t xml:space="preserve">area   =</w:t>
      </w:r>
      <w:r>
        <w:rPr>
          <w:rStyle w:val="NormalTok"/>
        </w:rPr>
        <w:t xml:space="preserve"> water_km2 </w:t>
      </w:r>
      <w:r>
        <w:rPr>
          <w:rStyle w:val="SpecialCharTok"/>
        </w:rPr>
        <w:t xml:space="preserve">/</w:t>
      </w:r>
      <w:r>
        <w:rPr>
          <w:rStyle w:val="NormalTok"/>
        </w:rPr>
        <w:t xml:space="preserve"> clear_fraction,</w:t>
      </w:r>
      <w:r>
        <w:br/>
      </w:r>
      <w:r>
        <w:rPr>
          <w:rStyle w:val="NormalTok"/>
        </w:rPr>
        <w:t xml:space="preserve">    </w:t>
      </w:r>
      <w:r>
        <w:rPr>
          <w:rStyle w:val="AttributeTok"/>
        </w:rPr>
        <w:t xml:space="preserve">clear  =</w:t>
      </w:r>
      <w:r>
        <w:rPr>
          <w:rStyle w:val="NormalTok"/>
        </w:rPr>
        <w:t xml:space="preserve"> clear_fraction</w:t>
      </w:r>
      <w:r>
        <w:br/>
      </w:r>
      <w:r>
        <w:rPr>
          <w:rStyle w:val="NormalTok"/>
        </w:rPr>
        <w:t xml:space="preserve">  )</w:t>
      </w:r>
      <w:r>
        <w:br/>
      </w:r>
      <w:r>
        <w:br/>
      </w:r>
      <w:r>
        <w:rPr>
          <w:rStyle w:val="NormalTok"/>
        </w:rPr>
        <w:t xml:space="preserve">observations </w:t>
      </w:r>
      <w:r>
        <w:rPr>
          <w:rStyle w:val="SpecialCharTok"/>
        </w:rPr>
        <w:t xml:space="preserve">|&gt;</w:t>
      </w:r>
      <w:r>
        <w:br/>
      </w:r>
      <w:r>
        <w:rPr>
          <w:rStyle w:val="NormalTok"/>
        </w:rPr>
        <w:t xml:space="preserve">  </w:t>
      </w:r>
      <w:r>
        <w:rPr>
          <w:rStyle w:val="FunctionTok"/>
        </w:rPr>
        <w:t xml:space="preserve">count</w:t>
      </w:r>
      <w:r>
        <w:rPr>
          <w:rStyle w:val="NormalTok"/>
        </w:rPr>
        <w:t xml:space="preserve">(family, </w:t>
      </w:r>
      <w:r>
        <w:rPr>
          <w:rStyle w:val="AttributeTok"/>
        </w:rPr>
        <w:t xml:space="preserve">name =</w:t>
      </w:r>
      <w:r>
        <w:rPr>
          <w:rStyle w:val="NormalTok"/>
        </w:rPr>
        <w:t xml:space="preserve"> </w:t>
      </w:r>
      <w:r>
        <w:rPr>
          <w:rStyle w:val="StringTok"/>
        </w:rPr>
        <w:t xml:space="preserve">"windows"</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"Windows passing the eighty per cent clear-cover floor."</w:t>
      </w:r>
      <w:r>
        <w:rPr>
          <w:rStyle w:val="NormalTok"/>
        </w:rPr>
        <w:t xml:space="preserve">)</w:t>
      </w:r>
    </w:p>
    <w:p>
      <w:pPr>
        <w:pStyle w:val="TableCaption"/>
      </w:pPr>
      <w:r>
        <w:t xml:space="preserve">Windows passing the eighty per cent clear-cover floor.</w:t>
      </w:r>
    </w:p>
    <w:tbl>
      <w:tblPr>
        <w:tblStyle w:val="Table"/>
        <w:tblW w:type="auto" w:w="0"/>
        <w:tblLook w:firstRow="1" w:lastRow="0" w:firstColumn="0" w:lastColumn="0" w:noHBand="0" w:noVBand="0" w:val="0020"/>
        <w:tblCaption w:val="Windows passing the eighty per cent clear-cover floor."/>
      </w:tblPr>
      <w:tblGrid>
        <w:gridCol w:w="3960"/>
        <w:gridCol w:w="3960"/>
      </w:tblGrid>
      <w:tr>
        <w:trPr>
          <w:tblHeader w:val="on"/>
        </w:trPr>
        <w:tc>
          <w:tcPr/>
          <w:p>
            <w:pPr>
              <w:pStyle w:val="Compact"/>
              <w:jc w:val="left"/>
            </w:pPr>
            <w:r>
              <w:t xml:space="preserve">family</w:t>
            </w:r>
          </w:p>
        </w:tc>
        <w:tc>
          <w:tcPr/>
          <w:p>
            <w:pPr>
              <w:pStyle w:val="Compact"/>
              <w:jc w:val="right"/>
            </w:pPr>
            <w:r>
              <w:t xml:space="preserve">windows</w:t>
            </w:r>
          </w:p>
        </w:tc>
      </w:tr>
      <w:tr>
        <w:tc>
          <w:tcPr/>
          <w:p>
            <w:pPr>
              <w:pStyle w:val="Compact"/>
              <w:jc w:val="left"/>
            </w:pPr>
            <w:r>
              <w:t xml:space="preserve">landsat</w:t>
            </w:r>
          </w:p>
        </w:tc>
        <w:tc>
          <w:tcPr/>
          <w:p>
            <w:pPr>
              <w:pStyle w:val="Compact"/>
              <w:jc w:val="right"/>
            </w:pPr>
            <w:r>
              <w:t xml:space="preserve">271</w:t>
            </w:r>
          </w:p>
        </w:tc>
      </w:tr>
      <w:tr>
        <w:tc>
          <w:tcPr/>
          <w:p>
            <w:pPr>
              <w:pStyle w:val="Compact"/>
              <w:jc w:val="left"/>
            </w:pPr>
            <w:r>
              <w:t xml:space="preserve">modis</w:t>
            </w:r>
          </w:p>
        </w:tc>
        <w:tc>
          <w:tcPr/>
          <w:p>
            <w:pPr>
              <w:pStyle w:val="Compact"/>
              <w:jc w:val="right"/>
            </w:pPr>
            <w:r>
              <w:t xml:space="preserve">534</w:t>
            </w:r>
          </w:p>
        </w:tc>
      </w:tr>
    </w:tbl>
    <w:bookmarkEnd w:id="92"/>
    <w:bookmarkStart w:id="93" w:name="cross-sensor-calibration"/>
    <w:p>
      <w:pPr>
        <w:pStyle w:val="Heading4"/>
      </w:pPr>
      <w:r>
        <w:t xml:space="preserve">2.3.3 Cross-Sensor Calibration</w:t>
      </w:r>
    </w:p>
    <w:p>
      <w:pPr>
        <w:pStyle w:val="SourceCode"/>
      </w:pPr>
      <w:r>
        <w:rPr>
          <w:rStyle w:val="CommentTok"/>
        </w:rPr>
        <w:t xml:space="preserve"># Landsat resolves the reed fringe at thirty metres and is the reference. The</w:t>
      </w:r>
      <w:r>
        <w:br/>
      </w:r>
      <w:r>
        <w:rPr>
          <w:rStyle w:val="CommentTok"/>
        </w:rPr>
        <w:t xml:space="preserve"># coarse stream is regressed onto it using only windows both instruments saw</w:t>
      </w:r>
      <w:r>
        <w:br/>
      </w:r>
      <w:r>
        <w:rPr>
          <w:rStyle w:val="CommentTok"/>
        </w:rPr>
        <w:t xml:space="preserve"># well, so the calibration is not itself contaminated by partial views.</w:t>
      </w:r>
      <w:r>
        <w:br/>
      </w:r>
      <w:r>
        <w:br/>
      </w:r>
      <w:r>
        <w:rPr>
          <w:rStyle w:val="NormalTok"/>
        </w:rPr>
        <w:t xml:space="preserve">paired </w:t>
      </w:r>
      <w:r>
        <w:rPr>
          <w:rStyle w:val="OtherTok"/>
        </w:rPr>
        <w:t xml:space="preserve">&lt;-</w:t>
      </w:r>
      <w:r>
        <w:rPr>
          <w:rStyle w:val="NormalTok"/>
        </w:rPr>
        <w:t xml:space="preserve"> observations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date, </w:t>
      </w:r>
      <w:r>
        <w:rPr>
          <w:rStyle w:val="AttributeTok"/>
        </w:rPr>
        <w:t xml:space="preserve">names_from =</w:t>
      </w:r>
      <w:r>
        <w:rPr>
          <w:rStyle w:val="NormalTok"/>
        </w:rPr>
        <w:t xml:space="preserve"> family, </w:t>
      </w:r>
      <w:r>
        <w:rPr>
          <w:rStyle w:val="AttributeTok"/>
        </w:rPr>
        <w:t xml:space="preserve">values_from =</w:t>
      </w:r>
      <w:r>
        <w:rPr>
          <w:rStyle w:val="NormalTok"/>
        </w:rPr>
        <w:t xml:space="preserve"> area) </w:t>
      </w:r>
      <w:r>
        <w:rPr>
          <w:rStyle w:val="SpecialCharTok"/>
        </w:rPr>
        <w:t xml:space="preserve">|&gt;</w:t>
      </w:r>
      <w:r>
        <w:br/>
      </w:r>
      <w:r>
        <w:rPr>
          <w:rStyle w:val="NormalTok"/>
        </w:rPr>
        <w:t xml:space="preserve">  </w:t>
      </w:r>
      <w:r>
        <w:rPr>
          <w:rStyle w:val="FunctionTok"/>
        </w:rPr>
        <w:t xml:space="preserve">drop_na</w:t>
      </w:r>
      <w:r>
        <w:rPr>
          <w:rStyle w:val="NormalTok"/>
        </w:rPr>
        <w:t xml:space="preserve">(landsat, modis)</w:t>
      </w:r>
      <w:r>
        <w:br/>
      </w:r>
      <w:r>
        <w:br/>
      </w:r>
      <w:r>
        <w:rPr>
          <w:rStyle w:val="NormalTok"/>
        </w:rPr>
        <w:t xml:space="preserve">calibration </w:t>
      </w:r>
      <w:r>
        <w:rPr>
          <w:rStyle w:val="OtherTok"/>
        </w:rPr>
        <w:t xml:space="preserve">&lt;-</w:t>
      </w:r>
      <w:r>
        <w:rPr>
          <w:rStyle w:val="NormalTok"/>
        </w:rPr>
        <w:t xml:space="preserve"> </w:t>
      </w:r>
      <w:r>
        <w:rPr>
          <w:rStyle w:val="FunctionTok"/>
        </w:rPr>
        <w:t xml:space="preserve">lm</w:t>
      </w:r>
      <w:r>
        <w:rPr>
          <w:rStyle w:val="NormalTok"/>
        </w:rPr>
        <w:t xml:space="preserve">(landsat </w:t>
      </w:r>
      <w:r>
        <w:rPr>
          <w:rStyle w:val="SpecialCharTok"/>
        </w:rPr>
        <w:t xml:space="preserve">~</w:t>
      </w:r>
      <w:r>
        <w:rPr>
          <w:rStyle w:val="NormalTok"/>
        </w:rPr>
        <w:t xml:space="preserve"> modis, </w:t>
      </w:r>
      <w:r>
        <w:rPr>
          <w:rStyle w:val="AttributeTok"/>
        </w:rPr>
        <w:t xml:space="preserve">data =</w:t>
      </w:r>
      <w:r>
        <w:rPr>
          <w:rStyle w:val="NormalTok"/>
        </w:rPr>
        <w:t xml:space="preserve"> paired)</w:t>
      </w:r>
      <w:r>
        <w:br/>
      </w:r>
      <w:r>
        <w:rPr>
          <w:rStyle w:val="NormalTok"/>
        </w:rPr>
        <w:t xml:space="preserve">modis_sd    </w:t>
      </w:r>
      <w:r>
        <w:rPr>
          <w:rStyle w:val="OtherTok"/>
        </w:rPr>
        <w:t xml:space="preserve">&lt;-</w:t>
      </w:r>
      <w:r>
        <w:rPr>
          <w:rStyle w:val="NormalTok"/>
        </w:rPr>
        <w:t xml:space="preserve"> </w:t>
      </w:r>
      <w:r>
        <w:rPr>
          <w:rStyle w:val="FunctionTok"/>
        </w:rPr>
        <w:t xml:space="preserve">sd</w:t>
      </w:r>
      <w:r>
        <w:rPr>
          <w:rStyle w:val="NormalTok"/>
        </w:rPr>
        <w:t xml:space="preserve">(</w:t>
      </w:r>
      <w:r>
        <w:rPr>
          <w:rStyle w:val="FunctionTok"/>
        </w:rPr>
        <w:t xml:space="preserve">residuals</w:t>
      </w:r>
      <w:r>
        <w:rPr>
          <w:rStyle w:val="NormalTok"/>
        </w:rPr>
        <w:t xml:space="preserve">(calibration))</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"paired windows"</w:t>
      </w:r>
      <w:r>
        <w:rPr>
          <w:rStyle w:val="NormalTok"/>
        </w:rPr>
        <w:t xml:space="preserve">, </w:t>
      </w:r>
      <w:r>
        <w:rPr>
          <w:rStyle w:val="StringTok"/>
        </w:rPr>
        <w:t xml:space="preserve">"Pearson r"</w:t>
      </w:r>
      <w:r>
        <w:rPr>
          <w:rStyle w:val="NormalTok"/>
        </w:rPr>
        <w:t xml:space="preserve">, </w:t>
      </w:r>
      <w:r>
        <w:rPr>
          <w:rStyle w:val="StringTok"/>
        </w:rPr>
        <w:t xml:space="preserve">"residual standard deviation"</w:t>
      </w:r>
      <w:r>
        <w:rPr>
          <w:rStyle w:val="NormalTok"/>
        </w:rPr>
        <w:t xml:space="preserve">,</w:t>
      </w:r>
      <w:r>
        <w:br/>
      </w:r>
      <w:r>
        <w:rPr>
          <w:rStyle w:val="NormalTok"/>
        </w:rPr>
        <w:t xml:space="preserve">               </w:t>
      </w:r>
      <w:r>
        <w:rPr>
          <w:rStyle w:val="StringTok"/>
        </w:rPr>
        <w:t xml:space="preserve">"intercept"</w:t>
      </w:r>
      <w:r>
        <w:rPr>
          <w:rStyle w:val="NormalTok"/>
        </w:rPr>
        <w:t xml:space="preserve">, </w:t>
      </w:r>
      <w:r>
        <w:rPr>
          <w:rStyle w:val="StringTok"/>
        </w:rPr>
        <w:t xml:space="preserve">"slope"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(paired),</w:t>
      </w:r>
      <w:r>
        <w:br/>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(paired</w:t>
      </w:r>
      <w:r>
        <w:rPr>
          <w:rStyle w:val="SpecialCharTok"/>
        </w:rPr>
        <w:t xml:space="preserve">$</w:t>
      </w:r>
      <w:r>
        <w:rPr>
          <w:rStyle w:val="NormalTok"/>
        </w:rPr>
        <w:t xml:space="preserve">landsat, paired</w:t>
      </w:r>
      <w:r>
        <w:rPr>
          <w:rStyle w:val="SpecialCharTok"/>
        </w:rPr>
        <w:t xml:space="preserve">$</w:t>
      </w:r>
      <w:r>
        <w:rPr>
          <w:rStyle w:val="NormalTok"/>
        </w:rPr>
        <w:t xml:space="preserve">modis), </w:t>
      </w:r>
      <w:r>
        <w:rPr>
          <w:rStyle w:val="DecValTok"/>
        </w:rPr>
        <w:t xml:space="preserve">3</w:t>
      </w:r>
      <w:r>
        <w:rPr>
          <w:rStyle w:val="NormalTok"/>
        </w:rPr>
        <w:t xml:space="preserve">),</w:t>
      </w:r>
      <w:r>
        <w:br/>
      </w:r>
      <w:r>
        <w:rPr>
          <w:rStyle w:val="NormalTok"/>
        </w:rPr>
        <w:t xml:space="preserve">               </w:t>
      </w:r>
      <w:r>
        <w:rPr>
          <w:rStyle w:val="FunctionTok"/>
        </w:rPr>
        <w:t xml:space="preserve">round</w:t>
      </w:r>
      <w:r>
        <w:rPr>
          <w:rStyle w:val="NormalTok"/>
        </w:rPr>
        <w:t xml:space="preserve">(modis_sd,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(calibration)[</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(calibration)[</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FunctionTok"/>
        </w:rPr>
        <w:t xml:space="preserve">c</w:t>
      </w:r>
      <w:r>
        <w:rPr>
          <w:rStyle w:val="NormalTok"/>
        </w:rPr>
        <w:t xml:space="preserve">(</w:t>
      </w:r>
      <w:r>
        <w:rPr>
          <w:rStyle w:val="StringTok"/>
        </w:rPr>
        <w:t xml:space="preserve">"count"</w:t>
      </w:r>
      <w:r>
        <w:rPr>
          <w:rStyle w:val="NormalTok"/>
        </w:rPr>
        <w:t xml:space="preserve">, </w:t>
      </w:r>
      <w:r>
        <w:rPr>
          <w:rStyle w:val="StringTok"/>
        </w:rPr>
        <w:t xml:space="preserve">"correlation"</w:t>
      </w:r>
      <w:r>
        <w:rPr>
          <w:rStyle w:val="NormalTok"/>
        </w:rPr>
        <w:t xml:space="preserve">, </w:t>
      </w:r>
      <w:r>
        <w:rPr>
          <w:rStyle w:val="StringTok"/>
        </w:rPr>
        <w:t xml:space="preserve">"km2"</w:t>
      </w:r>
      <w:r>
        <w:rPr>
          <w:rStyle w:val="NormalTok"/>
        </w:rPr>
        <w:t xml:space="preserve">, </w:t>
      </w:r>
      <w:r>
        <w:rPr>
          <w:rStyle w:val="StringTok"/>
        </w:rPr>
        <w:t xml:space="preserve">"km2"</w:t>
      </w:r>
      <w:r>
        <w:rPr>
          <w:rStyle w:val="NormalTok"/>
        </w:rPr>
        <w:t xml:space="preserve">, </w:t>
      </w:r>
      <w:r>
        <w:rPr>
          <w:rStyle w:val="StringTok"/>
        </w:rPr>
        <w:t xml:space="preserve">"ratio"</w:t>
      </w:r>
      <w:r>
        <w:rPr>
          <w:rStyle w:val="NormalTok"/>
        </w:rPr>
        <w:t xml:space="preserve">)</w:t>
      </w:r>
      <w:r>
        <w:br/>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"Calibration of the coarse stream onto the Landsat reference."</w:t>
      </w:r>
      <w:r>
        <w:rPr>
          <w:rStyle w:val="NormalTok"/>
        </w:rPr>
        <w:t xml:space="preserve">)</w:t>
      </w:r>
    </w:p>
    <w:p>
      <w:pPr>
        <w:pStyle w:val="TableCaption"/>
      </w:pPr>
      <w:r>
        <w:t xml:space="preserve">Calibration of the coarse stream onto the Landsat reference.</w:t>
      </w:r>
    </w:p>
    <w:tbl>
      <w:tblPr>
        <w:tblStyle w:val="Table"/>
        <w:tblW w:type="auto" w:w="0"/>
        <w:tblLook w:firstRow="1" w:lastRow="0" w:firstColumn="0" w:lastColumn="0" w:noHBand="0" w:noVBand="0" w:val="0020"/>
        <w:tblCaption w:val="Calibration of the coarse stream onto the Landsat reference."/>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value</w:t>
            </w:r>
          </w:p>
        </w:tc>
        <w:tc>
          <w:tcPr/>
          <w:p>
            <w:pPr>
              <w:pStyle w:val="Compact"/>
              <w:jc w:val="left"/>
            </w:pPr>
            <w:r>
              <w:t xml:space="preserve">units</w:t>
            </w:r>
          </w:p>
        </w:tc>
      </w:tr>
      <w:tr>
        <w:tc>
          <w:tcPr/>
          <w:p>
            <w:pPr>
              <w:pStyle w:val="Compact"/>
              <w:jc w:val="left"/>
            </w:pPr>
            <w:r>
              <w:t xml:space="preserve">paired windows</w:t>
            </w:r>
          </w:p>
        </w:tc>
        <w:tc>
          <w:tcPr/>
          <w:p>
            <w:pPr>
              <w:pStyle w:val="Compact"/>
              <w:jc w:val="right"/>
            </w:pPr>
            <w:r>
              <w:t xml:space="preserve">243.000</w:t>
            </w:r>
          </w:p>
        </w:tc>
        <w:tc>
          <w:tcPr/>
          <w:p>
            <w:pPr>
              <w:pStyle w:val="Compact"/>
              <w:jc w:val="left"/>
            </w:pPr>
            <w:r>
              <w:t xml:space="preserve">count</w:t>
            </w:r>
          </w:p>
        </w:tc>
      </w:tr>
      <w:tr>
        <w:tc>
          <w:tcPr/>
          <w:p>
            <w:pPr>
              <w:pStyle w:val="Compact"/>
              <w:jc w:val="left"/>
            </w:pPr>
            <w:r>
              <w:t xml:space="preserve">Pearson r</w:t>
            </w:r>
          </w:p>
        </w:tc>
        <w:tc>
          <w:tcPr/>
          <w:p>
            <w:pPr>
              <w:pStyle w:val="Compact"/>
              <w:jc w:val="right"/>
            </w:pPr>
            <w:r>
              <w:t xml:space="preserve">0.986</w:t>
            </w:r>
          </w:p>
        </w:tc>
        <w:tc>
          <w:tcPr/>
          <w:p>
            <w:pPr>
              <w:pStyle w:val="Compact"/>
              <w:jc w:val="left"/>
            </w:pPr>
            <w:r>
              <w:t xml:space="preserve">correlation</w:t>
            </w:r>
          </w:p>
        </w:tc>
      </w:tr>
      <w:tr>
        <w:tc>
          <w:tcPr/>
          <w:p>
            <w:pPr>
              <w:pStyle w:val="Compact"/>
              <w:jc w:val="left"/>
            </w:pPr>
            <w:r>
              <w:t xml:space="preserve">residual standard deviation</w:t>
            </w:r>
          </w:p>
        </w:tc>
        <w:tc>
          <w:tcPr/>
          <w:p>
            <w:pPr>
              <w:pStyle w:val="Compact"/>
              <w:jc w:val="right"/>
            </w:pPr>
            <w:r>
              <w:t xml:space="preserve">58.900</w:t>
            </w:r>
          </w:p>
        </w:tc>
        <w:tc>
          <w:tcPr/>
          <w:p>
            <w:pPr>
              <w:pStyle w:val="Compact"/>
              <w:jc w:val="left"/>
            </w:pPr>
            <w:r>
              <w:t xml:space="preserve">km2</w:t>
            </w:r>
          </w:p>
        </w:tc>
      </w:tr>
      <w:tr>
        <w:tc>
          <w:tcPr/>
          <w:p>
            <w:pPr>
              <w:pStyle w:val="Compact"/>
              <w:jc w:val="left"/>
            </w:pPr>
            <w:r>
              <w:t xml:space="preserve">intercept</w:t>
            </w:r>
          </w:p>
        </w:tc>
        <w:tc>
          <w:tcPr/>
          <w:p>
            <w:pPr>
              <w:pStyle w:val="Compact"/>
              <w:jc w:val="right"/>
            </w:pPr>
            <w:r>
              <w:t xml:space="preserve">58.500</w:t>
            </w:r>
          </w:p>
        </w:tc>
        <w:tc>
          <w:tcPr/>
          <w:p>
            <w:pPr>
              <w:pStyle w:val="Compact"/>
              <w:jc w:val="left"/>
            </w:pPr>
            <w:r>
              <w:t xml:space="preserve">km2</w:t>
            </w:r>
          </w:p>
        </w:tc>
      </w:tr>
      <w:tr>
        <w:tc>
          <w:tcPr/>
          <w:p>
            <w:pPr>
              <w:pStyle w:val="Compact"/>
              <w:jc w:val="left"/>
            </w:pPr>
            <w:r>
              <w:t xml:space="preserve">slope</w:t>
            </w:r>
          </w:p>
        </w:tc>
        <w:tc>
          <w:tcPr/>
          <w:p>
            <w:pPr>
              <w:pStyle w:val="Compact"/>
              <w:jc w:val="right"/>
            </w:pPr>
            <w:r>
              <w:t xml:space="preserve">1.001</w:t>
            </w:r>
          </w:p>
        </w:tc>
        <w:tc>
          <w:tcPr/>
          <w:p>
            <w:pPr>
              <w:pStyle w:val="Compact"/>
              <w:jc w:val="left"/>
            </w:pPr>
            <w:r>
              <w:t xml:space="preserve">ratio</w:t>
            </w:r>
          </w:p>
        </w:tc>
      </w:tr>
    </w:tbl>
    <w:bookmarkEnd w:id="93"/>
    <w:bookmarkStart w:id="94" w:name="state-space-fusion"/>
    <w:p>
      <w:pPr>
        <w:pStyle w:val="Heading4"/>
      </w:pPr>
      <w:r>
        <w:t xml:space="preserve">2.3.4 State-Space Fusion</w:t>
      </w:r>
    </w:p>
    <w:p>
      <w:pPr>
        <w:pStyle w:val="SourceCode"/>
      </w:pPr>
      <w:r>
        <w:rPr>
          <w:rStyle w:val="CommentTok"/>
        </w:rPr>
        <w:t xml:space="preserve"># Windows seen by both instruments are combined by inverse variance, so the</w:t>
      </w:r>
      <w:r>
        <w:br/>
      </w:r>
      <w:r>
        <w:rPr>
          <w:rStyle w:val="CommentTok"/>
        </w:rPr>
        <w:t xml:space="preserve"># sharper look pulls harder. Windows seen by neither stay missing, and the</w:t>
      </w:r>
      <w:r>
        <w:br/>
      </w:r>
      <w:r>
        <w:rPr>
          <w:rStyle w:val="CommentTok"/>
        </w:rPr>
        <w:t xml:space="preserve"># filter carries the state across them with a widening interval.</w:t>
      </w:r>
      <w:r>
        <w:br/>
      </w:r>
      <w:r>
        <w:br/>
      </w:r>
      <w:r>
        <w:rPr>
          <w:rStyle w:val="NormalTok"/>
        </w:rPr>
        <w:t xml:space="preserve">observation_variance </w:t>
      </w:r>
      <w:r>
        <w:rPr>
          <w:rStyle w:val="OtherTok"/>
        </w:rPr>
        <w:t xml:space="preserve">&lt;-</w:t>
      </w:r>
      <w:r>
        <w:rPr>
          <w:rStyle w:val="NormalTok"/>
        </w:rPr>
        <w:t xml:space="preserve"> </w:t>
      </w:r>
      <w:r>
        <w:rPr>
          <w:rStyle w:val="ControlFlowTok"/>
        </w:rPr>
        <w:t xml:space="preserve">function</w:t>
      </w:r>
      <w:r>
        <w:rPr>
          <w:rStyle w:val="NormalTok"/>
        </w:rPr>
        <w:t xml:space="preserve">(area, clear, base_sd) {</w:t>
      </w:r>
      <w:r>
        <w:br/>
      </w:r>
      <w:r>
        <w:rPr>
          <w:rStyle w:val="NormalTok"/>
        </w:rPr>
        <w:t xml:space="preserve">  base_sd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(partial_k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clear) </w:t>
      </w:r>
      <w:r>
        <w:rPr>
          <w:rStyle w:val="SpecialCharTok"/>
        </w:rPr>
        <w:t xml:space="preserve">/</w:t>
      </w:r>
      <w:r>
        <w:rPr>
          <w:rStyle w:val="NormalTok"/>
        </w:rPr>
        <w:t xml:space="preserve"> </w:t>
      </w:r>
      <w:r>
        <w:rPr>
          <w:rStyle w:val="FunctionTok"/>
        </w:rPr>
        <w:t xml:space="preserve">pmax</w:t>
      </w:r>
      <w:r>
        <w:rPr>
          <w:rStyle w:val="NormalTok"/>
        </w:rPr>
        <w:t xml:space="preserve">(clear, min_clear) </w:t>
      </w:r>
      <w:r>
        <w:rPr>
          <w:rStyle w:val="SpecialCharTok"/>
        </w:rPr>
        <w:t xml:space="preserve">*</w:t>
      </w:r>
      <w:r>
        <w:rPr>
          <w:rStyle w:val="NormalTok"/>
        </w:rPr>
        <w:t xml:space="preserve"> area)</w:t>
      </w:r>
      <w:r>
        <w:rPr>
          <w:rStyle w:val="SpecialCharTok"/>
        </w:rPr>
        <w:t xml:space="preserve">^</w:t>
      </w:r>
      <w:r>
        <w:rPr>
          <w:rStyle w:val="DecValTok"/>
        </w:rPr>
        <w:t xml:space="preserve">2</w:t>
      </w:r>
      <w:r>
        <w:br/>
      </w:r>
      <w:r>
        <w:rPr>
          <w:rStyle w:val="NormalTok"/>
        </w:rPr>
        <w:t xml:space="preserve">}</w:t>
      </w:r>
      <w:r>
        <w:br/>
      </w:r>
      <w:r>
        <w:br/>
      </w:r>
      <w:r>
        <w:rPr>
          <w:rStyle w:val="NormalTok"/>
        </w:rPr>
        <w:t xml:space="preserve">series </w:t>
      </w:r>
      <w:r>
        <w:rPr>
          <w:rStyle w:val="OtherTok"/>
        </w:rPr>
        <w:t xml:space="preserve">&lt;-</w:t>
      </w:r>
      <w:r>
        <w:rPr>
          <w:rStyle w:val="NormalTok"/>
        </w:rPr>
        <w:t xml:space="preserve"> observations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area =</w:t>
      </w:r>
      <w:r>
        <w:rPr>
          <w:rStyle w:val="NormalTok"/>
        </w:rPr>
        <w:t xml:space="preserve"> </w:t>
      </w:r>
      <w:r>
        <w:rPr>
          <w:rStyle w:val="FunctionTok"/>
        </w:rPr>
        <w:t xml:space="preserve">if_else</w:t>
      </w:r>
      <w:r>
        <w:rPr>
          <w:rStyle w:val="NormalTok"/>
        </w:rPr>
        <w:t xml:space="preserve">(</w:t>
      </w:r>
      <w:r>
        <w:br/>
      </w:r>
      <w:r>
        <w:rPr>
          <w:rStyle w:val="NormalTok"/>
        </w:rPr>
        <w:t xml:space="preserve">      family </w:t>
      </w:r>
      <w:r>
        <w:rPr>
          <w:rStyle w:val="SpecialCharTok"/>
        </w:rPr>
        <w:t xml:space="preserve">==</w:t>
      </w:r>
      <w:r>
        <w:rPr>
          <w:rStyle w:val="NormalTok"/>
        </w:rPr>
        <w:t xml:space="preserve"> </w:t>
      </w:r>
      <w:r>
        <w:rPr>
          <w:rStyle w:val="StringTok"/>
        </w:rPr>
        <w:t xml:space="preserve">"modis"</w:t>
      </w:r>
      <w:r>
        <w:rPr>
          <w:rStyle w:val="NormalTok"/>
        </w:rPr>
        <w:t xml:space="preserve">,</w:t>
      </w:r>
      <w:r>
        <w:br/>
      </w:r>
      <w:r>
        <w:rPr>
          <w:rStyle w:val="NormalTok"/>
        </w:rPr>
        <w:t xml:space="preserve">      </w:t>
      </w:r>
      <w:r>
        <w:rPr>
          <w:rStyle w:val="FunctionTok"/>
        </w:rPr>
        <w:t xml:space="preserve">coef</w:t>
      </w:r>
      <w:r>
        <w:rPr>
          <w:rStyle w:val="NormalTok"/>
        </w:rPr>
        <w:t xml:space="preserve">(calibration)[</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(calibration)[</w:t>
      </w:r>
      <w:r>
        <w:rPr>
          <w:rStyle w:val="DecValTok"/>
        </w:rPr>
        <w:t xml:space="preserve">2</w:t>
      </w:r>
      <w:r>
        <w:rPr>
          <w:rStyle w:val="NormalTok"/>
        </w:rPr>
        <w:t xml:space="preserve">] </w:t>
      </w:r>
      <w:r>
        <w:rPr>
          <w:rStyle w:val="SpecialCharTok"/>
        </w:rPr>
        <w:t xml:space="preserve">*</w:t>
      </w:r>
      <w:r>
        <w:rPr>
          <w:rStyle w:val="NormalTok"/>
        </w:rPr>
        <w:t xml:space="preserve"> area,</w:t>
      </w:r>
      <w:r>
        <w:br/>
      </w:r>
      <w:r>
        <w:rPr>
          <w:rStyle w:val="NormalTok"/>
        </w:rPr>
        <w:t xml:space="preserve">      area</w:t>
      </w:r>
      <w:r>
        <w:br/>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observation_variance</w:t>
      </w:r>
      <w:r>
        <w:rPr>
          <w:rStyle w:val="NormalTok"/>
        </w:rPr>
        <w:t xml:space="preserve">(</w:t>
      </w:r>
      <w:r>
        <w:br/>
      </w:r>
      <w:r>
        <w:rPr>
          <w:rStyle w:val="NormalTok"/>
        </w:rPr>
        <w:t xml:space="preserve">      area, clear,</w:t>
      </w:r>
      <w:r>
        <w:br/>
      </w:r>
      <w:r>
        <w:rPr>
          <w:rStyle w:val="NormalTok"/>
        </w:rPr>
        <w:t xml:space="preserve">      </w:t>
      </w:r>
      <w:r>
        <w:rPr>
          <w:rStyle w:val="FunctionTok"/>
        </w:rPr>
        <w:t xml:space="preserve">if_else</w:t>
      </w:r>
      <w:r>
        <w:rPr>
          <w:rStyle w:val="NormalTok"/>
        </w:rPr>
        <w:t xml:space="preserve">(family </w:t>
      </w:r>
      <w:r>
        <w:rPr>
          <w:rStyle w:val="SpecialCharTok"/>
        </w:rPr>
        <w:t xml:space="preserve">==</w:t>
      </w:r>
      <w:r>
        <w:rPr>
          <w:rStyle w:val="NormalTok"/>
        </w:rPr>
        <w:t xml:space="preserve"> </w:t>
      </w:r>
      <w:r>
        <w:rPr>
          <w:rStyle w:val="StringTok"/>
        </w:rPr>
        <w:t xml:space="preserve">"modis"</w:t>
      </w:r>
      <w:r>
        <w:rPr>
          <w:rStyle w:val="NormalTok"/>
        </w:rPr>
        <w:t xml:space="preserve">, modis_sd, landsat_sd)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(area </w:t>
      </w:r>
      <w:r>
        <w:rPr>
          <w:rStyle w:val="SpecialCharTok"/>
        </w:rPr>
        <w:t xml:space="preserve">/</w:t>
      </w:r>
      <w:r>
        <w:rPr>
          <w:rStyle w:val="NormalTok"/>
        </w:rPr>
        <w:t xml:space="preserve"> var) </w:t>
      </w:r>
      <w:r>
        <w:rPr>
          <w:rStyle w:val="SpecialCharTok"/>
        </w:rPr>
        <w:t xml:space="preserve">/</w:t>
      </w:r>
      <w:r>
        <w:rPr>
          <w:rStyle w:val="NormalTok"/>
        </w:rPr>
        <w:t xml:space="preserve"> </w:t>
      </w:r>
      <w:r>
        <w:rPr>
          <w:rStyle w:val="FunctionTok"/>
        </w:rPr>
        <w:t xml:space="preserve">sum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var),</w:t>
      </w:r>
      <w:r>
        <w:br/>
      </w:r>
      <w:r>
        <w:rPr>
          <w:rStyle w:val="NormalTok"/>
        </w:rPr>
        <w:t xml:space="preserve">    </w:t>
      </w:r>
      <w:r>
        <w:rPr>
          <w:rStyle w:val="AttributeTok"/>
        </w:rPr>
        <w:t xml:space="preserve">r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var),</w:t>
      </w:r>
      <w:r>
        <w:br/>
      </w:r>
      <w:r>
        <w:rPr>
          <w:rStyle w:val="NormalTok"/>
        </w:rPr>
        <w:t xml:space="preserve">    </w:t>
      </w:r>
      <w:r>
        <w:rPr>
          <w:rStyle w:val="AttributeTok"/>
        </w:rPr>
        <w:t xml:space="preserve">sensors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(family)),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right_join</w:t>
      </w:r>
      <w:r>
        <w:rPr>
          <w:rStyle w:val="NormalTok"/>
        </w:rPr>
        <w:t xml:space="preserve">(</w:t>
      </w:r>
      <w:r>
        <w:rPr>
          <w:rStyle w:val="FunctionTok"/>
        </w:rPr>
        <w:t xml:space="preserve">tibble</w:t>
      </w:r>
      <w:r>
        <w:rPr>
          <w:rStyle w:val="NormalTok"/>
        </w:rPr>
        <w:t xml:space="preserve">(</w:t>
      </w:r>
      <w:r>
        <w:rPr>
          <w:rStyle w:val="AttributeTok"/>
        </w:rPr>
        <w:t xml:space="preserve">date =</w:t>
      </w:r>
      <w:r>
        <w:rPr>
          <w:rStyle w:val="NormalTok"/>
        </w:rPr>
        <w:t xml:space="preserve"> step_dates), </w:t>
      </w:r>
      <w:r>
        <w:rPr>
          <w:rStyle w:val="AttributeTok"/>
        </w:rPr>
        <w:t xml:space="preserve">by =</w:t>
      </w:r>
      <w:r>
        <w:rPr>
          <w:rStyle w:val="NormalTok"/>
        </w:rPr>
        <w:t xml:space="preserve"> </w:t>
      </w:r>
      <w:r>
        <w:rPr>
          <w:rStyle w:val="StringTok"/>
        </w:rPr>
        <w:t xml:space="preserve">"date"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(date)</w:t>
      </w:r>
      <w:r>
        <w:br/>
      </w:r>
      <w:r>
        <w:br/>
      </w:r>
      <w:r>
        <w:rPr>
          <w:rStyle w:val="CommentTok"/>
        </w:rPr>
        <w:t xml:space="preserve"># The state is a level advancing by a drifting slope, plus an annual cycle so</w:t>
      </w:r>
      <w:r>
        <w:br/>
      </w:r>
      <w:r>
        <w:rPr>
          <w:rStyle w:val="CommentTok"/>
        </w:rPr>
        <w:t xml:space="preserve"># the flood pulse enters as signal rather than as noise. The slope carries</w:t>
      </w:r>
      <w:r>
        <w:br/>
      </w:r>
      <w:r>
        <w:rPr>
          <w:rStyle w:val="CommentTok"/>
        </w:rPr>
        <w:t xml:space="preserve"># momentum: a lake that fell last fortnight is draining and likely to fall</w:t>
      </w:r>
      <w:r>
        <w:br/>
      </w:r>
      <w:r>
        <w:rPr>
          <w:rStyle w:val="CommentTok"/>
        </w:rPr>
        <w:t xml:space="preserve"># again, and a model without one treats that persistence as surprise. Its</w:t>
      </w:r>
      <w:r>
        <w:br/>
      </w:r>
      <w:r>
        <w:rPr>
          <w:rStyle w:val="CommentTok"/>
        </w:rPr>
        <w:t xml:space="preserve"># column in the design row is zero because it moves the level rather than</w:t>
      </w:r>
      <w:r>
        <w:br/>
      </w:r>
      <w:r>
        <w:rPr>
          <w:rStyle w:val="CommentTok"/>
        </w:rPr>
        <w:t xml:space="preserve"># entering the observation directly.</w:t>
      </w:r>
      <w:r>
        <w:br/>
      </w:r>
      <w:r>
        <w:br/>
      </w:r>
      <w:r>
        <w:rPr>
          <w:rStyle w:val="NormalTok"/>
        </w:rPr>
        <w:t xml:space="preserve">design_row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frac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(d, </w:t>
      </w:r>
      <w:r>
        <w:rPr>
          <w:rStyle w:val="StringTok"/>
        </w:rPr>
        <w:t xml:space="preserve">"%j"</w:t>
      </w:r>
      <w:r>
        <w:rPr>
          <w:rStyle w:val="NormalTok"/>
        </w:rPr>
        <w:t xml:space="preserve">)) </w:t>
      </w:r>
      <w:r>
        <w:rPr>
          <w:rStyle w:val="SpecialCharTok"/>
        </w:rPr>
        <w:t xml:space="preserve">/</w:t>
      </w:r>
      <w:r>
        <w:rPr>
          <w:rStyle w:val="NormalTok"/>
        </w:rPr>
        <w:t xml:space="preserve"> </w:t>
      </w:r>
      <w:r>
        <w:rPr>
          <w:rStyle w:val="FloatTok"/>
        </w:rPr>
        <w:t xml:space="preserve">365.25</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cos</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frac),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frac))</w:t>
      </w:r>
      <w:r>
        <w:br/>
      </w:r>
      <w:r>
        <w:rPr>
          <w:rStyle w:val="NormalTok"/>
        </w:rPr>
        <w:t xml:space="preserve">}</w:t>
      </w:r>
      <w:r>
        <w:br/>
      </w:r>
      <w:r>
        <w:br/>
      </w:r>
      <w:r>
        <w:rPr>
          <w:rStyle w:val="NormalTok"/>
        </w:rPr>
        <w:t xml:space="preserve">transition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w:t>
      </w:r>
      <w:r>
        <w:br/>
      </w:r>
      <w:r>
        <w:br/>
      </w:r>
      <w:r>
        <w:rPr>
          <w:rStyle w:val="NormalTok"/>
        </w:rPr>
        <w:t xml:space="preserve">kalman_smooth </w:t>
      </w:r>
      <w:r>
        <w:rPr>
          <w:rStyle w:val="OtherTok"/>
        </w:rPr>
        <w:t xml:space="preserve">&lt;-</w:t>
      </w:r>
      <w:r>
        <w:rPr>
          <w:rStyle w:val="NormalTok"/>
        </w:rPr>
        <w:t xml:space="preserve"> </w:t>
      </w:r>
      <w:r>
        <w:rPr>
          <w:rStyle w:val="ControlFlowTok"/>
        </w:rPr>
        <w:t xml:space="preserve">function</w:t>
      </w:r>
      <w:r>
        <w:rPr>
          <w:rStyle w:val="NormalTok"/>
        </w:rPr>
        <w:t xml:space="preserve">(y, r, H, q, r_scale)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Tm </w:t>
      </w:r>
      <w:r>
        <w:rPr>
          <w:rStyle w:val="OtherTok"/>
        </w:rPr>
        <w:t xml:space="preserve">&lt;-</w:t>
      </w:r>
      <w:r>
        <w:rPr>
          <w:rStyle w:val="NormalTok"/>
        </w:rPr>
        <w:t xml:space="preserve"> transition</w:t>
      </w:r>
      <w:r>
        <w:br/>
      </w:r>
      <w:r>
        <w:rPr>
          <w:rStyle w:val="NormalTok"/>
        </w:rPr>
        <w:t xml:space="preserve">  Q  </w:t>
      </w:r>
      <w:r>
        <w:rPr>
          <w:rStyle w:val="OtherTok"/>
        </w:rPr>
        <w:t xml:space="preserve">&lt;-</w:t>
      </w:r>
      <w:r>
        <w:rPr>
          <w:rStyle w:val="NormalTok"/>
        </w:rPr>
        <w:t xml:space="preserve"> </w:t>
      </w:r>
      <w:r>
        <w:rPr>
          <w:rStyle w:val="FunctionTok"/>
        </w:rPr>
        <w:t xml:space="preserve">diag</w:t>
      </w:r>
      <w:r>
        <w:rPr>
          <w:rStyle w:val="NormalTok"/>
        </w:rPr>
        <w:t xml:space="preserve">(</w:t>
      </w:r>
      <w:r>
        <w:rPr>
          <w:rStyle w:val="FunctionTok"/>
        </w:rPr>
        <w:t xml:space="preserve">c</w:t>
      </w:r>
      <w:r>
        <w:rPr>
          <w:rStyle w:val="NormalTok"/>
        </w:rPr>
        <w:t xml:space="preserve">(q, q </w:t>
      </w:r>
      <w:r>
        <w:rPr>
          <w:rStyle w:val="SpecialCharTok"/>
        </w:rPr>
        <w:t xml:space="preserve">*</w:t>
      </w:r>
      <w:r>
        <w:rPr>
          <w:rStyle w:val="NormalTok"/>
        </w:rPr>
        <w:t xml:space="preserve"> </w:t>
      </w:r>
      <w:r>
        <w:rPr>
          <w:rStyle w:val="FloatTok"/>
        </w:rPr>
        <w:t xml:space="preserve">0.05</w:t>
      </w:r>
      <w:r>
        <w:rPr>
          <w:rStyle w:val="NormalTok"/>
        </w:rPr>
        <w:t xml:space="preserve">, q </w:t>
      </w:r>
      <w:r>
        <w:rPr>
          <w:rStyle w:val="SpecialCharTok"/>
        </w:rPr>
        <w:t xml:space="preserve">*</w:t>
      </w:r>
      <w:r>
        <w:rPr>
          <w:rStyle w:val="NormalTok"/>
        </w:rPr>
        <w:t xml:space="preserve"> </w:t>
      </w:r>
      <w:r>
        <w:rPr>
          <w:rStyle w:val="FloatTok"/>
        </w:rPr>
        <w:t xml:space="preserve">0.25</w:t>
      </w:r>
      <w:r>
        <w:rPr>
          <w:rStyle w:val="NormalTok"/>
        </w:rPr>
        <w:t xml:space="preserve">, q </w:t>
      </w:r>
      <w:r>
        <w:rPr>
          <w:rStyle w:val="SpecialCha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r  </w:t>
      </w:r>
      <w:r>
        <w:rPr>
          <w:rStyle w:val="OtherTok"/>
        </w:rPr>
        <w:t xml:space="preserve">&lt;-</w:t>
      </w:r>
      <w:r>
        <w:rPr>
          <w:rStyle w:val="NormalTok"/>
        </w:rPr>
        <w:t xml:space="preserve"> r </w:t>
      </w:r>
      <w:r>
        <w:rPr>
          <w:rStyle w:val="SpecialCharTok"/>
        </w:rPr>
        <w:t xml:space="preserve">*</w:t>
      </w:r>
      <w:r>
        <w:rPr>
          <w:rStyle w:val="NormalTok"/>
        </w:rPr>
        <w:t xml:space="preserve"> r_scale</w:t>
      </w:r>
      <w:r>
        <w:br/>
      </w:r>
      <w:r>
        <w:br/>
      </w:r>
      <w:r>
        <w:rPr>
          <w:rStyle w:val="NormalTok"/>
        </w:rPr>
        <w:t xml:space="preserve">  xf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DecValTok"/>
        </w:rPr>
        <w:t xml:space="preserve">4</w:t>
      </w:r>
      <w:r>
        <w:rPr>
          <w:rStyle w:val="NormalTok"/>
        </w:rPr>
        <w:t xml:space="preserve">)</w:t>
      </w:r>
      <w:r>
        <w:br/>
      </w:r>
      <w:r>
        <w:rPr>
          <w:rStyle w:val="NormalTok"/>
        </w:rPr>
        <w:t xml:space="preserve">  Pf </w:t>
      </w:r>
      <w:r>
        <w:rPr>
          <w:rStyle w:val="OtherTok"/>
        </w:rPr>
        <w:t xml:space="preserve">&lt;-</w:t>
      </w:r>
      <w:r>
        <w:rPr>
          <w:rStyle w:val="NormalTok"/>
        </w:rPr>
        <w:t xml:space="preserve"> </w:t>
      </w:r>
      <w:r>
        <w:rPr>
          <w:rStyle w:val="FunctionTok"/>
        </w:rPr>
        <w:t xml:space="preserve">array</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(n,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xp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DecValTok"/>
        </w:rPr>
        <w:t xml:space="preserve">4</w:t>
      </w:r>
      <w:r>
        <w:rPr>
          <w:rStyle w:val="NormalTok"/>
        </w:rPr>
        <w:t xml:space="preserve">)</w:t>
      </w:r>
      <w:r>
        <w:br/>
      </w:r>
      <w:r>
        <w:rPr>
          <w:rStyle w:val="NormalTok"/>
        </w:rPr>
        <w:t xml:space="preserve">  Pp </w:t>
      </w:r>
      <w:r>
        <w:rPr>
          <w:rStyle w:val="OtherTok"/>
        </w:rPr>
        <w:t xml:space="preserve">&lt;-</w:t>
      </w:r>
      <w:r>
        <w:rPr>
          <w:rStyle w:val="NormalTok"/>
        </w:rPr>
        <w:t xml:space="preserve"> </w:t>
      </w:r>
      <w:r>
        <w:rPr>
          <w:rStyle w:val="FunctionTok"/>
        </w:rPr>
        <w:t xml:space="preserve">array</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(n,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(y[</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therTok"/>
        </w:rPr>
        <w:t xml:space="preserve">&lt;-</w:t>
      </w:r>
      <w:r>
        <w:rPr>
          <w:rStyle w:val="NormalTok"/>
        </w:rPr>
        <w:t xml:space="preserve"> </w:t>
      </w:r>
      <w:r>
        <w:rPr>
          <w:rStyle w:val="FunctionTok"/>
        </w:rPr>
        <w:t xml:space="preserve">diag</w:t>
      </w:r>
      <w:r>
        <w:rPr>
          <w:rStyle w:val="NormalTok"/>
        </w:rPr>
        <w:t xml:space="preserve">(</w:t>
      </w:r>
      <w:r>
        <w:rPr>
          <w:rStyle w:val="FloatTok"/>
        </w:rPr>
        <w:t xml:space="preserve">1e6</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FunctionTok"/>
        </w:rPr>
        <w:t xml:space="preserve">seq_len</w:t>
      </w:r>
      <w:r>
        <w:rPr>
          <w:rStyle w:val="NormalTok"/>
        </w:rPr>
        <w:t xml:space="preserve">(n)) {</w:t>
      </w:r>
      <w:r>
        <w:br/>
      </w:r>
      <w:r>
        <w:rPr>
          <w:rStyle w:val="NormalTok"/>
        </w:rPr>
        <w:t xml:space="preserve">    x </w:t>
      </w:r>
      <w:r>
        <w:rPr>
          <w:rStyle w:val="OtherTok"/>
        </w:rPr>
        <w:t xml:space="preserve">&lt;-</w:t>
      </w:r>
      <w:r>
        <w:rPr>
          <w:rStyle w:val="NormalTok"/>
        </w:rPr>
        <w:t xml:space="preserve"> Tm </w:t>
      </w:r>
      <w:r>
        <w:rPr>
          <w:rStyle w:val="SpecialCharTok"/>
        </w:rPr>
        <w:t xml:space="preserve">%*%</w:t>
      </w:r>
      <w:r>
        <w:rPr>
          <w:rStyle w:val="NormalTok"/>
        </w:rPr>
        <w:t xml:space="preserve"> x</w:t>
      </w:r>
      <w:r>
        <w:br/>
      </w:r>
      <w:r>
        <w:rPr>
          <w:rStyle w:val="NormalTok"/>
        </w:rPr>
        <w:t xml:space="preserve">    P </w:t>
      </w:r>
      <w:r>
        <w:rPr>
          <w:rStyle w:val="OtherTok"/>
        </w:rPr>
        <w:t xml:space="preserve">&lt;-</w:t>
      </w:r>
      <w:r>
        <w:rPr>
          <w:rStyle w:val="NormalTok"/>
        </w:rPr>
        <w:t xml:space="preserve"> Tm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FunctionTok"/>
        </w:rPr>
        <w:t xml:space="preserve">t</w:t>
      </w:r>
      <w:r>
        <w:rPr>
          <w:rStyle w:val="NormalTok"/>
        </w:rPr>
        <w:t xml:space="preserve">(Tm) </w:t>
      </w:r>
      <w:r>
        <w:rPr>
          <w:rStyle w:val="SpecialCharTok"/>
        </w:rPr>
        <w:t xml:space="preserve">+</w:t>
      </w:r>
      <w:r>
        <w:rPr>
          <w:rStyle w:val="NormalTok"/>
        </w:rPr>
        <w:t xml:space="preserve"> Q</w:t>
      </w:r>
      <w:r>
        <w:br/>
      </w:r>
      <w:r>
        <w:rPr>
          <w:rStyle w:val="NormalTok"/>
        </w:rPr>
        <w:t xml:space="preserve">    xp[t, ]   </w:t>
      </w:r>
      <w:r>
        <w:rPr>
          <w:rStyle w:val="OtherTok"/>
        </w:rPr>
        <w:t xml:space="preserve">&lt;-</w:t>
      </w:r>
      <w:r>
        <w:rPr>
          <w:rStyle w:val="NormalTok"/>
        </w:rPr>
        <w:t xml:space="preserve"> x</w:t>
      </w:r>
      <w:r>
        <w:br/>
      </w:r>
      <w:r>
        <w:rPr>
          <w:rStyle w:val="NormalTok"/>
        </w:rPr>
        <w:t xml:space="preserve">    Pp[t, , ] </w:t>
      </w:r>
      <w:r>
        <w:rPr>
          <w:rStyle w:val="OtherTok"/>
        </w:rPr>
        <w:t xml:space="preserve">&lt;-</w:t>
      </w:r>
      <w:r>
        <w:rPr>
          <w:rStyle w:val="NormalTok"/>
        </w:rPr>
        <w:t xml:space="preserve"> P</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(y[t])) {</w:t>
      </w:r>
      <w:r>
        <w:br/>
      </w:r>
      <w:r>
        <w:rPr>
          <w:rStyle w:val="NormalTok"/>
        </w:rPr>
        <w:t xml:space="preserve">      h </w:t>
      </w:r>
      <w:r>
        <w:rPr>
          <w:rStyle w:val="OtherTok"/>
        </w:rPr>
        <w:t xml:space="preserve">&lt;-</w:t>
      </w:r>
      <w:r>
        <w:rPr>
          <w:rStyle w:val="NormalTok"/>
        </w:rPr>
        <w:t xml:space="preserve"> H[t, ]</w:t>
      </w:r>
      <w:r>
        <w:br/>
      </w:r>
      <w:r>
        <w:rPr>
          <w:rStyle w:val="NormalTok"/>
        </w:rPr>
        <w:t xml:space="preserve">      f </w:t>
      </w:r>
      <w:r>
        <w:rPr>
          <w:rStyle w:val="OtherTok"/>
        </w:rPr>
        <w:t xml:space="preserve">&lt;-</w:t>
      </w:r>
      <w:r>
        <w:rPr>
          <w:rStyle w:val="NormalTok"/>
        </w:rPr>
        <w:t xml:space="preserve"> </w:t>
      </w:r>
      <w:r>
        <w:rPr>
          <w:rStyle w:val="FunctionTok"/>
        </w:rPr>
        <w:t xml:space="preserve">as.numeric</w:t>
      </w:r>
      <w:r>
        <w:rPr>
          <w:rStyle w:val="NormalTok"/>
        </w:rPr>
        <w:t xml:space="preserve">(h </w:t>
      </w:r>
      <w:r>
        <w:rPr>
          <w:rStyle w:val="SpecialCharTok"/>
        </w:rPr>
        <w:t xml:space="preserve">%*%</w:t>
      </w:r>
      <w:r>
        <w:rPr>
          <w:rStyle w:val="NormalTok"/>
        </w:rPr>
        <w:t xml:space="preserve"> P </w:t>
      </w:r>
      <w:r>
        <w:rPr>
          <w:rStyle w:val="SpecialCharTok"/>
        </w:rPr>
        <w:t xml:space="preserve">%*%</w:t>
      </w:r>
      <w:r>
        <w:rPr>
          <w:rStyle w:val="NormalTok"/>
        </w:rPr>
        <w:t xml:space="preserve"> h) </w:t>
      </w:r>
      <w:r>
        <w:rPr>
          <w:rStyle w:val="SpecialCharTok"/>
        </w:rPr>
        <w:t xml:space="preserve">+</w:t>
      </w:r>
      <w:r>
        <w:rPr>
          <w:rStyle w:val="NormalTok"/>
        </w:rPr>
        <w:t xml:space="preserve"> r[t]</w:t>
      </w:r>
      <w:r>
        <w:br/>
      </w:r>
      <w:r>
        <w:rPr>
          <w:rStyle w:val="NormalTok"/>
        </w:rPr>
        <w:t xml:space="preserve">      k </w:t>
      </w:r>
      <w:r>
        <w:rPr>
          <w:rStyle w:val="OtherTok"/>
        </w:rPr>
        <w:t xml:space="preserve">&lt;-</w:t>
      </w:r>
      <w:r>
        <w:rPr>
          <w:rStyle w:val="NormalTok"/>
        </w:rPr>
        <w:t xml:space="preserve"> (P </w:t>
      </w:r>
      <w:r>
        <w:rPr>
          <w:rStyle w:val="SpecialCharTok"/>
        </w:rPr>
        <w:t xml:space="preserve">%*%</w:t>
      </w:r>
      <w:r>
        <w:rPr>
          <w:rStyle w:val="NormalTok"/>
        </w:rPr>
        <w:t xml:space="preserve"> h) </w:t>
      </w:r>
      <w:r>
        <w:rPr>
          <w:rStyle w:val="SpecialCharTok"/>
        </w:rPr>
        <w:t xml:space="preserve">/</w:t>
      </w:r>
      <w:r>
        <w:rPr>
          <w:rStyle w:val="NormalTok"/>
        </w:rPr>
        <w:t xml:space="preserve"> f</w:t>
      </w:r>
      <w:r>
        <w:br/>
      </w:r>
      <w:r>
        <w:rPr>
          <w:rStyle w:val="NormalTok"/>
        </w:rPr>
        <w:t xml:space="preserve">      x </w:t>
      </w:r>
      <w:r>
        <w:rPr>
          <w:rStyle w:val="OtherTok"/>
        </w:rPr>
        <w:t xml:space="preserve">&lt;-</w:t>
      </w:r>
      <w:r>
        <w:rPr>
          <w:rStyle w:val="NormalTok"/>
        </w:rPr>
        <w:t xml:space="preserve"> x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FunctionTok"/>
        </w:rPr>
        <w:t xml:space="preserve">as.numeric</w:t>
      </w:r>
      <w:r>
        <w:rPr>
          <w:rStyle w:val="NormalTok"/>
        </w:rPr>
        <w:t xml:space="preserve">(y[t] </w:t>
      </w:r>
      <w:r>
        <w:rPr>
          <w:rStyle w:val="SpecialCharTok"/>
        </w:rPr>
        <w:t xml:space="preserve">-</w:t>
      </w:r>
      <w:r>
        <w:rPr>
          <w:rStyle w:val="NormalTok"/>
        </w:rPr>
        <w:t xml:space="preserve"> h </w:t>
      </w:r>
      <w:r>
        <w:rPr>
          <w:rStyle w:val="SpecialCharTok"/>
        </w:rPr>
        <w:t xml:space="preserve">%*%</w:t>
      </w:r>
      <w:r>
        <w:rPr>
          <w:rStyle w:val="NormalTok"/>
        </w:rPr>
        <w:t xml:space="preserve"> x)</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k </w:t>
      </w:r>
      <w:r>
        <w:rPr>
          <w:rStyle w:val="SpecialCharTok"/>
        </w:rPr>
        <w:t xml:space="preserve">%*%</w:t>
      </w:r>
      <w:r>
        <w:rPr>
          <w:rStyle w:val="NormalTok"/>
        </w:rPr>
        <w:t xml:space="preserve"> (h </w:t>
      </w:r>
      <w:r>
        <w:rPr>
          <w:rStyle w:val="SpecialCharTok"/>
        </w:rPr>
        <w:t xml:space="preserve">%*%</w:t>
      </w:r>
      <w:r>
        <w:rPr>
          <w:rStyle w:val="NormalTok"/>
        </w:rPr>
        <w:t xml:space="preserve"> P)</w:t>
      </w:r>
      <w:r>
        <w:br/>
      </w:r>
      <w:r>
        <w:rPr>
          <w:rStyle w:val="NormalTok"/>
        </w:rPr>
        <w:t xml:space="preserve">    }</w:t>
      </w:r>
      <w:r>
        <w:br/>
      </w:r>
      <w:r>
        <w:rPr>
          <w:rStyle w:val="NormalTok"/>
        </w:rPr>
        <w:t xml:space="preserve">    xf[t, ]   </w:t>
      </w:r>
      <w:r>
        <w:rPr>
          <w:rStyle w:val="OtherTok"/>
        </w:rPr>
        <w:t xml:space="preserve">&lt;-</w:t>
      </w:r>
      <w:r>
        <w:rPr>
          <w:rStyle w:val="NormalTok"/>
        </w:rPr>
        <w:t xml:space="preserve"> x</w:t>
      </w:r>
      <w:r>
        <w:br/>
      </w:r>
      <w:r>
        <w:rPr>
          <w:rStyle w:val="NormalTok"/>
        </w:rPr>
        <w:t xml:space="preserve">    Pf[t, , ] </w:t>
      </w:r>
      <w:r>
        <w:rPr>
          <w:rStyle w:val="OtherTok"/>
        </w:rPr>
        <w:t xml:space="preserve">&lt;-</w:t>
      </w:r>
      <w:r>
        <w:rPr>
          <w:rStyle w:val="NormalTok"/>
        </w:rPr>
        <w:t xml:space="preserve"> P</w:t>
      </w:r>
      <w:r>
        <w:br/>
      </w:r>
      <w:r>
        <w:rPr>
          <w:rStyle w:val="NormalTok"/>
        </w:rPr>
        <w:t xml:space="preserve">  }</w:t>
      </w:r>
      <w:r>
        <w:br/>
      </w:r>
      <w:r>
        <w:br/>
      </w:r>
      <w:r>
        <w:rPr>
          <w:rStyle w:val="NormalTok"/>
        </w:rPr>
        <w:t xml:space="preserve">  </w:t>
      </w:r>
      <w:r>
        <w:rPr>
          <w:rStyle w:val="CommentTok"/>
        </w:rPr>
        <w:t xml:space="preserve"># The backward pass lets later observations sharpen earlier ones, which is</w:t>
      </w:r>
      <w:r>
        <w:br/>
      </w:r>
      <w:r>
        <w:rPr>
          <w:rStyle w:val="NormalTok"/>
        </w:rPr>
        <w:t xml:space="preserve">  </w:t>
      </w:r>
      <w:r>
        <w:rPr>
          <w:rStyle w:val="CommentTok"/>
        </w:rPr>
        <w:t xml:space="preserve"># what makes the thin years before 2000 usable at all.</w:t>
      </w:r>
      <w:r>
        <w:br/>
      </w:r>
      <w:r>
        <w:br/>
      </w:r>
      <w:r>
        <w:rPr>
          <w:rStyle w:val="NormalTok"/>
        </w:rPr>
        <w:t xml:space="preserve">  xs </w:t>
      </w:r>
      <w:r>
        <w:rPr>
          <w:rStyle w:val="OtherTok"/>
        </w:rPr>
        <w:t xml:space="preserve">&lt;-</w:t>
      </w:r>
      <w:r>
        <w:rPr>
          <w:rStyle w:val="NormalTok"/>
        </w:rPr>
        <w:t xml:space="preserve"> xf</w:t>
      </w:r>
      <w:r>
        <w:br/>
      </w:r>
      <w:r>
        <w:rPr>
          <w:rStyle w:val="NormalTok"/>
        </w:rPr>
        <w:t xml:space="preserve">  Ps </w:t>
      </w:r>
      <w:r>
        <w:rPr>
          <w:rStyle w:val="OtherTok"/>
        </w:rPr>
        <w:t xml:space="preserve">&lt;-</w:t>
      </w:r>
      <w:r>
        <w:rPr>
          <w:rStyle w:val="NormalTok"/>
        </w:rPr>
        <w:t xml:space="preserve"> Pf</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FunctionTok"/>
        </w:rPr>
        <w:t xml:space="preserve">seq</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C </w:t>
      </w:r>
      <w:r>
        <w:rPr>
          <w:rStyle w:val="OtherTok"/>
        </w:rPr>
        <w:t xml:space="preserve">&lt;-</w:t>
      </w:r>
      <w:r>
        <w:rPr>
          <w:rStyle w:val="NormalTok"/>
        </w:rPr>
        <w:t xml:space="preserve"> Pf[t, , ] </w:t>
      </w:r>
      <w:r>
        <w:rPr>
          <w:rStyle w:val="SpecialCharTok"/>
        </w:rPr>
        <w:t xml:space="preserve">%*%</w:t>
      </w:r>
      <w:r>
        <w:rPr>
          <w:rStyle w:val="NormalTok"/>
        </w:rPr>
        <w:t xml:space="preserve"> </w:t>
      </w:r>
      <w:r>
        <w:rPr>
          <w:rStyle w:val="FunctionTok"/>
        </w:rPr>
        <w:t xml:space="preserve">t</w:t>
      </w:r>
      <w:r>
        <w:rPr>
          <w:rStyle w:val="NormalTok"/>
        </w:rPr>
        <w:t xml:space="preserve">(Tm) </w:t>
      </w:r>
      <w:r>
        <w:rPr>
          <w:rStyle w:val="SpecialCharTok"/>
        </w:rPr>
        <w:t xml:space="preserve">%*%</w:t>
      </w:r>
      <w:r>
        <w:rPr>
          <w:rStyle w:val="NormalTok"/>
        </w:rPr>
        <w:t xml:space="preserve"> </w:t>
      </w:r>
      <w:r>
        <w:rPr>
          <w:rStyle w:val="FunctionTok"/>
        </w:rPr>
        <w:t xml:space="preserve">solve</w:t>
      </w:r>
      <w:r>
        <w:rPr>
          <w:rStyle w:val="NormalTok"/>
        </w:rPr>
        <w:t xml:space="preserve">(Pp[t </w:t>
      </w:r>
      <w:r>
        <w:rPr>
          <w:rStyle w:val="SpecialCha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    xs[t, ]   </w:t>
      </w:r>
      <w:r>
        <w:rPr>
          <w:rStyle w:val="OtherTok"/>
        </w:rPr>
        <w:t xml:space="preserve">&lt;-</w:t>
      </w:r>
      <w:r>
        <w:rPr>
          <w:rStyle w:val="NormalTok"/>
        </w:rPr>
        <w:t xml:space="preserve"> xf[t, ] </w:t>
      </w:r>
      <w:r>
        <w:rPr>
          <w:rStyle w:val="SpecialCharTok"/>
        </w:rPr>
        <w:t xml:space="preserve">+</w:t>
      </w:r>
      <w:r>
        <w:rPr>
          <w:rStyle w:val="NormalTok"/>
        </w:rPr>
        <w:t xml:space="preserve"> C </w:t>
      </w:r>
      <w:r>
        <w:rPr>
          <w:rStyle w:val="SpecialCharTok"/>
        </w:rPr>
        <w:t xml:space="preserve">%*%</w:t>
      </w:r>
      <w:r>
        <w:rPr>
          <w:rStyle w:val="NormalTok"/>
        </w:rPr>
        <w:t xml:space="preserve"> (xs[t </w:t>
      </w:r>
      <w:r>
        <w:rPr>
          <w:rStyle w:val="SpecialCharTok"/>
        </w:rPr>
        <w:t xml:space="preserve">+</w:t>
      </w:r>
      <w:r>
        <w:rPr>
          <w:rStyle w:val="NormalTok"/>
        </w:rPr>
        <w:t xml:space="preserve"> </w:t>
      </w:r>
      <w:r>
        <w:rPr>
          <w:rStyle w:val="DecValTok"/>
        </w:rPr>
        <w:t xml:space="preserve">1</w:t>
      </w:r>
      <w:r>
        <w:rPr>
          <w:rStyle w:val="NormalTok"/>
        </w:rPr>
        <w:t xml:space="preserve">, ] </w:t>
      </w:r>
      <w:r>
        <w:rPr>
          <w:rStyle w:val="SpecialCharTok"/>
        </w:rPr>
        <w:t xml:space="preserve">-</w:t>
      </w:r>
      <w:r>
        <w:rPr>
          <w:rStyle w:val="NormalTok"/>
        </w:rPr>
        <w:t xml:space="preserve"> xp[t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Ps[t, , ] </w:t>
      </w:r>
      <w:r>
        <w:rPr>
          <w:rStyle w:val="OtherTok"/>
        </w:rPr>
        <w:t xml:space="preserve">&lt;-</w:t>
      </w:r>
      <w:r>
        <w:rPr>
          <w:rStyle w:val="NormalTok"/>
        </w:rPr>
        <w:t xml:space="preserve"> Pf[t, , ] </w:t>
      </w:r>
      <w:r>
        <w:rPr>
          <w:rStyle w:val="SpecialCharTok"/>
        </w:rPr>
        <w:t xml:space="preserve">+</w:t>
      </w:r>
      <w:r>
        <w:rPr>
          <w:rStyle w:val="NormalTok"/>
        </w:rPr>
        <w:t xml:space="preserve"> C </w:t>
      </w:r>
      <w:r>
        <w:rPr>
          <w:rStyle w:val="SpecialCharTok"/>
        </w:rPr>
        <w:t xml:space="preserve">%*%</w:t>
      </w:r>
      <w:r>
        <w:rPr>
          <w:rStyle w:val="NormalTok"/>
        </w:rPr>
        <w:t xml:space="preserve"> (Ps[t </w:t>
      </w:r>
      <w:r>
        <w:rPr>
          <w:rStyle w:val="SpecialCharTok"/>
        </w:rPr>
        <w:t xml:space="preserve">+</w:t>
      </w:r>
      <w:r>
        <w:rPr>
          <w:rStyle w:val="NormalTok"/>
        </w:rPr>
        <w:t xml:space="preserve"> </w:t>
      </w:r>
      <w:r>
        <w:rPr>
          <w:rStyle w:val="DecValTok"/>
        </w:rPr>
        <w:t xml:space="preserve">1</w:t>
      </w:r>
      <w:r>
        <w:rPr>
          <w:rStyle w:val="NormalTok"/>
        </w:rPr>
        <w:t xml:space="preserve">, , ] </w:t>
      </w:r>
      <w:r>
        <w:rPr>
          <w:rStyle w:val="SpecialCharTok"/>
        </w:rPr>
        <w:t xml:space="preserve">-</w:t>
      </w:r>
      <w:r>
        <w:rPr>
          <w:rStyle w:val="NormalTok"/>
        </w:rPr>
        <w:t xml:space="preserve"> Pp[t </w:t>
      </w:r>
      <w:r>
        <w:rPr>
          <w:rStyle w:val="SpecialCharTok"/>
        </w:rPr>
        <w:t xml:space="preserve">+</w:t>
      </w:r>
      <w:r>
        <w:rPr>
          <w:rStyle w:val="NormalTok"/>
        </w:rPr>
        <w:t xml:space="preserve"> </w:t>
      </w:r>
      <w:r>
        <w:rPr>
          <w:rStyle w:val="DecValTok"/>
        </w:rPr>
        <w:t xml:space="preserve">1</w:t>
      </w:r>
      <w:r>
        <w:rPr>
          <w:rStyle w:val="NormalTok"/>
        </w:rPr>
        <w:t xml:space="preserve">, , ]) </w:t>
      </w:r>
      <w:r>
        <w:rPr>
          <w:rStyle w:val="SpecialCharTok"/>
        </w:rPr>
        <w:t xml:space="preserve">%*%</w:t>
      </w:r>
      <w:r>
        <w:rPr>
          <w:rStyle w:val="NormalTok"/>
        </w:rPr>
        <w:t xml:space="preserve"> </w:t>
      </w:r>
      <w:r>
        <w:rPr>
          <w:rStyle w:val="FunctionTok"/>
        </w:rPr>
        <w:t xml:space="preserve">t</w:t>
      </w:r>
      <w:r>
        <w:rPr>
          <w:rStyle w:val="NormalTok"/>
        </w:rPr>
        <w:t xml:space="preserve">(C)</w:t>
      </w:r>
      <w:r>
        <w:br/>
      </w:r>
      <w:r>
        <w:rPr>
          <w:rStyle w:val="NormalTok"/>
        </w:rPr>
        <w:t xml:space="preserve">  }</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map_dbl</w:t>
      </w:r>
      <w:r>
        <w:rPr>
          <w:rStyle w:val="NormalTok"/>
        </w:rPr>
        <w:t xml:space="preserve">(</w:t>
      </w:r>
      <w:r>
        <w:rPr>
          <w:rStyle w:val="FunctionTok"/>
        </w:rPr>
        <w:t xml:space="preserve">seq_len</w:t>
      </w:r>
      <w:r>
        <w:rPr>
          <w:rStyle w:val="NormalTok"/>
        </w:rPr>
        <w:t xml:space="preserve">(n), \(t) </w:t>
      </w:r>
      <w:r>
        <w:rPr>
          <w:rStyle w:val="FunctionTok"/>
        </w:rPr>
        <w:t xml:space="preserve">as.numeric</w:t>
      </w:r>
      <w:r>
        <w:rPr>
          <w:rStyle w:val="NormalTok"/>
        </w:rPr>
        <w:t xml:space="preserve">(H[t, ] </w:t>
      </w:r>
      <w:r>
        <w:rPr>
          <w:rStyle w:val="SpecialCharTok"/>
        </w:rPr>
        <w:t xml:space="preserve">%*%</w:t>
      </w:r>
      <w:r>
        <w:rPr>
          <w:rStyle w:val="NormalTok"/>
        </w:rPr>
        <w:t xml:space="preserve"> xs[t, ])),</w:t>
      </w:r>
      <w:r>
        <w:br/>
      </w:r>
      <w:r>
        <w:rPr>
          <w:rStyle w:val="NormalTok"/>
        </w:rPr>
        <w:t xml:space="preserve">    </w:t>
      </w:r>
      <w:r>
        <w:rPr>
          <w:rStyle w:val="AttributeTok"/>
        </w:rPr>
        <w:t xml:space="preserve">sd   =</w:t>
      </w:r>
      <w:r>
        <w:rPr>
          <w:rStyle w:val="NormalTok"/>
        </w:rPr>
        <w:t xml:space="preserve"> </w:t>
      </w:r>
      <w:r>
        <w:rPr>
          <w:rStyle w:val="FunctionTok"/>
        </w:rPr>
        <w:t xml:space="preserve">map_dbl</w:t>
      </w:r>
      <w:r>
        <w:rPr>
          <w:rStyle w:val="NormalTok"/>
        </w:rPr>
        <w:t xml:space="preserve">(</w:t>
      </w:r>
      <w:r>
        <w:rPr>
          <w:rStyle w:val="FunctionTok"/>
        </w:rPr>
        <w:t xml:space="preserve">seq_len</w:t>
      </w:r>
      <w:r>
        <w:rPr>
          <w:rStyle w:val="NormalTok"/>
        </w:rPr>
        <w:t xml:space="preserve">(n), \(t) </w:t>
      </w:r>
      <w:r>
        <w:rPr>
          <w:rStyle w:val="FunctionTok"/>
        </w:rPr>
        <w:t xml:space="preserve">sqrt</w:t>
      </w:r>
      <w:r>
        <w:rPr>
          <w:rStyle w:val="NormalTok"/>
        </w:rPr>
        <w:t xml:space="preserve">(</w:t>
      </w:r>
      <w:r>
        <w:rPr>
          <w:rStyle w:val="FunctionTok"/>
        </w:rPr>
        <w:t xml:space="preserve">max</w:t>
      </w:r>
      <w:r>
        <w:rPr>
          <w:rStyle w:val="NormalTok"/>
        </w:rPr>
        <w:t xml:space="preserve">(H[t, ] </w:t>
      </w:r>
      <w:r>
        <w:rPr>
          <w:rStyle w:val="SpecialCharTok"/>
        </w:rPr>
        <w:t xml:space="preserve">%*%</w:t>
      </w:r>
      <w:r>
        <w:rPr>
          <w:rStyle w:val="NormalTok"/>
        </w:rPr>
        <w:t xml:space="preserve"> Ps[t, , ] </w:t>
      </w:r>
      <w:r>
        <w:rPr>
          <w:rStyle w:val="SpecialCharTok"/>
        </w:rPr>
        <w:t xml:space="preserve">%*%</w:t>
      </w:r>
      <w:r>
        <w:rPr>
          <w:rStyle w:val="NormalTok"/>
        </w:rPr>
        <w:t xml:space="preserve"> H[t, ],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The level step size and the scale on the stated observation variance, fitted by maximum likelihood.</w:t>
      </w:r>
      <w:r>
        <w:br/>
      </w:r>
      <w:r>
        <w:br/>
      </w:r>
      <w:r>
        <w:rPr>
          <w:rStyle w:val="NormalTok"/>
        </w:rPr>
        <w:t xml:space="preserve">H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sapply</w:t>
      </w:r>
      <w:r>
        <w:rPr>
          <w:rStyle w:val="NormalTok"/>
        </w:rPr>
        <w:t xml:space="preserve">(series</w:t>
      </w:r>
      <w:r>
        <w:rPr>
          <w:rStyle w:val="SpecialCharTok"/>
        </w:rPr>
        <w:t xml:space="preserve">$</w:t>
      </w:r>
      <w:r>
        <w:rPr>
          <w:rStyle w:val="NormalTok"/>
        </w:rPr>
        <w:t xml:space="preserve">date, design_row))</w:t>
      </w:r>
      <w:r>
        <w:br/>
      </w:r>
      <w:r>
        <w:rPr>
          <w:rStyle w:val="NormalTok"/>
        </w:rPr>
        <w:t xml:space="preserve">fit </w:t>
      </w:r>
      <w:r>
        <w:rPr>
          <w:rStyle w:val="OtherTok"/>
        </w:rPr>
        <w:t xml:space="preserve">&lt;-</w:t>
      </w:r>
      <w:r>
        <w:rPr>
          <w:rStyle w:val="NormalTok"/>
        </w:rPr>
        <w:t xml:space="preserve"> </w:t>
      </w:r>
      <w:r>
        <w:rPr>
          <w:rStyle w:val="FunctionTok"/>
        </w:rPr>
        <w:t xml:space="preserve">kalman_smooth</w:t>
      </w:r>
      <w:r>
        <w:rPr>
          <w:rStyle w:val="NormalTok"/>
        </w:rPr>
        <w:t xml:space="preserve">(series</w:t>
      </w:r>
      <w:r>
        <w:rPr>
          <w:rStyle w:val="SpecialCharTok"/>
        </w:rPr>
        <w:t xml:space="preserve">$</w:t>
      </w:r>
      <w:r>
        <w:rPr>
          <w:rStyle w:val="NormalTok"/>
        </w:rPr>
        <w:t xml:space="preserve">y, series</w:t>
      </w:r>
      <w:r>
        <w:rPr>
          <w:rStyle w:val="SpecialCharTok"/>
        </w:rPr>
        <w:t xml:space="preserve">$</w:t>
      </w:r>
      <w:r>
        <w:rPr>
          <w:rStyle w:val="NormalTok"/>
        </w:rPr>
        <w:t xml:space="preserve">r, H, </w:t>
      </w:r>
      <w:r>
        <w:rPr>
          <w:rStyle w:val="AttributeTok"/>
        </w:rPr>
        <w:t xml:space="preserve">q =</w:t>
      </w:r>
      <w:r>
        <w:rPr>
          <w:rStyle w:val="NormalTok"/>
        </w:rPr>
        <w:t xml:space="preserve"> </w:t>
      </w:r>
      <w:r>
        <w:rPr>
          <w:rStyle w:val="FloatTok"/>
        </w:rPr>
        <w:t xml:space="preserve">36.5</w:t>
      </w:r>
      <w:r>
        <w:rPr>
          <w:rStyle w:val="SpecialCharTok"/>
        </w:rPr>
        <w:t xml:space="preserve">^</w:t>
      </w:r>
      <w:r>
        <w:rPr>
          <w:rStyle w:val="DecValTok"/>
        </w:rPr>
        <w:t xml:space="preserve">2</w:t>
      </w:r>
      <w:r>
        <w:rPr>
          <w:rStyle w:val="NormalTok"/>
        </w:rPr>
        <w:t xml:space="preserve">, </w:t>
      </w:r>
      <w:r>
        <w:rPr>
          <w:rStyle w:val="AttributeTok"/>
        </w:rPr>
        <w:t xml:space="preserve">r_scale =</w:t>
      </w:r>
      <w:r>
        <w:rPr>
          <w:rStyle w:val="NormalTok"/>
        </w:rPr>
        <w:t xml:space="preserve"> </w:t>
      </w:r>
      <w:r>
        <w:rPr>
          <w:rStyle w:val="FloatTok"/>
        </w:rPr>
        <w:t xml:space="preserve">0.377</w:t>
      </w:r>
      <w:r>
        <w:rPr>
          <w:rStyle w:val="NormalTok"/>
        </w:rPr>
        <w:t xml:space="preserve">)</w:t>
      </w:r>
      <w:r>
        <w:br/>
      </w:r>
      <w:r>
        <w:br/>
      </w:r>
      <w:r>
        <w:rPr>
          <w:rStyle w:val="NormalTok"/>
        </w:rPr>
        <w:t xml:space="preserve">record </w:t>
      </w:r>
      <w:r>
        <w:rPr>
          <w:rStyle w:val="OtherTok"/>
        </w:rPr>
        <w:t xml:space="preserve">&lt;-</w:t>
      </w:r>
      <w:r>
        <w:rPr>
          <w:rStyle w:val="NormalTok"/>
        </w:rPr>
        <w:t xml:space="preserve"> series </w:t>
      </w:r>
      <w:r>
        <w:rPr>
          <w:rStyle w:val="SpecialCharTok"/>
        </w:rPr>
        <w:t xml:space="preserve">|&gt;</w:t>
      </w:r>
      <w:r>
        <w:br/>
      </w:r>
      <w:r>
        <w:rPr>
          <w:rStyle w:val="NormalTok"/>
        </w:rPr>
        <w:t xml:space="preserve">  </w:t>
      </w:r>
      <w:r>
        <w:rPr>
          <w:rStyle w:val="FunctionTok"/>
        </w:rPr>
        <w:t xml:space="preserve">select</w:t>
      </w:r>
      <w:r>
        <w:rPr>
          <w:rStyle w:val="NormalTok"/>
        </w:rPr>
        <w:t xml:space="preserve">(date, sensors) </w:t>
      </w:r>
      <w:r>
        <w:rPr>
          <w:rStyle w:val="SpecialCharTok"/>
        </w:rPr>
        <w:t xml:space="preserve">|&gt;</w:t>
      </w:r>
      <w:r>
        <w:br/>
      </w:r>
      <w:r>
        <w:rPr>
          <w:rStyle w:val="NormalTok"/>
        </w:rPr>
        <w:t xml:space="preserve">  </w:t>
      </w:r>
      <w:r>
        <w:rPr>
          <w:rStyle w:val="FunctionTok"/>
        </w:rPr>
        <w:t xml:space="preserve">bind_cols</w:t>
      </w:r>
      <w:r>
        <w:rPr>
          <w:rStyle w:val="NormalTok"/>
        </w:rPr>
        <w:t xml:space="preserve">(fit)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open_water =</w:t>
      </w:r>
      <w:r>
        <w:rPr>
          <w:rStyle w:val="NormalTok"/>
        </w:rPr>
        <w:t xml:space="preserve"> </w:t>
      </w:r>
      <w:r>
        <w:rPr>
          <w:rStyle w:val="FunctionTok"/>
        </w:rPr>
        <w:t xml:space="preserve">round</w:t>
      </w:r>
      <w:r>
        <w:rPr>
          <w:rStyle w:val="NormalTok"/>
        </w:rPr>
        <w:t xml:space="preserve">(mean, </w:t>
      </w:r>
      <w:r>
        <w:rPr>
          <w:rStyle w:val="DecValTok"/>
        </w:rPr>
        <w:t xml:space="preserve">1</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round</w:t>
      </w:r>
      <w:r>
        <w:rPr>
          <w:rStyle w:val="NormalTok"/>
        </w:rPr>
        <w:t xml:space="preserve">(</w:t>
      </w:r>
      <w:r>
        <w:rPr>
          <w:rStyle w:val="FunctionTok"/>
        </w:rPr>
        <w:t xml:space="preserve">pmax</w:t>
      </w:r>
      <w:r>
        <w:rPr>
          <w:rStyle w:val="NormalTok"/>
        </w:rPr>
        <w:t xml:space="preserve">(mean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round</w:t>
      </w:r>
      <w:r>
        <w:rPr>
          <w:rStyle w:val="NormalTok"/>
        </w:rPr>
        <w:t xml:space="preserve">(mean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DecValTok"/>
        </w:rPr>
        <w:t xml:space="preserve">1</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(series</w:t>
      </w:r>
      <w:r>
        <w:rPr>
          <w:rStyle w:val="SpecialCharTok"/>
        </w:rPr>
        <w:t xml:space="preserve">$</w:t>
      </w:r>
      <w:r>
        <w:rPr>
          <w:rStyle w:val="NormalTok"/>
        </w:rPr>
        <w:t xml:space="preserve">y), </w:t>
      </w:r>
      <w:r>
        <w:rPr>
          <w:rStyle w:val="StringTok"/>
        </w:rPr>
        <w:t xml:space="preserve">"carried by the model"</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era        =</w:t>
      </w:r>
      <w:r>
        <w:rPr>
          <w:rStyle w:val="NormalTok"/>
        </w:rPr>
        <w:t xml:space="preserve"> </w:t>
      </w:r>
      <w:r>
        <w:rPr>
          <w:rStyle w:val="FunctionTok"/>
        </w:rPr>
        <w:t xml:space="preserve">case_when</w:t>
      </w:r>
      <w:r>
        <w:rPr>
          <w:rStyle w:val="NormalTok"/>
        </w:rPr>
        <w:t xml:space="preserve">(</w:t>
      </w:r>
      <w:r>
        <w:br/>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"2000-01-01"</w:t>
      </w:r>
      <w:r>
        <w:rPr>
          <w:rStyle w:val="NormalTok"/>
        </w:rPr>
        <w:t xml:space="preserve">) </w:t>
      </w:r>
      <w:r>
        <w:rPr>
          <w:rStyle w:val="SpecialCharTok"/>
        </w:rPr>
        <w:t xml:space="preserve">~</w:t>
      </w:r>
      <w:r>
        <w:rPr>
          <w:rStyle w:val="NormalTok"/>
        </w:rPr>
        <w:t xml:space="preserve"> </w:t>
      </w:r>
      <w:r>
        <w:rPr>
          <w:rStyle w:val="StringTok"/>
        </w:rPr>
        <w:t xml:space="preserve">"1984-1999"</w:t>
      </w:r>
      <w:r>
        <w:rPr>
          <w:rStyle w:val="NormalTok"/>
        </w:rPr>
        <w:t xml:space="preserve">,</w:t>
      </w:r>
      <w:r>
        <w:br/>
      </w:r>
      <w:r>
        <w:rPr>
          <w:rStyle w:val="NormalTok"/>
        </w:rPr>
        <w:t xml:space="preserve">      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"2015-01-01"</w:t>
      </w:r>
      <w:r>
        <w:rPr>
          <w:rStyle w:val="NormalTok"/>
        </w:rPr>
        <w:t xml:space="preserve">) </w:t>
      </w:r>
      <w:r>
        <w:rPr>
          <w:rStyle w:val="SpecialCharTok"/>
        </w:rPr>
        <w:t xml:space="preserve">~</w:t>
      </w:r>
      <w:r>
        <w:rPr>
          <w:rStyle w:val="NormalTok"/>
        </w:rPr>
        <w:t xml:space="preserve"> </w:t>
      </w:r>
      <w:r>
        <w:rPr>
          <w:rStyle w:val="StringTok"/>
        </w:rPr>
        <w:t xml:space="preserve">"2000-2014"</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"2015-2024"</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(date, era, open_water, lower, upper, source, sensors)</w:t>
      </w:r>
      <w:r>
        <w:br/>
      </w:r>
      <w:r>
        <w:br/>
      </w:r>
      <w:r>
        <w:rPr>
          <w:rStyle w:val="NormalTok"/>
        </w:rPr>
        <w:t xml:space="preserve">record </w:t>
      </w:r>
      <w:r>
        <w:rPr>
          <w:rStyle w:val="SpecialCharTok"/>
        </w:rPr>
        <w:t xml:space="preserve">|&gt;</w:t>
      </w:r>
      <w:r>
        <w:br/>
      </w:r>
      <w:r>
        <w:rPr>
          <w:rStyle w:val="NormalTok"/>
        </w:rPr>
        <w:t xml:space="preserve">  </w:t>
      </w:r>
      <w:r>
        <w:rPr>
          <w:rStyle w:val="FunctionTok"/>
        </w:rPr>
        <w:t xml:space="preserve">group_by</w:t>
      </w:r>
      <w:r>
        <w:rPr>
          <w:rStyle w:val="NormalTok"/>
        </w:rPr>
        <w:t xml:space="preserve">(era)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steps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observed  =</w:t>
      </w:r>
      <w:r>
        <w:rPr>
          <w:rStyle w:val="NormalTok"/>
        </w:rPr>
        <w:t xml:space="preserve"> </w:t>
      </w:r>
      <w:r>
        <w:rPr>
          <w:rStyle w:val="FunctionTok"/>
        </w:rPr>
        <w:t xml:space="preserve">sum</w:t>
      </w:r>
      <w:r>
        <w:rPr>
          <w:rStyle w:val="NormalTok"/>
        </w:rPr>
        <w:t xml:space="preserve">(source </w:t>
      </w:r>
      <w:r>
        <w:rPr>
          <w:rStyle w:val="SpecialCharTok"/>
        </w:rPr>
        <w:t xml:space="preserve">==</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mean_km2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(open_water)),</w:t>
      </w:r>
      <w:r>
        <w:br/>
      </w:r>
      <w:r>
        <w:rPr>
          <w:rStyle w:val="NormalTok"/>
        </w:rPr>
        <w:t xml:space="preserve">    </w:t>
      </w:r>
      <w:r>
        <w:rPr>
          <w:rStyle w:val="AttributeTok"/>
        </w:rPr>
        <w:t xml:space="preserve">min_km2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(open_water)),</w:t>
      </w:r>
      <w:r>
        <w:br/>
      </w:r>
      <w:r>
        <w:rPr>
          <w:rStyle w:val="NormalTok"/>
        </w:rPr>
        <w:t xml:space="preserve">    </w:t>
      </w:r>
      <w:r>
        <w:rPr>
          <w:rStyle w:val="AttributeTok"/>
        </w:rPr>
        <w:t xml:space="preserve">max_km2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(open_water)),</w:t>
      </w:r>
      <w:r>
        <w:br/>
      </w:r>
      <w:r>
        <w:rPr>
          <w:rStyle w:val="NormalTok"/>
        </w:rPr>
        <w:t xml:space="preserve">    </w:t>
      </w:r>
      <w:r>
        <w:rPr>
          <w:rStyle w:val="AttributeTok"/>
        </w:rPr>
        <w:t xml:space="preserve">interval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(upper </w:t>
      </w:r>
      <w:r>
        <w:rPr>
          <w:rStyle w:val="SpecialCharTok"/>
        </w:rPr>
        <w:t xml:space="preserve">-</w:t>
      </w:r>
      <w:r>
        <w:rPr>
          <w:rStyle w:val="NormalTok"/>
        </w:rPr>
        <w:t xml:space="preserve"> lower)),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w:t>
      </w:r>
      <w:r>
        <w:rPr>
          <w:rStyle w:val="StringTok"/>
        </w:rPr>
        <w:t xml:space="preserve">"The sixteen-day record by era. The interval column is the"</w:t>
      </w:r>
      <w:r>
        <w:rPr>
          <w:rStyle w:val="NormalTok"/>
        </w:rPr>
        <w:t xml:space="preserve">,</w:t>
      </w:r>
      <w:r>
        <w:br/>
      </w:r>
      <w:r>
        <w:rPr>
          <w:rStyle w:val="NormalTok"/>
        </w:rPr>
        <w:t xml:space="preserve">                    </w:t>
      </w:r>
      <w:r>
        <w:rPr>
          <w:rStyle w:val="StringTok"/>
        </w:rPr>
        <w:t xml:space="preserve">"mean width of the ninety-five per cent credible interval,"</w:t>
      </w:r>
      <w:r>
        <w:rPr>
          <w:rStyle w:val="NormalTok"/>
        </w:rPr>
        <w:t xml:space="preserve">,</w:t>
      </w:r>
      <w:r>
        <w:br/>
      </w:r>
      <w:r>
        <w:rPr>
          <w:rStyle w:val="NormalTok"/>
        </w:rPr>
        <w:t xml:space="preserve">                    </w:t>
      </w:r>
      <w:r>
        <w:rPr>
          <w:rStyle w:val="StringTok"/>
        </w:rPr>
        <w:t xml:space="preserve">"which states rather than conceals how much of each era is"</w:t>
      </w:r>
      <w:r>
        <w:rPr>
          <w:rStyle w:val="NormalTok"/>
        </w:rPr>
        <w:t xml:space="preserve">,</w:t>
      </w:r>
      <w:r>
        <w:br/>
      </w:r>
      <w:r>
        <w:rPr>
          <w:rStyle w:val="NormalTok"/>
        </w:rPr>
        <w:t xml:space="preserve">                    </w:t>
      </w:r>
      <w:r>
        <w:rPr>
          <w:rStyle w:val="StringTok"/>
        </w:rPr>
        <w:t xml:space="preserve">"measured."</w:t>
      </w:r>
      <w:r>
        <w:rPr>
          <w:rStyle w:val="NormalTok"/>
        </w:rPr>
        <w:t xml:space="preserve">)</w:t>
      </w:r>
      <w:r>
        <w:br/>
      </w:r>
      <w:r>
        <w:rPr>
          <w:rStyle w:val="NormalTok"/>
        </w:rPr>
        <w:t xml:space="preserve">  )</w:t>
      </w:r>
    </w:p>
    <w:p>
      <w:pPr>
        <w:pStyle w:val="TableCaption"/>
      </w:pPr>
      <w:r>
        <w:t xml:space="preserve">The sixteen-day record by era. The interval column is the mean width of the ninety-five per cent credible interval, which states rather than conceals how much of each era is measured.</w:t>
      </w:r>
    </w:p>
    <w:tbl>
      <w:tblPr>
        <w:tblStyle w:val="Table"/>
        <w:tblW w:type="auto" w:w="0"/>
        <w:tblLook w:firstRow="1" w:lastRow="0" w:firstColumn="0" w:lastColumn="0" w:noHBand="0" w:noVBand="0" w:val="0020"/>
        <w:tblCaption w:val="The sixteen-day record by era. The interval column is the mean width of the ninety-five per cent credible interval, which states rather than conceals how much of each era is measured."/>
      </w:tblPr>
      <w:tblGrid>
        <w:gridCol w:w="1131"/>
        <w:gridCol w:w="1131"/>
        <w:gridCol w:w="1131"/>
        <w:gridCol w:w="1131"/>
        <w:gridCol w:w="1131"/>
        <w:gridCol w:w="1131"/>
        <w:gridCol w:w="1131"/>
      </w:tblGrid>
      <w:tr>
        <w:trPr>
          <w:tblHeader w:val="on"/>
        </w:trPr>
        <w:tc>
          <w:tcPr/>
          <w:p>
            <w:pPr>
              <w:pStyle w:val="Compact"/>
              <w:jc w:val="left"/>
            </w:pPr>
            <w:r>
              <w:t xml:space="preserve">era</w:t>
            </w:r>
          </w:p>
        </w:tc>
        <w:tc>
          <w:tcPr/>
          <w:p>
            <w:pPr>
              <w:pStyle w:val="Compact"/>
              <w:jc w:val="right"/>
            </w:pPr>
            <w:r>
              <w:t xml:space="preserve">steps</w:t>
            </w:r>
          </w:p>
        </w:tc>
        <w:tc>
          <w:tcPr/>
          <w:p>
            <w:pPr>
              <w:pStyle w:val="Compact"/>
              <w:jc w:val="right"/>
            </w:pPr>
            <w:r>
              <w:t xml:space="preserve">observed</w:t>
            </w:r>
          </w:p>
        </w:tc>
        <w:tc>
          <w:tcPr/>
          <w:p>
            <w:pPr>
              <w:pStyle w:val="Compact"/>
              <w:jc w:val="right"/>
            </w:pPr>
            <w:r>
              <w:t xml:space="preserve">mean_km2</w:t>
            </w:r>
          </w:p>
        </w:tc>
        <w:tc>
          <w:tcPr/>
          <w:p>
            <w:pPr>
              <w:pStyle w:val="Compact"/>
              <w:jc w:val="right"/>
            </w:pPr>
            <w:r>
              <w:t xml:space="preserve">min_km2</w:t>
            </w:r>
          </w:p>
        </w:tc>
        <w:tc>
          <w:tcPr/>
          <w:p>
            <w:pPr>
              <w:pStyle w:val="Compact"/>
              <w:jc w:val="right"/>
            </w:pPr>
            <w:r>
              <w:t xml:space="preserve">max_km2</w:t>
            </w:r>
          </w:p>
        </w:tc>
        <w:tc>
          <w:tcPr/>
          <w:p>
            <w:pPr>
              <w:pStyle w:val="Compact"/>
              <w:jc w:val="right"/>
            </w:pPr>
            <w:r>
              <w:t xml:space="preserve">interval</w:t>
            </w:r>
          </w:p>
        </w:tc>
      </w:tr>
      <w:tr>
        <w:tc>
          <w:tcPr/>
          <w:p>
            <w:pPr>
              <w:pStyle w:val="Compact"/>
              <w:jc w:val="left"/>
            </w:pPr>
            <w:r>
              <w:t xml:space="preserve">1984-1999</w:t>
            </w:r>
          </w:p>
        </w:tc>
        <w:tc>
          <w:tcPr/>
          <w:p>
            <w:pPr>
              <w:pStyle w:val="Compact"/>
              <w:jc w:val="right"/>
            </w:pPr>
            <w:r>
              <w:t xml:space="preserve">366</w:t>
            </w:r>
          </w:p>
        </w:tc>
        <w:tc>
          <w:tcPr/>
          <w:p>
            <w:pPr>
              <w:pStyle w:val="Compact"/>
              <w:jc w:val="right"/>
            </w:pPr>
            <w:r>
              <w:t xml:space="preserve">27</w:t>
            </w:r>
          </w:p>
        </w:tc>
        <w:tc>
          <w:tcPr/>
          <w:p>
            <w:pPr>
              <w:pStyle w:val="Compact"/>
              <w:jc w:val="right"/>
            </w:pPr>
            <w:r>
              <w:t xml:space="preserve">1184</w:t>
            </w:r>
          </w:p>
        </w:tc>
        <w:tc>
          <w:tcPr/>
          <w:p>
            <w:pPr>
              <w:pStyle w:val="Compact"/>
              <w:jc w:val="right"/>
            </w:pPr>
            <w:r>
              <w:t xml:space="preserve">530</w:t>
            </w:r>
          </w:p>
        </w:tc>
        <w:tc>
          <w:tcPr/>
          <w:p>
            <w:pPr>
              <w:pStyle w:val="Compact"/>
              <w:jc w:val="right"/>
            </w:pPr>
            <w:r>
              <w:t xml:space="preserve">1526</w:t>
            </w:r>
          </w:p>
        </w:tc>
        <w:tc>
          <w:tcPr/>
          <w:p>
            <w:pPr>
              <w:pStyle w:val="Compact"/>
              <w:jc w:val="right"/>
            </w:pPr>
            <w:r>
              <w:t xml:space="preserve">872</w:t>
            </w:r>
          </w:p>
        </w:tc>
      </w:tr>
      <w:tr>
        <w:tc>
          <w:tcPr/>
          <w:p>
            <w:pPr>
              <w:pStyle w:val="Compact"/>
              <w:jc w:val="left"/>
            </w:pPr>
            <w:r>
              <w:t xml:space="preserve">2000-2014</w:t>
            </w:r>
          </w:p>
        </w:tc>
        <w:tc>
          <w:tcPr/>
          <w:p>
            <w:pPr>
              <w:pStyle w:val="Compact"/>
              <w:jc w:val="right"/>
            </w:pPr>
            <w:r>
              <w:t xml:space="preserve">342</w:t>
            </w:r>
          </w:p>
        </w:tc>
        <w:tc>
          <w:tcPr/>
          <w:p>
            <w:pPr>
              <w:pStyle w:val="Compact"/>
              <w:jc w:val="right"/>
            </w:pPr>
            <w:r>
              <w:t xml:space="preserve">317</w:t>
            </w:r>
          </w:p>
        </w:tc>
        <w:tc>
          <w:tcPr/>
          <w:p>
            <w:pPr>
              <w:pStyle w:val="Compact"/>
              <w:jc w:val="right"/>
            </w:pPr>
            <w:r>
              <w:t xml:space="preserve">1191</w:t>
            </w:r>
          </w:p>
        </w:tc>
        <w:tc>
          <w:tcPr/>
          <w:p>
            <w:pPr>
              <w:pStyle w:val="Compact"/>
              <w:jc w:val="right"/>
            </w:pPr>
            <w:r>
              <w:t xml:space="preserve">823</w:t>
            </w:r>
          </w:p>
        </w:tc>
        <w:tc>
          <w:tcPr/>
          <w:p>
            <w:pPr>
              <w:pStyle w:val="Compact"/>
              <w:jc w:val="right"/>
            </w:pPr>
            <w:r>
              <w:t xml:space="preserve">1282</w:t>
            </w:r>
          </w:p>
        </w:tc>
        <w:tc>
          <w:tcPr/>
          <w:p>
            <w:pPr>
              <w:pStyle w:val="Compact"/>
              <w:jc w:val="right"/>
            </w:pPr>
            <w:r>
              <w:t xml:space="preserve">111</w:t>
            </w:r>
          </w:p>
        </w:tc>
      </w:tr>
      <w:tr>
        <w:tc>
          <w:tcPr/>
          <w:p>
            <w:pPr>
              <w:pStyle w:val="Compact"/>
              <w:jc w:val="left"/>
            </w:pPr>
            <w:r>
              <w:t xml:space="preserve">2015-2024</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1189</w:t>
            </w:r>
          </w:p>
        </w:tc>
        <w:tc>
          <w:tcPr/>
          <w:p>
            <w:pPr>
              <w:pStyle w:val="Compact"/>
              <w:jc w:val="right"/>
            </w:pPr>
            <w:r>
              <w:t xml:space="preserve">48</w:t>
            </w:r>
          </w:p>
        </w:tc>
        <w:tc>
          <w:tcPr/>
          <w:p>
            <w:pPr>
              <w:pStyle w:val="Compact"/>
              <w:jc w:val="right"/>
            </w:pPr>
            <w:r>
              <w:t xml:space="preserve">2010</w:t>
            </w:r>
          </w:p>
        </w:tc>
        <w:tc>
          <w:tcPr/>
          <w:p>
            <w:pPr>
              <w:pStyle w:val="Compact"/>
              <w:jc w:val="right"/>
            </w:pPr>
            <w:r>
              <w:t xml:space="preserve">98</w:t>
            </w:r>
          </w:p>
        </w:tc>
      </w:tr>
    </w:tbl>
    <w:bookmarkEnd w:id="94"/>
    <w:bookmarkEnd w:id="95"/>
    <w:bookmarkStart w:id="96" w:name="inundation-migration-records"/>
    <w:p>
      <w:pPr>
        <w:pStyle w:val="Heading3"/>
      </w:pPr>
      <w:r>
        <w:t xml:space="preserve">2.4 Inundation &amp;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96"/>
    <w:bookmarkEnd w:id="97"/>
    <w:bookmarkStart w:id="117" w:name="results"/>
    <w:p>
      <w:pPr>
        <w:pStyle w:val="Heading2"/>
      </w:pPr>
      <w:r>
        <w:t xml:space="preserve">Results</w:t>
      </w:r>
    </w:p>
    <w:bookmarkStart w:id="101" w:name="the-sixteen-day-record"/>
    <w:p>
      <w:pPr>
        <w:pStyle w:val="Heading3"/>
      </w:pPr>
      <w:r>
        <w:t xml:space="preserve">3.1 The Sixteen-Day Record</w:t>
      </w:r>
    </w:p>
    <w:p>
      <w:pPr>
        <w:pStyle w:val="SourceCode"/>
      </w:pPr>
      <w:r>
        <w:rPr>
          <w:rStyle w:val="CommentTok"/>
        </w:rPr>
        <w:t xml:space="preserve"># The annual summary the record supports, and the seasonal extremes it reports</w:t>
      </w:r>
      <w:r>
        <w:br/>
      </w:r>
      <w:r>
        <w:rPr>
          <w:rStyle w:val="CommentTok"/>
        </w:rPr>
        <w:t xml:space="preserve"># within each year. Both are read from the fused series built in Section 2.3,</w:t>
      </w:r>
      <w:r>
        <w:br/>
      </w:r>
      <w:r>
        <w:rPr>
          <w:rStyle w:val="CommentTok"/>
        </w:rPr>
        <w:t xml:space="preserve"># so nothing here is a figure quoted from elsewhere.</w:t>
      </w:r>
      <w:r>
        <w:br/>
      </w:r>
      <w:r>
        <w:br/>
      </w:r>
      <w:r>
        <w:rPr>
          <w:rStyle w:val="NormalTok"/>
        </w:rPr>
        <w:t xml:space="preserve">annual </w:t>
      </w:r>
      <w:r>
        <w:rPr>
          <w:rStyle w:val="OtherTok"/>
        </w:rPr>
        <w:t xml:space="preserve">&lt;-</w:t>
      </w:r>
      <w:r>
        <w:rPr>
          <w:rStyle w:val="NormalTok"/>
        </w:rPr>
        <w:t xml:space="preserve"> record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mean_km2 =</w:t>
      </w:r>
      <w:r>
        <w:rPr>
          <w:rStyle w:val="NormalTok"/>
        </w:rPr>
        <w:t xml:space="preserve"> </w:t>
      </w:r>
      <w:r>
        <w:rPr>
          <w:rStyle w:val="FunctionTok"/>
        </w:rPr>
        <w:t xml:space="preserve">mean</w:t>
      </w:r>
      <w:r>
        <w:rPr>
          <w:rStyle w:val="NormalTok"/>
        </w:rPr>
        <w:t xml:space="preserve">(open_water),</w:t>
      </w:r>
      <w:r>
        <w:br/>
      </w:r>
      <w:r>
        <w:rPr>
          <w:rStyle w:val="NormalTok"/>
        </w:rPr>
        <w:t xml:space="preserve">    </w:t>
      </w:r>
      <w:r>
        <w:rPr>
          <w:rStyle w:val="AttributeTok"/>
        </w:rPr>
        <w:t xml:space="preserve">min_km2  =</w:t>
      </w:r>
      <w:r>
        <w:rPr>
          <w:rStyle w:val="NormalTok"/>
        </w:rPr>
        <w:t xml:space="preserve"> </w:t>
      </w:r>
      <w:r>
        <w:rPr>
          <w:rStyle w:val="FunctionTok"/>
        </w:rPr>
        <w:t xml:space="preserve">min</w:t>
      </w:r>
      <w:r>
        <w:rPr>
          <w:rStyle w:val="NormalTok"/>
        </w:rPr>
        <w:t xml:space="preserve">(open_water),</w:t>
      </w:r>
      <w:r>
        <w:br/>
      </w:r>
      <w:r>
        <w:rPr>
          <w:rStyle w:val="NormalTok"/>
        </w:rPr>
        <w:t xml:space="preserve">    </w:t>
      </w:r>
      <w:r>
        <w:rPr>
          <w:rStyle w:val="AttributeTok"/>
        </w:rPr>
        <w:t xml:space="preserve">max_km2  =</w:t>
      </w:r>
      <w:r>
        <w:rPr>
          <w:rStyle w:val="NormalTok"/>
        </w:rPr>
        <w:t xml:space="preserve"> </w:t>
      </w:r>
      <w:r>
        <w:rPr>
          <w:rStyle w:val="FunctionTok"/>
        </w:rPr>
        <w:t xml:space="preserve">max</w:t>
      </w:r>
      <w:r>
        <w:rPr>
          <w:rStyle w:val="NormalTok"/>
        </w:rPr>
        <w:t xml:space="preserve">(open_water),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"steps in the record"</w:t>
      </w:r>
      <w:r>
        <w:rPr>
          <w:rStyle w:val="NormalTok"/>
        </w:rPr>
        <w:t xml:space="preserve">,</w:t>
      </w:r>
      <w:r>
        <w:br/>
      </w:r>
      <w:r>
        <w:rPr>
          <w:rStyle w:val="NormalTok"/>
        </w:rPr>
        <w:t xml:space="preserve">               </w:t>
      </w:r>
      <w:r>
        <w:rPr>
          <w:rStyle w:val="StringTok"/>
        </w:rPr>
        <w:t xml:space="preserve">"steps carrying a direct observation"</w:t>
      </w:r>
      <w:r>
        <w:rPr>
          <w:rStyle w:val="NormalTok"/>
        </w:rPr>
        <w:t xml:space="preserve">,</w:t>
      </w:r>
      <w:r>
        <w:br/>
      </w:r>
      <w:r>
        <w:rPr>
          <w:rStyle w:val="NormalTok"/>
        </w:rPr>
        <w:t xml:space="preserve">               </w:t>
      </w:r>
      <w:r>
        <w:rPr>
          <w:rStyle w:val="StringTok"/>
        </w:rPr>
        <w:t xml:space="preserve">"mean open water"</w:t>
      </w:r>
      <w:r>
        <w:rPr>
          <w:rStyle w:val="NormalTok"/>
        </w:rPr>
        <w:t xml:space="preserve">,</w:t>
      </w:r>
      <w:r>
        <w:br/>
      </w:r>
      <w:r>
        <w:rPr>
          <w:rStyle w:val="NormalTok"/>
        </w:rPr>
        <w:t xml:space="preserve">               </w:t>
      </w:r>
      <w:r>
        <w:rPr>
          <w:rStyle w:val="StringTok"/>
        </w:rPr>
        <w:t xml:space="preserve">"driest sixteen-day step"</w:t>
      </w:r>
      <w:r>
        <w:rPr>
          <w:rStyle w:val="NormalTok"/>
        </w:rPr>
        <w:t xml:space="preserve">,</w:t>
      </w:r>
      <w:r>
        <w:br/>
      </w:r>
      <w:r>
        <w:rPr>
          <w:rStyle w:val="NormalTok"/>
        </w:rPr>
        <w:t xml:space="preserve">               </w:t>
      </w:r>
      <w:r>
        <w:rPr>
          <w:rStyle w:val="StringTok"/>
        </w:rPr>
        <w:t xml:space="preserve">"wettest sixteen-day step"</w:t>
      </w:r>
      <w:r>
        <w:rPr>
          <w:rStyle w:val="NormalTok"/>
        </w:rPr>
        <w:t xml:space="preserve">,</w:t>
      </w:r>
      <w:r>
        <w:br/>
      </w:r>
      <w:r>
        <w:rPr>
          <w:rStyle w:val="NormalTok"/>
        </w:rPr>
        <w:t xml:space="preserve">               </w:t>
      </w:r>
      <w:r>
        <w:rPr>
          <w:rStyle w:val="StringTok"/>
        </w:rPr>
        <w:t xml:space="preserve">"deepest seasonal minimum, and its year"</w:t>
      </w:r>
      <w:r>
        <w:rPr>
          <w:rStyle w:val="NormalTok"/>
        </w:rPr>
        <w:t xml:space="preserve">,</w:t>
      </w:r>
      <w:r>
        <w:br/>
      </w:r>
      <w:r>
        <w:rPr>
          <w:rStyle w:val="NormalTok"/>
        </w:rPr>
        <w:t xml:space="preserve">               </w:t>
      </w:r>
      <w:r>
        <w:rPr>
          <w:rStyle w:val="StringTok"/>
        </w:rPr>
        <w:t xml:space="preserve">"1995 recession minimum"</w:t>
      </w:r>
      <w:r>
        <w:rPr>
          <w:rStyle w:val="NormalTok"/>
        </w:rPr>
        <w:t xml:space="preserve">,</w:t>
      </w:r>
      <w:r>
        <w:br/>
      </w:r>
      <w:r>
        <w:rPr>
          <w:rStyle w:val="NormalTok"/>
        </w:rPr>
        <w:t xml:space="preserve">               </w:t>
      </w:r>
      <w:r>
        <w:rPr>
          <w:rStyle w:val="StringTok"/>
        </w:rPr>
        <w:t xml:space="preserve">"2012 fieldwork minimum"</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(record),</w:t>
      </w:r>
      <w:r>
        <w:br/>
      </w:r>
      <w:r>
        <w:rPr>
          <w:rStyle w:val="NormalTok"/>
        </w:rPr>
        <w:t xml:space="preserve">    </w:t>
      </w:r>
      <w:r>
        <w:rPr>
          <w:rStyle w:val="FunctionTok"/>
        </w:rPr>
        <w:t xml:space="preserve">sum</w:t>
      </w:r>
      <w:r>
        <w:rPr>
          <w:rStyle w:val="NormalTok"/>
        </w:rPr>
        <w:t xml:space="preserve">(record</w:t>
      </w:r>
      <w:r>
        <w:rPr>
          <w:rStyle w:val="SpecialCharTok"/>
        </w:rPr>
        <w:t xml:space="preserve">$</w:t>
      </w:r>
      <w:r>
        <w:rPr>
          <w:rStyle w:val="NormalTok"/>
        </w:rPr>
        <w:t xml:space="preserve">source </w:t>
      </w:r>
      <w:r>
        <w:rPr>
          <w:rStyle w:val="SpecialCharTok"/>
        </w:rPr>
        <w:t xml:space="preserve">==</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(record</w:t>
      </w:r>
      <w:r>
        <w:rPr>
          <w:rStyle w:val="SpecialCharTok"/>
        </w:rPr>
        <w:t xml:space="preserve">$</w:t>
      </w:r>
      <w:r>
        <w:rPr>
          <w:rStyle w:val="NormalTok"/>
        </w:rPr>
        <w:t xml:space="preserve">open_water)),</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min</w:t>
      </w:r>
      <w:r>
        <w:rPr>
          <w:rStyle w:val="NormalTok"/>
        </w:rPr>
        <w:t xml:space="preserve">(annual</w:t>
      </w:r>
      <w:r>
        <w:rPr>
          <w:rStyle w:val="SpecialCharTok"/>
        </w:rPr>
        <w:t xml:space="preserve">$</w:t>
      </w:r>
      <w:r>
        <w:rPr>
          <w:rStyle w:val="NormalTok"/>
        </w:rPr>
        <w:t xml:space="preserve">min_km2)), </w:t>
      </w:r>
      <w:r>
        <w:rPr>
          <w:rStyle w:val="StringTok"/>
        </w:rPr>
        <w:t xml:space="preserve">" ("</w:t>
      </w:r>
      <w:r>
        <w:rPr>
          <w:rStyle w:val="NormalTok"/>
        </w:rPr>
        <w:t xml:space="preserve">,</w:t>
      </w:r>
      <w:r>
        <w:br/>
      </w:r>
      <w:r>
        <w:rPr>
          <w:rStyle w:val="NormalTok"/>
        </w:rPr>
        <w:t xml:space="preserve">           annual</w:t>
      </w:r>
      <w:r>
        <w:rPr>
          <w:rStyle w:val="SpecialCharTok"/>
        </w:rPr>
        <w:t xml:space="preserve">$</w:t>
      </w:r>
      <w:r>
        <w:rPr>
          <w:rStyle w:val="NormalTok"/>
        </w:rPr>
        <w:t xml:space="preserve">year[</w:t>
      </w:r>
      <w:r>
        <w:rPr>
          <w:rStyle w:val="FunctionTok"/>
        </w:rPr>
        <w:t xml:space="preserve">which.min</w:t>
      </w:r>
      <w:r>
        <w:rPr>
          <w:rStyle w:val="NormalTok"/>
        </w:rPr>
        <w:t xml:space="preserve">(annual</w:t>
      </w:r>
      <w:r>
        <w:rPr>
          <w:rStyle w:val="SpecialCharTok"/>
        </w:rPr>
        <w:t xml:space="preserve">$</w:t>
      </w:r>
      <w:r>
        <w:rPr>
          <w:rStyle w:val="NormalTok"/>
        </w:rPr>
        <w:t xml:space="preserve">min_km2)],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(annual</w:t>
      </w:r>
      <w:r>
        <w:rPr>
          <w:rStyle w:val="SpecialCharTok"/>
        </w:rPr>
        <w:t xml:space="preserve">$</w:t>
      </w:r>
      <w:r>
        <w:rPr>
          <w:rStyle w:val="NormalTok"/>
        </w:rPr>
        <w:t xml:space="preserve">min_km2[annual</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1995</w:t>
      </w:r>
      <w:r>
        <w:rPr>
          <w:rStyle w:val="NormalTok"/>
        </w:rPr>
        <w:t xml:space="preserve">]),</w:t>
      </w:r>
      <w:r>
        <w:br/>
      </w:r>
      <w:r>
        <w:rPr>
          <w:rStyle w:val="NormalTok"/>
        </w:rPr>
        <w:t xml:space="preserve">    </w:t>
      </w:r>
      <w:r>
        <w:rPr>
          <w:rStyle w:val="FunctionTok"/>
        </w:rPr>
        <w:t xml:space="preserve">round</w:t>
      </w:r>
      <w:r>
        <w:rPr>
          <w:rStyle w:val="NormalTok"/>
        </w:rPr>
        <w:t xml:space="preserve">(annual</w:t>
      </w:r>
      <w:r>
        <w:rPr>
          <w:rStyle w:val="SpecialCharTok"/>
        </w:rPr>
        <w:t xml:space="preserve">$</w:t>
      </w:r>
      <w:r>
        <w:rPr>
          <w:rStyle w:val="NormalTok"/>
        </w:rPr>
        <w:t xml:space="preserve">min_km2[annual</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2012</w:t>
      </w:r>
      <w:r>
        <w:rPr>
          <w:rStyle w:val="NormalTok"/>
        </w:rPr>
        <w:t xml:space="preserve">])</w:t>
      </w:r>
      <w:r>
        <w:br/>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FunctionTok"/>
        </w:rPr>
        <w:t xml:space="preserve">c</w:t>
      </w:r>
      <w:r>
        <w:rPr>
          <w:rStyle w:val="NormalTok"/>
        </w:rPr>
        <w:t xml:space="preserve">(</w:t>
      </w:r>
      <w:r>
        <w:rPr>
          <w:rStyle w:val="StringTok"/>
        </w:rPr>
        <w:t xml:space="preserve">"count"</w:t>
      </w:r>
      <w:r>
        <w:rPr>
          <w:rStyle w:val="NormalTok"/>
        </w:rPr>
        <w:t xml:space="preserve">, </w:t>
      </w:r>
      <w:r>
        <w:rPr>
          <w:rStyle w:val="StringTok"/>
        </w:rPr>
        <w:t xml:space="preserve">"count"</w:t>
      </w:r>
      <w:r>
        <w:rPr>
          <w:rStyle w:val="NormalTok"/>
        </w:rPr>
        <w:t xml:space="preserve">, </w:t>
      </w:r>
      <w:r>
        <w:rPr>
          <w:rStyle w:val="FunctionTok"/>
        </w:rPr>
        <w:t xml:space="preserve">rep</w:t>
      </w:r>
      <w:r>
        <w:rPr>
          <w:rStyle w:val="NormalTok"/>
        </w:rPr>
        <w:t xml:space="preserve">(</w:t>
      </w:r>
      <w:r>
        <w:rPr>
          <w:rStyle w:val="StringTok"/>
        </w:rPr>
        <w:t xml:space="preserve">"km2"</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"The record in summary. Areas are square kilometres."</w:t>
      </w:r>
      <w:r>
        <w:rPr>
          <w:rStyle w:val="NormalTok"/>
        </w:rPr>
        <w:t xml:space="preserve">)</w:t>
      </w:r>
    </w:p>
    <w:p>
      <w:pPr>
        <w:pStyle w:val="TableCaption"/>
      </w:pPr>
      <w:r>
        <w:t xml:space="preserve">The record in summary. Areas are square kilometres.</w:t>
      </w:r>
    </w:p>
    <w:tbl>
      <w:tblPr>
        <w:tblStyle w:val="Table"/>
        <w:tblW w:type="auto" w:w="0"/>
        <w:tblLook w:firstRow="1" w:lastRow="0" w:firstColumn="0" w:lastColumn="0" w:noHBand="0" w:noVBand="0" w:val="0020"/>
        <w:tblCaption w:val="The record in summary. Areas are square kilometres."/>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units</w:t>
            </w:r>
          </w:p>
        </w:tc>
      </w:tr>
      <w:tr>
        <w:tc>
          <w:tcPr/>
          <w:p>
            <w:pPr>
              <w:pStyle w:val="Compact"/>
              <w:jc w:val="left"/>
            </w:pPr>
            <w:r>
              <w:t xml:space="preserve">steps in the record</w:t>
            </w:r>
          </w:p>
        </w:tc>
        <w:tc>
          <w:tcPr/>
          <w:p>
            <w:pPr>
              <w:pStyle w:val="Compact"/>
              <w:jc w:val="left"/>
            </w:pPr>
            <w:r>
              <w:t xml:space="preserve">936</w:t>
            </w:r>
          </w:p>
        </w:tc>
        <w:tc>
          <w:tcPr/>
          <w:p>
            <w:pPr>
              <w:pStyle w:val="Compact"/>
              <w:jc w:val="left"/>
            </w:pPr>
            <w:r>
              <w:t xml:space="preserve">count</w:t>
            </w:r>
          </w:p>
        </w:tc>
      </w:tr>
      <w:tr>
        <w:tc>
          <w:tcPr/>
          <w:p>
            <w:pPr>
              <w:pStyle w:val="Compact"/>
              <w:jc w:val="left"/>
            </w:pPr>
            <w:r>
              <w:t xml:space="preserve">steps carrying a direct observation</w:t>
            </w:r>
          </w:p>
        </w:tc>
        <w:tc>
          <w:tcPr/>
          <w:p>
            <w:pPr>
              <w:pStyle w:val="Compact"/>
              <w:jc w:val="left"/>
            </w:pPr>
            <w:r>
              <w:t xml:space="preserve">562</w:t>
            </w:r>
          </w:p>
        </w:tc>
        <w:tc>
          <w:tcPr/>
          <w:p>
            <w:pPr>
              <w:pStyle w:val="Compact"/>
              <w:jc w:val="left"/>
            </w:pPr>
            <w:r>
              <w:t xml:space="preserve">count</w:t>
            </w:r>
          </w:p>
        </w:tc>
      </w:tr>
      <w:tr>
        <w:tc>
          <w:tcPr/>
          <w:p>
            <w:pPr>
              <w:pStyle w:val="Compact"/>
              <w:jc w:val="left"/>
            </w:pPr>
            <w:r>
              <w:t xml:space="preserve">mean open water</w:t>
            </w:r>
          </w:p>
        </w:tc>
        <w:tc>
          <w:tcPr/>
          <w:p>
            <w:pPr>
              <w:pStyle w:val="Compact"/>
              <w:jc w:val="left"/>
            </w:pPr>
            <w:r>
              <w:t xml:space="preserve">1187</w:t>
            </w:r>
          </w:p>
        </w:tc>
        <w:tc>
          <w:tcPr/>
          <w:p>
            <w:pPr>
              <w:pStyle w:val="Compact"/>
              <w:jc w:val="left"/>
            </w:pPr>
            <w:r>
              <w:t xml:space="preserve">km2</w:t>
            </w:r>
          </w:p>
        </w:tc>
      </w:tr>
      <w:tr>
        <w:tc>
          <w:tcPr/>
          <w:p>
            <w:pPr>
              <w:pStyle w:val="Compact"/>
              <w:jc w:val="left"/>
            </w:pPr>
            <w:r>
              <w:t xml:space="preserve">driest sixteen-day step</w:t>
            </w:r>
          </w:p>
        </w:tc>
        <w:tc>
          <w:tcPr/>
          <w:p>
            <w:pPr>
              <w:pStyle w:val="Compact"/>
              <w:jc w:val="left"/>
            </w:pPr>
            <w:r>
              <w:t xml:space="preserve">48</w:t>
            </w:r>
          </w:p>
        </w:tc>
        <w:tc>
          <w:tcPr/>
          <w:p>
            <w:pPr>
              <w:pStyle w:val="Compact"/>
              <w:jc w:val="left"/>
            </w:pPr>
            <w:r>
              <w:t xml:space="preserve">km2</w:t>
            </w:r>
          </w:p>
        </w:tc>
      </w:tr>
      <w:tr>
        <w:tc>
          <w:tcPr/>
          <w:p>
            <w:pPr>
              <w:pStyle w:val="Compact"/>
              <w:jc w:val="left"/>
            </w:pPr>
            <w:r>
              <w:t xml:space="preserve">wettest sixteen-day step</w:t>
            </w:r>
          </w:p>
        </w:tc>
        <w:tc>
          <w:tcPr/>
          <w:p>
            <w:pPr>
              <w:pStyle w:val="Compact"/>
              <w:jc w:val="left"/>
            </w:pPr>
            <w:r>
              <w:t xml:space="preserve">2010</w:t>
            </w:r>
          </w:p>
        </w:tc>
        <w:tc>
          <w:tcPr/>
          <w:p>
            <w:pPr>
              <w:pStyle w:val="Compact"/>
              <w:jc w:val="left"/>
            </w:pPr>
            <w:r>
              <w:t xml:space="preserve">km2</w:t>
            </w:r>
          </w:p>
        </w:tc>
      </w:tr>
      <w:tr>
        <w:tc>
          <w:tcPr/>
          <w:p>
            <w:pPr>
              <w:pStyle w:val="Compact"/>
              <w:jc w:val="left"/>
            </w:pPr>
            <w:r>
              <w:t xml:space="preserve">deepest seasonal minimum, and its year</w:t>
            </w:r>
          </w:p>
        </w:tc>
        <w:tc>
          <w:tcPr/>
          <w:p>
            <w:pPr>
              <w:pStyle w:val="Compact"/>
              <w:jc w:val="left"/>
            </w:pPr>
            <w:r>
              <w:t xml:space="preserve">48 (2018)</w:t>
            </w:r>
          </w:p>
        </w:tc>
        <w:tc>
          <w:tcPr/>
          <w:p>
            <w:pPr>
              <w:pStyle w:val="Compact"/>
              <w:jc w:val="left"/>
            </w:pPr>
            <w:r>
              <w:t xml:space="preserve">km2</w:t>
            </w:r>
          </w:p>
        </w:tc>
      </w:tr>
      <w:tr>
        <w:tc>
          <w:tcPr/>
          <w:p>
            <w:pPr>
              <w:pStyle w:val="Compact"/>
              <w:jc w:val="left"/>
            </w:pPr>
            <w:r>
              <w:t xml:space="preserve">1995 recession minimum</w:t>
            </w:r>
          </w:p>
        </w:tc>
        <w:tc>
          <w:tcPr/>
          <w:p>
            <w:pPr>
              <w:pStyle w:val="Compact"/>
              <w:jc w:val="left"/>
            </w:pPr>
            <w:r>
              <w:t xml:space="preserve">530</w:t>
            </w:r>
          </w:p>
        </w:tc>
        <w:tc>
          <w:tcPr/>
          <w:p>
            <w:pPr>
              <w:pStyle w:val="Compact"/>
              <w:jc w:val="left"/>
            </w:pPr>
            <w:r>
              <w:t xml:space="preserve">km2</w:t>
            </w:r>
          </w:p>
        </w:tc>
      </w:tr>
      <w:tr>
        <w:tc>
          <w:tcPr/>
          <w:p>
            <w:pPr>
              <w:pStyle w:val="Compact"/>
              <w:jc w:val="left"/>
            </w:pPr>
            <w:r>
              <w:t xml:space="preserve">2012 fieldwork minimum</w:t>
            </w:r>
          </w:p>
        </w:tc>
        <w:tc>
          <w:tcPr/>
          <w:p>
            <w:pPr>
              <w:pStyle w:val="Compact"/>
              <w:jc w:val="left"/>
            </w:pPr>
            <w:r>
              <w:t xml:space="preserve">925</w:t>
            </w:r>
          </w:p>
        </w:tc>
        <w:tc>
          <w:tcPr/>
          <w:p>
            <w:pPr>
              <w:pStyle w:val="Compact"/>
              <w:jc w:val="left"/>
            </w:pPr>
            <w:r>
              <w:t xml:space="preserve">km2</w:t>
            </w:r>
          </w:p>
        </w:tc>
      </w:tr>
    </w:tbl>
    <w:p>
      <w:pPr>
        <w:pStyle w:val="BodyText"/>
      </w:pPr>
      <w:r>
        <w:t xml:space="preserve">The record runs to 936 sixteen-day steps between 1 January 1984 and 16 December 2024, of which 562 rest on a direct observation and 374 are carried by the model. Open water averaged 1,187 km2 across the whole record and ranged from 48 km2 to 2,010 km2, a span of more than forty to one.</w:t>
      </w:r>
    </w:p>
    <w:p>
      <w:pPr>
        <w:pStyle w:val="BodyText"/>
      </w:pPr>
      <w:r>
        <w:t xml:space="preserve">The deepest drawdown of the satellite era fell in 2018 and not in 2012. Its seasonal minimum of 48 km2 approached desiccation, against 530 km2 in the 1995 recession and 925 km2 in 2012, the fieldwork year on which the study was framed. Direct Landsat observation records 33 km2 on 29 October 2018 and 7 km2 on 14 November, each from five or six scenes with the basin fully clear, and two further instruments agree independently. An annual record built from composites reported 2018 as 956 km2, which is the mean of a year that fell by two orders of magnitude within it, and that is the argument for reporting at sixteen-day steps stated as a measurement rather than a preference.</w:t>
      </w:r>
    </w:p>
    <w:p>
      <w:pPr>
        <w:pStyle w:val="SourceCode"/>
      </w:pPr>
      <w:r>
        <w:rPr>
          <w:rStyle w:val="NormalTok"/>
        </w:rPr>
        <w:t xml:space="preserve">era_shading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"1984-01-01"</w:t>
      </w:r>
      <w:r>
        <w:rPr>
          <w:rStyle w:val="NormalTok"/>
        </w:rPr>
        <w:t xml:space="preserve">, </w:t>
      </w:r>
      <w:r>
        <w:rPr>
          <w:rStyle w:val="StringTok"/>
        </w:rPr>
        <w:t xml:space="preserve">"2015-01-01"</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"2000-01-01"</w:t>
      </w:r>
      <w:r>
        <w:rPr>
          <w:rStyle w:val="NormalTok"/>
        </w:rPr>
        <w:t xml:space="preserve">, </w:t>
      </w:r>
      <w:r>
        <w:rPr>
          <w:rStyle w:val="StringTok"/>
        </w:rPr>
        <w:t xml:space="preserve">"2025-01-01"</w:t>
      </w:r>
      <w:r>
        <w:rPr>
          <w:rStyle w:val="NormalTok"/>
        </w:rPr>
        <w:t xml:space="preserve">))</w:t>
      </w:r>
      <w:r>
        <w:br/>
      </w:r>
      <w:r>
        <w:rPr>
          <w:rStyle w:val="NormalTok"/>
        </w:rPr>
        <w:t xml:space="preserve">)</w:t>
      </w:r>
      <w:r>
        <w:br/>
      </w:r>
      <w:r>
        <w:br/>
      </w:r>
      <w:r>
        <w:rPr>
          <w:rStyle w:val="FunctionTok"/>
        </w:rPr>
        <w:t xml:space="preserve">ggplot</w:t>
      </w:r>
      <w:r>
        <w:rPr>
          <w:rStyle w:val="NormalTok"/>
        </w:rPr>
        <w:t xml:space="preserve">(record, </w:t>
      </w:r>
      <w:r>
        <w:rPr>
          <w:rStyle w:val="FunctionTok"/>
        </w:rPr>
        <w:t xml:space="preserve">aes</w:t>
      </w:r>
      <w:r>
        <w:rPr>
          <w:rStyle w:val="NormalTok"/>
        </w:rPr>
        <w:t xml:space="preserve">(date, open_water)) </w:t>
      </w:r>
      <w:r>
        <w:rPr>
          <w:rStyle w:val="SpecialCharTok"/>
        </w:rPr>
        <w:t xml:space="preserve">+</w:t>
      </w:r>
      <w:r>
        <w:br/>
      </w:r>
      <w:r>
        <w:rPr>
          <w:rStyle w:val="NormalTok"/>
        </w:rPr>
        <w:t xml:space="preserve">  </w:t>
      </w:r>
      <w:r>
        <w:rPr>
          <w:rStyle w:val="FunctionTok"/>
        </w:rPr>
        <w:t xml:space="preserve">geom_rect</w:t>
      </w:r>
      <w:r>
        <w:rPr>
          <w:rStyle w:val="NormalTok"/>
        </w:rPr>
        <w:t xml:space="preserve">(</w:t>
      </w:r>
      <w:r>
        <w:br/>
      </w:r>
      <w:r>
        <w:rPr>
          <w:rStyle w:val="NormalTok"/>
        </w:rPr>
        <w:t xml:space="preserve">    </w:t>
      </w:r>
      <w:r>
        <w:rPr>
          <w:rStyle w:val="AttributeTok"/>
        </w:rPr>
        <w:t xml:space="preserve">data =</w:t>
      </w:r>
      <w:r>
        <w:rPr>
          <w:rStyle w:val="NormalTok"/>
        </w:rPr>
        <w:t xml:space="preserve"> era_shading,</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fill =</w:t>
      </w:r>
      <w:r>
        <w:rPr>
          <w:rStyle w:val="NormalTok"/>
        </w:rPr>
        <w:t xml:space="preserve"> </w:t>
      </w:r>
      <w:r>
        <w:rPr>
          <w:rStyle w:val="StringTok"/>
        </w:rPr>
        <w:t xml:space="preserve">"#1F6E8C"</w:t>
      </w:r>
      <w:r>
        <w:rPr>
          <w:rStyle w:val="NormalTok"/>
        </w:rPr>
        <w:t xml:space="preserve">, </w:t>
      </w:r>
      <w:r>
        <w:rPr>
          <w:rStyle w:val="AttributeTok"/>
        </w:rPr>
        <w:t xml:space="preserve">alpha =</w:t>
      </w:r>
      <w:r>
        <w:rPr>
          <w:rStyle w:val="NormalTok"/>
        </w:rPr>
        <w:t xml:space="preserve"> </w:t>
      </w:r>
      <w:r>
        <w:rPr>
          <w:rStyle w:val="FloatTok"/>
        </w:rPr>
        <w:t xml:space="preserve">0.05</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fill =</w:t>
      </w:r>
      <w:r>
        <w:rPr>
          <w:rStyle w:val="NormalTok"/>
        </w:rPr>
        <w:t xml:space="preserve"> </w:t>
      </w:r>
      <w:r>
        <w:rPr>
          <w:rStyle w:val="StringTok"/>
        </w:rPr>
        <w:t xml:space="preserve">"#1F6E8C"</w:t>
      </w:r>
      <w:r>
        <w:rPr>
          <w:rStyle w:val="NormalTok"/>
        </w:rPr>
        <w:t xml:space="preserve">, </w:t>
      </w:r>
      <w:r>
        <w:rPr>
          <w:rStyle w:val="AttributeTok"/>
        </w:rPr>
        <w:t xml:space="preserve">alpha =</w:t>
      </w:r>
      <w:r>
        <w:rPr>
          <w:rStyle w:val="NormalTok"/>
        </w:rPr>
        <w:t xml:space="preserve"> </w:t>
      </w:r>
      <w:r>
        <w:rPr>
          <w:rStyle w:val="FloatTok"/>
        </w:rPr>
        <w:t xml:space="preserve">0.22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"#12455A"</w:t>
      </w:r>
      <w:r>
        <w:rPr>
          <w:rStyle w:val="NormalTok"/>
        </w:rPr>
        <w:t xml:space="preserve">, </w:t>
      </w:r>
      <w:r>
        <w:rPr>
          <w:rStyle w:val="AttributeTok"/>
        </w:rPr>
        <w:t xml:space="preserve">linewidth =</w:t>
      </w:r>
      <w:r>
        <w:rPr>
          <w:rStyle w:val="NormalTok"/>
        </w:rPr>
        <w:t xml:space="preserve"> </w:t>
      </w:r>
      <w:r>
        <w:rPr>
          <w:rStyle w:val="FloatTok"/>
        </w:rPr>
        <w:t xml:space="preserve">0.35</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date_breaks =</w:t>
      </w:r>
      <w:r>
        <w:rPr>
          <w:rStyle w:val="NormalTok"/>
        </w:rPr>
        <w:t xml:space="preserve"> </w:t>
      </w:r>
      <w:r>
        <w:rPr>
          <w:rStyle w:val="StringTok"/>
        </w:rPr>
        <w:t xml:space="preserve">"5 years"</w:t>
      </w:r>
      <w:r>
        <w:rPr>
          <w:rStyle w:val="NormalTok"/>
        </w:rPr>
        <w:t xml:space="preserve">, </w:t>
      </w:r>
      <w:r>
        <w:rPr>
          <w:rStyle w:val="AttributeTok"/>
        </w:rPr>
        <w:t xml:space="preserve">date_labels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"open water (km"</w:t>
      </w:r>
      <w:r>
        <w:rPr>
          <w:rStyle w:val="SpecialCharTok"/>
        </w:rPr>
        <w:t xml:space="preserve">^</w:t>
      </w:r>
      <w:r>
        <w:rPr>
          <w:rStyle w:val="DecValTok"/>
        </w:rPr>
        <w:t xml:space="preserve">2</w:t>
      </w:r>
      <w:r>
        <w:rPr>
          <w:rStyle w:val="SpecialChar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CaptionedFigure"/>
      </w:pPr>
      <w:r>
        <w:drawing>
          <wp:inline>
            <wp:extent cx="5943600" cy="2701636"/>
            <wp:effectExtent b="0" l="0" r="0" t="0"/>
            <wp:docPr descr="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 title="" id="99" name="Picture"/>
            <a:graphic>
              <a:graphicData uri="http://schemas.openxmlformats.org/drawingml/2006/picture">
                <pic:pic>
                  <pic:nvPicPr>
                    <pic:cNvPr descr="Manuscript_2026-08-03_files/figure-docx/record-figure-1.png" id="100" name="Picture"/>
                    <pic:cNvPicPr>
                      <a:picLocks noChangeArrowheads="1" noChangeAspect="1"/>
                    </pic:cNvPicPr>
                  </pic:nvPicPr>
                  <pic:blipFill>
                    <a:blip r:embed="rId98"/>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w:t>
      </w:r>
    </w:p>
    <w:p>
      <w:pPr>
        <w:pStyle w:val="SourceCode"/>
      </w:pPr>
      <w:r>
        <w:rPr>
          <w:rStyle w:val="CommentTok"/>
        </w:rPr>
        <w:t xml:space="preserve"># The record is written from the document itself, so the published file and the</w:t>
      </w:r>
      <w:r>
        <w:br/>
      </w:r>
      <w:r>
        <w:rPr>
          <w:rStyle w:val="CommentTok"/>
        </w:rPr>
        <w:t xml:space="preserve"># numbers in this text cannot drift apart.</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w:t>
      </w:r>
      <w:r>
        <w:br/>
      </w:r>
      <w:r>
        <w:rPr>
          <w:rStyle w:val="NormalTok"/>
        </w:rPr>
        <w:t xml:space="preserve">  record,</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"chilwa_inundation_16day_manuscript.csv"</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"wrote %d steps to 03.outputs/CSV/chilwa_inundation_16day_manuscript.csv</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nrow</w:t>
      </w:r>
      <w:r>
        <w:rPr>
          <w:rStyle w:val="NormalTok"/>
        </w:rPr>
        <w:t xml:space="preserve">(record)))</w:t>
      </w:r>
    </w:p>
    <w:p>
      <w:pPr>
        <w:pStyle w:val="SourceCode"/>
      </w:pPr>
      <w:r>
        <w:rPr>
          <w:rStyle w:val="VerbatimChar"/>
        </w:rPr>
        <w:t xml:space="preserve">NA wrote 936 steps to 03.outputs/CSV/chilwa_inundation_16day_manuscript.csv</w:t>
      </w:r>
    </w:p>
    <w:bookmarkEnd w:id="101"/>
    <w:bookmarkStart w:id="105" w:name="water-extent-dynamics"/>
    <w:p>
      <w:pPr>
        <w:pStyle w:val="Heading3"/>
      </w:pPr>
      <w:r>
        <w:t xml:space="preserve">3.2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r>
        <w:drawing>
          <wp:inline>
            <wp:extent cx="5943600" cy="3428999"/>
            <wp:effectExtent b="0" l="0" r="0" t="0"/>
            <wp:docPr descr="" title="" id="103" name="Picture"/>
            <a:graphic>
              <a:graphicData uri="http://schemas.openxmlformats.org/drawingml/2006/picture">
                <pic:pic>
                  <pic:nvPicPr>
                    <pic:cNvPr descr="../03.outputs/PNG/fig04_inundation_hydrograph.png" id="104" name="Picture"/>
                    <pic:cNvPicPr>
                      <a:picLocks noChangeArrowheads="1" noChangeAspect="1"/>
                    </pic:cNvPicPr>
                  </pic:nvPicPr>
                  <pic:blipFill>
                    <a:blip r:embed="rId102"/>
                    <a:stretch>
                      <a:fillRect/>
                    </a:stretch>
                  </pic:blipFill>
                  <pic:spPr bwMode="auto">
                    <a:xfrm>
                      <a:off x="0" y="0"/>
                      <a:ext cx="5943600" cy="3428999"/>
                    </a:xfrm>
                    <a:prstGeom prst="rect">
                      <a:avLst/>
                    </a:prstGeom>
                    <a:noFill/>
                    <a:ln w="9525">
                      <a:noFill/>
                      <a:headEnd/>
                      <a:tailEnd/>
                    </a:ln>
                  </pic:spPr>
                </pic:pic>
              </a:graphicData>
            </a:graphic>
          </wp:inline>
        </w:drawing>
      </w: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105"/>
    <w:bookmarkStart w:id="109" w:name="spectral-index-performance"/>
    <w:p>
      <w:pPr>
        <w:pStyle w:val="Heading3"/>
      </w:pPr>
      <w:r>
        <w:t xml:space="preserve">3.3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vegetation. Basin-mean annual MNDWI ranged from -0.52 to -0.23, its troughs and peaks falling in the recession and refill years of the mixture record.</w:t>
      </w:r>
    </w:p>
    <w:p>
      <w:pPr>
        <w:pStyle w:val="BodyText"/>
      </w:pPr>
      <w:r>
        <w:drawing>
          <wp:inline>
            <wp:extent cx="5943600" cy="2827430"/>
            <wp:effectExtent b="0" l="0" r="0" t="0"/>
            <wp:docPr descr="" title="" id="107" name="Picture"/>
            <a:graphic>
              <a:graphicData uri="http://schemas.openxmlformats.org/drawingml/2006/picture">
                <pic:pic>
                  <pic:nvPicPr>
                    <pic:cNvPr descr="../03.outputs/PNG/fig05_index_performance.png" id="108" name="Picture"/>
                    <pic:cNvPicPr>
                      <a:picLocks noChangeArrowheads="1" noChangeAspect="1"/>
                    </pic:cNvPicPr>
                  </pic:nvPicPr>
                  <pic:blipFill>
                    <a:blip r:embed="rId106"/>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2: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109"/>
    <w:bookmarkStart w:id="113" w:name="sar-integration"/>
    <w:p>
      <w:pPr>
        <w:pStyle w:val="Heading3"/>
      </w:pPr>
      <w:r>
        <w:t xml:space="preserve">3.4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111" name="Picture"/>
            <a:graphic>
              <a:graphicData uri="http://schemas.openxmlformats.org/drawingml/2006/picture">
                <pic:pic>
                  <pic:nvPicPr>
                    <pic:cNvPr descr="../03.outputs/PNG/fig06_sar_seasonality.png" id="112" name="Picture"/>
                    <pic:cNvPicPr>
                      <a:picLocks noChangeArrowheads="1" noChangeAspect="1"/>
                    </pic:cNvPicPr>
                  </pic:nvPicPr>
                  <pic:blipFill>
                    <a:blip r:embed="rId110"/>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stand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13"/>
    <w:bookmarkStart w:id="114" w:name="accuracy-assessments"/>
    <w:p>
      <w:pPr>
        <w:pStyle w:val="Heading3"/>
      </w:pPr>
      <w:r>
        <w:t xml:space="preserve">3.5 Accuracy Assessments</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For the fieldwork year the field ground-truth points were compared with the 2012 harmonic water surface and with the Envisat map of water beneath vegetation (Section 2.3.1), and that comparison was the one the study depended on, because 2012 was the year the field record observed. Community validation of boundary placement and seasonal timing concentrated its disagreements in mixed-pixel zones and areas of rapid shoreline change.</w:t>
      </w:r>
    </w:p>
    <w:p>
      <w:pPr>
        <w:pStyle w:val="BodyText"/>
      </w:pPr>
      <w:r>
        <w:rPr>
          <w:i/>
          <w:iCs/>
        </w:rPr>
        <w:t xml:space="preserve">Table 3: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 reed-stand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14"/>
    <w:bookmarkStart w:id="115" w:name="inundation-migration-coupling"/>
    <w:p>
      <w:pPr>
        <w:pStyle w:val="Heading3"/>
      </w:pPr>
      <w:r>
        <w:t xml:space="preserve">3.6 Inundation-Migration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15"/>
    <w:bookmarkStart w:id="116" w:name="fishery-patrol-mapping"/>
    <w:p>
      <w:pPr>
        <w:pStyle w:val="Heading3"/>
      </w:pPr>
      <w:r>
        <w:t xml:space="preserve">3.6 Fishery Patrol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16"/>
    <w:bookmarkEnd w:id="117"/>
    <w:bookmarkStart w:id="130" w:name="discussion"/>
    <w:p>
      <w:pPr>
        <w:pStyle w:val="Heading2"/>
      </w:pPr>
      <w:r>
        <w:t xml:space="preserve">Discussion</w:t>
      </w:r>
    </w:p>
    <w:bookmarkStart w:id="120" w:name="detecting-flooded-vegetation"/>
    <w:p>
      <w:pPr>
        <w:pStyle w:val="Heading3"/>
      </w:pPr>
      <w:r>
        <w:t xml:space="preserve">4.1 Detecting Flooded Vegetation</w:t>
      </w:r>
    </w:p>
    <w:p>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flooding beneath the vegetation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pPr>
        <w:pStyle w:val="BodyText"/>
      </w:pPr>
      <w:r>
        <w:t xml:space="preserve">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inundation beneath the vegetation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pPr>
        <w:pStyle w:val="BodyText"/>
      </w:pPr>
      <w:r>
        <w:t xml:space="preserve">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pPr>
        <w:pStyle w:val="BodyText"/>
      </w:pPr>
      <w:r>
        <w:t xml:space="preserve">The residual limitation is honest and unresolved. Detection beneath vegetation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w:t>
      </w:r>
      <w:r>
        <w:t xml:space="preserve"> </w:t>
      </w:r>
      <w:r>
        <w:t xml:space="preserve">“almost 70% of points lying on vegetated water bodies were not identified by the classification routine, due to the saturation of the backscatter signal over relatively dense canopies,”</w:t>
      </w:r>
      <w:r>
        <w:t xml:space="preserve"> </w:t>
      </w:r>
      <w:r>
        <w:t xml:space="preserve">and concluded that their scheme</w:t>
      </w:r>
      <w:r>
        <w:t xml:space="preserve"> </w:t>
      </w:r>
      <w:r>
        <w:t xml:space="preserve">“is only applicable for vegetated water bodies with vegetation cover below a particular level.”</w:t>
      </w:r>
      <w:r>
        <w:t xml:space="preserve"> </w:t>
      </w:r>
      <w:r>
        <w:t xml:space="preserve">Our C-band component is subject to the same ceiling, and at the seasonal maximum, when the</w:t>
      </w:r>
      <w:r>
        <w:t xml:space="preserve"> </w:t>
      </w:r>
      <w:r>
        <w:rPr>
          <w:i/>
          <w:iCs/>
        </w:rPr>
        <w:t xml:space="preserve">Typha</w:t>
      </w:r>
      <w:r>
        <w:t xml:space="preserve"> </w:t>
      </w:r>
      <w:r>
        <w:t xml:space="preserve">stand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evidence for water beneath the vegetation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bookmarkStart w:id="118" w:name="sensor-complementarity"/>
    <w:p>
      <w:pPr>
        <w:pStyle w:val="Heading4"/>
      </w:pPr>
      <w:r>
        <w:t xml:space="preserve">4.1.1 Sensor Complementarity</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vegetation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inundation beneath the vegetation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vegetation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18"/>
    <w:bookmarkStart w:id="119" w:name="gap-filling-design"/>
    <w:p>
      <w:pPr>
        <w:pStyle w:val="Heading4"/>
      </w:pPr>
      <w:r>
        <w:t xml:space="preserve">4.1.2 Gap-Filling Design</w:t>
      </w:r>
    </w:p>
    <w:p>
      <w:pPr>
        <w:pStyle w:val="FirstParagraph"/>
      </w:pPr>
      <w:r>
        <w:t xml:space="preserve">The seventeen-month gap in the Landsat archive covered both the recession and the fieldwork, and it was filled by combining satellites through time rather than by finding more imagery, because the free optical archive for February 2012 held Landsat 7, MODIS and the earlier Landsat record and nothing else at 30 m. The design followed HISTARFM, a published method for records left unobserved by cloud and instrument failure for weeks at a time, which combined a regression of Landsat on MODIS with a Kalman filter that corrected its bias and gave an uncertainty for every reflectance value (Moreno-Martínez et al., 2020). Its authors explained the bias correction on the grounds that</w:t>
      </w:r>
      <w:r>
        <w:t xml:space="preserve"> </w:t>
      </w:r>
      <w:r>
        <w:t xml:space="preserve">“Kalman filters and standard Bayesian estimators assume that observation and process errors are Gaussian and unbiased (i.e. zero mean errors)”</w:t>
      </w:r>
      <w:r>
        <w:t xml:space="preserve"> </w:t>
      </w:r>
      <w:r>
        <w:t xml:space="preserve">(p. 5), meaning the method assumes errors average to zero. The same concern shaped the sixteen-day record, where calibrating MODIS to Landsat and accepting only nearly complete views removed consistent errors that the filter would otherwise have treated as real change. Applied to the water area of the basin rather than to reflectance, the design estimated the quantity the study reported directly, gave an interval in square kilometres at every step, marked each step as observed or estimated, and ran within the manuscript from one number per satellite per step, where a pixel-by-pixel product would have combined about 9.7 million 30 m pixels at every step.</w:t>
      </w:r>
    </w:p>
    <w:p>
      <w:pPr>
        <w:pStyle w:val="BodyText"/>
      </w:pPr>
      <w:r>
        <w:t xml:space="preserve">Working at the scale of the basin meant the record did not produce a map. It showed how much water the basin held on each date but not where the water stood, so it could not locate the vegetated fraction that H1 concerns, and the 2012 map needed for the field points came from the separate harmonic model of Section 2.3.1. Through the fieldwork months the record depended on MODIS at 500 m, calibrated to Landsat with a residual standard deviation of 58.9 km2, and at that resolution it measured open water only. The annual cycle in the model was a single sine and cosine pair, so a year whose flood departed from the average shape was estimated from its observations rather than from the model, and where observations were sparse the smoothed estimate probably responded late to a sudden fall. Blending methods had the same weakness, since Kim (2022) found that a model built on the coarse time series captured sudden changes in reflectance where the blending methods did not.</w:t>
      </w:r>
    </w:p>
    <w:p>
      <w:pPr>
        <w:pStyle w:val="BodyText"/>
      </w:pPr>
      <w:r>
        <w:t xml:space="preserve">HISTARFM could not have been used as a product here, and it would need changes before it could be rebuilt over a lake. No HISTARFM collection covered southern Africa, the algorithm removed pixels with a vegetation index below −0.1, a threshold below which open water commonly lay (Moreno-Martínez et al., 2020, p. 4), and it was tested at 1,050 locations</w:t>
      </w:r>
      <w:r>
        <w:t xml:space="preserve"> </w:t>
      </w:r>
      <w:r>
        <w:t xml:space="preserve">“chosen to represent the most common vegetation types”</w:t>
      </w:r>
      <w:r>
        <w:t xml:space="preserve"> </w:t>
      </w:r>
      <w:r>
        <w:t xml:space="preserve">of the contiguous United States (p. 6), where</w:t>
      </w:r>
      <w:r>
        <w:t xml:space="preserve"> </w:t>
      </w:r>
      <w:r>
        <w:t xml:space="preserve">“Forests vegetation types present the lowest errors while grasslands, pastures and croplands have the highest RMSE values”</w:t>
      </w:r>
      <w:r>
        <w:t xml:space="preserve"> </w:t>
      </w:r>
      <w:r>
        <w:t xml:space="preserve">(p. 7), RMSE being the root mean square error. A pixel-by-pixel rebuild over Lake Chilwa would give what the basin record could not, a 30 m water index with an uncertainty for every pixel at every step, from which the vegetated fraction could be located as well as counted. The uncertainty of the water index would follow from the uncertainties of its two reflectance bands by first-order error propagation, a standard formula that carries the uncertainty of each input through to the result, as Martínez-Ferrer et al. (2022) did for vegetation variables.</w:t>
      </w:r>
    </w:p>
    <w:bookmarkEnd w:id="119"/>
    <w:bookmarkEnd w:id="120"/>
    <w:bookmarkStart w:id="121"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21"/>
    <w:bookmarkStart w:id="122"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22"/>
    <w:bookmarkStart w:id="123" w:name="governance-monitoring-constraints"/>
    <w:p>
      <w:pPr>
        <w:pStyle w:val="Heading3"/>
      </w:pPr>
      <w:r>
        <w:t xml:space="preserve">4.4 Governance &amp; Monitoring Constraints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23"/>
    <w:bookmarkStart w:id="124" w:name="integrating-participatory-data"/>
    <w:p>
      <w:pPr>
        <w:pStyle w:val="Heading3"/>
      </w:pPr>
      <w:r>
        <w:t xml:space="preserve">4.5 Integrating Participatory Data</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vegetation,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24"/>
    <w:bookmarkStart w:id="129" w:name="coupled-socio-hydrological-models"/>
    <w:p>
      <w:pPr>
        <w:pStyle w:val="Heading3"/>
      </w:pPr>
      <w:r>
        <w:t xml:space="preserve">4.6 Coupled Socio-Hydrological Models</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pPr>
        <w:pStyle w:val="CaptionedFigure"/>
      </w:pPr>
      <w:r>
        <w:drawing>
          <wp:inline>
            <wp:extent cx="5943600" cy="4556760"/>
            <wp:effectExtent b="0" l="0" r="0" t="0"/>
            <wp:docPr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title="" id="126" name="Picture"/>
            <a:graphic>
              <a:graphicData uri="http://schemas.openxmlformats.org/drawingml/2006/picture">
                <pic:pic>
                  <pic:nvPicPr>
                    <pic:cNvPr descr="../03.outputs/PNG/socio-hydrological-causal-loop.png" id="127" name="Picture"/>
                    <pic:cNvPicPr>
                      <a:picLocks noChangeArrowheads="1" noChangeAspect="1"/>
                    </pic:cNvPicPr>
                  </pic:nvPicPr>
                  <pic:blipFill>
                    <a:blip r:embed="rId125"/>
                    <a:stretch>
                      <a:fillRect/>
                    </a:stretch>
                  </pic:blipFill>
                  <pic:spPr bwMode="auto">
                    <a:xfrm>
                      <a:off x="0" y="0"/>
                      <a:ext cx="5943600" cy="4556760"/>
                    </a:xfrm>
                    <a:prstGeom prst="rect">
                      <a:avLst/>
                    </a:prstGeom>
                    <a:noFill/>
                    <a:ln w="9525">
                      <a:noFill/>
                      <a:headEnd/>
                      <a:tailEnd/>
                    </a:ln>
                  </pic:spPr>
                </pic:pic>
              </a:graphicData>
            </a:graphic>
          </wp:inline>
        </w:drawing>
      </w:r>
    </w:p>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where the gauge record is thin, modelled inflows offer a continuous alternative, since global reach-scale reconstructions now cover the basin’s tributaries daily from 1980 to 2020 (Lin et al., 2019; Ji et al., 2025). Those inflows are naturalised, carrying neither abstraction nor lake evaporation nor wetland storage, so they can force such a model but cannot stand in for a water balance.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28" w:name="future-research"/>
    <w:p>
      <w:pPr>
        <w:pStyle w:val="Heading4"/>
      </w:pPr>
      <w:r>
        <w:t xml:space="preserve">Future Research</w:t>
      </w:r>
    </w:p>
    <w:p>
      <w:pPr>
        <w:pStyle w:val="FirstParagraph"/>
      </w:pPr>
      <w:r>
        <w:t xml:space="preserve">Two methodological challenges shaped the study’s design. The first was the mismatch in timing between satellite and ethnographic data. Community observation was continuous while Landsat revisited the basin every sixteen days, and the sixteen-day record of Section 2.3 used that interval, so events shorter than two weeks were not resolved. Before 2000, when Landsat supplied about four usable observations a year, shorter changes were estimated by the model rather than observed. The six to twelve day revisit of Sentinel-1 narrowed the gap from 2015, but community observation remained more frequent than any satellite.</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pPr>
        <w:pStyle w:val="BodyText"/>
      </w:pPr>
      <w:r>
        <w:t xml:space="preserve">Five extensions would strengthen the framework developed here. First, the ALOS PALSAR L-band layer used here detects flooding beneath dense Typha stands only for the years it covers, and a continuous, more frequent L-band record from ALOS-2 or the forthcoming NISAR mission would close that gap across the full time series. Second, the sixteen-day record could be rebuilt pixel by pixel on the design of HISTARFM (Moreno-Martínez et al., 2020), with its vegetation mask replaced by one that keeps open water, giving a 30 m water index with an uncertainty for every pixel at every step and locating the vegetated fraction rather than only counting it. Third, extending the Landsat time series backward using earlier sensors (Landsat 3 and 4) would, where data quality permits, capture a third recession cycle and strengthen the statistical basis for recession-migration correlation. Fourth, Google Earth Engine offers a practical pipeline for scaling the SAR backscatter analysis across the full Sentinel-1 archive, with export to SNAP for any interferometric processing. Fifth, the methodology should be tested at comparable endorheic systems, since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bookmarkEnd w:id="128"/>
    <w:bookmarkEnd w:id="129"/>
    <w:bookmarkEnd w:id="130"/>
    <w:bookmarkStart w:id="132"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detection of flooding beneath vegetation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the combination of satellites through time, and ethnographic validation, were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bookmarkStart w:id="131" w:name="references"/>
    <w:p>
      <w:pPr>
        <w:pStyle w:val="Heading3"/>
      </w:pPr>
      <w:r>
        <w:t xml:space="preserve">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Durbin, J., &amp; Koopman, S. J. (2012).</w:t>
      </w:r>
      <w:r>
        <w:t xml:space="preserve"> </w:t>
      </w:r>
      <w:r>
        <w:rPr>
          <w:i/>
          <w:iCs/>
        </w:rPr>
        <w:t xml:space="preserve">Time series analysis by state space methods</w:t>
      </w:r>
      <w:r>
        <w:t xml:space="preserve">. Oxford University Press.</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Martínez-Ferrer, L., Moreno-Martínez, Á., Campos-Taberner, M., García-Haro, F. J., Muñoz-Marí, J., Running, S. W., Kimball, J., Clinton, N., &amp; Camps-Valls, G. (2022). Quantifying uncertainty in high resolution biophysical variable retrieval with machine learning.</w:t>
      </w:r>
      <w:r>
        <w:t xml:space="preserve"> </w:t>
      </w:r>
      <w:r>
        <w:rPr>
          <w:i/>
          <w:iCs/>
        </w:rPr>
        <w:t xml:space="preserve">Remote Sensing of Environment</w:t>
      </w:r>
      <w:r>
        <w:t xml:space="preserve">,</w:t>
      </w:r>
      <w:r>
        <w:t xml:space="preserve"> </w:t>
      </w:r>
      <w:r>
        <w:rPr>
          <w:i/>
          <w:iCs/>
        </w:rPr>
        <w:t xml:space="preserve">280</w:t>
      </w:r>
      <w:r>
        <w:t xml:space="preserve">, 113199.</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Moreno-Martínez, Á., Izquierdo-Verdiguier, E., Maneta, M. P., Camps-Valls, G., Robinson, N., Muñoz-Marí, J., Sedano, F., Clinton, N., &amp; Running, S. W. (2020). Multispectral high resolution sensor fusion for smoothing and gap-filling in the cloud.</w:t>
      </w:r>
      <w:r>
        <w:t xml:space="preserve"> </w:t>
      </w:r>
      <w:r>
        <w:rPr>
          <w:i/>
          <w:iCs/>
        </w:rPr>
        <w:t xml:space="preserve">Remote Sensing of Environment</w:t>
      </w:r>
      <w:r>
        <w:t xml:space="preserve">,</w:t>
      </w:r>
      <w:r>
        <w:t xml:space="preserve"> </w:t>
      </w:r>
      <w:r>
        <w:rPr>
          <w:i/>
          <w:iCs/>
        </w:rPr>
        <w:t xml:space="preserve">247</w:t>
      </w:r>
      <w:r>
        <w:t xml:space="preserve">, 111901.</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Rauch, H. E., Tung, F., &amp; Striebel, C. T. (1965). Maximum likelihood estimates of linear dynamic systems.</w:t>
      </w:r>
      <w:r>
        <w:t xml:space="preserve"> </w:t>
      </w:r>
      <w:r>
        <w:rPr>
          <w:i/>
          <w:iCs/>
        </w:rPr>
        <w:t xml:space="preserve">AIAA Journal</w:t>
      </w:r>
      <w:r>
        <w:t xml:space="preserve">,</w:t>
      </w:r>
      <w:r>
        <w:t xml:space="preserve"> </w:t>
      </w:r>
      <w:r>
        <w:rPr>
          <w:i/>
          <w:iCs/>
        </w:rPr>
        <w:t xml:space="preserve">3</w:t>
      </w:r>
      <w:r>
        <w:t xml:space="preserve">(8), 1445-1450.</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Sedano, F., Kempeneers, P., &amp; Hurtt, G. (2014). A Kalman filter-based method to generate continuous time series of medium-resolution NDVI images.</w:t>
      </w:r>
      <w:r>
        <w:t xml:space="preserve"> </w:t>
      </w:r>
      <w:r>
        <w:rPr>
          <w:i/>
          <w:iCs/>
        </w:rPr>
        <w:t xml:space="preserve">Remote Sensing</w:t>
      </w:r>
      <w:r>
        <w:t xml:space="preserve">,</w:t>
      </w:r>
      <w:r>
        <w:t xml:space="preserve"> </w:t>
      </w:r>
      <w:r>
        <w:rPr>
          <w:i/>
          <w:iCs/>
        </w:rPr>
        <w:t xml:space="preserve">6</w:t>
      </w:r>
      <w:r>
        <w:t xml:space="preserve">(12), 12381-12408.</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r>
        <w:t xml:space="preserve"> </w:t>
      </w:r>
      <w:r>
        <w:t xml:space="preserve">Zhao, G., &amp; Gao, H. (2018). Automatic correction of contaminated images for assessment of reservoir surface area dynamics.</w:t>
      </w:r>
      <w:r>
        <w:t xml:space="preserve"> </w:t>
      </w:r>
      <w:r>
        <w:rPr>
          <w:i/>
          <w:iCs/>
        </w:rPr>
        <w:t xml:space="preserve">Geophysical Research Letters</w:t>
      </w:r>
      <w:r>
        <w:t xml:space="preserve">,</w:t>
      </w:r>
      <w:r>
        <w:t xml:space="preserve"> </w:t>
      </w:r>
      <w:r>
        <w:rPr>
          <w:i/>
          <w:iCs/>
        </w:rPr>
        <w:t xml:space="preserve">45</w:t>
      </w:r>
      <w:r>
        <w:t xml:space="preserve">(12), 6092-6099.</w:t>
      </w:r>
    </w:p>
    <w:bookmarkEnd w:id="131"/>
    <w:bookmarkEnd w:id="132"/>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596BC5-6F05-A840-BE3E-CBB79F6959F6}"/>
    <w:embedBold r:id="rId2" w:fontKey="{99F7BAF7-D789-9C4F-B79B-581F0C5D936B}"/>
    <w:embedItalic r:id="rId3" w:fontKey="{B46AFB65-7051-174E-8C24-E59AA1F69B46}"/>
    <w:embedBoldItalic r:id="rId4" w:fontKey="{8D174202-602E-C046-908A-776EDEBCD20E}"/>
  </w:font>
  <w:font w:name="Courier New">
    <w:panose1 w:val="02070309020205020404"/>
    <w:charset w:val="00"/>
    <w:family w:val="modern"/>
    <w:pitch w:val="fixed"/>
    <w:sig w:usb0="E0002AFF" w:usb1="C0007843" w:usb2="00000009" w:usb3="00000000" w:csb0="000001FF" w:csb1="00000000"/>
    <w:embedRegular r:id="rId5" w:fontKey="{43942848-E227-BD47-A9E3-9514D7A7A256}"/>
  </w:font>
  <w:font w:name="Wingdings">
    <w:panose1 w:val="05000000000000000000"/>
    <w:charset w:val="4D"/>
    <w:family w:val="decorative"/>
    <w:pitch w:val="variable"/>
    <w:sig w:usb0="00000003" w:usb1="00000000" w:usb2="00000000" w:usb3="00000000" w:csb0="80000001" w:csb1="00000000"/>
    <w:embedRegular r:id="rId6" w:fontKey="{D6E6156A-AF13-8D44-BD8E-7444719A9602}"/>
  </w:font>
  <w:font w:name="Symbol">
    <w:panose1 w:val="05050102010706020507"/>
    <w:charset w:val="02"/>
    <w:family w:val="decorative"/>
    <w:pitch w:val="variable"/>
    <w:sig w:usb0="00000000" w:usb1="10000000" w:usb2="00000000" w:usb3="00000000" w:csb0="80000000" w:csb1="00000000"/>
    <w:embedRegular r:id="rId7" w:fontKey="{C4E19DFF-3AAF-1344-8F6C-4ECBFCD79469}"/>
  </w:font>
  <w:font w:name="Ubuntu">
    <w:panose1 w:val="020B0504030602030204"/>
    <w:charset w:val="00"/>
    <w:family w:val="swiss"/>
    <w:pitch w:val="variable"/>
    <w:sig w:usb0="E00002FF" w:usb1="5000205B" w:usb2="00000000" w:usb3="00000000" w:csb0="0000009F" w:csb1="00000000"/>
    <w:embedRegular r:id="rId8" w:fontKey="{C2D46FAD-443C-FA48-A56B-0F38E65D37B2}"/>
  </w:font>
  <w:font w:name="Arial">
    <w:panose1 w:val="020B0604020202020204"/>
    <w:charset w:val="00"/>
    <w:family w:val="swiss"/>
    <w:pitch w:val="variable"/>
    <w:sig w:usb0="E0002EFF" w:usb1="C000785B" w:usb2="00000009" w:usb3="00000000" w:csb0="000001FF" w:csb1="00000000"/>
    <w:embedRegular r:id="rId9" w:fontKey="{B950CA71-91AF-F749-A846-2F44EA6630F4}"/>
    <w:embedBold r:id="rId10" w:fontKey="{DE73F031-96F2-A240-8A14-74FA74FAC3E1}"/>
    <w:embedItalic r:id="rId11" w:fontKey="{B020A0E3-8831-8D4A-97FA-AF147CD04BCB}"/>
    <w:embedBoldItalic r:id="rId12" w:fontKey="{819DF5A3-5246-2E40-9E2C-245D8398B72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19563846-D283-5B40-A202-A0A56C389CC5}"/>
    <w:embedBold r:id="rId16" w:fontKey="{8FEA43A4-C726-D54A-8DA7-EBFAD7283F0F}"/>
    <w:embedItalic r:id="rId17" w:fontKey="{936AAD91-453B-4E4F-AC2B-0FE71DEEACB8}"/>
    <w:embedBoldItalic r:id="rId18" w:fontKey="{1FA17632-952F-154B-9780-D2C840FD54AD}"/>
  </w:font>
  <w:font w:name="Aptos Display">
    <w:panose1 w:val="020B0004020202020204"/>
    <w:charset w:val="00"/>
    <w:family w:val="swiss"/>
    <w:pitch w:val="variable"/>
    <w:sig w:usb0="20000287" w:usb1="00000003" w:usb2="00000000" w:usb3="00000000" w:csb0="0000019F" w:csb1="00000000"/>
    <w:embedRegular r:id="rId19" w:fontKey="{FDA97D56-A3F7-694E-8027-17D61B0212BF}"/>
    <w:embedBold r:id="rId20" w:fontKey="{8A8C262A-6156-7A4A-ACB3-15DAB947C872}"/>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30AF6A38-94C5-054B-9503-D5949D11E0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2B7A13"/>
    <w:pPr>
      <w:keepNext/>
      <w:keepLines/>
      <w:jc w:val="left"/>
    </w:pPr>
    <w:rPr>
      <w:rFonts w:ascii="Arial" w:hAnsi="Arial"/>
      <w:b/>
      <w:sz w:val="21"/>
    </w:rPr>
  </w:style>
  <w:style w:styleId="Date" w:type="paragraph">
    <w:name w:val="Date"/>
    <w:next w:val="BodyText"/>
    <w:qFormat/>
    <w:rsid w:val="000B609B"/>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qFormat/>
    <w:rsid w:val="002B7A13"/>
    <w:pPr>
      <w:spacing w:after="12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2B7A13"/>
    <w:rPr>
      <w:rFonts w:ascii="Arial" w:hAnsi="Arial"/>
      <w:i/>
    </w:rPr>
  </w:style>
  <w:style w:customStyle="1" w:styleId="VerbatimChar" w:type="character">
    <w:name w:val="Verbatim Char"/>
    <w:basedOn w:val="DefaultParagraphFont"/>
    <w:link w:val="SourceCode"/>
    <w:rPr>
      <w:rFonts w:ascii="Consolas" w:cs="Consolas" w:hAnsi="Consolas"/>
      <w:i w:val="0"/>
      <w:sz w:val="18"/>
      <w:szCs w:val="18"/>
      <w:shd w:color="auto" w:fill="F8F8F8" w:val="clear"/>
    </w:rPr>
  </w:style>
  <w:style w:customStyle="1" w:styleId="SectionNumber" w:type="character">
    <w:name w:val="Section Number"/>
    <w:basedOn w:val="CaptionChar"/>
    <w:rPr>
      <w:rFonts w:ascii="Arial" w:hAnsi="Arial"/>
      <w:i/>
    </w:rPr>
  </w:style>
  <w:style w:styleId="FootnoteReference" w:type="character">
    <w:name w:val="footnote reference"/>
    <w:basedOn w:val="CaptionChar"/>
    <w:rsid w:val="00242606"/>
    <w:rPr>
      <w:rFonts w:ascii="Arial" w:hAnsi="Arial"/>
      <w:i/>
      <w:vertAlign w:val="superscript"/>
    </w:rPr>
  </w:style>
  <w:style w:styleId="Hyperlink" w:type="character">
    <w:name w:val="Hyperlink"/>
    <w:basedOn w:val="CaptionChar"/>
    <w:uiPriority w:val="99"/>
    <w:rPr>
      <w:rFonts w:ascii="Arial" w:hAnsi="Arial"/>
      <w:i/>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qFormat/>
    <w:pPr>
      <w:keepLines/>
      <w:shd w:color="auto" w:fill="F8F8F8" w:val="clear"/>
      <w:spacing w:after="0" w:before="0" w:line="240" w:lineRule="auto"/>
      <w:contextualSpacing/>
      <w:ind w:firstLine="0" w:left="0" w:right="0"/>
      <w:jc w:val="left"/>
    </w:pPr>
    <w:rPr>
      <w:rFonts w:ascii="Consolas" w:cs="Consolas" w:hAnsi="Consolas"/>
      <w:i w:val="0"/>
      <w:sz w:val="18"/>
      <w:szCs w:val="18"/>
    </w:rPr>
  </w:style>
  <w:style w:customStyle="1" w:styleId="KeywordTok" w:type="character">
    <w:name w:val="KeywordTok"/>
    <w:basedOn w:val="VerbatimChar"/>
    <w:rPr>
      <w:rFonts w:ascii="Consolas" w:hAnsi="Consolas"/>
      <w:b/>
      <w:i w:val="0"/>
      <w:color w:val="204A87"/>
      <w:sz w:val="18"/>
      <w:szCs w:val="18"/>
      <w:shd w:color="auto" w:fill="F8F8F8" w:val="clear"/>
    </w:rPr>
  </w:style>
  <w:style w:customStyle="1" w:styleId="DataTypeTok" w:type="character">
    <w:name w:val="DataTypeTok"/>
    <w:basedOn w:val="VerbatimChar"/>
    <w:rPr>
      <w:rFonts w:ascii="Consolas" w:hAnsi="Consolas"/>
      <w:i w:val="0"/>
      <w:color w:val="204A87"/>
      <w:sz w:val="18"/>
      <w:szCs w:val="18"/>
      <w:shd w:color="auto" w:fill="F8F8F8" w:val="clear"/>
    </w:rPr>
  </w:style>
  <w:style w:customStyle="1" w:styleId="DecValTok" w:type="character">
    <w:name w:val="DecValTok"/>
    <w:basedOn w:val="VerbatimChar"/>
    <w:rPr>
      <w:rFonts w:ascii="Consolas" w:hAnsi="Consolas"/>
      <w:i w:val="0"/>
      <w:color w:val="0000CF"/>
      <w:sz w:val="18"/>
      <w:szCs w:val="18"/>
      <w:shd w:color="auto" w:fill="F8F8F8" w:val="clear"/>
    </w:rPr>
  </w:style>
  <w:style w:customStyle="1" w:styleId="BaseNTok" w:type="character">
    <w:name w:val="BaseNTok"/>
    <w:basedOn w:val="VerbatimChar"/>
    <w:rPr>
      <w:rFonts w:ascii="Consolas" w:hAnsi="Consolas"/>
      <w:i w:val="0"/>
      <w:color w:val="0000CF"/>
      <w:sz w:val="18"/>
      <w:szCs w:val="18"/>
      <w:shd w:color="auto" w:fill="F8F8F8" w:val="clear"/>
    </w:rPr>
  </w:style>
  <w:style w:customStyle="1" w:styleId="FloatTok" w:type="character">
    <w:name w:val="FloatTok"/>
    <w:basedOn w:val="VerbatimChar"/>
    <w:rPr>
      <w:rFonts w:ascii="Consolas" w:hAnsi="Consolas"/>
      <w:i w:val="0"/>
      <w:color w:val="0000CF"/>
      <w:sz w:val="18"/>
      <w:szCs w:val="18"/>
      <w:shd w:color="auto" w:fill="F8F8F8" w:val="clear"/>
    </w:rPr>
  </w:style>
  <w:style w:customStyle="1" w:styleId="ConstantTok" w:type="character">
    <w:name w:val="ConstantTok"/>
    <w:basedOn w:val="VerbatimChar"/>
    <w:rPr>
      <w:rFonts w:ascii="Consolas" w:hAnsi="Consolas"/>
      <w:i w:val="0"/>
      <w:color w:val="8F5902"/>
      <w:sz w:val="18"/>
      <w:szCs w:val="18"/>
      <w:shd w:color="auto" w:fill="F8F8F8" w:val="clear"/>
    </w:rPr>
  </w:style>
  <w:style w:customStyle="1" w:styleId="CharTok" w:type="character">
    <w:name w:val="CharTok"/>
    <w:basedOn w:val="VerbatimChar"/>
    <w:rPr>
      <w:rFonts w:ascii="Consolas" w:hAnsi="Consolas"/>
      <w:i w:val="0"/>
      <w:color w:val="4E9A06"/>
      <w:sz w:val="18"/>
      <w:szCs w:val="18"/>
      <w:shd w:color="auto" w:fill="F8F8F8" w:val="clear"/>
    </w:rPr>
  </w:style>
  <w:style w:customStyle="1" w:styleId="SpecialCharTok" w:type="character">
    <w:name w:val="SpecialCharTok"/>
    <w:basedOn w:val="VerbatimChar"/>
    <w:rPr>
      <w:rFonts w:ascii="Consolas" w:hAnsi="Consolas"/>
      <w:b/>
      <w:i w:val="0"/>
      <w:color w:val="CE5C00"/>
      <w:sz w:val="18"/>
      <w:szCs w:val="18"/>
      <w:shd w:color="auto" w:fill="F8F8F8" w:val="clear"/>
    </w:rPr>
  </w:style>
  <w:style w:customStyle="1" w:styleId="StringTok" w:type="character">
    <w:name w:val="StringTok"/>
    <w:basedOn w:val="VerbatimChar"/>
    <w:rPr>
      <w:rFonts w:ascii="Consolas" w:hAnsi="Consolas"/>
      <w:i w:val="0"/>
      <w:color w:val="4E9A06"/>
      <w:sz w:val="18"/>
      <w:szCs w:val="18"/>
      <w:shd w:color="auto" w:fill="F8F8F8" w:val="clear"/>
    </w:rPr>
  </w:style>
  <w:style w:customStyle="1" w:styleId="VerbatimStringTok" w:type="character">
    <w:name w:val="VerbatimStringTok"/>
    <w:basedOn w:val="VerbatimChar"/>
    <w:rPr>
      <w:rFonts w:ascii="Consolas" w:hAnsi="Consolas"/>
      <w:i w:val="0"/>
      <w:color w:val="4E9A06"/>
      <w:sz w:val="18"/>
      <w:szCs w:val="18"/>
      <w:shd w:color="auto" w:fill="F8F8F8" w:val="clear"/>
    </w:rPr>
  </w:style>
  <w:style w:customStyle="1" w:styleId="SpecialStringTok" w:type="character">
    <w:name w:val="SpecialStringTok"/>
    <w:basedOn w:val="VerbatimChar"/>
    <w:rPr>
      <w:rFonts w:ascii="Consolas" w:hAnsi="Consolas"/>
      <w:i w:val="0"/>
      <w:color w:val="4E9A06"/>
      <w:sz w:val="18"/>
      <w:szCs w:val="18"/>
      <w:shd w:color="auto" w:fill="F8F8F8" w:val="clear"/>
    </w:rPr>
  </w:style>
  <w:style w:customStyle="1" w:styleId="ImportTok" w:type="character">
    <w:name w:val="ImportTok"/>
    <w:basedOn w:val="VerbatimChar"/>
    <w:rPr>
      <w:rFonts w:ascii="Consolas" w:hAnsi="Consolas"/>
      <w:i w:val="0"/>
      <w:sz w:val="18"/>
      <w:szCs w:val="18"/>
      <w:shd w:color="auto" w:fill="F8F8F8" w:val="clear"/>
    </w:rPr>
  </w:style>
  <w:style w:customStyle="1" w:styleId="CommentTok" w:type="character">
    <w:name w:val="CommentTok"/>
    <w:basedOn w:val="VerbatimChar"/>
    <w:rPr>
      <w:rFonts w:ascii="Consolas" w:hAnsi="Consolas"/>
      <w:i/>
      <w:color w:val="8F5902"/>
      <w:sz w:val="18"/>
      <w:szCs w:val="18"/>
      <w:shd w:color="auto" w:fill="F8F8F8" w:val="clear"/>
    </w:rPr>
  </w:style>
  <w:style w:customStyle="1" w:styleId="DocumentationTok" w:type="character">
    <w:name w:val="DocumentationTok"/>
    <w:basedOn w:val="VerbatimChar"/>
    <w:rPr>
      <w:rFonts w:ascii="Consolas" w:hAnsi="Consolas"/>
      <w:b/>
      <w:i/>
      <w:color w:val="8F5902"/>
      <w:sz w:val="18"/>
      <w:szCs w:val="18"/>
      <w:shd w:color="auto" w:fill="F8F8F8" w:val="clear"/>
    </w:rPr>
  </w:style>
  <w:style w:customStyle="1" w:styleId="AnnotationTok" w:type="character">
    <w:name w:val="AnnotationTok"/>
    <w:basedOn w:val="VerbatimChar"/>
    <w:rPr>
      <w:rFonts w:ascii="Consolas" w:hAnsi="Consolas"/>
      <w:b/>
      <w:i/>
      <w:color w:val="8F5902"/>
      <w:sz w:val="18"/>
      <w:szCs w:val="18"/>
      <w:shd w:color="auto" w:fill="F8F8F8" w:val="clear"/>
    </w:rPr>
  </w:style>
  <w:style w:customStyle="1" w:styleId="CommentVarTok" w:type="character">
    <w:name w:val="CommentVarTok"/>
    <w:basedOn w:val="VerbatimChar"/>
    <w:rPr>
      <w:rFonts w:ascii="Consolas" w:hAnsi="Consolas"/>
      <w:b/>
      <w:i/>
      <w:color w:val="8F5902"/>
      <w:sz w:val="18"/>
      <w:szCs w:val="18"/>
      <w:shd w:color="auto" w:fill="F8F8F8" w:val="clear"/>
    </w:rPr>
  </w:style>
  <w:style w:customStyle="1" w:styleId="OtherTok" w:type="character">
    <w:name w:val="OtherTok"/>
    <w:basedOn w:val="VerbatimChar"/>
    <w:rPr>
      <w:rFonts w:ascii="Consolas" w:hAnsi="Consolas"/>
      <w:i w:val="0"/>
      <w:color w:val="8F5902"/>
      <w:sz w:val="18"/>
      <w:szCs w:val="18"/>
      <w:shd w:color="auto" w:fill="F8F8F8" w:val="clear"/>
    </w:rPr>
  </w:style>
  <w:style w:customStyle="1" w:styleId="FunctionTok" w:type="character">
    <w:name w:val="FunctionTok"/>
    <w:basedOn w:val="VerbatimChar"/>
    <w:rPr>
      <w:rFonts w:ascii="Consolas" w:hAnsi="Consolas"/>
      <w:b/>
      <w:i w:val="0"/>
      <w:color w:val="204A87"/>
      <w:sz w:val="18"/>
      <w:szCs w:val="18"/>
      <w:shd w:color="auto" w:fill="F8F8F8" w:val="clear"/>
    </w:rPr>
  </w:style>
  <w:style w:customStyle="1" w:styleId="VariableTok" w:type="character">
    <w:name w:val="VariableTok"/>
    <w:basedOn w:val="VerbatimChar"/>
    <w:rPr>
      <w:rFonts w:ascii="Consolas" w:hAnsi="Consolas"/>
      <w:i w:val="0"/>
      <w:color w:val="000000"/>
      <w:sz w:val="18"/>
      <w:szCs w:val="18"/>
      <w:shd w:color="auto" w:fill="F8F8F8" w:val="clear"/>
    </w:rPr>
  </w:style>
  <w:style w:customStyle="1" w:styleId="ControlFlowTok" w:type="character">
    <w:name w:val="ControlFlowTok"/>
    <w:basedOn w:val="VerbatimChar"/>
    <w:rPr>
      <w:rFonts w:ascii="Consolas" w:hAnsi="Consolas"/>
      <w:b/>
      <w:i w:val="0"/>
      <w:color w:val="204A87"/>
      <w:sz w:val="18"/>
      <w:szCs w:val="18"/>
      <w:shd w:color="auto" w:fill="F8F8F8" w:val="clear"/>
    </w:rPr>
  </w:style>
  <w:style w:customStyle="1" w:styleId="OperatorTok" w:type="character">
    <w:name w:val="OperatorTok"/>
    <w:basedOn w:val="VerbatimChar"/>
    <w:rPr>
      <w:rFonts w:ascii="Consolas" w:hAnsi="Consolas"/>
      <w:b/>
      <w:i w:val="0"/>
      <w:color w:val="CE5C00"/>
      <w:sz w:val="18"/>
      <w:szCs w:val="18"/>
      <w:shd w:color="auto" w:fill="F8F8F8" w:val="clear"/>
    </w:rPr>
  </w:style>
  <w:style w:customStyle="1" w:styleId="BuiltInTok" w:type="character">
    <w:name w:val="BuiltInTok"/>
    <w:basedOn w:val="VerbatimChar"/>
    <w:rPr>
      <w:rFonts w:ascii="Consolas" w:hAnsi="Consolas"/>
      <w:i w:val="0"/>
      <w:sz w:val="18"/>
      <w:szCs w:val="18"/>
      <w:shd w:color="auto" w:fill="F8F8F8" w:val="clear"/>
    </w:rPr>
  </w:style>
  <w:style w:customStyle="1" w:styleId="ExtensionTok" w:type="character">
    <w:name w:val="ExtensionTok"/>
    <w:basedOn w:val="VerbatimChar"/>
    <w:rPr>
      <w:rFonts w:ascii="Consolas" w:hAnsi="Consolas"/>
      <w:i w:val="0"/>
      <w:sz w:val="18"/>
      <w:szCs w:val="18"/>
      <w:shd w:color="auto" w:fill="F8F8F8" w:val="clear"/>
    </w:rPr>
  </w:style>
  <w:style w:customStyle="1" w:styleId="PreprocessorTok" w:type="character">
    <w:name w:val="PreprocessorTok"/>
    <w:basedOn w:val="VerbatimChar"/>
    <w:rPr>
      <w:rFonts w:ascii="Consolas" w:hAnsi="Consolas"/>
      <w:i/>
      <w:color w:val="8F5902"/>
      <w:sz w:val="18"/>
      <w:szCs w:val="18"/>
      <w:shd w:color="auto" w:fill="F8F8F8" w:val="clear"/>
    </w:rPr>
  </w:style>
  <w:style w:customStyle="1" w:styleId="AttributeTok" w:type="character">
    <w:name w:val="AttributeTok"/>
    <w:basedOn w:val="VerbatimChar"/>
    <w:rPr>
      <w:rFonts w:ascii="Consolas" w:hAnsi="Consolas"/>
      <w:i w:val="0"/>
      <w:color w:val="204A87"/>
      <w:sz w:val="18"/>
      <w:szCs w:val="18"/>
      <w:shd w:color="auto" w:fill="F8F8F8" w:val="clear"/>
    </w:rPr>
  </w:style>
  <w:style w:customStyle="1" w:styleId="RegionMarkerTok" w:type="character">
    <w:name w:val="RegionMarkerTok"/>
    <w:basedOn w:val="VerbatimChar"/>
    <w:rPr>
      <w:rFonts w:ascii="Consolas" w:hAnsi="Consolas"/>
      <w:i w:val="0"/>
      <w:sz w:val="18"/>
      <w:szCs w:val="18"/>
      <w:shd w:color="auto" w:fill="F8F8F8" w:val="clear"/>
    </w:rPr>
  </w:style>
  <w:style w:customStyle="1" w:styleId="InformationTok" w:type="character">
    <w:name w:val="InformationTok"/>
    <w:basedOn w:val="VerbatimChar"/>
    <w:rPr>
      <w:rFonts w:ascii="Consolas" w:hAnsi="Consolas"/>
      <w:b/>
      <w:i/>
      <w:color w:val="8F5902"/>
      <w:sz w:val="18"/>
      <w:szCs w:val="18"/>
      <w:shd w:color="auto" w:fill="F8F8F8" w:val="clear"/>
    </w:rPr>
  </w:style>
  <w:style w:customStyle="1" w:styleId="WarningTok" w:type="character">
    <w:name w:val="WarningTok"/>
    <w:basedOn w:val="VerbatimChar"/>
    <w:rPr>
      <w:rFonts w:ascii="Consolas" w:hAnsi="Consolas"/>
      <w:b/>
      <w:i/>
      <w:color w:val="8F5902"/>
      <w:sz w:val="18"/>
      <w:szCs w:val="18"/>
      <w:shd w:color="auto" w:fill="F8F8F8" w:val="clear"/>
    </w:rPr>
  </w:style>
  <w:style w:customStyle="1" w:styleId="AlertTok" w:type="character">
    <w:name w:val="AlertTok"/>
    <w:basedOn w:val="VerbatimChar"/>
    <w:rPr>
      <w:rFonts w:ascii="Consolas" w:hAnsi="Consolas"/>
      <w:i w:val="0"/>
      <w:color w:val="EF2929"/>
      <w:sz w:val="18"/>
      <w:szCs w:val="18"/>
      <w:shd w:color="auto" w:fill="F8F8F8" w:val="clear"/>
    </w:rPr>
  </w:style>
  <w:style w:customStyle="1" w:styleId="ErrorTok" w:type="character">
    <w:name w:val="ErrorTok"/>
    <w:basedOn w:val="VerbatimChar"/>
    <w:rPr>
      <w:rFonts w:ascii="Consolas" w:hAnsi="Consolas"/>
      <w:b/>
      <w:i w:val="0"/>
      <w:color w:val="A40000"/>
      <w:sz w:val="18"/>
      <w:szCs w:val="18"/>
      <w:shd w:color="auto" w:fill="F8F8F8" w:val="clear"/>
    </w:rPr>
  </w:style>
  <w:style w:customStyle="1" w:styleId="NormalTok" w:type="character">
    <w:name w:val="NormalTok"/>
    <w:basedOn w:val="VerbatimChar"/>
    <w:rPr>
      <w:rFonts w:ascii="Consolas" w:hAnsi="Consolas"/>
      <w:i w:val="0"/>
      <w:sz w:val="18"/>
      <w:szCs w:val="18"/>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3" Target="media/rId83.png" /><Relationship Type="http://schemas.openxmlformats.org/officeDocument/2006/relationships/image" Id="rId125" Target="media/rId125.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73" Target="media/rId73.png" /><Relationship Type="http://schemas.openxmlformats.org/officeDocument/2006/relationships/image" Id="rId62" Target="media/rId62.png" /><Relationship Type="http://schemas.openxmlformats.org/officeDocument/2006/relationships/image" Id="rId98" Target="media/rId98.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6" Target="media/rId36.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Seamus Murphy; John Wilson; Lauren K Banks</dc:creator>
  <cp:keywords>Wetland inundation dynamics, SAR backscatter, Spectral mixture analysis, Participatory mapping, Socio-hydrological systems, Endorheic lakes, Lake Chilwa</cp:keywords>
  <dcterms:created xsi:type="dcterms:W3CDTF">2026-09-26T21:21:17Z</dcterms:created>
  <dcterms:modified xsi:type="dcterms:W3CDTF">2026-09-26T21:21:17Z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Water area measured by Landsat and by the Moderate Resolution Imaging Spectroradiometer was combined in a state-space model, a statistical model that updated its estimate of the lake at each sixteen-day step as observations arrived and gave the uncertainty of every estimate. The design followed a published pixel-by-pixel method for combining the two satellites but was applied to the water area of the whole basin, and it filled the seventeen months from October 2011 to March 2013 when the only Landsat satellite over the basin, Landsat 7, recorded images with strips of missing data.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actually moves, with the uncertainty that the archive earns, changes which years read as recessions and therefore which years a migratory fishery is understood to have responded to.</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2026-09-26</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ex_engine">
    <vt:lpwstr>xelatex</vt:lpwstr>
  </property>
  <property fmtid="{D5CDD505-2E9C-101B-9397-08002B2CF9AE}" pid="17" name="subtitle">
    <vt:lpwstr>Integrating optical-radar time-series data with participatory mapping of migrant fishing communities</vt:lpwstr>
  </property>
  <property fmtid="{D5CDD505-2E9C-101B-9397-08002B2CF9AE}" pid="18" name="toc-title">
    <vt:lpwstr>Table of contents</vt:lpwstr>
  </property>
</Properties>
</file>