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20">
        <w:r>
          <w:rPr>
            <w:rStyle w:val="Hyperlink"/>
          </w:rPr>
          <w:t xml:space="preserve">https://github.com/seamusrobertmurphy/swing-trader</w:t>
        </w:r>
      </w:hyperlink>
    </w:p>
    <w:p>
      <w:pPr>
        <w:pStyle w:val="BodyText"/>
      </w:pPr>
      <w:r>
        <w:t xml:space="preserve">This is the single runtime document for the repository. It states what each stage does, why it is built that way, and how to run it, so that someone picking the work up can continue it. Three earlier notebooks were consolidated into this one on 6 September 2026 and archived under</w:t>
      </w:r>
      <w:r>
        <w:t xml:space="preserve"> </w:t>
      </w:r>
      <w:r>
        <w:rPr>
          <w:rStyle w:val="VerbatimChar"/>
        </w:rPr>
        <w:t xml:space="preserve">02-runtime/archive/</w:t>
      </w:r>
      <w:r>
        <w:t xml:space="preserve">, kept out of version control so they cannot drift from what is actually run.</w:t>
      </w:r>
    </w:p>
    <w:bookmarkStart w:id="30" w:name="overview"/>
    <w:p>
      <w:pPr>
        <w:pStyle w:val="Heading2"/>
      </w:pPr>
      <w:r>
        <w:t xml:space="preserve">0. Overview</w:t>
      </w:r>
    </w:p>
    <w:p>
      <w:pPr>
        <w:pStyle w:val="FirstParagraph"/>
      </w:pPr>
      <w:r>
        <w:t xml:space="preserve">The workflow on one page. Each panel is a stage of the pipeline and each is developed in the section named beside it. Lane A sets the acceptance criteria, B the data and the point-in-time screen, C the feature set, D the split, selection and tuning, E the assessment and the live book.</w:t>
      </w:r>
    </w:p>
    <w:p>
      <w:pPr>
        <w:pStyle w:val="CaptionedFigure"/>
      </w:pPr>
      <w:r>
        <w:drawing>
          <wp:inline>
            <wp:extent cx="5943600" cy="4592781"/>
            <wp:effectExtent b="0" l="0" r="0" t="0"/>
            <wp:docPr descr="The workflow on one page. Panels A1 to E3 correspond to the sections below." title="" id="22" name="Picture"/>
            <a:graphic>
              <a:graphicData uri="http://schemas.openxmlformats.org/drawingml/2006/picture">
                <pic:pic>
                  <pic:nvPicPr>
                    <pic:cNvPr descr="../04-outputs/PNG/workflow-cheatsheet.png" id="23" name="Picture"/>
                    <pic:cNvPicPr>
                      <a:picLocks noChangeArrowheads="1" noChangeAspect="1"/>
                    </pic:cNvPicPr>
                  </pic:nvPicPr>
                  <pic:blipFill>
                    <a:blip r:embed="rId21"/>
                    <a:stretch>
                      <a:fillRect/>
                    </a:stretch>
                  </pic:blipFill>
                  <pic:spPr bwMode="auto">
                    <a:xfrm>
                      <a:off x="0" y="0"/>
                      <a:ext cx="5943600" cy="4592781"/>
                    </a:xfrm>
                    <a:prstGeom prst="rect">
                      <a:avLst/>
                    </a:prstGeom>
                    <a:noFill/>
                    <a:ln w="9525">
                      <a:noFill/>
                      <a:headEnd/>
                      <a:tailEnd/>
                    </a:ln>
                  </pic:spPr>
                </pic:pic>
              </a:graphicData>
            </a:graphic>
          </wp:inline>
        </w:drawing>
      </w:r>
    </w:p>
    <w:p>
      <w:pPr>
        <w:pStyle w:val="ImageCaption"/>
      </w:pPr>
      <w:r>
        <w:t xml:space="preserve">The workflow on one page. Panels A1 to E3 correspond to the sections below.</w:t>
      </w:r>
    </w:p>
    <w:bookmarkStart w:id="24" w:name="after-fee-evaluation"/>
    <w:p>
      <w:pPr>
        <w:pStyle w:val="Heading3"/>
      </w:pPr>
      <w:r>
        <w:t xml:space="preserve">0.1 After-Fee Evaluation</w:t>
      </w:r>
    </w:p>
    <w:p>
      <w:pPr>
        <w:pStyle w:val="FirstParagraph"/>
      </w:pPr>
      <w:r>
        <w:t xml:space="preserve">The goal is one trading strategy that makes money after fees on data it has never seen. Every stage below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4"/>
    <w:bookmarkStart w:id="25" w:name="pipeline-overview"/>
    <w:p>
      <w:pPr>
        <w:pStyle w:val="Heading3"/>
      </w:pPr>
      <w:r>
        <w:t xml:space="preserve">0.2 Pipeline Overview</w:t>
      </w:r>
    </w:p>
    <w:p>
      <w:pPr>
        <w:pStyle w:val="FirstParagraph"/>
      </w:pPr>
      <w:r>
        <w:t xml:space="preserve">The work splits into three parts that run in order. Each hands a clean input to the next.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Notebook</w:t>
            </w:r>
          </w:p>
        </w:tc>
        <w:tc>
          <w:tcPr>
            <w:tcW w:type="pct" w:w="1250"/>
          </w:tcPr>
          <w:p>
            <w:pPr>
              <w:pStyle w:val="Compact"/>
            </w:pPr>
            <w:r>
              <w:rPr>
                <w:b/>
              </w:rPr>
              <w:t xml:space="preserve">Role</w:t>
            </w:r>
          </w:p>
        </w:tc>
        <w:tc>
          <w:tcPr>
            <w:tcW w:type="pct" w:w="1250"/>
          </w:tcPr>
          <w:p>
            <w:pPr>
              <w:pStyle w:val="Compact"/>
            </w:pPr>
            <w:r>
              <w:rPr>
                <w:b/>
              </w:rPr>
              <w:t xml:space="preserve">The question it answers</w:t>
            </w:r>
          </w:p>
        </w:tc>
        <w:tc>
          <w:tcPr>
            <w:tcW w:type="pct" w:w="1250"/>
          </w:tcPr>
          <w:p>
            <w:pPr>
              <w:pStyle w:val="Compact"/>
            </w:pPr>
            <w:r>
              <w:rPr>
                <w:b/>
              </w:rPr>
              <w:t xml:space="preserve">Key outputs</w:t>
            </w:r>
          </w:p>
        </w:tc>
      </w:tr>
      <w:tr>
        <w:trPr>
          <w:trHeight w:hRule="atLeast" w:val="397"/>
        </w:trPr>
        <w:tc>
          <w:tcPr>
            <w:tcW w:type="pct" w:w="1250"/>
          </w:tcPr>
          <w:p>
            <w:pPr>
              <w:pStyle w:val="Compact"/>
            </w:pPr>
            <w:r>
              <w:t xml:space="preserve">Part 1, Metrics</w:t>
            </w:r>
          </w:p>
        </w:tc>
        <w:tc>
          <w:tcPr>
            <w:tcW w:type="pct" w:w="1250"/>
          </w:tcPr>
          <w:p>
            <w:pPr>
              <w:pStyle w:val="Compact"/>
            </w:pPr>
            <w:r>
              <w:t xml:space="preserve">Signal layer</w:t>
            </w:r>
          </w:p>
        </w:tc>
        <w:tc>
          <w:tcPr>
            <w:tcW w:type="pct" w:w="1250"/>
          </w:tcPr>
          <w:p>
            <w:pPr>
              <w:pStyle w:val="Compact"/>
            </w:pPr>
            <w:r>
              <w:t xml:space="preserve">What is worth measuring on a coin</w:t>
            </w:r>
          </w:p>
        </w:tc>
        <w:tc>
          <w:tcPr>
            <w:tcW w:type="pct" w:w="1250"/>
          </w:tcPr>
          <w:p>
            <w:pPr>
              <w:pStyle w:val="Compact"/>
            </w:pPr>
            <w:r>
              <w:t xml:space="preserve">indicators, entry and exit signals, a ranked shortlist, the decision checklist</w:t>
            </w:r>
          </w:p>
        </w:tc>
      </w:tr>
      <w:tr>
        <w:trPr>
          <w:trHeight w:hRule="atLeast" w:val="397"/>
        </w:trPr>
        <w:tc>
          <w:tcPr>
            <w:tcW w:type="pct" w:w="1250"/>
          </w:tcPr>
          <w:p>
            <w:pPr>
              <w:pStyle w:val="Compact"/>
            </w:pPr>
            <w:r>
              <w:t xml:space="preserve">Part 2, Controls</w:t>
            </w:r>
          </w:p>
        </w:tc>
        <w:tc>
          <w:tcPr>
            <w:tcW w:type="pct" w:w="1250"/>
          </w:tcPr>
          <w:p>
            <w:pPr>
              <w:pStyle w:val="Compact"/>
            </w:pPr>
            <w:r>
              <w:t xml:space="preserve">Risk and rules layer</w:t>
            </w:r>
          </w:p>
        </w:tc>
        <w:tc>
          <w:tcPr>
            <w:tcW w:type="pct" w:w="1250"/>
          </w:tcPr>
          <w:p>
            <w:pPr>
              <w:pStyle w:val="Compact"/>
            </w:pPr>
            <w:r>
              <w:t xml:space="preserve">What the account is allowed to do</w:t>
            </w:r>
          </w:p>
        </w:tc>
        <w:tc>
          <w:tcPr>
            <w:tcW w:type="pct" w:w="1250"/>
          </w:tcPr>
          <w:p>
            <w:pPr>
              <w:pStyle w:val="Compact"/>
            </w:pPr>
            <w:r>
              <w:t xml:space="preserve">position caps, stops, the daily loss circuit, the fee model, the four-gate screen, position sizing</w:t>
            </w:r>
          </w:p>
        </w:tc>
      </w:tr>
      <w:tr>
        <w:trPr>
          <w:trHeight w:hRule="atLeast" w:val="397"/>
        </w:trPr>
        <w:tc>
          <w:tcPr>
            <w:tcW w:type="pct" w:w="1250"/>
          </w:tcPr>
          <w:p>
            <w:pPr>
              <w:pStyle w:val="Compact"/>
            </w:pPr>
            <w:r>
              <w:t xml:space="preserve">Part 3, Execution</w:t>
            </w:r>
          </w:p>
        </w:tc>
        <w:tc>
          <w:tcPr>
            <w:tcW w:type="pct" w:w="1250"/>
          </w:tcPr>
          <w:p>
            <w:pPr>
              <w:pStyle w:val="Compact"/>
            </w:pPr>
            <w:r>
              <w:t xml:space="preserve">Modeling and search layer</w:t>
            </w:r>
          </w:p>
        </w:tc>
        <w:tc>
          <w:tcPr>
            <w:tcW w:type="pct" w:w="1250"/>
          </w:tcPr>
          <w:p>
            <w:pPr>
              <w:pStyle w:val="Compact"/>
            </w:pPr>
            <w:r>
              <w:t xml:space="preserve">Whether a tradeable edge survives fees</w:t>
            </w:r>
          </w:p>
        </w:tc>
        <w:tc>
          <w:tcPr>
            <w:tcW w:type="pct" w:w="1250"/>
          </w:tcPr>
          <w:p>
            <w:pPr>
              <w:pStyle w:val="Compact"/>
            </w:pPr>
            <w:r>
              <w:t xml:space="preserve">the datasets, the features, the model, and the after-fee scoreboard that returns GO or NO-GO</w:t>
            </w:r>
          </w:p>
        </w:tc>
      </w:tr>
    </w:tbl>
    <w:p>
      <w:pPr>
        <w:pStyle w:val="BodyText"/>
      </w:pPr>
      <w:r>
        <w:t xml:space="preserve">Metrics defines the signal vocabulary. Controls sets the constraints any strategy operates under, principally the transaction cost and the loss limits. Execution builds the datasets and the model and runs the out-of-sample test. The controls are not applied at the end; they are the constraint set the search is evaluated against.</w:t>
      </w:r>
    </w:p>
    <w:bookmarkEnd w:id="25"/>
    <w:bookmarkStart w:id="26" w:name="data-frames"/>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w:t>
      </w:r>
      <w:r>
        <w:t xml:space="preserve"> </w:t>
      </w:r>
      <w:r>
        <w:rPr>
          <w:rStyle w:val="VerbatimChar"/>
        </w:rPr>
        <w:t xml:space="preserve">dataset_4h_allmarket</w:t>
      </w:r>
      <w:r>
        <w:t xml:space="preserve">, and</w:t>
      </w:r>
      <w:r>
        <w:t xml:space="preserve"> </w:t>
      </w:r>
      <w:r>
        <w:rPr>
          <w:rStyle w:val="VerbatimChar"/>
        </w:rPr>
        <w:t xml:space="preserve">dataset_1d_allmarket</w:t>
      </w:r>
      <w:r>
        <w:t xml:space="preserve">, all stored as Parquet. One builder serves all three and retunes its feature windows, its label horizon, and its liquidity and volatility screens to the frame.</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Frame</w:t>
            </w:r>
          </w:p>
        </w:tc>
        <w:tc>
          <w:tcPr>
            <w:tcW w:type="pct" w:w="1250"/>
          </w:tcPr>
          <w:p>
            <w:pPr>
              <w:pStyle w:val="Compact"/>
            </w:pPr>
            <w:r>
              <w:rPr>
                <w:b/>
              </w:rPr>
              <w:t xml:space="preserve">Bar</w:t>
            </w:r>
          </w:p>
        </w:tc>
        <w:tc>
          <w:tcPr>
            <w:tcW w:type="pct" w:w="1250"/>
          </w:tcPr>
          <w:p>
            <w:pPr>
              <w:pStyle w:val="Compact"/>
            </w:pPr>
            <w:r>
              <w:rPr>
                <w:b/>
              </w:rPr>
              <w:t xml:space="preserve">Trade style it targets</w:t>
            </w:r>
          </w:p>
        </w:tc>
        <w:tc>
          <w:tcPr>
            <w:tcW w:type="pct" w:w="1250"/>
          </w:tcPr>
          <w:p>
            <w:pPr>
              <w:pStyle w:val="Compact"/>
            </w:pPr>
            <w:r>
              <w:rPr>
                <w:b/>
              </w:rPr>
              <w:t xml:space="preserve">Default label</w:t>
            </w:r>
          </w:p>
        </w:tc>
      </w:tr>
      <w:tr>
        <w:trPr>
          <w:trHeight w:hRule="atLeast" w:val="397"/>
        </w:trPr>
        <w:tc>
          <w:tcPr>
            <w:tcW w:type="pct" w:w="1250"/>
          </w:tcPr>
          <w:p>
            <w:pPr>
              <w:pStyle w:val="Compact"/>
            </w:pPr>
            <w:r>
              <w:t xml:space="preserve">5m</w:t>
            </w:r>
          </w:p>
        </w:tc>
        <w:tc>
          <w:tcPr>
            <w:tcW w:type="pct" w:w="1250"/>
          </w:tcPr>
          <w:p>
            <w:pPr>
              <w:pStyle w:val="Compact"/>
            </w:pPr>
            <w:r>
              <w:t xml:space="preserve">5 minutes</w:t>
            </w:r>
          </w:p>
        </w:tc>
        <w:tc>
          <w:tcPr>
            <w:tcW w:type="pct" w:w="1250"/>
          </w:tcPr>
          <w:p>
            <w:pPr>
              <w:pStyle w:val="Compact"/>
            </w:pPr>
            <w:r>
              <w:t xml:space="preserve">intraday scalps</w:t>
            </w:r>
          </w:p>
        </w:tc>
        <w:tc>
          <w:tcPr>
            <w:tcW w:type="pct" w:w="1250"/>
          </w:tcPr>
          <w:p>
            <w:pPr>
              <w:pStyle w:val="Compact"/>
            </w:pPr>
            <w:r>
              <w:t xml:space="preserve">a shorter ATR barrier, roughly two hours</w:t>
            </w:r>
          </w:p>
        </w:tc>
      </w:tr>
      <w:tr>
        <w:trPr>
          <w:trHeight w:hRule="atLeast" w:val="397"/>
        </w:trPr>
        <w:tc>
          <w:tcPr>
            <w:tcW w:type="pct" w:w="1250"/>
          </w:tcPr>
          <w:p>
            <w:pPr>
              <w:pStyle w:val="Compact"/>
            </w:pPr>
            <w:r>
              <w:t xml:space="preserve">1h</w:t>
            </w:r>
          </w:p>
        </w:tc>
        <w:tc>
          <w:tcPr>
            <w:tcW w:type="pct" w:w="1250"/>
          </w:tcPr>
          <w:p>
            <w:pPr>
              <w:pStyle w:val="Compact"/>
            </w:pPr>
            <w:r>
              <w:t xml:space="preserve">1 hour</w:t>
            </w:r>
          </w:p>
        </w:tc>
        <w:tc>
          <w:tcPr>
            <w:tcW w:type="pct" w:w="1250"/>
          </w:tcPr>
          <w:p>
            <w:pPr>
              <w:pStyle w:val="Compact"/>
            </w:pPr>
            <w:r>
              <w:t xml:space="preserve">day-to-day swings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t xml:space="preserve">4h</w:t>
            </w:r>
          </w:p>
        </w:tc>
        <w:tc>
          <w:tcPr>
            <w:tcW w:type="pct" w:w="1250"/>
          </w:tcPr>
          <w:p>
            <w:pPr>
              <w:pStyle w:val="Compact"/>
            </w:pPr>
            <w:r>
              <w:t xml:space="preserve">4 hours</w:t>
            </w:r>
          </w:p>
        </w:tc>
        <w:tc>
          <w:tcPr>
            <w:tcW w:type="pct" w:w="1250"/>
          </w:tcPr>
          <w:p>
            <w:pPr>
              <w:pStyle w:val="Compact"/>
            </w:pPr>
            <w:r>
              <w:t xml:space="preserve">multi-day holds</w:t>
            </w:r>
          </w:p>
        </w:tc>
        <w:tc>
          <w:tcPr>
            <w:tcW w:type="pct" w:w="1250"/>
          </w:tcPr>
          <w:p>
            <w:pPr>
              <w:pStyle w:val="Compact"/>
            </w:pPr>
            <w:r>
              <w:t xml:space="preserve">+2 / -1 ATR triple barrier, two wall-clock days</w:t>
            </w:r>
          </w:p>
        </w:tc>
      </w:tr>
      <w:tr>
        <w:trPr>
          <w:trHeight w:hRule="atLeast" w:val="397"/>
        </w:trPr>
        <w:tc>
          <w:tcPr>
            <w:tcW w:type="pct" w:w="1250"/>
          </w:tcPr>
          <w:p>
            <w:pPr>
              <w:pStyle w:val="Compact"/>
            </w:pPr>
            <w:r>
              <w:t xml:space="preserve">1d</w:t>
            </w:r>
          </w:p>
        </w:tc>
        <w:tc>
          <w:tcPr>
            <w:tcW w:type="pct" w:w="1250"/>
          </w:tcPr>
          <w:p>
            <w:pPr>
              <w:pStyle w:val="Compact"/>
            </w:pPr>
            <w:r>
              <w:t xml:space="preserve">1 day</w:t>
            </w:r>
          </w:p>
        </w:tc>
        <w:tc>
          <w:tcPr>
            <w:tcW w:type="pct" w:w="1250"/>
          </w:tcPr>
          <w:p>
            <w:pPr>
              <w:pStyle w:val="Compact"/>
            </w:pPr>
            <w:r>
              <w:t xml:space="preserve">position swings, the fee-count lever</w:t>
            </w:r>
          </w:p>
        </w:tc>
        <w:tc>
          <w:tcPr>
            <w:tcW w:type="pct" w:w="1250"/>
          </w:tcPr>
          <w:p>
            <w:pPr>
              <w:pStyle w:val="Compact"/>
            </w:pPr>
            <w:r>
              <w:t xml:space="preserve">+2 / -1 ATR triple barrier, two daily bars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3.14’s first read.</w:t>
      </w:r>
    </w:p>
    <w:bookmarkEnd w:id="26"/>
    <w:bookmarkStart w:id="27" w:name="equity-data"/>
    <w:p>
      <w:pPr>
        <w:pStyle w:val="Heading3"/>
      </w:pPr>
      <w:r>
        <w:t xml:space="preserve">0.4 Equity Data</w:t>
      </w:r>
    </w:p>
    <w:p>
      <w:pPr>
        <w:pStyle w:val="FirstParagraph"/>
      </w:pPr>
      <w:r>
        <w:t xml:space="preserve">The second venue is Alpaca, a United States equity broker, and it carries the only strategy that has cleared the after-fee out-of-sample test. It is introduced alongside the Binance archives because the crypto search is not the whole project. The method was developed on crypto and first produced a positive result on equities.</w:t>
      </w:r>
    </w:p>
    <w:p>
      <w:pPr>
        <w:pStyle w:val="BodyText"/>
      </w:pPr>
      <w:r>
        <w:t xml:space="preserve">The two data layers serve the same pipeline and differ in the respects below.</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Binance, crypto</w:t>
            </w:r>
          </w:p>
        </w:tc>
        <w:tc>
          <w:tcPr>
            <w:tcW w:type="pct" w:w="1666"/>
          </w:tcPr>
          <w:p>
            <w:pPr>
              <w:pStyle w:val="Compact"/>
            </w:pPr>
            <w:r>
              <w:rPr>
                <w:b/>
              </w:rPr>
              <w:t xml:space="preserve">Alpaca, US equities</w:t>
            </w:r>
          </w:p>
        </w:tc>
      </w:tr>
      <w:tr>
        <w:trPr>
          <w:trHeight w:hRule="atLeast" w:val="397"/>
        </w:trPr>
        <w:tc>
          <w:tcPr>
            <w:tcW w:type="pct" w:w="1666"/>
          </w:tcPr>
          <w:p>
            <w:pPr>
              <w:pStyle w:val="Compact"/>
            </w:pPr>
            <w:r>
              <w:t xml:space="preserve">Source</w:t>
            </w:r>
          </w:p>
        </w:tc>
        <w:tc>
          <w:tcPr>
            <w:tcW w:type="pct" w:w="1666"/>
          </w:tcPr>
          <w:p>
            <w:pPr>
              <w:pStyle w:val="Compact"/>
            </w:pPr>
            <w:r>
              <w:rPr>
                <w:rStyle w:val="VerbatimChar"/>
              </w:rPr>
              <w:t xml:space="preserve">data.binance.vision</w:t>
            </w:r>
            <w:r>
              <w:t xml:space="preserve"> </w:t>
            </w:r>
            <w:r>
              <w:t xml:space="preserve">monthly archives, checksummed, downloaded once</w:t>
            </w:r>
          </w:p>
        </w:tc>
        <w:tc>
          <w:tcPr>
            <w:tcW w:type="pct" w:w="1666"/>
          </w:tcPr>
          <w:p>
            <w:pPr>
              <w:pStyle w:val="Compact"/>
            </w:pPr>
            <w:r>
              <w:t xml:space="preserve">Alpaca’s historical bars API on the SIP consolidated feed, split and dividend adjusted</w:t>
            </w:r>
          </w:p>
        </w:tc>
      </w:tr>
      <w:tr>
        <w:trPr>
          <w:trHeight w:hRule="atLeast" w:val="397"/>
        </w:trPr>
        <w:tc>
          <w:tcPr>
            <w:tcW w:type="pct" w:w="1666"/>
          </w:tcPr>
          <w:p>
            <w:pPr>
              <w:pStyle w:val="Compact"/>
            </w:pPr>
            <w:r>
              <w:t xml:space="preserve">Bars</w:t>
            </w:r>
          </w:p>
        </w:tc>
        <w:tc>
          <w:tcPr>
            <w:tcW w:type="pct" w:w="1666"/>
          </w:tcPr>
          <w:p>
            <w:pPr>
              <w:pStyle w:val="Compact"/>
            </w:pPr>
            <w:r>
              <w:t xml:space="preserve">5 minutes, 1 hour, 4 hours, 1 day</w:t>
            </w:r>
          </w:p>
        </w:tc>
        <w:tc>
          <w:tcPr>
            <w:tcW w:type="pct" w:w="1666"/>
          </w:tcPr>
          <w:p>
            <w:pPr>
              <w:pStyle w:val="Compact"/>
            </w:pPr>
            <w:r>
              <w:t xml:space="preserve">daily only</w:t>
            </w:r>
          </w:p>
        </w:tc>
      </w:tr>
      <w:tr>
        <w:trPr>
          <w:trHeight w:hRule="atLeast" w:val="397"/>
        </w:trPr>
        <w:tc>
          <w:tcPr>
            <w:tcW w:type="pct" w:w="1666"/>
          </w:tcPr>
          <w:p>
            <w:pPr>
              <w:pStyle w:val="Compact"/>
            </w:pPr>
            <w:r>
              <w:t xml:space="preserve">Span</w:t>
            </w:r>
          </w:p>
        </w:tc>
        <w:tc>
          <w:tcPr>
            <w:tcW w:type="pct" w:w="1666"/>
          </w:tcPr>
          <w:p>
            <w:pPr>
              <w:pStyle w:val="Compact"/>
            </w:pPr>
            <w:r>
              <w:t xml:space="preserve">longest available per pair, back to 2017 for BTC</w:t>
            </w:r>
          </w:p>
        </w:tc>
        <w:tc>
          <w:tcPr>
            <w:tcW w:type="pct" w:w="1666"/>
          </w:tcPr>
          <w:p>
            <w:pPr>
              <w:pStyle w:val="Compact"/>
            </w:pPr>
            <w:r>
              <w:t xml:space="preserve">2016 onward, the coverage floor of the feed</w:t>
            </w:r>
          </w:p>
        </w:tc>
      </w:tr>
      <w:tr>
        <w:trPr>
          <w:trHeight w:hRule="atLeast" w:val="397"/>
        </w:trPr>
        <w:tc>
          <w:tcPr>
            <w:tcW w:type="pct" w:w="1666"/>
          </w:tcPr>
          <w:p>
            <w:pPr>
              <w:pStyle w:val="Compact"/>
            </w:pPr>
            <w:r>
              <w:t xml:space="preserve">Universe</w:t>
            </w:r>
          </w:p>
        </w:tc>
        <w:tc>
          <w:tcPr>
            <w:tcW w:type="pct" w:w="1666"/>
          </w:tcPr>
          <w:p>
            <w:pPr>
              <w:pStyle w:val="Compact"/>
            </w:pPr>
            <w:r>
              <w:t xml:space="preserve">669 USDT pairs, including every pair ever delisted</w:t>
            </w:r>
          </w:p>
        </w:tc>
        <w:tc>
          <w:tcPr>
            <w:tcW w:type="pct" w:w="1666"/>
          </w:tcPr>
          <w:p>
            <w:pPr>
              <w:pStyle w:val="Compact"/>
            </w:pPr>
            <w:r>
              <w:t xml:space="preserve">2,660 names that pass a screen, all of them alive today</w:t>
            </w:r>
          </w:p>
        </w:tc>
      </w:tr>
      <w:tr>
        <w:trPr>
          <w:trHeight w:hRule="atLeast" w:val="397"/>
        </w:trPr>
        <w:tc>
          <w:tcPr>
            <w:tcW w:type="pct" w:w="1666"/>
          </w:tcPr>
          <w:p>
            <w:pPr>
              <w:pStyle w:val="Compact"/>
            </w:pPr>
            <w:r>
              <w:t xml:space="preserve">Delisted names</w:t>
            </w:r>
          </w:p>
        </w:tc>
        <w:tc>
          <w:tcPr>
            <w:tcW w:type="pct" w:w="1666"/>
          </w:tcPr>
          <w:p>
            <w:pPr>
              <w:pStyle w:val="Compact"/>
            </w:pPr>
            <w:r>
              <w:t xml:space="preserve">recovered, so estimates are unbiased</w:t>
            </w:r>
          </w:p>
        </w:tc>
        <w:tc>
          <w:tcPr>
            <w:tcW w:type="pct" w:w="1666"/>
          </w:tcPr>
          <w:p>
            <w:pPr>
              <w:pStyle w:val="Compact"/>
            </w:pPr>
            <w:r>
              <w:t xml:space="preserve">absent, so estimates are an upper bound</w:t>
            </w:r>
          </w:p>
        </w:tc>
      </w:tr>
      <w:tr>
        <w:trPr>
          <w:trHeight w:hRule="atLeast" w:val="397"/>
        </w:trPr>
        <w:tc>
          <w:tcPr>
            <w:tcW w:type="pct" w:w="1666"/>
          </w:tcPr>
          <w:p>
            <w:pPr>
              <w:pStyle w:val="Compact"/>
            </w:pPr>
            <w:r>
              <w:t xml:space="preserve">Trading hours</w:t>
            </w:r>
          </w:p>
        </w:tc>
        <w:tc>
          <w:tcPr>
            <w:tcW w:type="pct" w:w="1666"/>
          </w:tcPr>
          <w:p>
            <w:pPr>
              <w:pStyle w:val="Compact"/>
            </w:pPr>
            <w:r>
              <w:t xml:space="preserve">continuous</w:t>
            </w:r>
          </w:p>
        </w:tc>
        <w:tc>
          <w:tcPr>
            <w:tcW w:type="pct" w:w="1666"/>
          </w:tcPr>
          <w:p>
            <w:pPr>
              <w:pStyle w:val="Compact"/>
            </w:pPr>
            <w:r>
              <w:t xml:space="preserve">weekdays, 09:30 to 16:00 New York</w:t>
            </w:r>
          </w:p>
        </w:tc>
      </w:tr>
      <w:tr>
        <w:trPr>
          <w:trHeight w:hRule="atLeast" w:val="397"/>
        </w:trPr>
        <w:tc>
          <w:tcPr>
            <w:tcW w:type="pct" w:w="1666"/>
          </w:tcPr>
          <w:p>
            <w:pPr>
              <w:pStyle w:val="Compact"/>
            </w:pPr>
            <w:r>
              <w:t xml:space="preserve">Cost per round trip</w:t>
            </w:r>
          </w:p>
        </w:tc>
        <w:tc>
          <w:tcPr>
            <w:tcW w:type="pct" w:w="1666"/>
          </w:tcPr>
          <w:p>
            <w:pPr>
              <w:pStyle w:val="Compact"/>
            </w:pPr>
            <w:r>
              <w:t xml:space="preserve">0.15 percent engineered, 0.20 percent modelled</w:t>
            </w:r>
          </w:p>
        </w:tc>
        <w:tc>
          <w:tcPr>
            <w:tcW w:type="pct" w:w="1666"/>
          </w:tcPr>
          <w:p>
            <w:pPr>
              <w:pStyle w:val="Compact"/>
            </w:pPr>
            <w:r>
              <w:t xml:space="preserve">roughly 4 basis points measured, so about one twenty-fifth of the crypto cost</w:t>
            </w:r>
          </w:p>
        </w:tc>
      </w:tr>
    </w:tbl>
    <w:p>
      <w:pPr>
        <w:pStyle w:val="BodyText"/>
      </w:pPr>
      <w:r>
        <w:t xml:space="preserve">The cost row is the reason the equity track exists. Every crypto candidate was rejected on net expectancy rather than on discrimination. A venue with a round-trip cost roughly one twenty-fifth as large changes which effect sizes are economically actionable: an edge below a 0.20 per cent round trip may clear a 0.04 per cent one.</w:t>
      </w:r>
    </w:p>
    <w:p>
      <w:pPr>
        <w:pStyle w:val="BodyText"/>
      </w:pPr>
      <w:r>
        <w:t xml:space="preserve">Survivorship bias and its direction. The Alpaca assets endpoint enumerates currently listed securities, so a firm delisted in 2019 is absent from the panel. Excluding failures biases realised performance upward, so every equity figure is an upper bound. This is the inverse of the Binance procedure, where the archive was crawled to recover delisted pairs. The bias is accepted for the first read and stated wherever a figure derived from the panel appears.</w:t>
      </w:r>
      <w:r>
        <w:t xml:space="preserve"> </w:t>
      </w:r>
      <w:r>
        <w:rPr>
          <w:rStyle w:val="VerbatimChar"/>
        </w:rPr>
        <w:t xml:space="preserve">03-inputs/alpaca_data.py</w:t>
      </w:r>
      <w:r>
        <w:t xml:space="preserve"> </w:t>
      </w:r>
      <w:r>
        <w:t xml:space="preserve">writes the caveat into the universe snapshot itself, and every record built on the panel repeats it. A separate stress test,</w:t>
      </w:r>
      <w:r>
        <w:t xml:space="preserve"> </w:t>
      </w:r>
      <w:r>
        <w:rPr>
          <w:rStyle w:val="VerbatimChar"/>
        </w:rPr>
        <w:t xml:space="preserve">03-inputs/equity_survivorship_stress.py</w:t>
      </w:r>
      <w:r>
        <w:t xml:space="preserve">, injects delistings and re-scores, and the edge held.</w:t>
      </w:r>
    </w:p>
    <w:p>
      <w:pPr>
        <w:pStyle w:val="BodyText"/>
      </w:pPr>
      <w:r>
        <w:t xml:space="preserve">How the data is built. Three commands, mirroring the crypto stages.</w:t>
      </w:r>
      <w:r>
        <w:t xml:space="preserve"> </w:t>
      </w:r>
      <w:r>
        <w:rPr>
          <w:rStyle w:val="VerbatimChar"/>
        </w:rPr>
        <w:t xml:space="preserve">alpaca_data.py universe</w:t>
      </w:r>
      <w:r>
        <w:t xml:space="preserve"> </w:t>
      </w:r>
      <w:r>
        <w:t xml:space="preserve">lists every active, tradable name on NYSE, NASDAQ, ARCA, AMEX and BATS, then keeps those above a 20 million dollar median daily turnover and a 3 dollar price floor. On 26 August 2026 that took 12,571 names down to 2,660.</w:t>
      </w:r>
      <w:r>
        <w:t xml:space="preserve"> </w:t>
      </w:r>
      <w:r>
        <w:rPr>
          <w:rStyle w:val="VerbatimChar"/>
        </w:rPr>
        <w:t xml:space="preserve">alpaca_data.py download</w:t>
      </w:r>
      <w:r>
        <w:t xml:space="preserve"> </w:t>
      </w:r>
      <w:r>
        <w:t xml:space="preserve">pulls maximum-history daily bars for those names into one Parquet file per symbol, 4.1 gigabytes on disk, resumable, skipping anything already current.</w:t>
      </w:r>
      <w:r>
        <w:t xml:space="preserve"> </w:t>
      </w:r>
      <w:r>
        <w:rPr>
          <w:rStyle w:val="VerbatimChar"/>
        </w:rPr>
        <w:t xml:space="preserve">build_dataset_equity.py</w:t>
      </w:r>
      <w:r>
        <w:t xml:space="preserve"> </w:t>
      </w:r>
      <w:r>
        <w:t xml:space="preserve">then runs the panel through the same builder the crypto frames use, with SPY standing in the market-factor seat that BTC occupies on the crypto side, and with the volatility screen widened to the 1 to 8 percent daily range equities live in. The result is</w:t>
      </w:r>
      <w:r>
        <w:t xml:space="preserve"> </w:t>
      </w:r>
      <w:r>
        <w:rPr>
          <w:rStyle w:val="VerbatimChar"/>
        </w:rPr>
        <w:t xml:space="preserve">dataset_eq1d_allmarket.parquet</w:t>
      </w:r>
      <w:r>
        <w:t xml:space="preserve">, 4,996,861 rows across 2,547 names, 96 features, built 18 August 2026.</w:t>
      </w:r>
    </w:p>
    <w:p>
      <w:pPr>
        <w:pStyle w:val="BodyText"/>
      </w:pPr>
      <w:r>
        <w:t xml:space="preserve">Column naming under the shared builder. The equity panel retains the crypto column names, so</w:t>
      </w:r>
      <w:r>
        <w:t xml:space="preserve"> </w:t>
      </w:r>
      <w:r>
        <w:rPr>
          <w:rStyle w:val="VerbatimChar"/>
        </w:rPr>
        <w:t xml:space="preserve">f_btc_rs</w:t>
      </w:r>
      <w:r>
        <w:t xml:space="preserve"> </w:t>
      </w:r>
      <w:r>
        <w:t xml:space="preserve">holds relative strength against SPY rather than against bitcoin. The names were preserved so that downstream code reads both panels without a mapping layer.</w:t>
      </w:r>
    </w:p>
    <w:p>
      <w:pPr>
        <w:pStyle w:val="BodyText"/>
      </w:pPr>
      <w:r>
        <w:t xml:space="preserve">Result on the equity panel. The pre-registered monthly factor test,</w:t>
      </w:r>
      <w:r>
        <w:t xml:space="preserve"> </w:t>
      </w:r>
      <w:r>
        <w:rPr>
          <w:rStyle w:val="VerbatimChar"/>
        </w:rPr>
        <w:t xml:space="preserve">03-inputs/equity_momentum_monthly.py</w:t>
      </w:r>
      <w:r>
        <w:t xml:space="preserve">, ranks securities on the prior twelve-month return excluding the most recent month, holds the top decile for one month, and repeats on non-overlapping periods. No component is selected using this project’s own model scores, so the test is out-of-sample by construction.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This is the only candidate in the project to clear the acceptance criteria. The same harness rejected the six-month formation and the low-volatility factor, consistent with the published literature, which establishes that the harness can return a negative result.</w:t>
      </w:r>
    </w:p>
    <w:p>
      <w:pPr>
        <w:pStyle w:val="BodyText"/>
      </w:pPr>
      <w:r>
        <w:t xml:space="preserve">The most recent fold is the counterweight. In the first half of 2026 the top decile exceeded the market by 5.319 percentage points a month, the maximum in the series; over the three months since it has trailed by 5.646 points a month, the minimum. The paper book was funded during the second of these. Section 5 reports the realised effect.</w:t>
      </w:r>
    </w:p>
    <w:p>
      <w:pPr>
        <w:pStyle w:val="BodyText"/>
      </w:pPr>
      <w:r>
        <w:t xml:space="preserve">Execution.</w:t>
      </w:r>
      <w:r>
        <w:t xml:space="preserve"> </w:t>
      </w:r>
      <w:r>
        <w:rPr>
          <w:rStyle w:val="VerbatimChar"/>
        </w:rPr>
        <w:t xml:space="preserve">03-inputs/alpaca_trade.py</w:t>
      </w:r>
      <w:r>
        <w:t xml:space="preserve"> </w:t>
      </w:r>
      <w:r>
        <w:t xml:space="preserve">holds the fifty highest-ranked securities at 1.8 per cent of equity each and rebalances weekly. The long-only and no-margin constraints are enforced in code rather than by operator discipline. The account is a paper account and</w:t>
      </w:r>
      <w:r>
        <w:t xml:space="preserve"> </w:t>
      </w:r>
      <w:r>
        <w:rPr>
          <w:rStyle w:val="VerbatimChar"/>
        </w:rPr>
        <w:t xml:space="preserve">LIVE_TRADING</w:t>
      </w:r>
      <w:r>
        <w:t xml:space="preserve"> </w:t>
      </w:r>
      <w:r>
        <w:t xml:space="preserve">remains false. Appendix D and section 5 report the running book.</w:t>
      </w:r>
    </w:p>
    <w:bookmarkEnd w:id="27"/>
    <w:bookmarkStart w:id="28" w:name="hard-rules"/>
    <w:p>
      <w:pPr>
        <w:pStyle w:val="Heading3"/>
      </w:pPr>
      <w:r>
        <w:t xml:space="preserve">0.5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r>
              <w:rPr>
                <w:b/>
              </w:rPr>
              <w:t xml:space="preserve">Control</w:t>
            </w:r>
          </w:p>
        </w:tc>
        <w:tc>
          <w:tcPr>
            <w:tcW w:type="pct" w:w="1666"/>
          </w:tcPr>
          <w:p>
            <w:pPr>
              <w:pStyle w:val="Compact"/>
            </w:pPr>
            <w:r>
              <w:rPr>
                <w:b/>
              </w:rPr>
              <w:t xml:space="preserve">Setting</w:t>
            </w:r>
          </w:p>
        </w:tc>
        <w:tc>
          <w:tcPr>
            <w:tcW w:type="pct" w:w="1666"/>
          </w:tcPr>
          <w:p>
            <w:pPr>
              <w:pStyle w:val="Compact"/>
            </w:pPr>
            <w:r>
              <w:rPr>
                <w:b/>
              </w:rPr>
              <w:t xml:space="preserve">Why</w:t>
            </w:r>
          </w:p>
        </w:tc>
      </w:tr>
      <w:tr>
        <w:trPr>
          <w:trHeight w:hRule="atLeast" w:val="397"/>
        </w:trPr>
        <w:tc>
          <w:tcPr>
            <w:tcW w:type="pct" w:w="1666"/>
          </w:tcPr>
          <w:p>
            <w:pPr>
              <w:pStyle w:val="Compact"/>
            </w:pPr>
            <w:r>
              <w:t xml:space="preserve">Position cap</w:t>
            </w:r>
          </w:p>
        </w:tc>
        <w:tc>
          <w:tcPr>
            <w:tcW w:type="pct" w:w="1666"/>
          </w:tcPr>
          <w:p>
            <w:pPr>
              <w:pStyle w:val="Compact"/>
            </w:pPr>
            <w:r>
              <w:t xml:space="preserve">5 percent of equity at entry</w:t>
            </w:r>
          </w:p>
        </w:tc>
        <w:tc>
          <w:tcPr>
            <w:tcW w:type="pct" w:w="1666"/>
          </w:tcPr>
          <w:p>
            <w:pPr>
              <w:pStyle w:val="Compact"/>
            </w:pPr>
            <w:r>
              <w:t xml:space="preserve">one bad name cannot sink the book</w:t>
            </w:r>
          </w:p>
        </w:tc>
      </w:tr>
      <w:tr>
        <w:trPr>
          <w:trHeight w:hRule="atLeast" w:val="397"/>
        </w:trPr>
        <w:tc>
          <w:tcPr>
            <w:tcW w:type="pct" w:w="1666"/>
          </w:tcPr>
          <w:p>
            <w:pPr>
              <w:pStyle w:val="Compact"/>
            </w:pPr>
            <w:r>
              <w:t xml:space="preserve">Default size</w:t>
            </w:r>
          </w:p>
        </w:tc>
        <w:tc>
          <w:tcPr>
            <w:tcW w:type="pct" w:w="1666"/>
          </w:tcPr>
          <w:p>
            <w:pPr>
              <w:pStyle w:val="Compact"/>
            </w:pPr>
            <w:r>
              <w:t xml:space="preserve">half Kelly, a quarter on minimum signals</w:t>
            </w:r>
          </w:p>
        </w:tc>
        <w:tc>
          <w:tcPr>
            <w:tcW w:type="pct" w:w="1666"/>
          </w:tcPr>
          <w:p>
            <w:pPr>
              <w:pStyle w:val="Compact"/>
            </w:pPr>
            <w:r>
              <w:t xml:space="preserve">size to the edge, not the conviction</w:t>
            </w:r>
          </w:p>
        </w:tc>
      </w:tr>
      <w:tr>
        <w:trPr>
          <w:trHeight w:hRule="atLeast" w:val="397"/>
        </w:trPr>
        <w:tc>
          <w:tcPr>
            <w:tcW w:type="pct" w:w="1666"/>
          </w:tcPr>
          <w:p>
            <w:pPr>
              <w:pStyle w:val="Compact"/>
            </w:pPr>
            <w:r>
              <w:t xml:space="preserve">Fat-pitch exception</w:t>
            </w:r>
          </w:p>
        </w:tc>
        <w:tc>
          <w:tcPr>
            <w:tcW w:type="pct" w:w="1666"/>
          </w:tcPr>
          <w:p>
            <w:pPr>
              <w:pStyle w:val="Compact"/>
            </w:pPr>
            <w:r>
              <w:t xml:space="preserve">one position to 10 percent, with reward-to-risk at least 3:1, a named cause, and a written exit</w:t>
            </w:r>
          </w:p>
        </w:tc>
        <w:tc>
          <w:tcPr>
            <w:tcW w:type="pct" w:w="1666"/>
          </w:tcPr>
          <w:p>
            <w:pPr>
              <w:pStyle w:val="Compact"/>
            </w:pPr>
            <w:r>
              <w:t xml:space="preserve">rare, documented, reversible</w:t>
            </w:r>
          </w:p>
        </w:tc>
      </w:tr>
      <w:tr>
        <w:trPr>
          <w:trHeight w:hRule="atLeast" w:val="397"/>
        </w:trPr>
        <w:tc>
          <w:tcPr>
            <w:tcW w:type="pct" w:w="1666"/>
          </w:tcPr>
          <w:p>
            <w:pPr>
              <w:pStyle w:val="Compact"/>
            </w:pPr>
            <w:r>
              <w:t xml:space="preserve">Label geometry</w:t>
            </w:r>
          </w:p>
        </w:tc>
        <w:tc>
          <w:tcPr>
            <w:tcW w:type="pct" w:w="1666"/>
          </w:tcPr>
          <w:p>
            <w:pPr>
              <w:pStyle w:val="Compact"/>
            </w:pPr>
            <w:r>
              <w:t xml:space="preserve">longer-horizon, less fee-punishing triple barrier, replacing the +2 / -1 ATR default</w:t>
            </w:r>
          </w:p>
        </w:tc>
        <w:tc>
          <w:tcPr>
            <w:tcW w:type="pct" w:w="1666"/>
          </w:tcPr>
          <w:p>
            <w:pPr>
              <w:pStyle w:val="Compact"/>
            </w:pPr>
            <w:r>
              <w:t xml:space="preserve">the old label lost before any prediction; fewer round trips cut fee drag</w:t>
            </w:r>
          </w:p>
        </w:tc>
      </w:tr>
      <w:tr>
        <w:trPr>
          <w:trHeight w:hRule="atLeast" w:val="397"/>
        </w:trPr>
        <w:tc>
          <w:tcPr>
            <w:tcW w:type="pct" w:w="1666"/>
          </w:tcPr>
          <w:p>
            <w:pPr>
              <w:pStyle w:val="Compact"/>
            </w:pPr>
            <w:r>
              <w:t xml:space="preserve">Hard stop</w:t>
            </w:r>
          </w:p>
        </w:tc>
        <w:tc>
          <w:tcPr>
            <w:tcW w:type="pct" w:w="1666"/>
          </w:tcPr>
          <w:p>
            <w:pPr>
              <w:pStyle w:val="Compact"/>
            </w:pPr>
            <w:r>
              <w:t xml:space="preserve">ATR-scaled per frame, provisional, replacing the fixed 7 percent</w:t>
            </w:r>
          </w:p>
        </w:tc>
        <w:tc>
          <w:tcPr>
            <w:tcW w:type="pct" w:w="1666"/>
          </w:tcPr>
          <w:p>
            <w:pPr>
              <w:pStyle w:val="Compact"/>
            </w:pPr>
            <w:r>
              <w:t xml:space="preserve">trend protection sized to each coin’s volatility, not a flat percent</w:t>
            </w:r>
          </w:p>
        </w:tc>
      </w:tr>
      <w:tr>
        <w:trPr>
          <w:trHeight w:hRule="atLeast" w:val="397"/>
        </w:trPr>
        <w:tc>
          <w:tcPr>
            <w:tcW w:type="pct" w:w="1666"/>
          </w:tcPr>
          <w:p>
            <w:pPr>
              <w:pStyle w:val="Compact"/>
            </w:pPr>
            <w:r>
              <w:t xml:space="preserve">Trailing stop</w:t>
            </w:r>
          </w:p>
        </w:tc>
        <w:tc>
          <w:tcPr>
            <w:tcW w:type="pct" w:w="1666"/>
          </w:tcPr>
          <w:p>
            <w:pPr>
              <w:pStyle w:val="Compact"/>
            </w:pPr>
            <w:r>
              <w:t xml:space="preserve">ATR-scaled per frame, provisional, replacing the fixed 10 percent</w:t>
            </w:r>
          </w:p>
        </w:tc>
        <w:tc>
          <w:tcPr>
            <w:tcW w:type="pct" w:w="1666"/>
          </w:tcPr>
          <w:p>
            <w:pPr>
              <w:pStyle w:val="Compact"/>
            </w:pPr>
            <w:r>
              <w:t xml:space="preserve">lets winners run scaled to volatility; settled by the exit-geometry sweep</w:t>
            </w:r>
          </w:p>
        </w:tc>
      </w:tr>
      <w:tr>
        <w:trPr>
          <w:trHeight w:hRule="atLeast" w:val="397"/>
        </w:trPr>
        <w:tc>
          <w:tcPr>
            <w:tcW w:type="pct" w:w="1666"/>
          </w:tcPr>
          <w:p>
            <w:pPr>
              <w:pStyle w:val="Compact"/>
            </w:pPr>
            <w:r>
              <w:t xml:space="preserve">Regime gate</w:t>
            </w:r>
          </w:p>
        </w:tc>
        <w:tc>
          <w:tcPr>
            <w:tcW w:type="pct" w:w="1666"/>
          </w:tcPr>
          <w:p>
            <w:pPr>
              <w:pStyle w:val="Compact"/>
            </w:pPr>
            <w:r>
              <w:t xml:space="preserve">act only when BTC is trending up</w:t>
            </w:r>
          </w:p>
        </w:tc>
        <w:tc>
          <w:tcPr>
            <w:tcW w:type="pct" w:w="1666"/>
          </w:tcPr>
          <w:p>
            <w:pPr>
              <w:pStyle w:val="Compact"/>
            </w:pPr>
            <w:r>
              <w:t xml:space="preserve">deploys the real but drowned cross-sectional signal in the regime where it works</w:t>
            </w:r>
          </w:p>
        </w:tc>
      </w:tr>
      <w:tr>
        <w:trPr>
          <w:trHeight w:hRule="atLeast" w:val="397"/>
        </w:trPr>
        <w:tc>
          <w:tcPr>
            <w:tcW w:type="pct" w:w="1666"/>
          </w:tcPr>
          <w:p>
            <w:pPr>
              <w:pStyle w:val="Compact"/>
            </w:pPr>
            <w:r>
              <w:t xml:space="preserve">Narrow book</w:t>
            </w:r>
          </w:p>
        </w:tc>
        <w:tc>
          <w:tcPr>
            <w:tcW w:type="pct" w:w="1666"/>
          </w:tcPr>
          <w:p>
            <w:pPr>
              <w:pStyle w:val="Compact"/>
            </w:pPr>
            <w:r>
              <w:t xml:space="preserve">entries only in coins that carried the out-of-sample gated edge and pass the live liquidity screen</w:t>
            </w:r>
          </w:p>
        </w:tc>
        <w:tc>
          <w:tcPr>
            <w:tcW w:type="pct" w:w="1666"/>
          </w:tcPr>
          <w:p>
            <w:pPr>
              <w:pStyle w:val="Compact"/>
            </w:pPr>
            <w:r>
              <w:t xml:space="preserve">a minority of coins carry all the profit; the average hides it</w:t>
            </w:r>
          </w:p>
        </w:tc>
      </w:tr>
      <w:tr>
        <w:trPr>
          <w:trHeight w:hRule="atLeast" w:val="397"/>
        </w:trPr>
        <w:tc>
          <w:tcPr>
            <w:tcW w:type="pct" w:w="1666"/>
          </w:tcPr>
          <w:p>
            <w:pPr>
              <w:pStyle w:val="Compact"/>
            </w:pPr>
            <w:r>
              <w:t xml:space="preserve">Fee tier</w:t>
            </w:r>
          </w:p>
        </w:tc>
        <w:tc>
          <w:tcPr>
            <w:tcW w:type="pct" w:w="1666"/>
          </w:tcPr>
          <w:p>
            <w:pPr>
              <w:pStyle w:val="Compact"/>
            </w:pPr>
            <w:r>
              <w:t xml:space="preserve">maker entries, BNB-discounted fees, measured from the account each run</w:t>
            </w:r>
          </w:p>
        </w:tc>
        <w:tc>
          <w:tcPr>
            <w:tcW w:type="pct" w:w="1666"/>
          </w:tcPr>
          <w:p>
            <w:pPr>
              <w:pStyle w:val="Compact"/>
            </w:pPr>
            <w:r>
              <w:t xml:space="preserve">the achievable 0.15 percent round trip closes half the gap to zero</w:t>
            </w:r>
          </w:p>
        </w:tc>
      </w:tr>
      <w:tr>
        <w:trPr>
          <w:trHeight w:hRule="atLeast" w:val="397"/>
        </w:trPr>
        <w:tc>
          <w:tcPr>
            <w:tcW w:type="pct" w:w="1666"/>
          </w:tcPr>
          <w:p>
            <w:pPr>
              <w:pStyle w:val="Compact"/>
            </w:pPr>
            <w:r>
              <w:t xml:space="preserve">Daily circuit</w:t>
            </w:r>
          </w:p>
        </w:tc>
        <w:tc>
          <w:tcPr>
            <w:tcW w:type="pct" w:w="1666"/>
          </w:tcPr>
          <w:p>
            <w:pPr>
              <w:pStyle w:val="Compact"/>
            </w:pPr>
            <w:r>
              <w:t xml:space="preserve">halt new orders if rolling 24-hour drawdown passes 3 percent</w:t>
            </w:r>
          </w:p>
        </w:tc>
        <w:tc>
          <w:tcPr>
            <w:tcW w:type="pct" w:w="1666"/>
          </w:tcPr>
          <w:p>
            <w:pPr>
              <w:pStyle w:val="Compact"/>
            </w:pPr>
            <w:r>
              <w:t xml:space="preserve">stop the bleeding, existing stops stay live</w:t>
            </w:r>
          </w:p>
        </w:tc>
      </w:tr>
      <w:tr>
        <w:trPr>
          <w:trHeight w:hRule="atLeast" w:val="397"/>
        </w:trPr>
        <w:tc>
          <w:tcPr>
            <w:tcW w:type="pct" w:w="1666"/>
          </w:tcPr>
          <w:p>
            <w:pPr>
              <w:pStyle w:val="Compact"/>
            </w:pPr>
            <w:r>
              <w:t xml:space="preserve">Drawdown ramp</w:t>
            </w:r>
          </w:p>
        </w:tc>
        <w:tc>
          <w:tcPr>
            <w:tcW w:type="pct" w:w="1666"/>
          </w:tcPr>
          <w:p>
            <w:pPr>
              <w:pStyle w:val="Compact"/>
            </w:pPr>
            <w:r>
              <w:t xml:space="preserve">below a 5 percent rolling-week loss, cut new size with each further 1 percent</w:t>
            </w:r>
          </w:p>
        </w:tc>
        <w:tc>
          <w:tcPr>
            <w:tcW w:type="pct" w:w="1666"/>
          </w:tcPr>
          <w:p>
            <w:pPr>
              <w:pStyle w:val="Compact"/>
            </w:pPr>
            <w:r>
              <w:t xml:space="preserve">shrink the book, do not just block it</w:t>
            </w:r>
          </w:p>
        </w:tc>
      </w:tr>
      <w:tr>
        <w:trPr>
          <w:trHeight w:hRule="atLeast" w:val="397"/>
        </w:trPr>
        <w:tc>
          <w:tcPr>
            <w:tcW w:type="pct" w:w="1666"/>
          </w:tcPr>
          <w:p>
            <w:pPr>
              <w:pStyle w:val="Compact"/>
            </w:pPr>
            <w:r>
              <w:t xml:space="preserve">Cash floor</w:t>
            </w:r>
          </w:p>
        </w:tc>
        <w:tc>
          <w:tcPr>
            <w:tcW w:type="pct" w:w="1666"/>
          </w:tcPr>
          <w:p>
            <w:pPr>
              <w:pStyle w:val="Compact"/>
            </w:pPr>
            <w:r>
              <w:t xml:space="preserve">keep at least 10 percent in cash</w:t>
            </w:r>
          </w:p>
        </w:tc>
        <w:tc>
          <w:tcPr>
            <w:tcW w:type="pct" w:w="1666"/>
          </w:tcPr>
          <w:p>
            <w:pPr>
              <w:pStyle w:val="Compact"/>
            </w:pPr>
            <w:r>
              <w:t xml:space="preserve">always able to act</w:t>
            </w:r>
          </w:p>
        </w:tc>
      </w:tr>
      <w:tr>
        <w:trPr>
          <w:trHeight w:hRule="atLeast" w:val="397"/>
        </w:trPr>
        <w:tc>
          <w:tcPr>
            <w:tcW w:type="pct" w:w="1666"/>
          </w:tcPr>
          <w:p>
            <w:pPr>
              <w:pStyle w:val="Compact"/>
            </w:pPr>
            <w:r>
              <w:t xml:space="preserve">Position limit</w:t>
            </w:r>
          </w:p>
        </w:tc>
        <w:tc>
          <w:tcPr>
            <w:tcW w:type="pct" w:w="1666"/>
          </w:tcPr>
          <w:p>
            <w:pPr>
              <w:pStyle w:val="Compact"/>
            </w:pPr>
            <w:r>
              <w:t xml:space="preserve">at most 3 new positions per week</w:t>
            </w:r>
          </w:p>
        </w:tc>
        <w:tc>
          <w:tcPr>
            <w:tcW w:type="pct" w:w="1666"/>
          </w:tcPr>
          <w:p>
            <w:pPr>
              <w:pStyle w:val="Compact"/>
            </w:pPr>
            <w:r>
              <w:t xml:space="preserve">forces selectivity</w:t>
            </w:r>
          </w:p>
        </w:tc>
      </w:tr>
      <w:tr>
        <w:trPr>
          <w:trHeight w:hRule="atLeast" w:val="397"/>
        </w:trPr>
        <w:tc>
          <w:tcPr>
            <w:tcW w:type="pct" w:w="1666"/>
          </w:tcPr>
          <w:p>
            <w:pPr>
              <w:pStyle w:val="Compact"/>
            </w:pPr>
            <w:r>
              <w:t xml:space="preserve">Direction</w:t>
            </w:r>
          </w:p>
        </w:tc>
        <w:tc>
          <w:tcPr>
            <w:tcW w:type="pct" w:w="1666"/>
          </w:tcPr>
          <w:p>
            <w:pPr>
              <w:pStyle w:val="Compact"/>
            </w:pPr>
            <w:r>
              <w:t xml:space="preserve">spot only, never short, never margin, never leverage</w:t>
            </w:r>
          </w:p>
        </w:tc>
        <w:tc>
          <w:tcPr>
            <w:tcW w:type="pct" w:w="1666"/>
          </w:tcPr>
          <w:p>
            <w:pPr>
              <w:pStyle w:val="Compact"/>
            </w:pPr>
            <w:r>
              <w:t xml:space="preserve">the mandate; shorting is logged below as research, not policy</w:t>
            </w:r>
          </w:p>
        </w:tc>
      </w:tr>
      <w:tr>
        <w:trPr>
          <w:trHeight w:hRule="atLeast" w:val="397"/>
        </w:trPr>
        <w:tc>
          <w:tcPr>
            <w:tcW w:type="pct" w:w="1666"/>
          </w:tcPr>
          <w:p>
            <w:pPr>
              <w:pStyle w:val="Compact"/>
            </w:pPr>
            <w:r>
              <w:t xml:space="preserve">Averaging down</w:t>
            </w:r>
          </w:p>
        </w:tc>
        <w:tc>
          <w:tcPr>
            <w:tcW w:type="pct" w:w="1666"/>
          </w:tcPr>
          <w:p>
            <w:pPr>
              <w:pStyle w:val="Compact"/>
            </w:pPr>
            <w:r>
              <w:t xml:space="preserve">never</w:t>
            </w:r>
          </w:p>
        </w:tc>
        <w:tc>
          <w:tcPr>
            <w:tcW w:type="pct" w:w="1666"/>
          </w:tcPr>
          <w:p>
            <w:pPr>
              <w:pStyle w:val="Compact"/>
            </w:pPr>
            <w:r>
              <w:t xml:space="preserve">a loser is exited or held, not fed</w:t>
            </w:r>
          </w:p>
        </w:tc>
      </w:tr>
      <w:tr>
        <w:trPr>
          <w:trHeight w:hRule="atLeast" w:val="397"/>
        </w:trPr>
        <w:tc>
          <w:tcPr>
            <w:tcW w:type="pct" w:w="1666"/>
          </w:tcPr>
          <w:p>
            <w:pPr>
              <w:pStyle w:val="Compact"/>
            </w:pPr>
            <w:r>
              <w:t xml:space="preserve">Anchoring</w:t>
            </w:r>
          </w:p>
        </w:tc>
        <w:tc>
          <w:tcPr>
            <w:tcW w:type="pct" w:w="1666"/>
          </w:tcPr>
          <w:p>
            <w:pPr>
              <w:pStyle w:val="Compact"/>
            </w:pPr>
            <w:r>
              <w:t xml:space="preserve">cost basis never enters hold or sell logic</w:t>
            </w:r>
          </w:p>
        </w:tc>
        <w:tc>
          <w:tcPr>
            <w:tcW w:type="pct" w:w="1666"/>
          </w:tcPr>
          <w:p>
            <w:pPr>
              <w:pStyle w:val="Compact"/>
            </w:pPr>
            <w:r>
              <w:t xml:space="preserve">decide on forward value only</w:t>
            </w:r>
          </w:p>
        </w:tc>
      </w:tr>
      <w:tr>
        <w:trPr>
          <w:trHeight w:hRule="atLeast" w:val="397"/>
        </w:trPr>
        <w:tc>
          <w:tcPr>
            <w:tcW w:type="pct" w:w="1666"/>
          </w:tcPr>
          <w:p>
            <w:pPr>
              <w:pStyle w:val="Compact"/>
            </w:pPr>
            <w:r>
              <w:t xml:space="preserve">The bar</w:t>
            </w:r>
          </w:p>
        </w:tc>
        <w:tc>
          <w:tcPr>
            <w:tcW w:type="pct" w:w="1666"/>
          </w:tcPr>
          <w:p>
            <w:pPr>
              <w:pStyle w:val="Compact"/>
            </w:pPr>
            <w:r>
              <w:t xml:space="preserve">nothing ships unless it beats a coin flip, buy-and-hold, and the fee out of sample</w:t>
            </w:r>
          </w:p>
        </w:tc>
        <w:tc>
          <w:tcPr>
            <w:tcW w:type="pct" w:w="1666"/>
          </w:tcPr>
          <w:p>
            <w:pPr>
              <w:pStyle w:val="Compact"/>
            </w:pPr>
            <w:r>
              <w:t xml:space="preserve">the fee is the adversary</w:t>
            </w:r>
          </w:p>
        </w:tc>
      </w:tr>
    </w:tbl>
    <w:p>
      <w:pPr>
        <w:pStyle w:val="BodyText"/>
      </w:pPr>
      <w:r>
        <w:t xml:space="preserve">Adjustments logged. 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1"/>
        </w:numPr>
      </w:pPr>
      <w:r>
        <w:t xml:space="preserve">Exit geometry.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1"/>
        </w:numPr>
      </w:pPr>
      <w:r>
        <w:t xml:space="preserve">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1"/>
        </w:numPr>
      </w:pPr>
      <w:r>
        <w:t xml:space="preserve">Regime gate 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1"/>
        </w:numPr>
      </w:pPr>
      <w:r>
        <w:t xml:space="preserve">Longer-horizon frame. Extend the search toward the daily frame alongside 4h, because coarser frames cut the fee count per unit of return, which is the central obstacle. As of 2026-08-17 the daily archive is complete and the baseline build is in flight (3.14).</w:t>
      </w:r>
    </w:p>
    <w:p>
      <w:pPr>
        <w:pStyle w:val="Compact"/>
        <w:numPr>
          <w:ilvl w:val="0"/>
          <w:numId w:val="1001"/>
        </w:numPr>
      </w:pPr>
      <w:r>
        <w:t xml:space="preserve">Fee engineering (2026-08-17). The modelled cost gains a second, achievable scenario: post-only maker entries (no spread paid), BNB-discounted 0.075 percent per side, a 0.15 percent round trip (</w:t>
      </w:r>
      <w:r>
        <w:rPr>
          <w:rStyle w:val="VerbatimChar"/>
        </w:rPr>
        <w:t xml:space="preserve">ACHIEVABLE_COST_PCT</w:t>
      </w:r>
      <w:r>
        <w:t xml:space="preserve"> </w:t>
      </w:r>
      <w:r>
        <w:t xml:space="preserve">in</w:t>
      </w:r>
      <w:r>
        <w:t xml:space="preserve"> </w:t>
      </w:r>
      <w:r>
        <w:rPr>
          <w:rStyle w:val="VerbatimChar"/>
        </w:rPr>
        <w:t xml:space="preserve">03-inputs/train_model.py</w:t>
      </w:r>
      <w:r>
        <w:t xml:space="preserve">). The live wrapper reads the account’s actual maker and taker rates and BNB-burn setting at the start of every run (</w:t>
      </w:r>
      <w:r>
        <w:rPr>
          <w:rStyle w:val="VerbatimChar"/>
        </w:rPr>
        <w:t xml:space="preserve">fee_status</w:t>
      </w:r>
      <w:r>
        <w:t xml:space="preserve">) and warns when the measured round trip exceeds the scenario; the paper book charges the same engineered rate.</w:t>
      </w:r>
    </w:p>
    <w:p>
      <w:pPr>
        <w:pStyle w:val="Compact"/>
        <w:numPr>
          <w:ilvl w:val="0"/>
          <w:numId w:val="1001"/>
        </w:numPr>
      </w:pPr>
      <w:r>
        <w:t xml:space="preserve">Narrow book (2026-08-17).</w:t>
      </w:r>
      <w:r>
        <w:t xml:space="preserve"> </w:t>
      </w:r>
      <w:r>
        <w:rPr>
          <w:rStyle w:val="VerbatimChar"/>
        </w:rPr>
        <w:t xml:space="preserve">03-inputs/narrow_book.py</w:t>
      </w:r>
      <w:r>
        <w:t xml:space="preserve"> </w:t>
      </w:r>
      <w:r>
        <w:t xml:space="preserve">intersects the coins that carried the out-of-sample gated edge (positive contribution, at least three cohort appearances) with the live liquidity screen and writes</w:t>
      </w:r>
      <w:r>
        <w:t xml:space="preserve"> </w:t>
      </w:r>
      <w:r>
        <w:rPr>
          <w:rStyle w:val="VerbatimChar"/>
        </w:rPr>
        <w:t xml:space="preserve">05-research/memory/narrow-book.json</w:t>
      </w:r>
      <w:r>
        <w:t xml:space="preserve">;</w:t>
      </w:r>
      <w:r>
        <w:t xml:space="preserve"> </w:t>
      </w:r>
      <w:r>
        <w:rPr>
          <w:rStyle w:val="VerbatimChar"/>
        </w:rPr>
        <w:t xml:space="preserve">03-inputs/trade_binance.py</w:t>
      </w:r>
      <w:r>
        <w:t xml:space="preserve"> </w:t>
      </w:r>
      <w:r>
        <w:t xml:space="preserve">refuses entries outside it. Rank broadly, trade narrowly.</w:t>
      </w:r>
    </w:p>
    <w:p>
      <w:pPr>
        <w:pStyle w:val="FirstParagraph"/>
      </w:pPr>
      <w:r>
        <w:t xml:space="preserve">Unchanged and kept tight.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t xml:space="preserve">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28"/>
    <w:bookmarkStart w:id="29" w:name="running-it"/>
    <w:p>
      <w:pPr>
        <w:pStyle w:val="Heading3"/>
      </w:pPr>
      <w:r>
        <w:t xml:space="preserve">0.6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29"/>
    <w:bookmarkEnd w:id="30"/>
    <w:bookmarkStart w:id="45" w:name="trader-metrics"/>
    <w:p>
      <w:pPr>
        <w:pStyle w:val="Heading2"/>
      </w:pPr>
      <w:r>
        <w:t xml:space="preserve">1. Trader Metrics</w:t>
      </w:r>
    </w:p>
    <w:p>
      <w:pPr>
        <w:pStyle w:val="FirstParagraph"/>
      </w:pPr>
      <w:r>
        <w:t xml:space="preserve">The signal layer, from Part 1 of this document.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Start w:id="31" w:name="environment-setup"/>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03-inputs/requirements.txt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pPr>
        <w:pStyle w:val="SourceCode"/>
      </w:pPr>
      <w:r>
        <w:rPr>
          <w:rStyle w:val="VerbatimChar"/>
        </w:rPr>
        <w:t xml:space="preserve">Environment ready  ·  python 3.12.13  (/Volumes/PortableSSD/Github/day-trader/.venv/bin/python)</w:t>
      </w:r>
      <w:r>
        <w:br/>
      </w:r>
      <w:r>
        <w:rPr>
          <w:rStyle w:val="VerbatimChar"/>
        </w:rPr>
        <w:t xml:space="preserve">  ccxt 4.5.59 · pandas 2.3.3 · numpy 2.2.6 · plotly 6.8.0</w:t>
      </w:r>
    </w:p>
    <w:p>
      <w:pPr>
        <w:pStyle w:val="SourceCode"/>
      </w:pPr>
      <w:r>
        <w:rPr>
          <w:rStyle w:val="VerbatimChar"/>
        </w:rPr>
        <w:t xml:space="preserve">       frame                                   download command  \</w:t>
      </w:r>
      <w:r>
        <w:br/>
      </w:r>
      <w:r>
        <w:rPr>
          <w:rStyle w:val="VerbatimChar"/>
        </w:rPr>
        <w:t xml:space="preserve">0  1h  (old)           acquire_vision.py download --interval 1h   </w:t>
      </w:r>
      <w:r>
        <w:br/>
      </w:r>
      <w:r>
        <w:rPr>
          <w:rStyle w:val="VerbatimChar"/>
        </w:rPr>
        <w:t xml:space="preserve">1  1d  (old)            flow_data.py --interval 1d --all-market   </w:t>
      </w:r>
      <w:r>
        <w:br/>
      </w:r>
      <w:r>
        <w:rPr>
          <w:rStyle w:val="VerbatimChar"/>
        </w:rPr>
        <w:t xml:space="preserve">2  4h  (new)           acquire_vision.py download --interval 4h   </w:t>
      </w:r>
      <w:r>
        <w:br/>
      </w:r>
      <w:r>
        <w:rPr>
          <w:rStyle w:val="VerbatimChar"/>
        </w:rPr>
        <w:t xml:space="preserve">3  5m  (new)  acquire_vision.py download --interval 5m --sym...   </w:t>
      </w:r>
      <w:r>
        <w:br/>
      </w:r>
      <w:r>
        <w:br/>
      </w:r>
      <w:r>
        <w:rPr>
          <w:rStyle w:val="VerbatimChar"/>
        </w:rPr>
        <w:t xml:space="preserve">  raw klines on disk                 built dataset  </w:t>
      </w:r>
      <w:r>
        <w:br/>
      </w:r>
      <w:r>
        <w:rPr>
          <w:rStyle w:val="VerbatimChar"/>
        </w:rPr>
        <w:t xml:space="preserve">0   klines_1h/&lt;SYM&gt;/  dataset_1h_allmarket.parquet  </w:t>
      </w:r>
      <w:r>
        <w:br/>
      </w:r>
      <w:r>
        <w:rPr>
          <w:rStyle w:val="VerbatimChar"/>
        </w:rPr>
        <w:t xml:space="preserve">1      klines/&lt;SYM&gt;/                daily_flow.csv  </w:t>
      </w:r>
      <w:r>
        <w:br/>
      </w:r>
      <w:r>
        <w:rPr>
          <w:rStyle w:val="VerbatimChar"/>
        </w:rPr>
        <w:t xml:space="preserve">2   klines_4h/&lt;SYM&gt;/  dataset_4h_allmarket.parquet  </w:t>
      </w:r>
      <w:r>
        <w:br/>
      </w:r>
      <w:r>
        <w:rPr>
          <w:rStyle w:val="VerbatimChar"/>
        </w:rPr>
        <w:t xml:space="preserve">3   klines_5m/&lt;SYM&gt;/  dataset_5m_allmarket.parquet  </w:t>
      </w:r>
    </w:p>
    <w:p>
      <w:pPr>
        <w:pStyle w:val="SourceCode"/>
      </w:pPr>
      <w:r>
        <w:br/>
      </w:r>
      <w:r>
        <w:rPr>
          <w:rStyle w:val="VerbatimChar"/>
        </w:rPr>
        <w:t xml:space="preserve">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bookmarkEnd w:id="31"/>
    <w:bookmarkStart w:id="32" w:name="rank-univers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03-inputs/cross_sectional_4h.py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A flagged cell is a candidate for review against the Part 3 evaluation, not a signal in itself.</w:t>
      </w:r>
    </w:p>
    <w:p>
      <w:pPr>
        <w:pStyle w:val="SourceCode"/>
      </w:pPr>
      <w:r>
        <w:rPr>
          <w:rStyle w:val="VerbatimChar"/>
        </w:rPr>
        <w:t xml:space="preserve">Data spine: survivorship-complete 1h archives -&gt; 1d bars  |  400 bars/coin  |  board top 20  |  live top-up False</w:t>
      </w:r>
    </w:p>
    <w:p>
      <w:pPr>
        <w:pStyle w:val="SourceCode"/>
      </w:pPr>
      <w:r>
        <w:rPr>
          <w:rStyle w:val="VerbatimChar"/>
        </w:rPr>
        <w:t xml:space="preserve">Engine ready.</w:t>
      </w:r>
    </w:p>
    <w:p>
      <w:pPr>
        <w:pStyle w:val="SourceCode"/>
      </w:pPr>
      <w:r>
        <w:rPr>
          <w:rStyle w:val="VerbatimChar"/>
        </w:rPr>
        <w:t xml:space="preserve">2026-09-08: survivorship-COMPLETE universe from profile 2026-09-06T215959Z -- scanning 20 of 394 screened coins (600 on disk; stablecoins dropped).</w:t>
      </w:r>
    </w:p>
    <w:p>
      <w:pPr>
        <w:pStyle w:val="SourceCode"/>
      </w:pPr>
      <w:r>
        <w:rPr>
          <w:rStyle w:val="VerbatimChar"/>
        </w:rPr>
        <w:t xml:space="preserve">['BTC/USDT',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pPr>
        <w:pStyle w:val="SourceCode"/>
      </w:pPr>
      <w:r>
        <w:rPr>
          <w:rStyle w:val="VerbatimChar"/>
        </w:rPr>
        <w:t xml:space="preserve">skip RE/USDT: KeyError</w:t>
      </w:r>
      <w:r>
        <w:br/>
      </w:r>
      <w:r>
        <w:rPr>
          <w:rStyle w:val="VerbatimChar"/>
        </w:rPr>
        <w:t xml:space="preserve">scored 19 pairs, 1 buy, 14 sell</w:t>
      </w:r>
    </w:p>
    <w:p>
      <w:pPr>
        <w:pStyle w:val="SourceCode"/>
      </w:pPr>
      <w:r>
        <w:rPr>
          <w:rStyle w:val="VerbatimChar"/>
        </w:rPr>
        <w:t xml:space="preserve">      Symbol       Close  ST_buy  ST_agree    Buy   Sell    RSI  MACD_Buy</w:t>
      </w:r>
      <w:r>
        <w:br/>
      </w:r>
      <w:r>
        <w:rPr>
          <w:rStyle w:val="VerbatimChar"/>
        </w:rPr>
        <w:t xml:space="preserve">0   BTC/USDT  64020.0100   False         1  False   True  40.94     False</w:t>
      </w:r>
      <w:r>
        <w:br/>
      </w:r>
      <w:r>
        <w:rPr>
          <w:rStyle w:val="VerbatimChar"/>
        </w:rPr>
        <w:t xml:space="preserve">1   ETH/USDT   1728.1900   False         1  False   True  41.98     False</w:t>
      </w:r>
      <w:r>
        <w:br/>
      </w:r>
      <w:r>
        <w:rPr>
          <w:rStyle w:val="VerbatimChar"/>
        </w:rPr>
        <w:t xml:space="preserve">2   SOL/USDT     71.9500   False         2  False  False  47.27     False</w:t>
      </w:r>
      <w:r>
        <w:br/>
      </w:r>
      <w:r>
        <w:rPr>
          <w:rStyle w:val="VerbatimChar"/>
        </w:rPr>
        <w:t xml:space="preserve">3   XRP/USDT      0.4761   False         0  False   True  41.67      True</w:t>
      </w:r>
      <w:r>
        <w:br/>
      </w:r>
      <w:r>
        <w:rPr>
          <w:rStyle w:val="VerbatimChar"/>
        </w:rPr>
        <w:t xml:space="preserve">4   BNB/USDT    590.1500   False         0  False   True  42.66     False</w:t>
      </w:r>
      <w:r>
        <w:br/>
      </w:r>
      <w:r>
        <w:rPr>
          <w:rStyle w:val="VerbatimChar"/>
        </w:rPr>
        <w:t xml:space="preserve">5  PEPE/USDT      0.0000   False         0  False   True  35.27     False</w:t>
      </w:r>
      <w:r>
        <w:br/>
      </w:r>
      <w:r>
        <w:rPr>
          <w:rStyle w:val="VerbatimChar"/>
        </w:rPr>
        <w:t xml:space="preserve">6  DOGE/USDT      0.0825   False         0  False   True  32.58     False</w:t>
      </w:r>
      <w:r>
        <w:br/>
      </w:r>
      <w:r>
        <w:rPr>
          <w:rStyle w:val="VerbatimChar"/>
        </w:rPr>
        <w:t xml:space="preserve">7   SUI/USDT      0.7198   False         0  False   True  36.92     False</w:t>
      </w:r>
    </w:p>
    <w:bookmarkEnd w:id="32"/>
    <w:bookmarkStart w:id="33" w:name="performance-metrics"/>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03-inputs/walkforward.py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33"/>
    <w:bookmarkStart w:id="35" w:name="entry-points"/>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Part 3 finds that the entry rule alone, these trend signals used as a long trigger, sits at the efficient-market floor on the 1h frame: the trend reverses through the entry nearly as often as it continues. That is why the search moved to cross-sectional ranking and a coarser frame rather than to more entry features. The board’s top candidates below illustrate an entry read on daily candles; they are not the decision-grade entry.</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w:t>
      </w:r>
      <w:r>
        <w:br/>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top[BOARD_COLS].style.</w:t>
      </w:r>
      <w:r>
        <w:rPr>
          <w:rStyle w:val="BuiltInTok"/>
        </w:rPr>
        <w:t xml:space="preserve">map</w:t>
      </w:r>
      <w:r>
        <w:rPr>
          <w:rStyle w:val="NormalTok"/>
        </w:rPr>
        <w:t xml:space="preserve">(color_boolean, subset</w:t>
      </w:r>
      <w:r>
        <w:rPr>
          <w:rStyle w:val="OperatorTok"/>
        </w:rPr>
        <w:t xml:space="preserve">=</w:t>
      </w:r>
      <w:r>
        <w:rPr>
          <w:rStyle w:val="NormalTok"/>
        </w:rPr>
        <w:t xml:space="preserve">[</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"Sell"</w:t>
      </w:r>
      <w:r>
        <w:rPr>
          <w:rStyle w:val="NormalTok"/>
        </w:rPr>
        <w:t xml:space="preserve">,</w:t>
      </w:r>
      <w:r>
        <w:rPr>
          <w:rStyle w:val="StringTok"/>
        </w:rPr>
        <w:t xml:space="preserve">"MACD_Buy"</w:t>
      </w:r>
      <w:r>
        <w:rPr>
          <w:rStyle w:val="NormalTok"/>
        </w:rPr>
        <w:t xml:space="preserve">])</w:t>
      </w:r>
    </w:p>
    <w:bookmarkStart w:id="34" w:name="T_7c0bc"/>
    <w:tbl>
      <w:tblPr>
        <w:tblStyle w:val="Table"/>
        <w:jc w:val="center"/>
        <w:tblLayout w:type="fixed"/>
        <w:tblLook w:firstRow="1" w:lastRow="0" w:firstColumn="0" w:lastColumn="0" w:noHBand="0" w:noVBand="0" w:val="0020"/>
        <w:tblW w:type="pct" w:w="5000"/>
        <w:tblCellMar>
          <w:left w:w="43" w:type="dxa"/>
          <w:right w:w="43" w:type="dxa"/>
        </w:tblCellMar>
      </w:tblPr>
      <w:tblGrid>
        <w:gridCol w:w="880"/>
        <w:gridCol w:w="880"/>
        <w:gridCol w:w="880"/>
        <w:gridCol w:w="880"/>
        <w:gridCol w:w="880"/>
        <w:gridCol w:w="880"/>
        <w:gridCol w:w="880"/>
        <w:gridCol w:w="880"/>
        <w:gridCol w:w="880"/>
      </w:tblGrid>
      <w:tr>
        <w:trPr>
          <w:trHeight w:hRule="atLeast" w:val="567"/>
          <w:tblHeader w:val="on"/>
        </w:trPr>
        <w:tc>
          <w:tcPr>
            <w:tcW w:type="pct" w:w="555"/>
          </w:tcPr>
          <w:p>
            <w:pPr>
              <w:pStyle w:val="Compact"/>
            </w:pPr>
            <w:r>
              <w:rPr>
                <w:b/>
                <w:sz w:val="14"/>
              </w:rPr>
              <w:t xml:space="preserve"> </w:t>
            </w:r>
          </w:p>
        </w:tc>
        <w:tc>
          <w:tcPr>
            <w:tcW w:type="pct" w:w="555"/>
          </w:tcPr>
          <w:p>
            <w:pPr>
              <w:pStyle w:val="Compact"/>
            </w:pPr>
            <w:r>
              <w:rPr>
                <w:b/>
                <w:sz w:val="14"/>
              </w:rPr>
              <w:t xml:space="preserve">Symbol</w:t>
            </w:r>
          </w:p>
        </w:tc>
        <w:tc>
          <w:tcPr>
            <w:tcW w:type="pct" w:w="555"/>
          </w:tcPr>
          <w:p>
            <w:pPr>
              <w:pStyle w:val="Compact"/>
            </w:pPr>
            <w:r>
              <w:rPr>
                <w:b/>
                <w:sz w:val="14"/>
              </w:rPr>
              <w:t xml:space="preserve">Close</w:t>
            </w:r>
          </w:p>
        </w:tc>
        <w:tc>
          <w:tcPr>
            <w:tcW w:type="pct" w:w="555"/>
          </w:tcPr>
          <w:p>
            <w:pPr>
              <w:pStyle w:val="Compact"/>
            </w:pPr>
            <w:r>
              <w:rPr>
                <w:b/>
                <w:sz w:val="14"/>
              </w:rPr>
              <w:t xml:space="preserve">ST_buy</w:t>
            </w:r>
          </w:p>
        </w:tc>
        <w:tc>
          <w:tcPr>
            <w:tcW w:type="pct" w:w="555"/>
          </w:tcPr>
          <w:p>
            <w:pPr>
              <w:pStyle w:val="Compact"/>
            </w:pPr>
            <w:r>
              <w:rPr>
                <w:b/>
                <w:sz w:val="14"/>
              </w:rPr>
              <w:t xml:space="preserve">ST_agree</w:t>
            </w:r>
          </w:p>
        </w:tc>
        <w:tc>
          <w:tcPr>
            <w:tcW w:type="pct" w:w="555"/>
          </w:tcPr>
          <w:p>
            <w:pPr>
              <w:pStyle w:val="Compact"/>
            </w:pPr>
            <w:r>
              <w:rPr>
                <w:b/>
                <w:sz w:val="14"/>
              </w:rPr>
              <w:t xml:space="preserve">Buy</w:t>
            </w:r>
          </w:p>
        </w:tc>
        <w:tc>
          <w:tcPr>
            <w:tcW w:type="pct" w:w="555"/>
          </w:tcPr>
          <w:p>
            <w:pPr>
              <w:pStyle w:val="Compact"/>
            </w:pPr>
            <w:r>
              <w:rPr>
                <w:b/>
                <w:sz w:val="14"/>
              </w:rPr>
              <w:t xml:space="preserve">Sell</w:t>
            </w:r>
          </w:p>
        </w:tc>
        <w:tc>
          <w:tcPr>
            <w:tcW w:type="pct" w:w="555"/>
          </w:tcPr>
          <w:p>
            <w:pPr>
              <w:pStyle w:val="Compact"/>
            </w:pPr>
            <w:r>
              <w:rPr>
                <w:b/>
                <w:sz w:val="14"/>
              </w:rPr>
              <w:t xml:space="preserve">RSI</w:t>
            </w:r>
          </w:p>
        </w:tc>
        <w:tc>
          <w:tcPr>
            <w:tcW w:type="pct" w:w="555"/>
          </w:tcPr>
          <w:p>
            <w:pPr>
              <w:pStyle w:val="Compact"/>
            </w:pPr>
            <w:r>
              <w:rPr>
                <w:b/>
                <w:sz w:val="14"/>
              </w:rPr>
              <w:t xml:space="preserve">MACD_Buy</w:t>
            </w:r>
          </w:p>
        </w:tc>
      </w:tr>
      <w:tr>
        <w:trPr>
          <w:trHeight w:hRule="atLeast" w:val="397"/>
        </w:trPr>
        <w:tc>
          <w:tcPr>
            <w:tcW w:type="pct" w:w="555"/>
          </w:tcPr>
          <w:p>
            <w:pPr>
              <w:pStyle w:val="Compact"/>
            </w:pPr>
            <w:r>
              <w:rPr>
                <w:sz w:val="14"/>
              </w:rPr>
              <w:t xml:space="preserve">0</w:t>
            </w:r>
          </w:p>
        </w:tc>
        <w:tc>
          <w:tcPr>
            <w:tcW w:type="pct" w:w="555"/>
          </w:tcPr>
          <w:p>
            <w:pPr>
              <w:pStyle w:val="Compact"/>
            </w:pPr>
            <w:r>
              <w:rPr>
                <w:sz w:val="14"/>
              </w:rPr>
              <w:t xml:space="preserve">WLD/USDT</w:t>
            </w:r>
          </w:p>
        </w:tc>
        <w:tc>
          <w:tcPr>
            <w:tcW w:type="pct" w:w="555"/>
          </w:tcPr>
          <w:p>
            <w:pPr>
              <w:pStyle w:val="Compact"/>
            </w:pPr>
            <w:r>
              <w:rPr>
                <w:sz w:val="14"/>
              </w:rPr>
              <w:t xml:space="preserve">0.619300</w:t>
            </w:r>
          </w:p>
        </w:tc>
        <w:tc>
          <w:tcPr>
            <w:tcW w:type="pct" w:w="555"/>
          </w:tcPr>
          <w:p>
            <w:pPr>
              <w:pStyle w:val="Compact"/>
            </w:pPr>
            <w:r>
              <w:rPr>
                <w:sz w:val="14"/>
              </w:rPr>
              <w:t xml:space="preserve">True</w:t>
            </w:r>
          </w:p>
        </w:tc>
        <w:tc>
          <w:tcPr>
            <w:tcW w:type="pct" w:w="555"/>
          </w:tcPr>
          <w:p>
            <w:pPr>
              <w:pStyle w:val="Compact"/>
            </w:pPr>
            <w:r>
              <w:rPr>
                <w:sz w:val="14"/>
              </w:rPr>
              <w:t xml:space="preserve">3</w:t>
            </w:r>
          </w:p>
        </w:tc>
        <w:tc>
          <w:tcPr>
            <w:tcW w:type="pct" w:w="555"/>
          </w:tcPr>
          <w:p>
            <w:pPr>
              <w:pStyle w:val="Compact"/>
            </w:pPr>
            <w:r>
              <w:rPr>
                <w:sz w:val="14"/>
              </w:rPr>
              <w:t xml:space="preserve">True</w:t>
            </w:r>
          </w:p>
        </w:tc>
        <w:tc>
          <w:tcPr>
            <w:tcW w:type="pct" w:w="555"/>
          </w:tcPr>
          <w:p>
            <w:pPr>
              <w:pStyle w:val="Compact"/>
            </w:pPr>
            <w:r>
              <w:rPr>
                <w:sz w:val="14"/>
              </w:rPr>
              <w:t xml:space="preserve">False</w:t>
            </w:r>
          </w:p>
        </w:tc>
        <w:tc>
          <w:tcPr>
            <w:tcW w:type="pct" w:w="555"/>
          </w:tcPr>
          <w:p>
            <w:pPr>
              <w:pStyle w:val="Compact"/>
            </w:pPr>
            <w:r>
              <w:rPr>
                <w:sz w:val="14"/>
              </w:rPr>
              <w:t xml:space="preserve">62.940000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1</w:t>
            </w:r>
          </w:p>
        </w:tc>
        <w:tc>
          <w:tcPr>
            <w:tcW w:type="pct" w:w="555"/>
          </w:tcPr>
          <w:p>
            <w:pPr>
              <w:pStyle w:val="Compact"/>
            </w:pPr>
            <w:r>
              <w:rPr>
                <w:sz w:val="14"/>
              </w:rPr>
              <w:t xml:space="preserve">LTC/USDT</w:t>
            </w:r>
          </w:p>
        </w:tc>
        <w:tc>
          <w:tcPr>
            <w:tcW w:type="pct" w:w="555"/>
          </w:tcPr>
          <w:p>
            <w:pPr>
              <w:pStyle w:val="Compact"/>
            </w:pPr>
            <w:r>
              <w:rPr>
                <w:sz w:val="14"/>
              </w:rPr>
              <w:t xml:space="preserve">44.560000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40.570000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2</w:t>
            </w:r>
          </w:p>
        </w:tc>
        <w:tc>
          <w:tcPr>
            <w:tcW w:type="pct" w:w="555"/>
          </w:tcPr>
          <w:p>
            <w:pPr>
              <w:pStyle w:val="Compact"/>
            </w:pPr>
            <w:r>
              <w:rPr>
                <w:sz w:val="14"/>
              </w:rPr>
              <w:t xml:space="preserve">SOL/USDT</w:t>
            </w:r>
          </w:p>
        </w:tc>
        <w:tc>
          <w:tcPr>
            <w:tcW w:type="pct" w:w="555"/>
          </w:tcPr>
          <w:p>
            <w:pPr>
              <w:pStyle w:val="Compact"/>
            </w:pPr>
            <w:r>
              <w:rPr>
                <w:sz w:val="14"/>
              </w:rPr>
              <w:t xml:space="preserve">71.950000</w:t>
            </w:r>
          </w:p>
        </w:tc>
        <w:tc>
          <w:tcPr>
            <w:tcW w:type="pct" w:w="555"/>
          </w:tcPr>
          <w:p>
            <w:pPr>
              <w:pStyle w:val="Compact"/>
            </w:pPr>
            <w:r>
              <w:rPr>
                <w:sz w:val="14"/>
              </w:rPr>
              <w:t xml:space="preserve">False</w:t>
            </w:r>
          </w:p>
        </w:tc>
        <w:tc>
          <w:tcPr>
            <w:tcW w:type="pct" w:w="555"/>
          </w:tcPr>
          <w:p>
            <w:pPr>
              <w:pStyle w:val="Compact"/>
            </w:pPr>
            <w:r>
              <w:rPr>
                <w:sz w:val="14"/>
              </w:rPr>
              <w:t xml:space="preserve">2</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47.270000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3</w:t>
            </w:r>
          </w:p>
        </w:tc>
        <w:tc>
          <w:tcPr>
            <w:tcW w:type="pct" w:w="555"/>
          </w:tcPr>
          <w:p>
            <w:pPr>
              <w:pStyle w:val="Compact"/>
            </w:pPr>
            <w:r>
              <w:rPr>
                <w:sz w:val="14"/>
              </w:rPr>
              <w:t xml:space="preserve">ENA/USDT</w:t>
            </w:r>
          </w:p>
        </w:tc>
        <w:tc>
          <w:tcPr>
            <w:tcW w:type="pct" w:w="555"/>
          </w:tcPr>
          <w:p>
            <w:pPr>
              <w:pStyle w:val="Compact"/>
            </w:pPr>
            <w:r>
              <w:rPr>
                <w:sz w:val="14"/>
              </w:rPr>
              <w:t xml:space="preserve">0.090900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50.220000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4</w:t>
            </w:r>
          </w:p>
        </w:tc>
        <w:tc>
          <w:tcPr>
            <w:tcW w:type="pct" w:w="555"/>
          </w:tcPr>
          <w:p>
            <w:pPr>
              <w:pStyle w:val="Compact"/>
            </w:pPr>
            <w:r>
              <w:rPr>
                <w:sz w:val="14"/>
              </w:rPr>
              <w:t xml:space="preserve">TRX/USDT</w:t>
            </w:r>
          </w:p>
        </w:tc>
        <w:tc>
          <w:tcPr>
            <w:tcW w:type="pct" w:w="555"/>
          </w:tcPr>
          <w:p>
            <w:pPr>
              <w:pStyle w:val="Compact"/>
            </w:pPr>
            <w:r>
              <w:rPr>
                <w:sz w:val="14"/>
              </w:rPr>
              <w:t xml:space="preserve">0.334100</w:t>
            </w:r>
          </w:p>
        </w:tc>
        <w:tc>
          <w:tcPr>
            <w:tcW w:type="pct" w:w="555"/>
          </w:tcPr>
          <w:p>
            <w:pPr>
              <w:pStyle w:val="Compact"/>
            </w:pPr>
            <w:r>
              <w:rPr>
                <w:sz w:val="14"/>
              </w:rPr>
              <w:t xml:space="preserve">False</w:t>
            </w:r>
          </w:p>
        </w:tc>
        <w:tc>
          <w:tcPr>
            <w:tcW w:type="pct" w:w="555"/>
          </w:tcPr>
          <w:p>
            <w:pPr>
              <w:pStyle w:val="Compact"/>
            </w:pPr>
            <w:r>
              <w:rPr>
                <w:sz w:val="14"/>
              </w:rPr>
              <w:t xml:space="preserve">2</w:t>
            </w:r>
          </w:p>
        </w:tc>
        <w:tc>
          <w:tcPr>
            <w:tcW w:type="pct" w:w="555"/>
          </w:tcPr>
          <w:p>
            <w:pPr>
              <w:pStyle w:val="Compact"/>
            </w:pPr>
            <w:r>
              <w:rPr>
                <w:sz w:val="14"/>
              </w:rPr>
              <w:t xml:space="preserve">False</w:t>
            </w:r>
          </w:p>
        </w:tc>
        <w:tc>
          <w:tcPr>
            <w:tcW w:type="pct" w:w="555"/>
          </w:tcPr>
          <w:p>
            <w:pPr>
              <w:pStyle w:val="Compact"/>
            </w:pPr>
            <w:r>
              <w:rPr>
                <w:sz w:val="14"/>
              </w:rPr>
              <w:t xml:space="preserve">False</w:t>
            </w:r>
          </w:p>
        </w:tc>
        <w:tc>
          <w:tcPr>
            <w:tcW w:type="pct" w:w="555"/>
          </w:tcPr>
          <w:p>
            <w:pPr>
              <w:pStyle w:val="Compact"/>
            </w:pPr>
            <w:r>
              <w:rPr>
                <w:sz w:val="14"/>
              </w:rPr>
              <w:t xml:space="preserve">54.780000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5</w:t>
            </w:r>
          </w:p>
        </w:tc>
        <w:tc>
          <w:tcPr>
            <w:tcW w:type="pct" w:w="555"/>
          </w:tcPr>
          <w:p>
            <w:pPr>
              <w:pStyle w:val="Compact"/>
            </w:pPr>
            <w:r>
              <w:rPr>
                <w:sz w:val="14"/>
              </w:rPr>
              <w:t xml:space="preserve">ADA/USDT</w:t>
            </w:r>
          </w:p>
        </w:tc>
        <w:tc>
          <w:tcPr>
            <w:tcW w:type="pct" w:w="555"/>
          </w:tcPr>
          <w:p>
            <w:pPr>
              <w:pStyle w:val="Compact"/>
            </w:pPr>
            <w:r>
              <w:rPr>
                <w:sz w:val="14"/>
              </w:rPr>
              <w:t xml:space="preserve">0.158500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31.070000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6</w:t>
            </w:r>
          </w:p>
        </w:tc>
        <w:tc>
          <w:tcPr>
            <w:tcW w:type="pct" w:w="555"/>
          </w:tcPr>
          <w:p>
            <w:pPr>
              <w:pStyle w:val="Compact"/>
            </w:pPr>
            <w:r>
              <w:rPr>
                <w:sz w:val="14"/>
              </w:rPr>
              <w:t xml:space="preserve">DOGE/USDT</w:t>
            </w:r>
          </w:p>
        </w:tc>
        <w:tc>
          <w:tcPr>
            <w:tcW w:type="pct" w:w="555"/>
          </w:tcPr>
          <w:p>
            <w:pPr>
              <w:pStyle w:val="Compact"/>
            </w:pPr>
            <w:r>
              <w:rPr>
                <w:sz w:val="14"/>
              </w:rPr>
              <w:t xml:space="preserve">0.082500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32.580000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7</w:t>
            </w:r>
          </w:p>
        </w:tc>
        <w:tc>
          <w:tcPr>
            <w:tcW w:type="pct" w:w="555"/>
          </w:tcPr>
          <w:p>
            <w:pPr>
              <w:pStyle w:val="Compact"/>
            </w:pPr>
            <w:r>
              <w:rPr>
                <w:sz w:val="14"/>
              </w:rPr>
              <w:t xml:space="preserve">SHIB/USDT</w:t>
            </w:r>
          </w:p>
        </w:tc>
        <w:tc>
          <w:tcPr>
            <w:tcW w:type="pct" w:w="555"/>
          </w:tcPr>
          <w:p>
            <w:pPr>
              <w:pStyle w:val="Compact"/>
            </w:pPr>
            <w:r>
              <w:rPr>
                <w:sz w:val="14"/>
              </w:rPr>
              <w:t xml:space="preserve">0.000000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32.620000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8</w:t>
            </w:r>
          </w:p>
        </w:tc>
        <w:tc>
          <w:tcPr>
            <w:tcW w:type="pct" w:w="555"/>
          </w:tcPr>
          <w:p>
            <w:pPr>
              <w:pStyle w:val="Compact"/>
            </w:pPr>
            <w:r>
              <w:rPr>
                <w:sz w:val="14"/>
              </w:rPr>
              <w:t xml:space="preserve">DOT/USDT</w:t>
            </w:r>
          </w:p>
        </w:tc>
        <w:tc>
          <w:tcPr>
            <w:tcW w:type="pct" w:w="555"/>
          </w:tcPr>
          <w:p>
            <w:pPr>
              <w:pStyle w:val="Compact"/>
            </w:pPr>
            <w:r>
              <w:rPr>
                <w:sz w:val="14"/>
              </w:rPr>
              <w:t xml:space="preserve">0.937000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32.650000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9</w:t>
            </w:r>
          </w:p>
        </w:tc>
        <w:tc>
          <w:tcPr>
            <w:tcW w:type="pct" w:w="555"/>
          </w:tcPr>
          <w:p>
            <w:pPr>
              <w:pStyle w:val="Compact"/>
            </w:pPr>
            <w:r>
              <w:rPr>
                <w:sz w:val="14"/>
              </w:rPr>
              <w:t xml:space="preserve">AVAX/USDT</w:t>
            </w:r>
          </w:p>
        </w:tc>
        <w:tc>
          <w:tcPr>
            <w:tcW w:type="pct" w:w="555"/>
          </w:tcPr>
          <w:p>
            <w:pPr>
              <w:pStyle w:val="Compact"/>
            </w:pPr>
            <w:r>
              <w:rPr>
                <w:sz w:val="14"/>
              </w:rPr>
              <w:t xml:space="preserve">6.241000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32.930000</w:t>
            </w:r>
          </w:p>
        </w:tc>
        <w:tc>
          <w:tcPr>
            <w:tcW w:type="pct" w:w="555"/>
          </w:tcPr>
          <w:p>
            <w:pPr>
              <w:pStyle w:val="Compact"/>
            </w:pPr>
            <w:r>
              <w:rPr>
                <w:sz w:val="14"/>
              </w:rPr>
              <w:t xml:space="preserve">False</w:t>
            </w:r>
          </w:p>
        </w:tc>
      </w:tr>
    </w:tbl>
    <w:bookmarkEnd w:id="34"/>
    <w:p>
      <w:pPr>
        <w:pStyle w:val="SourceCode"/>
      </w:pPr>
      <w:r>
        <w:rPr>
          <w:rStyle w:val="VerbatimChar"/>
        </w:rPr>
        <w:t xml:space="preserve">&lt;IPython.core.display.HTML object&gt;</w:t>
      </w:r>
    </w:p>
    <w:p>
      <w:pPr>
        <w:pStyle w:val="SourceCode"/>
      </w:pPr>
      <w:r>
        <w:rPr>
          <w:rStyle w:val="VerbatimChar"/>
        </w:rPr>
        <w:t xml:space="preserve">saved 04-outputs/HTML/chart.html</w:t>
      </w:r>
    </w:p>
    <w:bookmarkEnd w:id="35"/>
    <w:bookmarkStart w:id="43" w:name="exit-points"/>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p>
      <w:pPr>
        <w:pStyle w:val="SourceCode"/>
      </w:pPr>
      <w:r>
        <w:rPr>
          <w:rStyle w:val="VerbatimChar"/>
        </w:rPr>
        <w:t xml:space="preserve">Exit candidates, downtrending with price below the Kalman estimate:</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bookmarkStart w:id="36" w:name="T_1f5aa"/>
    <w:tbl>
      <w:tblPr>
        <w:tblStyle w:val="Table"/>
        <w:jc w:val="center"/>
        <w:tblLayout w:type="fixed"/>
        <w:tblLook w:firstRow="1" w:lastRow="0" w:firstColumn="0" w:lastColumn="0" w:noHBand="0" w:noVBand="0" w:val="0020"/>
        <w:tblW w:type="pct" w:w="5000"/>
        <w:tblCellMar>
          <w:left w:w="43" w:type="dxa"/>
          <w:right w:w="43" w:type="dxa"/>
        </w:tblCellMar>
      </w:tblPr>
      <w:tblGrid>
        <w:gridCol w:w="880"/>
        <w:gridCol w:w="880"/>
        <w:gridCol w:w="880"/>
        <w:gridCol w:w="880"/>
        <w:gridCol w:w="880"/>
        <w:gridCol w:w="880"/>
        <w:gridCol w:w="880"/>
        <w:gridCol w:w="880"/>
        <w:gridCol w:w="880"/>
      </w:tblGrid>
      <w:tr>
        <w:trPr>
          <w:trHeight w:hRule="atLeast" w:val="567"/>
          <w:tblHeader w:val="on"/>
        </w:trPr>
        <w:tc>
          <w:tcPr>
            <w:tcW w:type="pct" w:w="555"/>
          </w:tcPr>
          <w:p>
            <w:pPr>
              <w:pStyle w:val="Compact"/>
            </w:pPr>
            <w:r>
              <w:rPr>
                <w:b/>
                <w:sz w:val="14"/>
              </w:rPr>
              <w:t xml:space="preserve"> </w:t>
            </w:r>
          </w:p>
        </w:tc>
        <w:tc>
          <w:tcPr>
            <w:tcW w:type="pct" w:w="555"/>
          </w:tcPr>
          <w:p>
            <w:pPr>
              <w:pStyle w:val="Compact"/>
            </w:pPr>
            <w:r>
              <w:rPr>
                <w:b/>
                <w:sz w:val="14"/>
              </w:rPr>
              <w:t xml:space="preserve">Symbol</w:t>
            </w:r>
          </w:p>
        </w:tc>
        <w:tc>
          <w:tcPr>
            <w:tcW w:type="pct" w:w="555"/>
          </w:tcPr>
          <w:p>
            <w:pPr>
              <w:pStyle w:val="Compact"/>
            </w:pPr>
            <w:r>
              <w:rPr>
                <w:b/>
                <w:sz w:val="14"/>
              </w:rPr>
              <w:t xml:space="preserve">Close</w:t>
            </w:r>
          </w:p>
        </w:tc>
        <w:tc>
          <w:tcPr>
            <w:tcW w:type="pct" w:w="555"/>
          </w:tcPr>
          <w:p>
            <w:pPr>
              <w:pStyle w:val="Compact"/>
            </w:pPr>
            <w:r>
              <w:rPr>
                <w:b/>
                <w:sz w:val="14"/>
              </w:rPr>
              <w:t xml:space="preserve">ST_buy</w:t>
            </w:r>
          </w:p>
        </w:tc>
        <w:tc>
          <w:tcPr>
            <w:tcW w:type="pct" w:w="555"/>
          </w:tcPr>
          <w:p>
            <w:pPr>
              <w:pStyle w:val="Compact"/>
            </w:pPr>
            <w:r>
              <w:rPr>
                <w:b/>
                <w:sz w:val="14"/>
              </w:rPr>
              <w:t xml:space="preserve">ST_agree</w:t>
            </w:r>
          </w:p>
        </w:tc>
        <w:tc>
          <w:tcPr>
            <w:tcW w:type="pct" w:w="555"/>
          </w:tcPr>
          <w:p>
            <w:pPr>
              <w:pStyle w:val="Compact"/>
            </w:pPr>
            <w:r>
              <w:rPr>
                <w:b/>
                <w:sz w:val="14"/>
              </w:rPr>
              <w:t xml:space="preserve">Buy</w:t>
            </w:r>
          </w:p>
        </w:tc>
        <w:tc>
          <w:tcPr>
            <w:tcW w:type="pct" w:w="555"/>
          </w:tcPr>
          <w:p>
            <w:pPr>
              <w:pStyle w:val="Compact"/>
            </w:pPr>
            <w:r>
              <w:rPr>
                <w:b/>
                <w:sz w:val="14"/>
              </w:rPr>
              <w:t xml:space="preserve">Sell</w:t>
            </w:r>
          </w:p>
        </w:tc>
        <w:tc>
          <w:tcPr>
            <w:tcW w:type="pct" w:w="555"/>
          </w:tcPr>
          <w:p>
            <w:pPr>
              <w:pStyle w:val="Compact"/>
            </w:pPr>
            <w:r>
              <w:rPr>
                <w:b/>
                <w:sz w:val="14"/>
              </w:rPr>
              <w:t xml:space="preserve">RSI</w:t>
            </w:r>
          </w:p>
        </w:tc>
        <w:tc>
          <w:tcPr>
            <w:tcW w:type="pct" w:w="555"/>
          </w:tcPr>
          <w:p>
            <w:pPr>
              <w:pStyle w:val="Compact"/>
            </w:pPr>
            <w:r>
              <w:rPr>
                <w:b/>
                <w:sz w:val="14"/>
              </w:rPr>
              <w:t xml:space="preserve">MACD_Buy</w:t>
            </w:r>
          </w:p>
        </w:tc>
      </w:tr>
      <w:tr>
        <w:trPr>
          <w:trHeight w:hRule="atLeast" w:val="397"/>
        </w:trPr>
        <w:tc>
          <w:tcPr>
            <w:tcW w:type="pct" w:w="555"/>
          </w:tcPr>
          <w:p>
            <w:pPr>
              <w:pStyle w:val="Compact"/>
            </w:pPr>
            <w:r>
              <w:rPr>
                <w:sz w:val="14"/>
              </w:rPr>
              <w:t xml:space="preserve">0</w:t>
            </w:r>
          </w:p>
        </w:tc>
        <w:tc>
          <w:tcPr>
            <w:tcW w:type="pct" w:w="555"/>
          </w:tcPr>
          <w:p>
            <w:pPr>
              <w:pStyle w:val="Compact"/>
            </w:pPr>
            <w:r>
              <w:rPr>
                <w:sz w:val="14"/>
              </w:rPr>
              <w:t xml:space="preserve">WIF/USDT</w:t>
            </w:r>
          </w:p>
        </w:tc>
        <w:tc>
          <w:tcPr>
            <w:tcW w:type="pct" w:w="555"/>
          </w:tcPr>
          <w:p>
            <w:pPr>
              <w:pStyle w:val="Compact"/>
            </w:pPr>
            <w:r>
              <w:rPr>
                <w:sz w:val="14"/>
              </w:rPr>
              <w:t xml:space="preserve">0.162900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44.010000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1</w:t>
            </w:r>
          </w:p>
        </w:tc>
        <w:tc>
          <w:tcPr>
            <w:tcW w:type="pct" w:w="555"/>
          </w:tcPr>
          <w:p>
            <w:pPr>
              <w:pStyle w:val="Compact"/>
            </w:pPr>
            <w:r>
              <w:rPr>
                <w:sz w:val="14"/>
              </w:rPr>
              <w:t xml:space="preserve">BNB/USDT</w:t>
            </w:r>
          </w:p>
        </w:tc>
        <w:tc>
          <w:tcPr>
            <w:tcW w:type="pct" w:w="555"/>
          </w:tcPr>
          <w:p>
            <w:pPr>
              <w:pStyle w:val="Compact"/>
            </w:pPr>
            <w:r>
              <w:rPr>
                <w:sz w:val="14"/>
              </w:rPr>
              <w:t xml:space="preserve">590.150000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42.660000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2</w:t>
            </w:r>
          </w:p>
        </w:tc>
        <w:tc>
          <w:tcPr>
            <w:tcW w:type="pct" w:w="555"/>
          </w:tcPr>
          <w:p>
            <w:pPr>
              <w:pStyle w:val="Compact"/>
            </w:pPr>
            <w:r>
              <w:rPr>
                <w:sz w:val="14"/>
              </w:rPr>
              <w:t xml:space="preserve">ETH/USDT</w:t>
            </w:r>
          </w:p>
        </w:tc>
        <w:tc>
          <w:tcPr>
            <w:tcW w:type="pct" w:w="555"/>
          </w:tcPr>
          <w:p>
            <w:pPr>
              <w:pStyle w:val="Compact"/>
            </w:pPr>
            <w:r>
              <w:rPr>
                <w:sz w:val="14"/>
              </w:rPr>
              <w:t xml:space="preserve">1728.190000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41.980000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3</w:t>
            </w:r>
          </w:p>
        </w:tc>
        <w:tc>
          <w:tcPr>
            <w:tcW w:type="pct" w:w="555"/>
          </w:tcPr>
          <w:p>
            <w:pPr>
              <w:pStyle w:val="Compact"/>
            </w:pPr>
            <w:r>
              <w:rPr>
                <w:sz w:val="14"/>
              </w:rPr>
              <w:t xml:space="preserve">XRP/USDT</w:t>
            </w:r>
          </w:p>
        </w:tc>
        <w:tc>
          <w:tcPr>
            <w:tcW w:type="pct" w:w="555"/>
          </w:tcPr>
          <w:p>
            <w:pPr>
              <w:pStyle w:val="Compact"/>
            </w:pPr>
            <w:r>
              <w:rPr>
                <w:sz w:val="14"/>
              </w:rPr>
              <w:t xml:space="preserve">0.476100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41.670000</w:t>
            </w:r>
          </w:p>
        </w:tc>
        <w:tc>
          <w:tcPr>
            <w:tcW w:type="pct" w:w="555"/>
          </w:tcPr>
          <w:p>
            <w:pPr>
              <w:pStyle w:val="Compact"/>
            </w:pPr>
            <w:r>
              <w:rPr>
                <w:sz w:val="14"/>
              </w:rPr>
              <w:t xml:space="preserve">True</w:t>
            </w:r>
          </w:p>
        </w:tc>
      </w:tr>
      <w:tr>
        <w:trPr>
          <w:trHeight w:hRule="atLeast" w:val="397"/>
        </w:trPr>
        <w:tc>
          <w:tcPr>
            <w:tcW w:type="pct" w:w="555"/>
          </w:tcPr>
          <w:p>
            <w:pPr>
              <w:pStyle w:val="Compact"/>
            </w:pPr>
            <w:r>
              <w:rPr>
                <w:sz w:val="14"/>
              </w:rPr>
              <w:t xml:space="preserve">4</w:t>
            </w:r>
          </w:p>
        </w:tc>
        <w:tc>
          <w:tcPr>
            <w:tcW w:type="pct" w:w="555"/>
          </w:tcPr>
          <w:p>
            <w:pPr>
              <w:pStyle w:val="Compact"/>
            </w:pPr>
            <w:r>
              <w:rPr>
                <w:sz w:val="14"/>
              </w:rPr>
              <w:t xml:space="preserve">BTC/USDT</w:t>
            </w:r>
          </w:p>
        </w:tc>
        <w:tc>
          <w:tcPr>
            <w:tcW w:type="pct" w:w="555"/>
          </w:tcPr>
          <w:p>
            <w:pPr>
              <w:pStyle w:val="Compact"/>
            </w:pPr>
            <w:r>
              <w:rPr>
                <w:sz w:val="14"/>
              </w:rPr>
              <w:t xml:space="preserve">64020.010000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40.940000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5</w:t>
            </w:r>
          </w:p>
        </w:tc>
        <w:tc>
          <w:tcPr>
            <w:tcW w:type="pct" w:w="555"/>
          </w:tcPr>
          <w:p>
            <w:pPr>
              <w:pStyle w:val="Compact"/>
            </w:pPr>
            <w:r>
              <w:rPr>
                <w:sz w:val="14"/>
              </w:rPr>
              <w:t xml:space="preserve">LINK/USDT</w:t>
            </w:r>
          </w:p>
        </w:tc>
        <w:tc>
          <w:tcPr>
            <w:tcW w:type="pct" w:w="555"/>
          </w:tcPr>
          <w:p>
            <w:pPr>
              <w:pStyle w:val="Compact"/>
            </w:pPr>
            <w:r>
              <w:rPr>
                <w:sz w:val="14"/>
              </w:rPr>
              <w:t xml:space="preserve">7.874000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40.320000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6</w:t>
            </w:r>
          </w:p>
        </w:tc>
        <w:tc>
          <w:tcPr>
            <w:tcW w:type="pct" w:w="555"/>
          </w:tcPr>
          <w:p>
            <w:pPr>
              <w:pStyle w:val="Compact"/>
            </w:pPr>
            <w:r>
              <w:rPr>
                <w:sz w:val="14"/>
              </w:rPr>
              <w:t xml:space="preserve">SUI/USDT</w:t>
            </w:r>
          </w:p>
        </w:tc>
        <w:tc>
          <w:tcPr>
            <w:tcW w:type="pct" w:w="555"/>
          </w:tcPr>
          <w:p>
            <w:pPr>
              <w:pStyle w:val="Compact"/>
            </w:pPr>
            <w:r>
              <w:rPr>
                <w:sz w:val="14"/>
              </w:rPr>
              <w:t xml:space="preserve">0.719800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36.920000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7</w:t>
            </w:r>
          </w:p>
        </w:tc>
        <w:tc>
          <w:tcPr>
            <w:tcW w:type="pct" w:w="555"/>
          </w:tcPr>
          <w:p>
            <w:pPr>
              <w:pStyle w:val="Compact"/>
            </w:pPr>
            <w:r>
              <w:rPr>
                <w:sz w:val="14"/>
              </w:rPr>
              <w:t xml:space="preserve">ARB/USDT</w:t>
            </w:r>
          </w:p>
        </w:tc>
        <w:tc>
          <w:tcPr>
            <w:tcW w:type="pct" w:w="555"/>
          </w:tcPr>
          <w:p>
            <w:pPr>
              <w:pStyle w:val="Compact"/>
            </w:pPr>
            <w:r>
              <w:rPr>
                <w:sz w:val="14"/>
              </w:rPr>
              <w:t xml:space="preserve">0.083200</w:t>
            </w:r>
          </w:p>
        </w:tc>
        <w:tc>
          <w:tcPr>
            <w:tcW w:type="pct" w:w="555"/>
          </w:tcPr>
          <w:p>
            <w:pPr>
              <w:pStyle w:val="Compact"/>
            </w:pPr>
            <w:r>
              <w:rPr>
                <w:sz w:val="14"/>
              </w:rPr>
              <w:t xml:space="preserve">False</w:t>
            </w:r>
          </w:p>
        </w:tc>
        <w:tc>
          <w:tcPr>
            <w:tcW w:type="pct" w:w="555"/>
          </w:tcPr>
          <w:p>
            <w:pPr>
              <w:pStyle w:val="Compact"/>
            </w:pPr>
            <w:r>
              <w:rPr>
                <w:sz w:val="14"/>
              </w:rPr>
              <w:t xml:space="preserve">1</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35.630000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8</w:t>
            </w:r>
          </w:p>
        </w:tc>
        <w:tc>
          <w:tcPr>
            <w:tcW w:type="pct" w:w="555"/>
          </w:tcPr>
          <w:p>
            <w:pPr>
              <w:pStyle w:val="Compact"/>
            </w:pPr>
            <w:r>
              <w:rPr>
                <w:sz w:val="14"/>
              </w:rPr>
              <w:t xml:space="preserve">PEPE/USDT</w:t>
            </w:r>
          </w:p>
        </w:tc>
        <w:tc>
          <w:tcPr>
            <w:tcW w:type="pct" w:w="555"/>
          </w:tcPr>
          <w:p>
            <w:pPr>
              <w:pStyle w:val="Compact"/>
            </w:pPr>
            <w:r>
              <w:rPr>
                <w:sz w:val="14"/>
              </w:rPr>
              <w:t xml:space="preserve">0.000000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35.270000</w:t>
            </w:r>
          </w:p>
        </w:tc>
        <w:tc>
          <w:tcPr>
            <w:tcW w:type="pct" w:w="555"/>
          </w:tcPr>
          <w:p>
            <w:pPr>
              <w:pStyle w:val="Compact"/>
            </w:pPr>
            <w:r>
              <w:rPr>
                <w:sz w:val="14"/>
              </w:rPr>
              <w:t xml:space="preserve">False</w:t>
            </w:r>
          </w:p>
        </w:tc>
      </w:tr>
      <w:tr>
        <w:trPr>
          <w:trHeight w:hRule="atLeast" w:val="397"/>
        </w:trPr>
        <w:tc>
          <w:tcPr>
            <w:tcW w:type="pct" w:w="555"/>
          </w:tcPr>
          <w:p>
            <w:pPr>
              <w:pStyle w:val="Compact"/>
            </w:pPr>
            <w:r>
              <w:rPr>
                <w:sz w:val="14"/>
              </w:rPr>
              <w:t xml:space="preserve">9</w:t>
            </w:r>
          </w:p>
        </w:tc>
        <w:tc>
          <w:tcPr>
            <w:tcW w:type="pct" w:w="555"/>
          </w:tcPr>
          <w:p>
            <w:pPr>
              <w:pStyle w:val="Compact"/>
            </w:pPr>
            <w:r>
              <w:rPr>
                <w:sz w:val="14"/>
              </w:rPr>
              <w:t xml:space="preserve">AVAX/USDT</w:t>
            </w:r>
          </w:p>
        </w:tc>
        <w:tc>
          <w:tcPr>
            <w:tcW w:type="pct" w:w="555"/>
          </w:tcPr>
          <w:p>
            <w:pPr>
              <w:pStyle w:val="Compact"/>
            </w:pPr>
            <w:r>
              <w:rPr>
                <w:sz w:val="14"/>
              </w:rPr>
              <w:t xml:space="preserve">6.241000</w:t>
            </w:r>
          </w:p>
        </w:tc>
        <w:tc>
          <w:tcPr>
            <w:tcW w:type="pct" w:w="555"/>
          </w:tcPr>
          <w:p>
            <w:pPr>
              <w:pStyle w:val="Compact"/>
            </w:pPr>
            <w:r>
              <w:rPr>
                <w:sz w:val="14"/>
              </w:rPr>
              <w:t xml:space="preserve">False</w:t>
            </w:r>
          </w:p>
        </w:tc>
        <w:tc>
          <w:tcPr>
            <w:tcW w:type="pct" w:w="555"/>
          </w:tcPr>
          <w:p>
            <w:pPr>
              <w:pStyle w:val="Compact"/>
            </w:pPr>
            <w:r>
              <w:rPr>
                <w:sz w:val="14"/>
              </w:rPr>
              <w:t xml:space="preserve">0</w:t>
            </w:r>
          </w:p>
        </w:tc>
        <w:tc>
          <w:tcPr>
            <w:tcW w:type="pct" w:w="555"/>
          </w:tcPr>
          <w:p>
            <w:pPr>
              <w:pStyle w:val="Compact"/>
            </w:pPr>
            <w:r>
              <w:rPr>
                <w:sz w:val="14"/>
              </w:rPr>
              <w:t xml:space="preserve">False</w:t>
            </w:r>
          </w:p>
        </w:tc>
        <w:tc>
          <w:tcPr>
            <w:tcW w:type="pct" w:w="555"/>
          </w:tcPr>
          <w:p>
            <w:pPr>
              <w:pStyle w:val="Compact"/>
            </w:pPr>
            <w:r>
              <w:rPr>
                <w:sz w:val="14"/>
              </w:rPr>
              <w:t xml:space="preserve">True</w:t>
            </w:r>
          </w:p>
        </w:tc>
        <w:tc>
          <w:tcPr>
            <w:tcW w:type="pct" w:w="555"/>
          </w:tcPr>
          <w:p>
            <w:pPr>
              <w:pStyle w:val="Compact"/>
            </w:pPr>
            <w:r>
              <w:rPr>
                <w:sz w:val="14"/>
              </w:rPr>
              <w:t xml:space="preserve">32.930000</w:t>
            </w:r>
          </w:p>
        </w:tc>
        <w:tc>
          <w:tcPr>
            <w:tcW w:type="pct" w:w="555"/>
          </w:tcPr>
          <w:p>
            <w:pPr>
              <w:pStyle w:val="Compact"/>
            </w:pPr>
            <w:r>
              <w:rPr>
                <w:sz w:val="14"/>
              </w:rPr>
              <w:t xml:space="preserve">False</w:t>
            </w:r>
          </w:p>
        </w:tc>
      </w:tr>
    </w:tbl>
    <w:bookmarkEnd w:id="36"/>
    <w:p>
      <w:pPr>
        <w:pStyle w:val="BodyText"/>
      </w:pPr>
      <w:r>
        <w:t xml:space="preserve">The exit-geometry view is shared verbatim with Part 3 through</w:t>
      </w:r>
      <w:r>
        <w:t xml:space="preserve"> </w:t>
      </w:r>
      <w:r>
        <w:rPr>
          <w:rStyle w:val="VerbatimChar"/>
        </w:rPr>
        <w:t xml:space="preserve">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p>
      <w:pPr>
        <w:pStyle w:val="SourceCode"/>
      </w:pPr>
      <w:r>
        <w:rPr>
          <w:rStyle w:val="VerbatimChar"/>
        </w:rPr>
        <w:t xml:space="preserve">[single] BTC/USDT 4h: 282 trades  exits: 63 TP / 214 stop / 5 time  mean net +0.07%/trade</w:t>
      </w:r>
    </w:p>
    <w:p>
      <w:pPr>
        <w:pStyle w:val="FirstParagraph"/>
      </w:pPr>
      <w:r>
        <w:drawing>
          <wp:inline>
            <wp:extent cx="5943600" cy="4821872"/>
            <wp:effectExtent b="0" l="0" r="0" t="0"/>
            <wp:docPr descr="" title="" id="38" name="Picture"/>
            <a:graphic>
              <a:graphicData uri="http://schemas.openxmlformats.org/drawingml/2006/picture">
                <pic:pic>
                  <pic:nvPicPr>
                    <pic:cNvPr descr="trader-workflow_files/figure-docx/cell-12-output-2.png" id="39" name="Picture"/>
                    <pic:cNvPicPr>
                      <a:picLocks noChangeArrowheads="1" noChangeAspect="1"/>
                    </pic:cNvPicPr>
                  </pic:nvPicPr>
                  <pic:blipFill>
                    <a:blip r:embed="rId37"/>
                    <a:stretch>
                      <a:fillRect/>
                    </a:stretch>
                  </pic:blipFill>
                  <pic:spPr bwMode="auto">
                    <a:xfrm>
                      <a:off x="0" y="0"/>
                      <a:ext cx="5943600" cy="4821872"/>
                    </a:xfrm>
                    <a:prstGeom prst="rect">
                      <a:avLst/>
                    </a:prstGeom>
                    <a:noFill/>
                    <a:ln w="9525">
                      <a:noFill/>
                      <a:headEnd/>
                      <a:tailEnd/>
                    </a:ln>
                  </pic:spPr>
                </pic:pic>
              </a:graphicData>
            </a:graphic>
          </wp:inline>
        </w:drawing>
      </w:r>
    </w:p>
    <w:p>
      <w:pPr>
        <w:pStyle w:val="SourceCode"/>
      </w:pPr>
      <w:r>
        <w:rPr>
          <w:rStyle w:val="VerbatimChar"/>
        </w:rPr>
        <w:t xml:space="preserve">[compare] BTC/USDT 4h: anchored on entry at bar 19113</w:t>
      </w:r>
    </w:p>
    <w:p>
      <w:pPr>
        <w:pStyle w:val="FirstParagraph"/>
      </w:pPr>
      <w:r>
        <w:drawing>
          <wp:inline>
            <wp:extent cx="5943600" cy="2293717"/>
            <wp:effectExtent b="0" l="0" r="0" t="0"/>
            <wp:docPr descr="" title="" id="41" name="Picture"/>
            <a:graphic>
              <a:graphicData uri="http://schemas.openxmlformats.org/drawingml/2006/picture">
                <pic:pic>
                  <pic:nvPicPr>
                    <pic:cNvPr descr="trader-workflow_files/figure-docx/cell-12-output-4.png" id="42" name="Picture"/>
                    <pic:cNvPicPr>
                      <a:picLocks noChangeArrowheads="1" noChangeAspect="1"/>
                    </pic:cNvPicPr>
                  </pic:nvPicPr>
                  <pic:blipFill>
                    <a:blip r:embed="rId40"/>
                    <a:stretch>
                      <a:fillRect/>
                    </a:stretch>
                  </pic:blipFill>
                  <pic:spPr bwMode="auto">
                    <a:xfrm>
                      <a:off x="0" y="0"/>
                      <a:ext cx="5943600" cy="2293717"/>
                    </a:xfrm>
                    <a:prstGeom prst="rect">
                      <a:avLst/>
                    </a:prstGeom>
                    <a:noFill/>
                    <a:ln w="9525">
                      <a:noFill/>
                      <a:headEnd/>
                      <a:tailEnd/>
                    </a:ln>
                  </pic:spPr>
                </pic:pic>
              </a:graphicData>
            </a:graphic>
          </wp:inline>
        </w:drawing>
      </w:r>
    </w:p>
    <w:bookmarkEnd w:id="43"/>
    <w:bookmarkStart w:id="44" w:name="decision-checklist"/>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04-outputs/</w:t>
      </w:r>
      <w:r>
        <w:t xml:space="preserve">. The signals table is written to CSV on each run.</w:t>
      </w:r>
    </w:p>
    <w:p>
      <w:pPr>
        <w:pStyle w:val="SourceCode"/>
      </w:pPr>
      <w:r>
        <w:rPr>
          <w:rStyle w:val="VerbatimChar"/>
        </w:rPr>
        <w:t xml:space="preserve">saved ../04-outputs/CSV/DailySignals_20260908.csv</w:t>
      </w:r>
    </w:p>
    <w:bookmarkEnd w:id="44"/>
    <w:bookmarkEnd w:id="45"/>
    <w:bookmarkStart w:id="69" w:name="trader-controls"/>
    <w:p>
      <w:pPr>
        <w:pStyle w:val="Heading2"/>
      </w:pPr>
      <w:r>
        <w:t xml:space="preserve">2. Trader Controls</w:t>
      </w:r>
    </w:p>
    <w:p>
      <w:pPr>
        <w:pStyle w:val="FirstParagraph"/>
      </w:pPr>
      <w:r>
        <w:t xml:space="preserve">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bookmarkStart w:id="46" w:name="key-variables"/>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0.5. A Supertrend band is itself an ATR-channel trailing stop, so it belongs to this controls vocabulary alongside the volatility filter and the sizing rule.</w:t>
      </w:r>
    </w:p>
    <w:p>
      <w:pPr>
        <w:pStyle w:val="SourceCode"/>
      </w:pPr>
      <w:r>
        <w:rPr>
          <w:rStyle w:val="VerbatimChar"/>
        </w:rPr>
        <w:t xml:space="preserve">Environment ready  ·  python 3.12.13</w:t>
      </w:r>
      <w:r>
        <w:br/>
      </w:r>
      <w:r>
        <w:rPr>
          <w:rStyle w:val="VerbatimChar"/>
        </w:rPr>
        <w:t xml:space="preserve">  ccxt 4.5.59 · pandas 2.3.3 · numpy 2.2.6 · plotly 6.8.0</w:t>
      </w:r>
    </w:p>
    <w:p>
      <w:pPr>
        <w:pStyle w:val="SourceCode"/>
      </w:pPr>
      <w:r>
        <w:rPr>
          <w:rStyle w:val="VerbatimChar"/>
        </w:rPr>
        <w:t xml:space="preserve">Configured binance | account $750 | edge floor 1.5% | ATR band 2.5–12.0% | scan top 25</w:t>
      </w:r>
    </w:p>
    <w:bookmarkEnd w:id="46"/>
    <w:bookmarkStart w:id="50" w:name="volatility-filter"/>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pPr>
        <w:pStyle w:val="SourceCode"/>
      </w:pPr>
      <w:r>
        <w:rPr>
          <w:rStyle w:val="VerbatimChar"/>
        </w:rPr>
        <w:t xml:space="preserve">universe (25): BTC/USDT, ETH/USDT, ZEC/USDT, SOL/USDT, XRP/USDT, BNB/USDT, DOGE/USDT, SUI/USDT, SOPH/USDT, WLD/USDT, UNI/USDT, ZKC/USDT ...</w:t>
      </w:r>
    </w:p>
    <w:p>
      <w:pPr>
        <w:pStyle w:val="FirstParagraph"/>
      </w:pPr>
      <w:r>
        <w:drawing>
          <wp:inline>
            <wp:extent cx="5943600" cy="3056708"/>
            <wp:effectExtent b="0" l="0" r="0" t="0"/>
            <wp:docPr descr="" title="" id="48" name="Picture"/>
            <a:graphic>
              <a:graphicData uri="http://schemas.openxmlformats.org/drawingml/2006/picture">
                <pic:pic>
                  <pic:nvPicPr>
                    <pic:cNvPr descr="trader-workflow_files/figure-docx/cell-18-output-1.png" id="49" name="Picture"/>
                    <pic:cNvPicPr>
                      <a:picLocks noChangeArrowheads="1" noChangeAspect="1"/>
                    </pic:cNvPicPr>
                  </pic:nvPicPr>
                  <pic:blipFill>
                    <a:blip r:embed="rId47"/>
                    <a:stretch>
                      <a:fillRect/>
                    </a:stretch>
                  </pic:blipFill>
                  <pic:spPr bwMode="auto">
                    <a:xfrm>
                      <a:off x="0" y="0"/>
                      <a:ext cx="5943600" cy="3056708"/>
                    </a:xfrm>
                    <a:prstGeom prst="rect">
                      <a:avLst/>
                    </a:prstGeom>
                    <a:noFill/>
                    <a:ln w="9525">
                      <a:noFill/>
                      <a:headEnd/>
                      <a:tailEnd/>
                    </a:ln>
                  </pic:spPr>
                </pic:pic>
              </a:graphicData>
            </a:graphic>
          </wp:inline>
        </w:drawing>
      </w:r>
    </w:p>
    <w:bookmarkEnd w:id="50"/>
    <w:bookmarkStart w:id="57" w:name="four-gate-screen"/>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pPr>
        <w:pStyle w:val="SourceCode"/>
      </w:pP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_view </w:t>
      </w:r>
      <w:r>
        <w:rPr>
          <w:rStyle w:val="OperatorTok"/>
        </w:rPr>
        <w:t xml:space="preserve">=</w:t>
      </w:r>
      <w:r>
        <w:rPr>
          <w:rStyle w:val="NormalTok"/>
        </w:rPr>
        <w:t xml:space="preserve"> screen[cols]</w:t>
      </w:r>
      <w:r>
        <w:br/>
      </w:r>
      <w:r>
        <w:rPr>
          <w:rStyle w:val="BuiltInTok"/>
        </w:rPr>
        <w:t xml:space="preserve">print</w:t>
      </w:r>
      <w:r>
        <w:rPr>
          <w:rStyle w:val="NormalTok"/>
        </w:rPr>
        <w:t xml:space="preserve">(</w:t>
      </w:r>
      <w:r>
        <w:rPr>
          <w:rStyle w:val="SpecialStringTok"/>
        </w:rPr>
        <w:t xml:space="preserve">f"four-gate screen: </w:t>
      </w:r>
      <w:r>
        <w:rPr>
          <w:rStyle w:val="SpecialCharTok"/>
        </w:rPr>
        <w:t xml:space="preserve">{</w:t>
      </w:r>
      <w:r>
        <w:rPr>
          <w:rStyle w:val="BuiltInTok"/>
        </w:rPr>
        <w:t xml:space="preserve">int</w:t>
      </w:r>
      <w:r>
        <w:rPr>
          <w:rStyle w:val="NormalTok"/>
        </w:rPr>
        <w:t xml:space="preserve">(screen[</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(screen)</w:t>
      </w:r>
      <w:r>
        <w:rPr>
          <w:rStyle w:val="SpecialCharTok"/>
        </w:rPr>
        <w:t xml:space="preserve">}</w:t>
      </w:r>
      <w:r>
        <w:rPr>
          <w:rStyle w:val="SpecialStringTok"/>
        </w:rPr>
        <w:t xml:space="preserve"> pairs passed"</w:t>
      </w:r>
      <w:r>
        <w:rPr>
          <w:rStyle w:val="NormalTok"/>
        </w:rPr>
        <w:t xml:space="preserve">)</w:t>
      </w:r>
      <w:r>
        <w:br/>
      </w:r>
      <w:r>
        <w:rPr>
          <w:rStyle w:val="NormalTok"/>
        </w:rPr>
        <w:t xml:space="preserve">display(_view)</w:t>
      </w:r>
    </w:p>
    <w:p>
      <w:pPr>
        <w:pStyle w:val="SourceCode"/>
      </w:pPr>
      <w:r>
        <w:rPr>
          <w:rStyle w:val="VerbatimChar"/>
        </w:rPr>
        <w:t xml:space="preserve">saved /Volumes/PortableSSD/Github/day-trader/04-outputs/Candidates_20260908.csv  (16 of 25 passed)</w:t>
      </w:r>
      <w:r>
        <w:br/>
      </w:r>
      <w:r>
        <w:rPr>
          <w:rStyle w:val="VerbatimChar"/>
        </w:rPr>
        <w:t xml:space="preserve">four-gate screen: 16 of 25 pairs passed</w:t>
      </w:r>
    </w:p>
    <w:p>
      <w:pPr>
        <w:pStyle w:val="SourceCode"/>
      </w:pPr>
      <w:r>
        <w:rPr>
          <w:rStyle w:val="VerbatimChar"/>
        </w:rPr>
        <w:t xml:space="preserve">           symbol  quote_volume_24h_usdt  atr_pct  spread_pct  candle_count  \</w:t>
      </w:r>
      <w:r>
        <w:br/>
      </w:r>
      <w:r>
        <w:rPr>
          <w:rStyle w:val="VerbatimChar"/>
        </w:rPr>
        <w:t xml:space="preserve">0        BTC/USDT           1.473364e+09    3.017      0.0000           179   </w:t>
      </w:r>
      <w:r>
        <w:br/>
      </w:r>
      <w:r>
        <w:rPr>
          <w:rStyle w:val="VerbatimChar"/>
        </w:rPr>
        <w:t xml:space="preserve">1        ETH/USDT           6.122891e+08    3.772      0.0004           179   </w:t>
      </w:r>
      <w:r>
        <w:br/>
      </w:r>
      <w:r>
        <w:rPr>
          <w:rStyle w:val="VerbatimChar"/>
        </w:rPr>
        <w:t xml:space="preserve">2        ZEC/USDT           2.051502e+08    8.084      0.0009           179   </w:t>
      </w:r>
      <w:r>
        <w:br/>
      </w:r>
      <w:r>
        <w:rPr>
          <w:rStyle w:val="VerbatimChar"/>
        </w:rPr>
        <w:t xml:space="preserve">3        SOL/USDT           1.983513e+08    5.429      0.0097           179   </w:t>
      </w:r>
      <w:r>
        <w:br/>
      </w:r>
      <w:r>
        <w:rPr>
          <w:rStyle w:val="VerbatimChar"/>
        </w:rPr>
        <w:t xml:space="preserve">4        XRP/USDT           1.413853e+08    5.438      0.0071           179   </w:t>
      </w:r>
      <w:r>
        <w:br/>
      </w:r>
      <w:r>
        <w:rPr>
          <w:rStyle w:val="VerbatimChar"/>
        </w:rPr>
        <w:t xml:space="preserve">5        BNB/USDT           1.360302e+08    3.365      0.0013           179   </w:t>
      </w:r>
      <w:r>
        <w:br/>
      </w:r>
      <w:r>
        <w:rPr>
          <w:rStyle w:val="VerbatimChar"/>
        </w:rPr>
        <w:t xml:space="preserve">6       DOGE/USDT           7.521861e+07    5.505      0.0111           179   </w:t>
      </w:r>
      <w:r>
        <w:br/>
      </w:r>
      <w:r>
        <w:rPr>
          <w:rStyle w:val="VerbatimChar"/>
        </w:rPr>
        <w:t xml:space="preserve">7        SUI/USDT           6.706095e+07    6.184      0.0121           179   </w:t>
      </w:r>
      <w:r>
        <w:br/>
      </w:r>
      <w:r>
        <w:rPr>
          <w:rStyle w:val="VerbatimChar"/>
        </w:rPr>
        <w:t xml:space="preserve">8        WLD/USDT           6.018755e+07    6.984      0.0204           179   </w:t>
      </w:r>
      <w:r>
        <w:br/>
      </w:r>
      <w:r>
        <w:rPr>
          <w:rStyle w:val="VerbatimChar"/>
        </w:rPr>
        <w:t xml:space="preserve">9        UNI/USDT           5.766502e+07    8.445      0.0146           179   </w:t>
      </w:r>
      <w:r>
        <w:br/>
      </w:r>
      <w:r>
        <w:rPr>
          <w:rStyle w:val="VerbatimChar"/>
        </w:rPr>
        <w:t xml:space="preserve">10      NEAR/USDT           4.410371e+07    7.035      0.0415           179   </w:t>
      </w:r>
      <w:r>
        <w:br/>
      </w:r>
      <w:r>
        <w:rPr>
          <w:rStyle w:val="VerbatimChar"/>
        </w:rPr>
        <w:t xml:space="preserve">11      PUMP/USDT           4.315960e+07   11.847      0.0229           179   </w:t>
      </w:r>
      <w:r>
        <w:br/>
      </w:r>
      <w:r>
        <w:rPr>
          <w:rStyle w:val="VerbatimChar"/>
        </w:rPr>
        <w:t xml:space="preserve">12      AVAX/USDT           3.888535e+07    4.052      0.0124           179   </w:t>
      </w:r>
      <w:r>
        <w:br/>
      </w:r>
      <w:r>
        <w:rPr>
          <w:rStyle w:val="VerbatimChar"/>
        </w:rPr>
        <w:t xml:space="preserve">13       ADA/USDT           3.682421e+07    6.106      0.0440           179   </w:t>
      </w:r>
      <w:r>
        <w:br/>
      </w:r>
      <w:r>
        <w:rPr>
          <w:rStyle w:val="VerbatimChar"/>
        </w:rPr>
        <w:t xml:space="preserve">14      LINK/USDT           3.440305e+07    5.508      0.0079           179   </w:t>
      </w:r>
      <w:r>
        <w:br/>
      </w:r>
      <w:r>
        <w:rPr>
          <w:rStyle w:val="VerbatimChar"/>
        </w:rPr>
        <w:t xml:space="preserve">15       INJ/USDT           3.362874e+07    6.586      0.0157           179   </w:t>
      </w:r>
      <w:r>
        <w:br/>
      </w:r>
      <w:r>
        <w:rPr>
          <w:rStyle w:val="VerbatimChar"/>
        </w:rPr>
        <w:t xml:space="preserve">16      SOPH/USDT           6.663541e+07    8.623      0.1303           179   </w:t>
      </w:r>
      <w:r>
        <w:br/>
      </w:r>
      <w:r>
        <w:rPr>
          <w:rStyle w:val="VerbatimChar"/>
        </w:rPr>
        <w:t xml:space="preserve">17       ZKC/USDT           5.077757e+07   15.086      0.2073           179   </w:t>
      </w:r>
      <w:r>
        <w:br/>
      </w:r>
      <w:r>
        <w:rPr>
          <w:rStyle w:val="VerbatimChar"/>
        </w:rPr>
        <w:t xml:space="preserve">18  MARSCOIN/USDT           4.775808e+07      NaN      0.1549             4   </w:t>
      </w:r>
      <w:r>
        <w:br/>
      </w:r>
      <w:r>
        <w:rPr>
          <w:rStyle w:val="VerbatimChar"/>
        </w:rPr>
        <w:t xml:space="preserve">19     RLUSD/USDT           4.208149e+07    0.051      0.0100           179   </w:t>
      </w:r>
      <w:r>
        <w:br/>
      </w:r>
      <w:r>
        <w:rPr>
          <w:rStyle w:val="VerbatimChar"/>
        </w:rPr>
        <w:t xml:space="preserve">20       ARB/USDT           3.688322e+07   10.841      0.0596           179   </w:t>
      </w:r>
      <w:r>
        <w:br/>
      </w:r>
      <w:r>
        <w:rPr>
          <w:rStyle w:val="VerbatimChar"/>
        </w:rPr>
        <w:t xml:space="preserve">21      FORM/USDT           3.319087e+07    9.979      0.1613           179   </w:t>
      </w:r>
      <w:r>
        <w:br/>
      </w:r>
      <w:r>
        <w:rPr>
          <w:rStyle w:val="VerbatimChar"/>
        </w:rPr>
        <w:t xml:space="preserve">22       ENA/USDT           3.071631e+07   11.567      0.0619           179   </w:t>
      </w:r>
      <w:r>
        <w:br/>
      </w:r>
      <w:r>
        <w:rPr>
          <w:rStyle w:val="VerbatimChar"/>
        </w:rPr>
        <w:t xml:space="preserve">23       TRX/USDT           2.972413e+07    1.659      0.0295           179   </w:t>
      </w:r>
      <w:r>
        <w:br/>
      </w:r>
      <w:r>
        <w:rPr>
          <w:rStyle w:val="VerbatimChar"/>
        </w:rPr>
        <w:t xml:space="preserve">24       DOT/USDT           2.681809e+07    5.517      0.0850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t xml:space="preserve">15   True                           </w:t>
      </w:r>
      <w:r>
        <w:br/>
      </w:r>
      <w:r>
        <w:rPr>
          <w:rStyle w:val="VerbatimChar"/>
        </w:rPr>
        <w:t xml:space="preserve">16  False                   spread  </w:t>
      </w:r>
      <w:r>
        <w:br/>
      </w:r>
      <w:r>
        <w:rPr>
          <w:rStyle w:val="VerbatimChar"/>
        </w:rPr>
        <w:t xml:space="preserve">17  False          atr_band,spread  </w:t>
      </w:r>
      <w:r>
        <w:br/>
      </w:r>
      <w:r>
        <w:rPr>
          <w:rStyle w:val="VerbatimChar"/>
        </w:rPr>
        <w:t xml:space="preserve">18  False  atr_band,spread,history  </w:t>
      </w:r>
      <w:r>
        <w:br/>
      </w:r>
      <w:r>
        <w:rPr>
          <w:rStyle w:val="VerbatimChar"/>
        </w:rPr>
        <w:t xml:space="preserve">19  False                 atr_band  </w:t>
      </w:r>
      <w:r>
        <w:br/>
      </w:r>
      <w:r>
        <w:rPr>
          <w:rStyle w:val="VerbatimChar"/>
        </w:rPr>
        <w:t xml:space="preserve">20  False                   spread  </w:t>
      </w:r>
      <w:r>
        <w:br/>
      </w:r>
      <w:r>
        <w:rPr>
          <w:rStyle w:val="VerbatimChar"/>
        </w:rPr>
        <w:t xml:space="preserve">21  False                   spread  </w:t>
      </w:r>
      <w:r>
        <w:br/>
      </w:r>
      <w:r>
        <w:rPr>
          <w:rStyle w:val="VerbatimChar"/>
        </w:rPr>
        <w:t xml:space="preserve">22  False                   spread  </w:t>
      </w:r>
      <w:r>
        <w:br/>
      </w:r>
      <w:r>
        <w:rPr>
          <w:rStyle w:val="VerbatimChar"/>
        </w:rPr>
        <w:t xml:space="preserve">23  False       liquidity,atr_band  </w:t>
      </w:r>
      <w:r>
        <w:br/>
      </w:r>
      <w:r>
        <w:rPr>
          <w:rStyle w:val="VerbatimChar"/>
        </w:rPr>
        <w:t xml:space="preserve">24  False         liquidity,spread  </w:t>
      </w:r>
    </w:p>
    <w:p>
      <w:pPr>
        <w:pStyle w:val="FirstParagraph"/>
      </w:pPr>
      <w:r>
        <w:drawing>
          <wp:inline>
            <wp:extent cx="5943600" cy="3735977"/>
            <wp:effectExtent b="0" l="0" r="0" t="0"/>
            <wp:docPr descr="" title="" id="52" name="Picture"/>
            <a:graphic>
              <a:graphicData uri="http://schemas.openxmlformats.org/drawingml/2006/picture">
                <pic:pic>
                  <pic:nvPicPr>
                    <pic:cNvPr descr="trader-workflow_files/figure-docx/cell-21-output-1.png" id="53" name="Picture"/>
                    <pic:cNvPicPr>
                      <a:picLocks noChangeArrowheads="1" noChangeAspect="1"/>
                    </pic:cNvPicPr>
                  </pic:nvPicPr>
                  <pic:blipFill>
                    <a:blip r:embed="rId51"/>
                    <a:stretch>
                      <a:fillRect/>
                    </a:stretch>
                  </pic:blipFill>
                  <pic:spPr bwMode="auto">
                    <a:xfrm>
                      <a:off x="0" y="0"/>
                      <a:ext cx="5943600" cy="3735977"/>
                    </a:xfrm>
                    <a:prstGeom prst="rect">
                      <a:avLst/>
                    </a:prstGeom>
                    <a:noFill/>
                    <a:ln w="9525">
                      <a:noFill/>
                      <a:headEnd/>
                      <a:tailEnd/>
                    </a:ln>
                  </pic:spPr>
                </pic:pic>
              </a:graphicData>
            </a:graphic>
          </wp:inline>
        </w:drawing>
      </w:r>
    </w:p>
    <w:p>
      <w:pPr>
        <w:pStyle w:val="BodyText"/>
      </w:pPr>
      <w:r>
        <w:drawing>
          <wp:inline>
            <wp:extent cx="5943600" cy="2717074"/>
            <wp:effectExtent b="0" l="0" r="0" t="0"/>
            <wp:docPr descr="" title="" id="55" name="Picture"/>
            <a:graphic>
              <a:graphicData uri="http://schemas.openxmlformats.org/drawingml/2006/picture">
                <pic:pic>
                  <pic:nvPicPr>
                    <pic:cNvPr descr="trader-workflow_files/figure-docx/cell-21-output-2.png" id="56" name="Picture"/>
                    <pic:cNvPicPr>
                      <a:picLocks noChangeArrowheads="1" noChangeAspect="1"/>
                    </pic:cNvPicPr>
                  </pic:nvPicPr>
                  <pic:blipFill>
                    <a:blip r:embed="rId54"/>
                    <a:stretch>
                      <a:fillRect/>
                    </a:stretch>
                  </pic:blipFill>
                  <pic:spPr bwMode="auto">
                    <a:xfrm>
                      <a:off x="0" y="0"/>
                      <a:ext cx="5943600" cy="2717074"/>
                    </a:xfrm>
                    <a:prstGeom prst="rect">
                      <a:avLst/>
                    </a:prstGeom>
                    <a:noFill/>
                    <a:ln w="9525">
                      <a:noFill/>
                      <a:headEnd/>
                      <a:tailEnd/>
                    </a:ln>
                  </pic:spPr>
                </pic:pic>
              </a:graphicData>
            </a:graphic>
          </wp:inline>
        </w:drawing>
      </w:r>
    </w:p>
    <w:bookmarkEnd w:id="57"/>
    <w:bookmarkStart w:id="61" w:name="edge-sizing"/>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pPr>
        <w:pStyle w:val="SourceCode"/>
      </w:pPr>
      <w:r>
        <w:rPr>
          <w:rStyle w:val="BuiltInTok"/>
        </w:rPr>
        <w:t xml:space="preserve">print</w:t>
      </w:r>
      <w:r>
        <w:rPr>
          <w:rStyle w:val="NormalTok"/>
        </w:rPr>
        <w:t xml:space="preserve">(</w:t>
      </w:r>
      <w:r>
        <w:rPr>
          <w:rStyle w:val="StringTok"/>
        </w:rPr>
        <w:t xml:space="preserve">"Net-edge fence, gross estimated move to net, and admission:"</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w:t>
      </w:r>
      <w:r>
        <w:rPr>
          <w:rStyle w:val="NormalTok"/>
        </w:rPr>
        <w:t xml:space="preserve">m</w:t>
      </w:r>
      <w:r>
        <w:rPr>
          <w:rStyle w:val="SpecialCharTok"/>
        </w:rPr>
        <w:t xml:space="preserve">:&gt;4}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v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Net-edge fence, gross estimated move to net, and admission:</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 xml:space="preserve">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pPr>
        <w:pStyle w:val="SourceCode"/>
      </w:pPr>
      <w:r>
        <w:rPr>
          <w:rStyle w:val="VerbatimChar"/>
        </w:rPr>
        <w:t xml:space="preserve">       symbol  atr_pct  stop_pct  position_usdt  floored_at_min</w:t>
      </w:r>
      <w:r>
        <w:br/>
      </w:r>
      <w:r>
        <w:rPr>
          <w:rStyle w:val="VerbatimChar"/>
        </w:rPr>
        <w:t xml:space="preserve">0    BTC/USDT    3.017     4.526         165.73           False</w:t>
      </w:r>
      <w:r>
        <w:br/>
      </w:r>
      <w:r>
        <w:rPr>
          <w:rStyle w:val="VerbatimChar"/>
        </w:rPr>
        <w:t xml:space="preserve">1    BNB/USDT    3.365     5.048         148.59           False</w:t>
      </w:r>
      <w:r>
        <w:br/>
      </w:r>
      <w:r>
        <w:rPr>
          <w:rStyle w:val="VerbatimChar"/>
        </w:rPr>
        <w:t xml:space="preserve">2    ETH/USDT    3.772     5.658         132.56           False</w:t>
      </w:r>
      <w:r>
        <w:br/>
      </w:r>
      <w:r>
        <w:rPr>
          <w:rStyle w:val="VerbatimChar"/>
        </w:rPr>
        <w:t xml:space="preserve">3   AVAX/USDT    4.052     6.078         123.40           False</w:t>
      </w:r>
      <w:r>
        <w:br/>
      </w:r>
      <w:r>
        <w:rPr>
          <w:rStyle w:val="VerbatimChar"/>
        </w:rPr>
        <w:t xml:space="preserve">4    SOL/USDT    5.429     8.143          92.10           False</w:t>
      </w:r>
      <w:r>
        <w:br/>
      </w:r>
      <w:r>
        <w:rPr>
          <w:rStyle w:val="VerbatimChar"/>
        </w:rPr>
        <w:t xml:space="preserve">5    XRP/USDT    5.438     8.157          91.95           False</w:t>
      </w:r>
      <w:r>
        <w:br/>
      </w:r>
      <w:r>
        <w:rPr>
          <w:rStyle w:val="VerbatimChar"/>
        </w:rPr>
        <w:t xml:space="preserve">6   DOGE/USDT    5.505     8.258          90.83           False</w:t>
      </w:r>
      <w:r>
        <w:br/>
      </w:r>
      <w:r>
        <w:rPr>
          <w:rStyle w:val="VerbatimChar"/>
        </w:rPr>
        <w:t xml:space="preserve">7   LINK/USDT    5.508     8.262          90.78           False</w:t>
      </w:r>
      <w:r>
        <w:br/>
      </w:r>
      <w:r>
        <w:rPr>
          <w:rStyle w:val="VerbatimChar"/>
        </w:rPr>
        <w:t xml:space="preserve">8    ADA/USDT    6.106     9.159          81.89           False</w:t>
      </w:r>
      <w:r>
        <w:br/>
      </w:r>
      <w:r>
        <w:rPr>
          <w:rStyle w:val="VerbatimChar"/>
        </w:rPr>
        <w:t xml:space="preserve">9    SUI/USDT    6.184     9.276          80.85           False</w:t>
      </w:r>
      <w:r>
        <w:br/>
      </w:r>
      <w:r>
        <w:rPr>
          <w:rStyle w:val="VerbatimChar"/>
        </w:rPr>
        <w:t xml:space="preserve">10   INJ/USDT    6.586     9.879          75.92           False</w:t>
      </w:r>
      <w:r>
        <w:br/>
      </w:r>
      <w:r>
        <w:rPr>
          <w:rStyle w:val="VerbatimChar"/>
        </w:rPr>
        <w:t xml:space="preserve">11   WLD/USDT    6.984    10.476          71.59           False</w:t>
      </w:r>
      <w:r>
        <w:br/>
      </w:r>
      <w:r>
        <w:rPr>
          <w:rStyle w:val="VerbatimChar"/>
        </w:rPr>
        <w:t xml:space="preserve">12  NEAR/USDT    7.035    10.553          71.07           False</w:t>
      </w:r>
      <w:r>
        <w:br/>
      </w:r>
      <w:r>
        <w:rPr>
          <w:rStyle w:val="VerbatimChar"/>
        </w:rPr>
        <w:t xml:space="preserve">13   ZEC/USDT    8.084    12.126          61.85           False</w:t>
      </w:r>
      <w:r>
        <w:br/>
      </w:r>
      <w:r>
        <w:rPr>
          <w:rStyle w:val="VerbatimChar"/>
        </w:rPr>
        <w:t xml:space="preserve">14   UNI/USDT    8.445    12.668          59.21           False</w:t>
      </w:r>
      <w:r>
        <w:br/>
      </w:r>
      <w:r>
        <w:rPr>
          <w:rStyle w:val="VerbatimChar"/>
        </w:rPr>
        <w:t xml:space="preserve">15  PUMP/USDT   11.847    17.770          42.20           False</w:t>
      </w:r>
    </w:p>
    <w:p>
      <w:pPr>
        <w:pStyle w:val="FirstParagraph"/>
      </w:pPr>
      <w:r>
        <w:drawing>
          <wp:inline>
            <wp:extent cx="5943600" cy="3056708"/>
            <wp:effectExtent b="0" l="0" r="0" t="0"/>
            <wp:docPr descr="" title="" id="59" name="Picture"/>
            <a:graphic>
              <a:graphicData uri="http://schemas.openxmlformats.org/drawingml/2006/picture">
                <pic:pic>
                  <pic:nvPicPr>
                    <pic:cNvPr descr="trader-workflow_files/figure-docx/cell-24-output-2.png" id="60" name="Picture"/>
                    <pic:cNvPicPr>
                      <a:picLocks noChangeArrowheads="1" noChangeAspect="1"/>
                    </pic:cNvPicPr>
                  </pic:nvPicPr>
                  <pic:blipFill>
                    <a:blip r:embed="rId58"/>
                    <a:stretch>
                      <a:fillRect/>
                    </a:stretch>
                  </pic:blipFill>
                  <pic:spPr bwMode="auto">
                    <a:xfrm>
                      <a:off x="0" y="0"/>
                      <a:ext cx="5943600" cy="3056708"/>
                    </a:xfrm>
                    <a:prstGeom prst="rect">
                      <a:avLst/>
                    </a:prstGeom>
                    <a:noFill/>
                    <a:ln w="9525">
                      <a:noFill/>
                      <a:headEnd/>
                      <a:tailEnd/>
                    </a:ln>
                  </pic:spPr>
                </pic:pic>
              </a:graphicData>
            </a:graphic>
          </wp:inline>
        </w:drawing>
      </w:r>
    </w:p>
    <w:bookmarkEnd w:id="61"/>
    <w:bookmarkStart w:id="62" w:name="hold-period"/>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62"/>
    <w:bookmarkStart w:id="63" w:name="stacked-defences"/>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63"/>
    <w:bookmarkStart w:id="67" w:name="signal-journal"/>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04-outputs/journal/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p>
      <w:pPr>
        <w:pStyle w:val="SourceCode"/>
      </w:pPr>
      <w:r>
        <w:rPr>
          <w:rStyle w:val="VerbatimChar"/>
        </w:rPr>
        <w:t xml:space="preserve">saved /Volumes/PortableSSD/Github/day-trader/04-outputs/journal/journal_BTC-USDT_20260908.html  -  22 entries/exits documented</w:t>
      </w:r>
      <w:r>
        <w:br/>
      </w:r>
      <w:r>
        <w:rPr>
          <w:rStyle w:val="VerbatimChar"/>
        </w:rPr>
        <w:t xml:space="preserve">saved /Volumes/PortableSSD/Github/day-trader/04-outputs/journal/journal_ETH-USDT_20260908.html  -  14 entries/exits documented</w:t>
      </w:r>
      <w:r>
        <w:br/>
      </w:r>
      <w:r>
        <w:rPr>
          <w:rStyle w:val="VerbatimChar"/>
        </w:rPr>
        <w:t xml:space="preserve">saved /Volumes/PortableSSD/Github/day-trader/04-outputs/journal/journal_ZEC-USDT_20260908.html  -  18 entries/exits documented</w:t>
      </w:r>
      <w:r>
        <w:br/>
      </w:r>
      <w:r>
        <w:br/>
      </w:r>
      <w:r>
        <w:rPr>
          <w:rStyle w:val="VerbatimChar"/>
        </w:rPr>
        <w:t xml:space="preserve">3 journal(s) saved under 04-outputs/journal/</w:t>
      </w:r>
      <w:r>
        <w:br/>
      </w:r>
      <w:r>
        <w:br/>
      </w:r>
      <w:r>
        <w:rPr>
          <w:rStyle w:val="VerbatimChar"/>
        </w:rPr>
        <w:t xml:space="preserve">--- BTC/USDT ---</w:t>
      </w:r>
    </w:p>
    <w:p>
      <w:pPr>
        <w:pStyle w:val="FirstParagraph"/>
      </w:pPr>
      <w:r>
        <w:drawing>
          <wp:inline>
            <wp:extent cx="5943600" cy="5773782"/>
            <wp:effectExtent b="0" l="0" r="0" t="0"/>
            <wp:docPr descr="" title="" id="65" name="Picture"/>
            <a:graphic>
              <a:graphicData uri="http://schemas.openxmlformats.org/drawingml/2006/picture">
                <pic:pic>
                  <pic:nvPicPr>
                    <pic:cNvPr descr="trader-workflow_files/figure-docx/cell-26-output-2.png" id="66" name="Picture"/>
                    <pic:cNvPicPr>
                      <a:picLocks noChangeArrowheads="1" noChangeAspect="1"/>
                    </pic:cNvPicPr>
                  </pic:nvPicPr>
                  <pic:blipFill>
                    <a:blip r:embed="rId64"/>
                    <a:stretch>
                      <a:fillRect/>
                    </a:stretch>
                  </pic:blipFill>
                  <pic:spPr bwMode="auto">
                    <a:xfrm>
                      <a:off x="0" y="0"/>
                      <a:ext cx="5943600" cy="5773782"/>
                    </a:xfrm>
                    <a:prstGeom prst="rect">
                      <a:avLst/>
                    </a:prstGeom>
                    <a:noFill/>
                    <a:ln w="9525">
                      <a:noFill/>
                      <a:headEnd/>
                      <a:tailEnd/>
                    </a:ln>
                  </pic:spPr>
                </pic:pic>
              </a:graphicData>
            </a:graphic>
          </wp:inline>
        </w:drawing>
      </w:r>
    </w:p>
    <w:p>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t xml:space="preserve">20   MACD crossed above signal -&gt; momentum turning up  </w:t>
      </w:r>
      <w:r>
        <w:br/>
      </w:r>
      <w:r>
        <w:rPr>
          <w:rStyle w:val="VerbatimChar"/>
        </w:rPr>
        <w:t xml:space="preserve">21  MACD crossed below signal -&gt; momentum turning ...  </w:t>
      </w:r>
    </w:p>
    <w:bookmarkEnd w:id="67"/>
    <w:bookmarkStart w:id="68" w:name="frozen-harness"/>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04-outputs/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p>
      <w:pPr>
        <w:pStyle w:val="SourceCode"/>
      </w:pPr>
      <w:r>
        <w:rPr>
          <w:rStyle w:val="VerbatimChar"/>
        </w:rPr>
        <w:t xml:space="preserve">logged -&gt; /Volumes/PortableSSD/Github/day-trader/04-outputs/experiment_log.csv</w:t>
      </w:r>
      <w:r>
        <w:br/>
      </w:r>
      <w:r>
        <w:rPr>
          <w:rStyle w:val="VerbatimChar"/>
        </w:rPr>
        <w:t xml:space="preserve">experiment_log.csv, 28 rows, last 3:</w:t>
      </w:r>
    </w:p>
    <w:p>
      <w:pPr>
        <w:pStyle w:val="SourceCode"/>
      </w:pPr>
      <w:r>
        <w:rPr>
          <w:rStyle w:val="VerbatimChar"/>
        </w:rPr>
        <w:t xml:space="preserve">                       ts_utc     harness   kept  \</w:t>
      </w:r>
      <w:r>
        <w:br/>
      </w:r>
      <w:r>
        <w:rPr>
          <w:rStyle w:val="VerbatimChar"/>
        </w:rPr>
        <w:t xml:space="preserve">25  2026-09-08T14:06:26+00:00  harness-v1  False   </w:t>
      </w:r>
      <w:r>
        <w:br/>
      </w:r>
      <w:r>
        <w:rPr>
          <w:rStyle w:val="VerbatimChar"/>
        </w:rPr>
        <w:t xml:space="preserve">26  2026-09-08T15:22:52+00:00  harness-v1  False   </w:t>
      </w:r>
      <w:r>
        <w:br/>
      </w:r>
      <w:r>
        <w:rPr>
          <w:rStyle w:val="VerbatimChar"/>
        </w:rPr>
        <w:t xml:space="preserve">27  2026-09-08T15:35:28+00:00  harness-v1  False   </w:t>
      </w:r>
      <w:r>
        <w:br/>
      </w:r>
      <w:r>
        <w:br/>
      </w:r>
      <w:r>
        <w:rPr>
          <w:rStyle w:val="VerbatimChar"/>
        </w:rPr>
        <w:t xml:space="preserve">                                                  why  p_edge_floor_pct  \</w:t>
      </w:r>
      <w:r>
        <w:br/>
      </w:r>
      <w:r>
        <w:rPr>
          <w:rStyle w:val="VerbatimChar"/>
        </w:rPr>
        <w:t xml:space="preserve">25  no demonstrated OOS edge after fees (matches s...               1.5   </w:t>
      </w:r>
      <w:r>
        <w:br/>
      </w:r>
      <w:r>
        <w:rPr>
          <w:rStyle w:val="VerbatimChar"/>
        </w:rPr>
        <w:t xml:space="preserve">26  no demonstrated OOS edge after fees (matches s...               1.5   </w:t>
      </w:r>
      <w:r>
        <w:br/>
      </w:r>
      <w:r>
        <w:rPr>
          <w:rStyle w:val="VerbatimChar"/>
        </w:rPr>
        <w:t xml:space="preserve">27  no demonstrated OOS edge after fees (matches s...               1.5   </w:t>
      </w:r>
      <w:r>
        <w:br/>
      </w:r>
      <w:r>
        <w:br/>
      </w:r>
      <w:r>
        <w:rPr>
          <w:rStyle w:val="VerbatimChar"/>
        </w:rPr>
        <w:t xml:space="preserve">    p_take_profit_pct  p_atr_floor_pct  p_threshold  \</w:t>
      </w:r>
      <w:r>
        <w:br/>
      </w:r>
      <w:r>
        <w:rPr>
          <w:rStyle w:val="VerbatimChar"/>
        </w:rPr>
        <w:t xml:space="preserve">25               10.0              2.5            2   </w:t>
      </w:r>
      <w:r>
        <w:br/>
      </w:r>
      <w:r>
        <w:rPr>
          <w:rStyle w:val="VerbatimChar"/>
        </w:rPr>
        <w:t xml:space="preserve">26               10.0              2.5            2   </w:t>
      </w:r>
      <w:r>
        <w:br/>
      </w:r>
      <w:r>
        <w:rPr>
          <w:rStyle w:val="VerbatimChar"/>
        </w:rPr>
        <w:t xml:space="preserve">27               10.0              2.5            2   </w:t>
      </w:r>
      <w:r>
        <w:br/>
      </w:r>
      <w:r>
        <w:br/>
      </w:r>
      <w:r>
        <w:rPr>
          <w:rStyle w:val="VerbatimChar"/>
        </w:rPr>
        <w:t xml:space="preserve">    oos_after_fee_expectancy_pct  oos_win_rate  oos_n_trades  \</w:t>
      </w:r>
      <w:r>
        <w:br/>
      </w:r>
      <w:r>
        <w:rPr>
          <w:rStyle w:val="VerbatimChar"/>
        </w:rPr>
        <w:t xml:space="preserve">25                          -0.4          0.41            37   </w:t>
      </w:r>
      <w:r>
        <w:br/>
      </w:r>
      <w:r>
        <w:rPr>
          <w:rStyle w:val="VerbatimChar"/>
        </w:rPr>
        <w:t xml:space="preserve">26                          -0.4          0.41            37   </w:t>
      </w:r>
      <w:r>
        <w:br/>
      </w:r>
      <w:r>
        <w:rPr>
          <w:rStyle w:val="VerbatimChar"/>
        </w:rPr>
        <w:t xml:space="preserve">27                          -0.4          0.41            37   </w:t>
      </w:r>
      <w:r>
        <w:br/>
      </w:r>
      <w:r>
        <w:br/>
      </w:r>
      <w:r>
        <w:rPr>
          <w:rStyle w:val="VerbatimChar"/>
        </w:rPr>
        <w:t xml:space="preserve">    oos_vs_buy_hold_pct  </w:t>
      </w:r>
      <w:r>
        <w:br/>
      </w:r>
      <w:r>
        <w:rPr>
          <w:rStyle w:val="VerbatimChar"/>
        </w:rPr>
        <w:t xml:space="preserve">25                  1.2  </w:t>
      </w:r>
      <w:r>
        <w:br/>
      </w:r>
      <w:r>
        <w:rPr>
          <w:rStyle w:val="VerbatimChar"/>
        </w:rPr>
        <w:t xml:space="preserve">26                  1.2  </w:t>
      </w:r>
      <w:r>
        <w:br/>
      </w:r>
      <w:r>
        <w:rPr>
          <w:rStyle w:val="VerbatimChar"/>
        </w:rPr>
        <w:t xml:space="preserve">27                  1.2  </w:t>
      </w:r>
    </w:p>
    <w:p>
      <w:pPr>
        <w:pStyle w:val="SourceCode"/>
      </w:pPr>
      <w:r>
        <w:rPr>
          <w:rStyle w:val="VerbatimChar"/>
        </w:rPr>
        <w:t xml:space="preserve">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(1833 bytes)</w:t>
      </w:r>
      <w:r>
        <w:br/>
      </w:r>
      <w:r>
        <w:rPr>
          <w:rStyle w:val="VerbatimChar"/>
        </w:rPr>
        <w:t xml:space="preserve">  /Volumes/PortableSSD/Github/day-trader/04-outputs/experiment_log.csv  (3970 bytes)</w:t>
      </w:r>
      <w:r>
        <w:br/>
      </w:r>
      <w:r>
        <w:br/>
      </w:r>
      <w:r>
        <w:rPr>
          <w:rStyle w:val="VerbatimChar"/>
        </w:rPr>
        <w:t xml:space="preserve">Reminder: this notebook screens and sizes only. No orders are placed; LIVE_TRADING stays 'false' in 03-inputs/config.py and is never read here.</w:t>
      </w:r>
    </w:p>
    <w:bookmarkEnd w:id="68"/>
    <w:bookmarkEnd w:id="69"/>
    <w:bookmarkStart w:id="209" w:name="trader-execution"/>
    <w:p>
      <w:pPr>
        <w:pStyle w:val="Heading2"/>
      </w:pPr>
      <w:r>
        <w:t xml:space="preserve">3. Trader Execution</w:t>
      </w:r>
    </w:p>
    <w:p>
      <w:pPr>
        <w:pStyle w:val="FirstParagraph"/>
      </w:pPr>
      <w:r>
        <w:t xml:space="preserve">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0.5 adjustments are implemented across these sections: the label in 3.1 and 3.7, the ATR-scaled exits in 3.3, the regime gate in 3.14,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Start w:id="70" w:name="data-preparation"/>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0.5 revision toward a longer, less fee-punishing geometry is the intended change tracked here.</w:t>
      </w:r>
    </w:p>
    <w:p>
      <w:pPr>
        <w:pStyle w:val="SourceCode"/>
      </w:pPr>
      <w:r>
        <w:rPr>
          <w:rStyle w:val="VerbatimChar"/>
        </w:rPr>
        <w:t xml:space="preserve">outputs -&gt; /Volumes/PortableSSD/Github/day-trader/04-outputs</w:t>
      </w:r>
      <w:r>
        <w:br/>
      </w:r>
      <w:r>
        <w:rPr>
          <w:rStyle w:val="VerbatimChar"/>
        </w:rPr>
        <w:t xml:space="preserve">env ready  .  kernel: /Volumes/PortableSSD/Github/day-trader/.venv/bin/python</w:t>
      </w:r>
      <w:r>
        <w:br/>
      </w:r>
      <w:r>
        <w:rPr>
          <w:rStyle w:val="VerbatimChar"/>
        </w:rPr>
        <w:t xml:space="preserve">python 3.12.13  .  lightgbm yes  .  pandas-ta yes  .  TA-Lib yes</w:t>
      </w:r>
    </w:p>
    <w:p>
      <w:pPr>
        <w:pStyle w:val="SourceCode"/>
      </w:pPr>
      <w:r>
        <w:rPr>
          <w:rStyle w:val="VerbatimChar"/>
        </w:rPr>
        <w:t xml:space="preserve">label: +2.0 ATR before -1.0 ATR within 12 bars (2d)  .  hold out final 365d, embargo +/-2d  .  confidence 0.4-0.6  .  cost 0.20% round trip</w:t>
      </w:r>
    </w:p>
    <w:p>
      <w:pPr>
        <w:pStyle w:val="SourceCode"/>
      </w:pPr>
      <w:r>
        <w:rPr>
          <w:rStyle w:val="VerbatimChar"/>
        </w:rPr>
        <w:t xml:space="preserve">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 xml:space="preserve">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 xml:space="preserve">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 xml:space="preserve">LABEL  (ATR-scaled triple barrier): {'tgt_atr': 2.0, 'stp_atr': 1.0, 'horizon_bars': 48, 'atr_len': 14}</w:t>
      </w:r>
      <w:r>
        <w:br/>
      </w:r>
      <w:r>
        <w:rPr>
          <w:rStyle w:val="VerbatimChar"/>
        </w:rPr>
        <w:t xml:space="preserve">SCREEN gates                       : {'min_quote_volume_usdt': 30000000, 'qv_window': 24, 'atr_floor_pct': 0.5, 'atr_ceiling_pct': 2.5, 'atr_len': 14, 'min_history_bars': 2880, 'spread_proxy_ceiling_pct': 0.5, 'spread_window': 24}</w:t>
      </w:r>
      <w:r>
        <w:br/>
      </w:r>
      <w:r>
        <w:rPr>
          <w:rStyle w:val="VerbatimChar"/>
        </w:rPr>
        <w:t xml:space="preserve">DATA-QUALITY gate                  : {'max_gap_ratio': 0.02, 'max_single_gap_hours': 72}</w:t>
      </w:r>
      <w:r>
        <w:br/>
      </w:r>
      <w:r>
        <w:br/>
      </w:r>
      <w:r>
        <w:rPr>
          <w:rStyle w:val="VerbatimChar"/>
        </w:rPr>
        <w:t xml:space="preserve">To (re)build offline from the .venv (reference - not run here):</w:t>
      </w:r>
      <w:r>
        <w:br/>
      </w:r>
      <w:r>
        <w:rPr>
          <w:rStyle w:val="VerbatimChar"/>
        </w:rPr>
        <w:t xml:space="preserve">  .venv/bin/python 03-inputs/binance-data/flow_data.py --interval 1h --all-market</w:t>
      </w:r>
      <w:r>
        <w:br/>
      </w:r>
      <w:r>
        <w:rPr>
          <w:rStyle w:val="VerbatimChar"/>
        </w:rPr>
        <w:t xml:space="preserve">  .venv/bin/python 03-inputs/build_dataset_1h.py --interval 1h</w:t>
      </w:r>
      <w:r>
        <w:br/>
      </w:r>
      <w:r>
        <w:br/>
      </w:r>
      <w:r>
        <w:rPr>
          <w:rStyle w:val="VerbatimChar"/>
        </w:rPr>
        <w:t xml:space="preserve">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rows</w:t>
            </w:r>
          </w:p>
        </w:tc>
      </w:tr>
      <w:tr>
        <w:trPr>
          <w:trHeight w:hRule="atLeast" w:val="397"/>
          <w:tblHeader w:val="on"/>
        </w:trPr>
        <w:tc>
          <w:tcPr>
            <w:tcW w:type="pct" w:w="2500"/>
          </w:tcPr>
          <w:p>
            <w:pPr>
              <w:pStyle w:val="Compact"/>
            </w:pPr>
            <w:r>
              <w:t xml:space="preserve">symbol</w:t>
            </w:r>
          </w:p>
        </w:tc>
        <w:tc>
          <w:tcPr>
            <w:tcW w:type="pct" w:w="2500"/>
          </w:tcPr>
          <w:p>
            <w:pPr>
              <w:pStyle w:val="Compact"/>
            </w:pPr>
          </w:p>
        </w:tc>
      </w:tr>
      <w:tr>
        <w:trPr>
          <w:trHeight w:hRule="atLeast" w:val="397"/>
        </w:trPr>
        <w:tc>
          <w:tcPr>
            <w:tcW w:type="pct" w:w="2500"/>
          </w:tcPr>
          <w:p>
            <w:pPr>
              <w:pStyle w:val="Compact"/>
            </w:pPr>
            <w:r>
              <w:t xml:space="preserve">BTC/USDT</w:t>
            </w:r>
          </w:p>
        </w:tc>
        <w:tc>
          <w:tcPr>
            <w:tcW w:type="pct" w:w="2500"/>
          </w:tcPr>
          <w:p>
            <w:pPr>
              <w:pStyle w:val="Compact"/>
            </w:pPr>
            <w:r>
              <w:t xml:space="preserve">75229</w:t>
            </w:r>
          </w:p>
        </w:tc>
      </w:tr>
      <w:tr>
        <w:trPr>
          <w:trHeight w:hRule="atLeast" w:val="397"/>
        </w:trPr>
        <w:tc>
          <w:tcPr>
            <w:tcW w:type="pct" w:w="2500"/>
          </w:tcPr>
          <w:p>
            <w:pPr>
              <w:pStyle w:val="Compact"/>
            </w:pPr>
            <w:r>
              <w:t xml:space="preserve">ETH/USDT</w:t>
            </w:r>
          </w:p>
        </w:tc>
        <w:tc>
          <w:tcPr>
            <w:tcW w:type="pct" w:w="2500"/>
          </w:tcPr>
          <w:p>
            <w:pPr>
              <w:pStyle w:val="Compact"/>
            </w:pPr>
            <w:r>
              <w:t xml:space="preserve">75229</w:t>
            </w:r>
          </w:p>
        </w:tc>
      </w:tr>
      <w:tr>
        <w:trPr>
          <w:trHeight w:hRule="atLeast" w:val="397"/>
        </w:trPr>
        <w:tc>
          <w:tcPr>
            <w:tcW w:type="pct" w:w="2500"/>
          </w:tcPr>
          <w:p>
            <w:pPr>
              <w:pStyle w:val="Compact"/>
            </w:pPr>
            <w:r>
              <w:t xml:space="preserve">BNB/USDT</w:t>
            </w:r>
          </w:p>
        </w:tc>
        <w:tc>
          <w:tcPr>
            <w:tcW w:type="pct" w:w="2500"/>
          </w:tcPr>
          <w:p>
            <w:pPr>
              <w:pStyle w:val="Compact"/>
            </w:pPr>
            <w:r>
              <w:t xml:space="preserve">73293</w:t>
            </w:r>
          </w:p>
        </w:tc>
      </w:tr>
      <w:tr>
        <w:trPr>
          <w:trHeight w:hRule="atLeast" w:val="397"/>
        </w:trPr>
        <w:tc>
          <w:tcPr>
            <w:tcW w:type="pct" w:w="2500"/>
          </w:tcPr>
          <w:p>
            <w:pPr>
              <w:pStyle w:val="Compact"/>
            </w:pPr>
            <w:r>
              <w:t xml:space="preserve">LTC/USDT</w:t>
            </w:r>
          </w:p>
        </w:tc>
        <w:tc>
          <w:tcPr>
            <w:tcW w:type="pct" w:w="2500"/>
          </w:tcPr>
          <w:p>
            <w:pPr>
              <w:pStyle w:val="Compact"/>
            </w:pPr>
            <w:r>
              <w:t xml:space="preserve">72405</w:t>
            </w:r>
          </w:p>
        </w:tc>
      </w:tr>
      <w:tr>
        <w:trPr>
          <w:trHeight w:hRule="atLeast" w:val="397"/>
        </w:trPr>
        <w:tc>
          <w:tcPr>
            <w:tcW w:type="pct" w:w="2500"/>
          </w:tcPr>
          <w:p>
            <w:pPr>
              <w:pStyle w:val="Compact"/>
            </w:pPr>
            <w:r>
              <w:t xml:space="preserve">ADA/USDT</w:t>
            </w:r>
          </w:p>
        </w:tc>
        <w:tc>
          <w:tcPr>
            <w:tcW w:type="pct" w:w="2500"/>
          </w:tcPr>
          <w:p>
            <w:pPr>
              <w:pStyle w:val="Compact"/>
            </w:pPr>
            <w:r>
              <w:t xml:space="preserve">69437</w:t>
            </w:r>
          </w:p>
        </w:tc>
      </w:tr>
      <w:tr>
        <w:trPr>
          <w:trHeight w:hRule="atLeast" w:val="397"/>
        </w:trPr>
        <w:tc>
          <w:tcPr>
            <w:tcW w:type="pct" w:w="2500"/>
          </w:tcPr>
          <w:p>
            <w:pPr>
              <w:pStyle w:val="Compact"/>
            </w:pPr>
            <w:r>
              <w:t xml:space="preserve">LINK/USDT</w:t>
            </w:r>
          </w:p>
        </w:tc>
        <w:tc>
          <w:tcPr>
            <w:tcW w:type="pct" w:w="2500"/>
          </w:tcPr>
          <w:p>
            <w:pPr>
              <w:pStyle w:val="Compact"/>
            </w:pPr>
            <w:r>
              <w:t xml:space="preserve">62715</w:t>
            </w:r>
          </w:p>
        </w:tc>
      </w:tr>
      <w:tr>
        <w:trPr>
          <w:trHeight w:hRule="atLeast" w:val="397"/>
        </w:trPr>
        <w:tc>
          <w:tcPr>
            <w:tcW w:type="pct" w:w="2500"/>
          </w:tcPr>
          <w:p>
            <w:pPr>
              <w:pStyle w:val="Compact"/>
            </w:pPr>
            <w:r>
              <w:t xml:space="preserve">FET/USDT</w:t>
            </w:r>
          </w:p>
        </w:tc>
        <w:tc>
          <w:tcPr>
            <w:tcW w:type="pct" w:w="2500"/>
          </w:tcPr>
          <w:p>
            <w:pPr>
              <w:pStyle w:val="Compact"/>
            </w:pPr>
            <w:r>
              <w:t xml:space="preserve">61837</w:t>
            </w:r>
          </w:p>
        </w:tc>
      </w:tr>
      <w:tr>
        <w:trPr>
          <w:trHeight w:hRule="atLeast" w:val="397"/>
        </w:trPr>
        <w:tc>
          <w:tcPr>
            <w:tcW w:type="pct" w:w="2500"/>
          </w:tcPr>
          <w:p>
            <w:pPr>
              <w:pStyle w:val="Compact"/>
            </w:pPr>
            <w:r>
              <w:t xml:space="preserve">DASH/USDT</w:t>
            </w:r>
          </w:p>
        </w:tc>
        <w:tc>
          <w:tcPr>
            <w:tcW w:type="pct" w:w="2500"/>
          </w:tcPr>
          <w:p>
            <w:pPr>
              <w:pStyle w:val="Compact"/>
            </w:pPr>
            <w:r>
              <w:t xml:space="preserve">61177</w:t>
            </w:r>
          </w:p>
        </w:tc>
      </w:tr>
      <w:tr>
        <w:trPr>
          <w:trHeight w:hRule="atLeast" w:val="397"/>
        </w:trPr>
        <w:tc>
          <w:tcPr>
            <w:tcW w:type="pct" w:w="2500"/>
          </w:tcPr>
          <w:p>
            <w:pPr>
              <w:pStyle w:val="Compact"/>
            </w:pPr>
            <w:r>
              <w:t xml:space="preserve">DOGE/USDT</w:t>
            </w:r>
          </w:p>
        </w:tc>
        <w:tc>
          <w:tcPr>
            <w:tcW w:type="pct" w:w="2500"/>
          </w:tcPr>
          <w:p>
            <w:pPr>
              <w:pStyle w:val="Compact"/>
            </w:pPr>
            <w:r>
              <w:t xml:space="preserve">58971</w:t>
            </w:r>
          </w:p>
        </w:tc>
      </w:tr>
      <w:tr>
        <w:trPr>
          <w:trHeight w:hRule="atLeast" w:val="397"/>
        </w:trPr>
        <w:tc>
          <w:tcPr>
            <w:tcW w:type="pct" w:w="2500"/>
          </w:tcPr>
          <w:p>
            <w:pPr>
              <w:pStyle w:val="Compact"/>
            </w:pPr>
            <w:r>
              <w:t xml:space="preserve">HBAR/USDT</w:t>
            </w:r>
          </w:p>
        </w:tc>
        <w:tc>
          <w:tcPr>
            <w:tcW w:type="pct" w:w="2500"/>
          </w:tcPr>
          <w:p>
            <w:pPr>
              <w:pStyle w:val="Compact"/>
            </w:pPr>
            <w:r>
              <w:t xml:space="preserve">56858</w:t>
            </w:r>
          </w:p>
        </w:tc>
      </w:tr>
      <w:tr>
        <w:trPr>
          <w:trHeight w:hRule="atLeast" w:val="397"/>
        </w:trPr>
        <w:tc>
          <w:tcPr>
            <w:tcW w:type="pct" w:w="2500"/>
          </w:tcPr>
          <w:p>
            <w:pPr>
              <w:pStyle w:val="Compact"/>
            </w:pPr>
            <w:r>
              <w:t xml:space="preserve">CHZ/USDT</w:t>
            </w:r>
          </w:p>
        </w:tc>
        <w:tc>
          <w:tcPr>
            <w:tcW w:type="pct" w:w="2500"/>
          </w:tcPr>
          <w:p>
            <w:pPr>
              <w:pStyle w:val="Compact"/>
            </w:pPr>
            <w:r>
              <w:t xml:space="preserve">56837</w:t>
            </w:r>
          </w:p>
        </w:tc>
      </w:tr>
      <w:tr>
        <w:trPr>
          <w:trHeight w:hRule="atLeast" w:val="397"/>
        </w:trPr>
        <w:tc>
          <w:tcPr>
            <w:tcW w:type="pct" w:w="2500"/>
          </w:tcPr>
          <w:p>
            <w:pPr>
              <w:pStyle w:val="Compact"/>
            </w:pPr>
            <w:r>
              <w:t xml:space="preserve">BCH/USDT</w:t>
            </w:r>
          </w:p>
        </w:tc>
        <w:tc>
          <w:tcPr>
            <w:tcW w:type="pct" w:w="2500"/>
          </w:tcPr>
          <w:p>
            <w:pPr>
              <w:pStyle w:val="Compact"/>
            </w:pPr>
            <w:r>
              <w:t xml:space="preserve">55495</w:t>
            </w:r>
          </w:p>
        </w:tc>
      </w:tr>
      <w:tr>
        <w:trPr>
          <w:trHeight w:hRule="atLeast" w:val="397"/>
        </w:trPr>
        <w:tc>
          <w:tcPr>
            <w:tcW w:type="pct" w:w="2500"/>
          </w:tcPr>
          <w:p>
            <w:pPr>
              <w:pStyle w:val="Compact"/>
            </w:pPr>
            <w:r>
              <w:t xml:space="preserve">SOL/USDT</w:t>
            </w:r>
          </w:p>
        </w:tc>
        <w:tc>
          <w:tcPr>
            <w:tcW w:type="pct" w:w="2500"/>
          </w:tcPr>
          <w:p>
            <w:pPr>
              <w:pStyle w:val="Compact"/>
            </w:pPr>
            <w:r>
              <w:t xml:space="preserve">49343</w:t>
            </w:r>
          </w:p>
        </w:tc>
      </w:tr>
      <w:tr>
        <w:trPr>
          <w:trHeight w:hRule="atLeast" w:val="397"/>
        </w:trPr>
        <w:tc>
          <w:tcPr>
            <w:tcW w:type="pct" w:w="2500"/>
          </w:tcPr>
          <w:p>
            <w:pPr>
              <w:pStyle w:val="Compact"/>
            </w:pPr>
            <w:r>
              <w:t xml:space="preserve">JST/USDT</w:t>
            </w:r>
          </w:p>
        </w:tc>
        <w:tc>
          <w:tcPr>
            <w:tcW w:type="pct" w:w="2500"/>
          </w:tcPr>
          <w:p>
            <w:pPr>
              <w:pStyle w:val="Compact"/>
            </w:pPr>
            <w:r>
              <w:t xml:space="preserve">49290</w:t>
            </w:r>
          </w:p>
        </w:tc>
      </w:tr>
      <w:tr>
        <w:trPr>
          <w:trHeight w:hRule="atLeast" w:val="397"/>
        </w:trPr>
        <w:tc>
          <w:tcPr>
            <w:tcW w:type="pct" w:w="2500"/>
          </w:tcPr>
          <w:p>
            <w:pPr>
              <w:pStyle w:val="Compact"/>
            </w:pPr>
            <w:r>
              <w:t xml:space="preserve">SAND/USDT</w:t>
            </w:r>
          </w:p>
        </w:tc>
        <w:tc>
          <w:tcPr>
            <w:tcW w:type="pct" w:w="2500"/>
          </w:tcPr>
          <w:p>
            <w:pPr>
              <w:pStyle w:val="Compact"/>
            </w:pPr>
            <w:r>
              <w:t xml:space="preserve">49264</w:t>
            </w:r>
          </w:p>
        </w:tc>
      </w:tr>
      <w:tr>
        <w:trPr>
          <w:trHeight w:hRule="atLeast" w:val="397"/>
        </w:trPr>
        <w:tc>
          <w:tcPr>
            <w:tcW w:type="pct" w:w="2500"/>
          </w:tcPr>
          <w:p>
            <w:pPr>
              <w:pStyle w:val="Compact"/>
            </w:pPr>
            <w:r>
              <w:t xml:space="preserve">PAXG/USDT</w:t>
            </w:r>
          </w:p>
        </w:tc>
        <w:tc>
          <w:tcPr>
            <w:tcW w:type="pct" w:w="2500"/>
          </w:tcPr>
          <w:p>
            <w:pPr>
              <w:pStyle w:val="Compact"/>
            </w:pPr>
            <w:r>
              <w:t xml:space="preserve">48754</w:t>
            </w:r>
          </w:p>
        </w:tc>
      </w:tr>
      <w:tr>
        <w:trPr>
          <w:trHeight w:hRule="atLeast" w:val="397"/>
        </w:trPr>
        <w:tc>
          <w:tcPr>
            <w:tcW w:type="pct" w:w="2500"/>
          </w:tcPr>
          <w:p>
            <w:pPr>
              <w:pStyle w:val="Compact"/>
            </w:pPr>
            <w:r>
              <w:t xml:space="preserve">BEL/USDT</w:t>
            </w:r>
          </w:p>
        </w:tc>
        <w:tc>
          <w:tcPr>
            <w:tcW w:type="pct" w:w="2500"/>
          </w:tcPr>
          <w:p>
            <w:pPr>
              <w:pStyle w:val="Compact"/>
            </w:pPr>
            <w:r>
              <w:t xml:space="preserve">48437</w:t>
            </w:r>
          </w:p>
        </w:tc>
      </w:tr>
      <w:tr>
        <w:trPr>
          <w:trHeight w:hRule="atLeast" w:val="397"/>
        </w:trPr>
        <w:tc>
          <w:tcPr>
            <w:tcW w:type="pct" w:w="2500"/>
          </w:tcPr>
          <w:p>
            <w:pPr>
              <w:pStyle w:val="Compact"/>
            </w:pPr>
            <w:r>
              <w:t xml:space="preserve">AVAX/USDT</w:t>
            </w:r>
          </w:p>
        </w:tc>
        <w:tc>
          <w:tcPr>
            <w:tcW w:type="pct" w:w="2500"/>
          </w:tcPr>
          <w:p>
            <w:pPr>
              <w:pStyle w:val="Compact"/>
            </w:pPr>
            <w:r>
              <w:t xml:space="preserve">48335</w:t>
            </w:r>
          </w:p>
        </w:tc>
      </w:tr>
      <w:tr>
        <w:trPr>
          <w:trHeight w:hRule="atLeast" w:val="397"/>
        </w:trPr>
        <w:tc>
          <w:tcPr>
            <w:tcW w:type="pct" w:w="2500"/>
          </w:tcPr>
          <w:p>
            <w:pPr>
              <w:pStyle w:val="Compact"/>
            </w:pPr>
            <w:r>
              <w:t xml:space="preserve">NEAR/USDT</w:t>
            </w:r>
          </w:p>
        </w:tc>
        <w:tc>
          <w:tcPr>
            <w:tcW w:type="pct" w:w="2500"/>
          </w:tcPr>
          <w:p>
            <w:pPr>
              <w:pStyle w:val="Compact"/>
            </w:pPr>
            <w:r>
              <w:t xml:space="preserve">47808</w:t>
            </w:r>
          </w:p>
        </w:tc>
      </w:tr>
      <w:tr>
        <w:trPr>
          <w:trHeight w:hRule="atLeast" w:val="397"/>
        </w:trPr>
        <w:tc>
          <w:tcPr>
            <w:tcW w:type="pct" w:w="2500"/>
          </w:tcPr>
          <w:p>
            <w:pPr>
              <w:pStyle w:val="Compact"/>
            </w:pPr>
            <w:r>
              <w:t xml:space="preserve">AAVE/USDT</w:t>
            </w:r>
          </w:p>
        </w:tc>
        <w:tc>
          <w:tcPr>
            <w:tcW w:type="pct" w:w="2500"/>
          </w:tcPr>
          <w:p>
            <w:pPr>
              <w:pStyle w:val="Compact"/>
            </w:pPr>
            <w:r>
              <w:t xml:space="preserve">47772</w:t>
            </w:r>
          </w:p>
        </w:tc>
      </w:tr>
      <w:tr>
        <w:trPr>
          <w:trHeight w:hRule="atLeast" w:val="397"/>
        </w:trPr>
        <w:tc>
          <w:tcPr>
            <w:tcW w:type="pct" w:w="2500"/>
          </w:tcPr>
          <w:p>
            <w:pPr>
              <w:pStyle w:val="Compact"/>
            </w:pPr>
            <w:r>
              <w:t xml:space="preserve">INJ/USDT</w:t>
            </w:r>
          </w:p>
        </w:tc>
        <w:tc>
          <w:tcPr>
            <w:tcW w:type="pct" w:w="2500"/>
          </w:tcPr>
          <w:p>
            <w:pPr>
              <w:pStyle w:val="Compact"/>
            </w:pPr>
            <w:r>
              <w:t xml:space="preserve">47613</w:t>
            </w:r>
          </w:p>
        </w:tc>
      </w:tr>
      <w:tr>
        <w:trPr>
          <w:trHeight w:hRule="atLeast" w:val="397"/>
        </w:trPr>
        <w:tc>
          <w:tcPr>
            <w:tcW w:type="pct" w:w="2500"/>
          </w:tcPr>
          <w:p>
            <w:pPr>
              <w:pStyle w:val="Compact"/>
            </w:pPr>
            <w:r>
              <w:t xml:space="preserve">AXS/USDT</w:t>
            </w:r>
          </w:p>
        </w:tc>
        <w:tc>
          <w:tcPr>
            <w:tcW w:type="pct" w:w="2500"/>
          </w:tcPr>
          <w:p>
            <w:pPr>
              <w:pStyle w:val="Compact"/>
            </w:pPr>
            <w:r>
              <w:t xml:space="preserve">47352</w:t>
            </w:r>
          </w:p>
        </w:tc>
      </w:tr>
      <w:tr>
        <w:trPr>
          <w:trHeight w:hRule="atLeast" w:val="397"/>
        </w:trPr>
        <w:tc>
          <w:tcPr>
            <w:tcW w:type="pct" w:w="2500"/>
          </w:tcPr>
          <w:p>
            <w:pPr>
              <w:pStyle w:val="Compact"/>
            </w:pPr>
            <w:r>
              <w:t xml:space="preserve">ALICE/USDT</w:t>
            </w:r>
          </w:p>
        </w:tc>
        <w:tc>
          <w:tcPr>
            <w:tcW w:type="pct" w:w="2500"/>
          </w:tcPr>
          <w:p>
            <w:pPr>
              <w:pStyle w:val="Compact"/>
            </w:pPr>
            <w:r>
              <w:t xml:space="preserve">44456</w:t>
            </w:r>
          </w:p>
        </w:tc>
      </w:tr>
      <w:tr>
        <w:trPr>
          <w:trHeight w:hRule="atLeast" w:val="397"/>
        </w:trPr>
        <w:tc>
          <w:tcPr>
            <w:tcW w:type="pct" w:w="2500"/>
          </w:tcPr>
          <w:p>
            <w:pPr>
              <w:pStyle w:val="Compact"/>
            </w:pPr>
            <w:r>
              <w:t xml:space="preserve">RIF/USDT</w:t>
            </w:r>
          </w:p>
        </w:tc>
        <w:tc>
          <w:tcPr>
            <w:tcW w:type="pct" w:w="2500"/>
          </w:tcPr>
          <w:p>
            <w:pPr>
              <w:pStyle w:val="Compact"/>
            </w:pPr>
            <w:r>
              <w:t xml:space="preserve">44034</w:t>
            </w:r>
          </w:p>
        </w:tc>
      </w:tr>
      <w:tr>
        <w:trPr>
          <w:trHeight w:hRule="atLeast" w:val="397"/>
        </w:trPr>
        <w:tc>
          <w:tcPr>
            <w:tcW w:type="pct" w:w="2500"/>
          </w:tcPr>
          <w:p>
            <w:pPr>
              <w:pStyle w:val="Compact"/>
            </w:pPr>
            <w:r>
              <w:t xml:space="preserve">BICO/USDT</w:t>
            </w:r>
          </w:p>
        </w:tc>
        <w:tc>
          <w:tcPr>
            <w:tcW w:type="pct" w:w="2500"/>
          </w:tcPr>
          <w:p>
            <w:pPr>
              <w:pStyle w:val="Compact"/>
            </w:pPr>
            <w:r>
              <w:t xml:space="preserve">37805</w:t>
            </w:r>
          </w:p>
        </w:tc>
      </w:tr>
    </w:tbl>
    <w:bookmarkEnd w:id="70"/>
    <w:bookmarkStart w:id="71" w:name="feature-variables"/>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p>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p>
        </w:tc>
        <w:tc>
          <w:tcPr>
            <w:tcW w:type="pct" w:w="833"/>
          </w:tcPr>
          <w:p>
            <w:pPr>
              <w:pStyle w:val="Compact"/>
            </w:pPr>
            <w:r>
              <w:rPr>
                <w:b/>
                <w:sz w:val="16"/>
              </w:rPr>
              <w:t xml:space="preserve">family</w:t>
            </w:r>
          </w:p>
        </w:tc>
        <w:tc>
          <w:tcPr>
            <w:tcW w:type="pct" w:w="833"/>
          </w:tcPr>
          <w:p>
            <w:pPr>
              <w:pStyle w:val="Compact"/>
            </w:pPr>
            <w:r>
              <w:rPr>
                <w:b/>
                <w:sz w:val="16"/>
              </w:rPr>
              <w:t xml:space="preserve">mean</w:t>
            </w:r>
          </w:p>
        </w:tc>
        <w:tc>
          <w:tcPr>
            <w:tcW w:type="pct" w:w="833"/>
          </w:tcPr>
          <w:p>
            <w:pPr>
              <w:pStyle w:val="Compact"/>
            </w:pPr>
            <w:r>
              <w:rPr>
                <w:b/>
                <w:sz w:val="16"/>
              </w:rPr>
              <w:t xml:space="preserve">std</w:t>
            </w:r>
          </w:p>
        </w:tc>
        <w:tc>
          <w:tcPr>
            <w:tcW w:type="pct" w:w="833"/>
          </w:tcPr>
          <w:p>
            <w:pPr>
              <w:pStyle w:val="Compact"/>
            </w:pPr>
            <w:r>
              <w:rPr>
                <w:b/>
                <w:sz w:val="16"/>
              </w:rPr>
              <w:t xml:space="preserve">min</w:t>
            </w:r>
          </w:p>
        </w:tc>
        <w:tc>
          <w:tcPr>
            <w:tcW w:type="pct" w:w="833"/>
          </w:tcPr>
          <w:p>
            <w:pPr>
              <w:pStyle w:val="Compact"/>
            </w:pPr>
            <w:r>
              <w:rPr>
                <w:b/>
                <w:sz w:val="16"/>
              </w:rPr>
              <w:t xml:space="preserve">max</w:t>
            </w:r>
          </w:p>
        </w:tc>
      </w:tr>
      <w:tr>
        <w:trPr>
          <w:trHeight w:hRule="atLeast" w:val="397"/>
        </w:trPr>
        <w:tc>
          <w:tcPr>
            <w:tcW w:type="pct" w:w="833"/>
          </w:tcPr>
          <w:p>
            <w:pPr>
              <w:pStyle w:val="Compact"/>
            </w:pPr>
            <w:r>
              <w:rPr>
                <w:sz w:val="16"/>
              </w:rPr>
              <w:t xml:space="preserve">0</w:t>
            </w:r>
          </w:p>
        </w:tc>
        <w:tc>
          <w:tcPr>
            <w:tcW w:type="pct" w:w="833"/>
          </w:tcPr>
          <w:p>
            <w:pPr>
              <w:pStyle w:val="Compact"/>
            </w:pPr>
            <w:r>
              <w:rPr>
                <w:sz w:val="16"/>
              </w:rPr>
              <w:t xml:space="preserve">f_flow</w:t>
            </w:r>
          </w:p>
        </w:tc>
        <w:tc>
          <w:tcPr>
            <w:tcW w:type="pct" w:w="833"/>
          </w:tcPr>
          <w:p>
            <w:pPr>
              <w:pStyle w:val="Compact"/>
            </w:pPr>
            <w:r>
              <w:rPr>
                <w:sz w:val="16"/>
              </w:rPr>
              <w:t xml:space="preserve">0.117</w:t>
            </w:r>
          </w:p>
        </w:tc>
        <w:tc>
          <w:tcPr>
            <w:tcW w:type="pct" w:w="833"/>
          </w:tcPr>
          <w:p>
            <w:pPr>
              <w:pStyle w:val="Compact"/>
            </w:pPr>
            <w:r>
              <w:rPr>
                <w:sz w:val="16"/>
              </w:rPr>
              <w:t xml:space="preserve">0.067</w:t>
            </w:r>
          </w:p>
        </w:tc>
        <w:tc>
          <w:tcPr>
            <w:tcW w:type="pct" w:w="833"/>
          </w:tcPr>
          <w:p>
            <w:pPr>
              <w:pStyle w:val="Compact"/>
            </w:pPr>
            <w:r>
              <w:rPr>
                <w:sz w:val="16"/>
              </w:rPr>
              <w:t xml:space="preserve">-0.466</w:t>
            </w:r>
          </w:p>
        </w:tc>
        <w:tc>
          <w:tcPr>
            <w:tcW w:type="pct" w:w="833"/>
          </w:tcPr>
          <w:p>
            <w:pPr>
              <w:pStyle w:val="Compact"/>
            </w:pPr>
            <w:r>
              <w:rPr>
                <w:sz w:val="16"/>
              </w:rPr>
              <w:t xml:space="preserve">0.668</w:t>
            </w:r>
          </w:p>
        </w:tc>
      </w:tr>
      <w:tr>
        <w:trPr>
          <w:trHeight w:hRule="atLeast" w:val="397"/>
        </w:trPr>
        <w:tc>
          <w:tcPr>
            <w:tcW w:type="pct" w:w="833"/>
          </w:tcPr>
          <w:p>
            <w:pPr>
              <w:pStyle w:val="Compact"/>
            </w:pPr>
            <w:r>
              <w:rPr>
                <w:sz w:val="16"/>
              </w:rPr>
              <w:t xml:space="preserve">1</w:t>
            </w:r>
          </w:p>
        </w:tc>
        <w:tc>
          <w:tcPr>
            <w:tcW w:type="pct" w:w="833"/>
          </w:tcPr>
          <w:p>
            <w:pPr>
              <w:pStyle w:val="Compact"/>
            </w:pPr>
            <w:r>
              <w:rPr>
                <w:sz w:val="16"/>
              </w:rPr>
              <w:t xml:space="preserve">f_hr</w:t>
            </w:r>
          </w:p>
        </w:tc>
        <w:tc>
          <w:tcPr>
            <w:tcW w:type="pct" w:w="833"/>
          </w:tcPr>
          <w:p>
            <w:pPr>
              <w:pStyle w:val="Compact"/>
            </w:pPr>
            <w:r>
              <w:rPr>
                <w:sz w:val="16"/>
              </w:rPr>
              <w:t xml:space="preserve">0.503</w:t>
            </w:r>
          </w:p>
        </w:tc>
        <w:tc>
          <w:tcPr>
            <w:tcW w:type="pct" w:w="833"/>
          </w:tcPr>
          <w:p>
            <w:pPr>
              <w:pStyle w:val="Compact"/>
            </w:pPr>
            <w:r>
              <w:rPr>
                <w:sz w:val="16"/>
              </w:rPr>
              <w:t xml:space="preserve">0.122</w:t>
            </w:r>
          </w:p>
        </w:tc>
        <w:tc>
          <w:tcPr>
            <w:tcW w:type="pct" w:w="833"/>
          </w:tcPr>
          <w:p>
            <w:pPr>
              <w:pStyle w:val="Compact"/>
            </w:pPr>
            <w:r>
              <w:rPr>
                <w:sz w:val="16"/>
              </w:rPr>
              <w:t xml:space="preserve">0.054</w:t>
            </w:r>
          </w:p>
        </w:tc>
        <w:tc>
          <w:tcPr>
            <w:tcW w:type="pct" w:w="833"/>
          </w:tcPr>
          <w:p>
            <w:pPr>
              <w:pStyle w:val="Compact"/>
            </w:pPr>
            <w:r>
              <w:rPr>
                <w:sz w:val="16"/>
              </w:rPr>
              <w:t xml:space="preserve">0.965</w:t>
            </w:r>
          </w:p>
        </w:tc>
      </w:tr>
      <w:tr>
        <w:trPr>
          <w:trHeight w:hRule="atLeast" w:val="397"/>
        </w:trPr>
        <w:tc>
          <w:tcPr>
            <w:tcW w:type="pct" w:w="833"/>
          </w:tcPr>
          <w:p>
            <w:pPr>
              <w:pStyle w:val="Compact"/>
            </w:pPr>
            <w:r>
              <w:rPr>
                <w:sz w:val="16"/>
              </w:rPr>
              <w:t xml:space="preserve">2</w:t>
            </w:r>
          </w:p>
        </w:tc>
        <w:tc>
          <w:tcPr>
            <w:tcW w:type="pct" w:w="833"/>
          </w:tcPr>
          <w:p>
            <w:pPr>
              <w:pStyle w:val="Compact"/>
            </w:pPr>
            <w:r>
              <w:rPr>
                <w:sz w:val="16"/>
              </w:rPr>
              <w:t xml:space="preserve">f_hr_a</w:t>
            </w:r>
          </w:p>
        </w:tc>
        <w:tc>
          <w:tcPr>
            <w:tcW w:type="pct" w:w="833"/>
          </w:tcPr>
          <w:p>
            <w:pPr>
              <w:pStyle w:val="Compact"/>
            </w:pPr>
            <w:r>
              <w:rPr>
                <w:sz w:val="16"/>
              </w:rPr>
              <w:t xml:space="preserve">0.013</w:t>
            </w:r>
          </w:p>
        </w:tc>
        <w:tc>
          <w:tcPr>
            <w:tcW w:type="pct" w:w="833"/>
          </w:tcPr>
          <w:p>
            <w:pPr>
              <w:pStyle w:val="Compact"/>
            </w:pPr>
            <w:r>
              <w:rPr>
                <w:sz w:val="16"/>
              </w:rPr>
              <w:t xml:space="preserve">0.005</w:t>
            </w:r>
          </w:p>
        </w:tc>
        <w:tc>
          <w:tcPr>
            <w:tcW w:type="pct" w:w="833"/>
          </w:tcPr>
          <w:p>
            <w:pPr>
              <w:pStyle w:val="Compact"/>
            </w:pPr>
            <w:r>
              <w:rPr>
                <w:sz w:val="16"/>
              </w:rPr>
              <w:t xml:space="preserve">0.005</w:t>
            </w:r>
          </w:p>
        </w:tc>
        <w:tc>
          <w:tcPr>
            <w:tcW w:type="pct" w:w="833"/>
          </w:tcPr>
          <w:p>
            <w:pPr>
              <w:pStyle w:val="Compact"/>
            </w:pPr>
            <w:r>
              <w:rPr>
                <w:sz w:val="16"/>
              </w:rPr>
              <w:t xml:space="preserve">0.025</w:t>
            </w:r>
          </w:p>
        </w:tc>
      </w:tr>
      <w:tr>
        <w:trPr>
          <w:trHeight w:hRule="atLeast" w:val="397"/>
        </w:trPr>
        <w:tc>
          <w:tcPr>
            <w:tcW w:type="pct" w:w="833"/>
          </w:tcPr>
          <w:p>
            <w:pPr>
              <w:pStyle w:val="Compact"/>
            </w:pPr>
            <w:r>
              <w:rPr>
                <w:sz w:val="16"/>
              </w:rPr>
              <w:t xml:space="preserve">3</w:t>
            </w:r>
          </w:p>
        </w:tc>
        <w:tc>
          <w:tcPr>
            <w:tcW w:type="pct" w:w="833"/>
          </w:tcPr>
          <w:p>
            <w:pPr>
              <w:pStyle w:val="Compact"/>
            </w:pPr>
            <w:r>
              <w:rPr>
                <w:sz w:val="16"/>
              </w:rPr>
              <w:t xml:space="preserve">f_hr_b</w:t>
            </w:r>
          </w:p>
        </w:tc>
        <w:tc>
          <w:tcPr>
            <w:tcW w:type="pct" w:w="833"/>
          </w:tcPr>
          <w:p>
            <w:pPr>
              <w:pStyle w:val="Compact"/>
            </w:pPr>
            <w:r>
              <w:rPr>
                <w:sz w:val="16"/>
              </w:rPr>
              <w:t xml:space="preserve">0.503</w:t>
            </w:r>
          </w:p>
        </w:tc>
        <w:tc>
          <w:tcPr>
            <w:tcW w:type="pct" w:w="833"/>
          </w:tcPr>
          <w:p>
            <w:pPr>
              <w:pStyle w:val="Compact"/>
            </w:pPr>
            <w:r>
              <w:rPr>
                <w:sz w:val="16"/>
              </w:rPr>
              <w:t xml:space="preserve">0.337</w:t>
            </w:r>
          </w:p>
        </w:tc>
        <w:tc>
          <w:tcPr>
            <w:tcW w:type="pct" w:w="833"/>
          </w:tcPr>
          <w:p>
            <w:pPr>
              <w:pStyle w:val="Compact"/>
            </w:pPr>
            <w:r>
              <w:rPr>
                <w:sz w:val="16"/>
              </w:rPr>
              <w:t xml:space="preserve">-0.576</w:t>
            </w:r>
          </w:p>
        </w:tc>
        <w:tc>
          <w:tcPr>
            <w:tcW w:type="pct" w:w="833"/>
          </w:tcPr>
          <w:p>
            <w:pPr>
              <w:pStyle w:val="Compact"/>
            </w:pPr>
            <w:r>
              <w:rPr>
                <w:sz w:val="16"/>
              </w:rPr>
              <w:t xml:space="preserve">1.582</w:t>
            </w:r>
          </w:p>
        </w:tc>
      </w:tr>
      <w:tr>
        <w:trPr>
          <w:trHeight w:hRule="atLeast" w:val="397"/>
        </w:trPr>
        <w:tc>
          <w:tcPr>
            <w:tcW w:type="pct" w:w="833"/>
          </w:tcPr>
          <w:p>
            <w:pPr>
              <w:pStyle w:val="Compact"/>
            </w:pPr>
            <w:r>
              <w:rPr>
                <w:sz w:val="16"/>
              </w:rPr>
              <w:t xml:space="preserve">4</w:t>
            </w:r>
          </w:p>
        </w:tc>
        <w:tc>
          <w:tcPr>
            <w:tcW w:type="pct" w:w="833"/>
          </w:tcPr>
          <w:p>
            <w:pPr>
              <w:pStyle w:val="Compact"/>
            </w:pPr>
            <w:r>
              <w:rPr>
                <w:sz w:val="16"/>
              </w:rPr>
              <w:t xml:space="preserve">f_hr_e</w:t>
            </w:r>
          </w:p>
        </w:tc>
        <w:tc>
          <w:tcPr>
            <w:tcW w:type="pct" w:w="833"/>
          </w:tcPr>
          <w:p>
            <w:pPr>
              <w:pStyle w:val="Compact"/>
            </w:pPr>
            <w:r>
              <w:rPr>
                <w:sz w:val="16"/>
              </w:rPr>
              <w:t xml:space="preserve">0.000</w:t>
            </w:r>
          </w:p>
        </w:tc>
        <w:tc>
          <w:tcPr>
            <w:tcW w:type="pct" w:w="833"/>
          </w:tcPr>
          <w:p>
            <w:pPr>
              <w:pStyle w:val="Compact"/>
            </w:pPr>
            <w:r>
              <w:rPr>
                <w:sz w:val="16"/>
              </w:rPr>
              <w:t xml:space="preserve">0.011</w:t>
            </w:r>
          </w:p>
        </w:tc>
        <w:tc>
          <w:tcPr>
            <w:tcW w:type="pct" w:w="833"/>
          </w:tcPr>
          <w:p>
            <w:pPr>
              <w:pStyle w:val="Compact"/>
            </w:pPr>
            <w:r>
              <w:rPr>
                <w:sz w:val="16"/>
              </w:rPr>
              <w:t xml:space="preserve">-0.070</w:t>
            </w:r>
          </w:p>
        </w:tc>
        <w:tc>
          <w:tcPr>
            <w:tcW w:type="pct" w:w="833"/>
          </w:tcPr>
          <w:p>
            <w:pPr>
              <w:pStyle w:val="Compact"/>
            </w:pPr>
            <w:r>
              <w:rPr>
                <w:sz w:val="16"/>
              </w:rPr>
              <w:t xml:space="preserve">0.054</w:t>
            </w:r>
          </w:p>
        </w:tc>
      </w:tr>
      <w:tr>
        <w:trPr>
          <w:trHeight w:hRule="atLeast" w:val="397"/>
        </w:trPr>
        <w:tc>
          <w:tcPr>
            <w:tcW w:type="pct" w:w="833"/>
          </w:tcPr>
          <w:p>
            <w:pPr>
              <w:pStyle w:val="Compact"/>
            </w:pPr>
            <w:r>
              <w:rPr>
                <w:sz w:val="16"/>
              </w:rPr>
              <w:t xml:space="preserve">5</w:t>
            </w:r>
          </w:p>
        </w:tc>
        <w:tc>
          <w:tcPr>
            <w:tcW w:type="pct" w:w="833"/>
          </w:tcPr>
          <w:p>
            <w:pPr>
              <w:pStyle w:val="Compact"/>
            </w:pPr>
            <w:r>
              <w:rPr>
                <w:sz w:val="16"/>
              </w:rPr>
              <w:t xml:space="preserve">f_hr_m</w:t>
            </w:r>
          </w:p>
        </w:tc>
        <w:tc>
          <w:tcPr>
            <w:tcW w:type="pct" w:w="833"/>
          </w:tcPr>
          <w:p>
            <w:pPr>
              <w:pStyle w:val="Compact"/>
            </w:pPr>
            <w:r>
              <w:rPr>
                <w:sz w:val="16"/>
              </w:rPr>
              <w:t xml:space="preserve">0.005</w:t>
            </w:r>
          </w:p>
        </w:tc>
        <w:tc>
          <w:tcPr>
            <w:tcW w:type="pct" w:w="833"/>
          </w:tcPr>
          <w:p>
            <w:pPr>
              <w:pStyle w:val="Compact"/>
            </w:pPr>
            <w:r>
              <w:rPr>
                <w:sz w:val="16"/>
              </w:rPr>
              <w:t xml:space="preserve">0.058</w:t>
            </w:r>
          </w:p>
        </w:tc>
        <w:tc>
          <w:tcPr>
            <w:tcW w:type="pct" w:w="833"/>
          </w:tcPr>
          <w:p>
            <w:pPr>
              <w:pStyle w:val="Compact"/>
            </w:pPr>
            <w:r>
              <w:rPr>
                <w:sz w:val="16"/>
              </w:rPr>
              <w:t xml:space="preserve">-0.331</w:t>
            </w:r>
          </w:p>
        </w:tc>
        <w:tc>
          <w:tcPr>
            <w:tcW w:type="pct" w:w="833"/>
          </w:tcPr>
          <w:p>
            <w:pPr>
              <w:pStyle w:val="Compact"/>
            </w:pPr>
            <w:r>
              <w:rPr>
                <w:sz w:val="16"/>
              </w:rPr>
              <w:t xml:space="preserve">0.502</w:t>
            </w:r>
          </w:p>
        </w:tc>
      </w:tr>
      <w:tr>
        <w:trPr>
          <w:trHeight w:hRule="atLeast" w:val="397"/>
        </w:trPr>
        <w:tc>
          <w:tcPr>
            <w:tcW w:type="pct" w:w="833"/>
          </w:tcPr>
          <w:p>
            <w:pPr>
              <w:pStyle w:val="Compact"/>
            </w:pPr>
            <w:r>
              <w:rPr>
                <w:sz w:val="16"/>
              </w:rPr>
              <w:t xml:space="preserve">6</w:t>
            </w:r>
          </w:p>
        </w:tc>
        <w:tc>
          <w:tcPr>
            <w:tcW w:type="pct" w:w="833"/>
          </w:tcPr>
          <w:p>
            <w:pPr>
              <w:pStyle w:val="Compact"/>
            </w:pPr>
            <w:r>
              <w:rPr>
                <w:sz w:val="16"/>
              </w:rPr>
              <w:t xml:space="preserve">f_hr_r</w:t>
            </w:r>
          </w:p>
        </w:tc>
        <w:tc>
          <w:tcPr>
            <w:tcW w:type="pct" w:w="833"/>
          </w:tcPr>
          <w:p>
            <w:pPr>
              <w:pStyle w:val="Compact"/>
            </w:pPr>
            <w:r>
              <w:rPr>
                <w:sz w:val="16"/>
              </w:rPr>
              <w:t xml:space="preserve">0.326</w:t>
            </w:r>
          </w:p>
        </w:tc>
        <w:tc>
          <w:tcPr>
            <w:tcW w:type="pct" w:w="833"/>
          </w:tcPr>
          <w:p>
            <w:pPr>
              <w:pStyle w:val="Compact"/>
            </w:pPr>
            <w:r>
              <w:rPr>
                <w:sz w:val="16"/>
              </w:rPr>
              <w:t xml:space="preserve">0.109</w:t>
            </w:r>
          </w:p>
        </w:tc>
        <w:tc>
          <w:tcPr>
            <w:tcW w:type="pct" w:w="833"/>
          </w:tcPr>
          <w:p>
            <w:pPr>
              <w:pStyle w:val="Compact"/>
            </w:pPr>
            <w:r>
              <w:rPr>
                <w:sz w:val="16"/>
              </w:rPr>
              <w:t xml:space="preserve">0.054</w:t>
            </w:r>
          </w:p>
        </w:tc>
        <w:tc>
          <w:tcPr>
            <w:tcW w:type="pct" w:w="833"/>
          </w:tcPr>
          <w:p>
            <w:pPr>
              <w:pStyle w:val="Compact"/>
            </w:pPr>
            <w:r>
              <w:rPr>
                <w:sz w:val="16"/>
              </w:rPr>
              <w:t xml:space="preserve">0.905</w:t>
            </w:r>
          </w:p>
        </w:tc>
      </w:tr>
      <w:tr>
        <w:trPr>
          <w:trHeight w:hRule="atLeast" w:val="397"/>
        </w:trPr>
        <w:tc>
          <w:tcPr>
            <w:tcW w:type="pct" w:w="833"/>
          </w:tcPr>
          <w:p>
            <w:pPr>
              <w:pStyle w:val="Compact"/>
            </w:pPr>
            <w:r>
              <w:rPr>
                <w:sz w:val="16"/>
              </w:rPr>
              <w:t xml:space="preserve">7</w:t>
            </w:r>
          </w:p>
        </w:tc>
        <w:tc>
          <w:tcPr>
            <w:tcW w:type="pct" w:w="833"/>
          </w:tcPr>
          <w:p>
            <w:pPr>
              <w:pStyle w:val="Compact"/>
            </w:pPr>
            <w:r>
              <w:rPr>
                <w:sz w:val="16"/>
              </w:rPr>
              <w:t xml:space="preserve">f_hr_v</w:t>
            </w:r>
          </w:p>
        </w:tc>
        <w:tc>
          <w:tcPr>
            <w:tcW w:type="pct" w:w="833"/>
          </w:tcPr>
          <w:p>
            <w:pPr>
              <w:pStyle w:val="Compact"/>
            </w:pPr>
            <w:r>
              <w:rPr>
                <w:sz w:val="16"/>
              </w:rPr>
              <w:t xml:space="preserve">1.024</w:t>
            </w:r>
          </w:p>
        </w:tc>
        <w:tc>
          <w:tcPr>
            <w:tcW w:type="pct" w:w="833"/>
          </w:tcPr>
          <w:p>
            <w:pPr>
              <w:pStyle w:val="Compact"/>
            </w:pPr>
            <w:r>
              <w:rPr>
                <w:sz w:val="16"/>
              </w:rPr>
              <w:t xml:space="preserve">0.789</w:t>
            </w:r>
          </w:p>
        </w:tc>
        <w:tc>
          <w:tcPr>
            <w:tcW w:type="pct" w:w="833"/>
          </w:tcPr>
          <w:p>
            <w:pPr>
              <w:pStyle w:val="Compact"/>
            </w:pPr>
            <w:r>
              <w:rPr>
                <w:sz w:val="16"/>
              </w:rPr>
              <w:t xml:space="preserve">0.002</w:t>
            </w:r>
          </w:p>
        </w:tc>
        <w:tc>
          <w:tcPr>
            <w:tcW w:type="pct" w:w="833"/>
          </w:tcPr>
          <w:p>
            <w:pPr>
              <w:pStyle w:val="Compact"/>
            </w:pPr>
            <w:r>
              <w:rPr>
                <w:sz w:val="16"/>
              </w:rPr>
              <w:t xml:space="preserve">19.739</w:t>
            </w:r>
          </w:p>
        </w:tc>
      </w:tr>
      <w:tr>
        <w:trPr>
          <w:trHeight w:hRule="atLeast" w:val="397"/>
        </w:trPr>
        <w:tc>
          <w:tcPr>
            <w:tcW w:type="pct" w:w="833"/>
          </w:tcPr>
          <w:p>
            <w:pPr>
              <w:pStyle w:val="Compact"/>
            </w:pPr>
            <w:r>
              <w:rPr>
                <w:sz w:val="16"/>
              </w:rPr>
              <w:t xml:space="preserve">8</w:t>
            </w:r>
          </w:p>
        </w:tc>
        <w:tc>
          <w:tcPr>
            <w:tcW w:type="pct" w:w="833"/>
          </w:tcPr>
          <w:p>
            <w:pPr>
              <w:pStyle w:val="Compact"/>
            </w:pPr>
            <w:r>
              <w:rPr>
                <w:sz w:val="16"/>
              </w:rPr>
              <w:t xml:space="preserve">f_ta</w:t>
            </w:r>
          </w:p>
        </w:tc>
        <w:tc>
          <w:tcPr>
            <w:tcW w:type="pct" w:w="833"/>
          </w:tcPr>
          <w:p>
            <w:pPr>
              <w:pStyle w:val="Compact"/>
            </w:pPr>
            <w:r>
              <w:rPr>
                <w:sz w:val="16"/>
              </w:rPr>
              <w:t xml:space="preserve">0.138</w:t>
            </w:r>
          </w:p>
        </w:tc>
        <w:tc>
          <w:tcPr>
            <w:tcW w:type="pct" w:w="833"/>
          </w:tcPr>
          <w:p>
            <w:pPr>
              <w:pStyle w:val="Compact"/>
            </w:pPr>
            <w:r>
              <w:rPr>
                <w:sz w:val="16"/>
              </w:rPr>
              <w:t xml:space="preserve">0.321</w:t>
            </w:r>
          </w:p>
        </w:tc>
        <w:tc>
          <w:tcPr>
            <w:tcW w:type="pct" w:w="833"/>
          </w:tcPr>
          <w:p>
            <w:pPr>
              <w:pStyle w:val="Compact"/>
            </w:pPr>
            <w:r>
              <w:rPr>
                <w:sz w:val="16"/>
              </w:rPr>
              <w:t xml:space="preserve">-1.395</w:t>
            </w:r>
          </w:p>
        </w:tc>
        <w:tc>
          <w:tcPr>
            <w:tcW w:type="pct" w:w="833"/>
          </w:tcPr>
          <w:p>
            <w:pPr>
              <w:pStyle w:val="Compact"/>
            </w:pPr>
            <w:r>
              <w:rPr>
                <w:sz w:val="16"/>
              </w:rPr>
              <w:t xml:space="preserve">1.737</w:t>
            </w:r>
          </w:p>
        </w:tc>
      </w:tr>
      <w:tr>
        <w:trPr>
          <w:trHeight w:hRule="atLeast" w:val="397"/>
        </w:trPr>
        <w:tc>
          <w:tcPr>
            <w:tcW w:type="pct" w:w="833"/>
          </w:tcPr>
          <w:p>
            <w:pPr>
              <w:pStyle w:val="Compact"/>
            </w:pPr>
            <w:r>
              <w:rPr>
                <w:sz w:val="16"/>
              </w:rPr>
              <w:t xml:space="preserve">9</w:t>
            </w:r>
          </w:p>
        </w:tc>
        <w:tc>
          <w:tcPr>
            <w:tcW w:type="pct" w:w="833"/>
          </w:tcPr>
          <w:p>
            <w:pPr>
              <w:pStyle w:val="Compact"/>
            </w:pPr>
            <w:r>
              <w:rPr>
                <w:sz w:val="16"/>
              </w:rPr>
              <w:t xml:space="preserve">f_ta_a</w:t>
            </w:r>
          </w:p>
        </w:tc>
        <w:tc>
          <w:tcPr>
            <w:tcW w:type="pct" w:w="833"/>
          </w:tcPr>
          <w:p>
            <w:pPr>
              <w:pStyle w:val="Compact"/>
            </w:pPr>
            <w:r>
              <w:rPr>
                <w:sz w:val="16"/>
              </w:rPr>
              <w:t xml:space="preserve">0.020</w:t>
            </w:r>
          </w:p>
        </w:tc>
        <w:tc>
          <w:tcPr>
            <w:tcW w:type="pct" w:w="833"/>
          </w:tcPr>
          <w:p>
            <w:pPr>
              <w:pStyle w:val="Compact"/>
            </w:pPr>
            <w:r>
              <w:rPr>
                <w:sz w:val="16"/>
              </w:rPr>
              <w:t xml:space="preserve">0.606</w:t>
            </w:r>
          </w:p>
        </w:tc>
        <w:tc>
          <w:tcPr>
            <w:tcW w:type="pct" w:w="833"/>
          </w:tcPr>
          <w:p>
            <w:pPr>
              <w:pStyle w:val="Compact"/>
            </w:pPr>
            <w:r>
              <w:rPr>
                <w:sz w:val="16"/>
              </w:rPr>
              <w:t xml:space="preserve">-1.000</w:t>
            </w:r>
          </w:p>
        </w:tc>
        <w:tc>
          <w:tcPr>
            <w:tcW w:type="pct" w:w="833"/>
          </w:tcPr>
          <w:p>
            <w:pPr>
              <w:pStyle w:val="Compact"/>
            </w:pPr>
            <w:r>
              <w:rPr>
                <w:sz w:val="16"/>
              </w:rPr>
              <w:t xml:space="preserve">1.000</w:t>
            </w:r>
          </w:p>
        </w:tc>
      </w:tr>
      <w:tr>
        <w:trPr>
          <w:trHeight w:hRule="atLeast" w:val="397"/>
        </w:trPr>
        <w:tc>
          <w:tcPr>
            <w:tcW w:type="pct" w:w="833"/>
          </w:tcPr>
          <w:p>
            <w:pPr>
              <w:pStyle w:val="Compact"/>
            </w:pPr>
            <w:r>
              <w:rPr>
                <w:sz w:val="16"/>
              </w:rPr>
              <w:t xml:space="preserve">10</w:t>
            </w:r>
          </w:p>
        </w:tc>
        <w:tc>
          <w:tcPr>
            <w:tcW w:type="pct" w:w="833"/>
          </w:tcPr>
          <w:p>
            <w:pPr>
              <w:pStyle w:val="Compact"/>
            </w:pPr>
            <w:r>
              <w:rPr>
                <w:sz w:val="16"/>
              </w:rPr>
              <w:t xml:space="preserve">f_ta_d</w:t>
            </w:r>
          </w:p>
        </w:tc>
        <w:tc>
          <w:tcPr>
            <w:tcW w:type="pct" w:w="833"/>
          </w:tcPr>
          <w:p>
            <w:pPr>
              <w:pStyle w:val="Compact"/>
            </w:pPr>
            <w:r>
              <w:rPr>
                <w:sz w:val="16"/>
              </w:rPr>
              <w:t xml:space="preserve">-0.007</w:t>
            </w:r>
          </w:p>
        </w:tc>
        <w:tc>
          <w:tcPr>
            <w:tcW w:type="pct" w:w="833"/>
          </w:tcPr>
          <w:p>
            <w:pPr>
              <w:pStyle w:val="Compact"/>
            </w:pPr>
            <w:r>
              <w:rPr>
                <w:sz w:val="16"/>
              </w:rPr>
              <w:t xml:space="preserve">0.148</w:t>
            </w:r>
          </w:p>
        </w:tc>
        <w:tc>
          <w:tcPr>
            <w:tcW w:type="pct" w:w="833"/>
          </w:tcPr>
          <w:p>
            <w:pPr>
              <w:pStyle w:val="Compact"/>
            </w:pPr>
            <w:r>
              <w:rPr>
                <w:sz w:val="16"/>
              </w:rPr>
              <w:t xml:space="preserve">-0.721</w:t>
            </w:r>
          </w:p>
        </w:tc>
        <w:tc>
          <w:tcPr>
            <w:tcW w:type="pct" w:w="833"/>
          </w:tcPr>
          <w:p>
            <w:pPr>
              <w:pStyle w:val="Compact"/>
            </w:pPr>
            <w:r>
              <w:rPr>
                <w:sz w:val="16"/>
              </w:rPr>
              <w:t xml:space="preserve">0.754</w:t>
            </w:r>
          </w:p>
        </w:tc>
      </w:tr>
      <w:tr>
        <w:trPr>
          <w:trHeight w:hRule="atLeast" w:val="397"/>
        </w:trPr>
        <w:tc>
          <w:tcPr>
            <w:tcW w:type="pct" w:w="833"/>
          </w:tcPr>
          <w:p>
            <w:pPr>
              <w:pStyle w:val="Compact"/>
            </w:pPr>
            <w:r>
              <w:rPr>
                <w:sz w:val="16"/>
              </w:rPr>
              <w:t xml:space="preserve">11</w:t>
            </w:r>
          </w:p>
        </w:tc>
        <w:tc>
          <w:tcPr>
            <w:tcW w:type="pct" w:w="833"/>
          </w:tcPr>
          <w:p>
            <w:pPr>
              <w:pStyle w:val="Compact"/>
            </w:pPr>
            <w:r>
              <w:rPr>
                <w:sz w:val="16"/>
              </w:rPr>
              <w:t xml:space="preserve">f_ta_p</w:t>
            </w:r>
          </w:p>
        </w:tc>
        <w:tc>
          <w:tcPr>
            <w:tcW w:type="pct" w:w="833"/>
          </w:tcPr>
          <w:p>
            <w:pPr>
              <w:pStyle w:val="Compact"/>
            </w:pPr>
            <w:r>
              <w:rPr>
                <w:sz w:val="16"/>
              </w:rPr>
              <w:t xml:space="preserve">-0.015</w:t>
            </w:r>
          </w:p>
        </w:tc>
        <w:tc>
          <w:tcPr>
            <w:tcW w:type="pct" w:w="833"/>
          </w:tcPr>
          <w:p>
            <w:pPr>
              <w:pStyle w:val="Compact"/>
            </w:pPr>
            <w:r>
              <w:rPr>
                <w:sz w:val="16"/>
              </w:rPr>
              <w:t xml:space="preserve">0.392</w:t>
            </w:r>
          </w:p>
        </w:tc>
        <w:tc>
          <w:tcPr>
            <w:tcW w:type="pct" w:w="833"/>
          </w:tcPr>
          <w:p>
            <w:pPr>
              <w:pStyle w:val="Compact"/>
            </w:pPr>
            <w:r>
              <w:rPr>
                <w:sz w:val="16"/>
              </w:rPr>
              <w:t xml:space="preserve">-1.647</w:t>
            </w:r>
          </w:p>
        </w:tc>
        <w:tc>
          <w:tcPr>
            <w:tcW w:type="pct" w:w="833"/>
          </w:tcPr>
          <w:p>
            <w:pPr>
              <w:pStyle w:val="Compact"/>
            </w:pPr>
            <w:r>
              <w:rPr>
                <w:sz w:val="16"/>
              </w:rPr>
              <w:t xml:space="preserve">1.529</w:t>
            </w:r>
          </w:p>
        </w:tc>
      </w:tr>
      <w:tr>
        <w:trPr>
          <w:trHeight w:hRule="atLeast" w:val="397"/>
        </w:trPr>
        <w:tc>
          <w:tcPr>
            <w:tcW w:type="pct" w:w="833"/>
          </w:tcPr>
          <w:p>
            <w:pPr>
              <w:pStyle w:val="Compact"/>
            </w:pPr>
            <w:r>
              <w:rPr>
                <w:sz w:val="16"/>
              </w:rPr>
              <w:t xml:space="preserve">12</w:t>
            </w:r>
          </w:p>
        </w:tc>
        <w:tc>
          <w:tcPr>
            <w:tcW w:type="pct" w:w="833"/>
          </w:tcPr>
          <w:p>
            <w:pPr>
              <w:pStyle w:val="Compact"/>
            </w:pPr>
            <w:r>
              <w:rPr>
                <w:sz w:val="16"/>
              </w:rPr>
              <w:t xml:space="preserve">f_tl</w:t>
            </w:r>
          </w:p>
        </w:tc>
        <w:tc>
          <w:tcPr>
            <w:tcW w:type="pct" w:w="833"/>
          </w:tcPr>
          <w:p>
            <w:pPr>
              <w:pStyle w:val="Compact"/>
            </w:pPr>
            <w:r>
              <w:rPr>
                <w:sz w:val="16"/>
              </w:rPr>
              <w:t xml:space="preserve">0.512</w:t>
            </w:r>
          </w:p>
        </w:tc>
        <w:tc>
          <w:tcPr>
            <w:tcW w:type="pct" w:w="833"/>
          </w:tcPr>
          <w:p>
            <w:pPr>
              <w:pStyle w:val="Compact"/>
            </w:pPr>
            <w:r>
              <w:rPr>
                <w:sz w:val="16"/>
              </w:rPr>
              <w:t xml:space="preserve">0.085</w:t>
            </w:r>
          </w:p>
        </w:tc>
        <w:tc>
          <w:tcPr>
            <w:tcW w:type="pct" w:w="833"/>
          </w:tcPr>
          <w:p>
            <w:pPr>
              <w:pStyle w:val="Compact"/>
            </w:pPr>
            <w:r>
              <w:rPr>
                <w:sz w:val="16"/>
              </w:rPr>
              <w:t xml:space="preserve">0.127</w:t>
            </w:r>
          </w:p>
        </w:tc>
        <w:tc>
          <w:tcPr>
            <w:tcW w:type="pct" w:w="833"/>
          </w:tcPr>
          <w:p>
            <w:pPr>
              <w:pStyle w:val="Compact"/>
            </w:pPr>
            <w:r>
              <w:rPr>
                <w:sz w:val="16"/>
              </w:rPr>
              <w:t xml:space="preserve">0.864</w:t>
            </w:r>
          </w:p>
        </w:tc>
      </w:tr>
      <w:tr>
        <w:trPr>
          <w:trHeight w:hRule="atLeast" w:val="397"/>
        </w:trPr>
        <w:tc>
          <w:tcPr>
            <w:tcW w:type="pct" w:w="833"/>
          </w:tcPr>
          <w:p>
            <w:pPr>
              <w:pStyle w:val="Compact"/>
            </w:pPr>
            <w:r>
              <w:rPr>
                <w:sz w:val="16"/>
              </w:rPr>
              <w:t xml:space="preserve">13</w:t>
            </w:r>
          </w:p>
        </w:tc>
        <w:tc>
          <w:tcPr>
            <w:tcW w:type="pct" w:w="833"/>
          </w:tcPr>
          <w:p>
            <w:pPr>
              <w:pStyle w:val="Compact"/>
            </w:pPr>
            <w:r>
              <w:rPr>
                <w:sz w:val="16"/>
              </w:rPr>
              <w:t xml:space="preserve">f_tl_c</w:t>
            </w:r>
          </w:p>
        </w:tc>
        <w:tc>
          <w:tcPr>
            <w:tcW w:type="pct" w:w="833"/>
          </w:tcPr>
          <w:p>
            <w:pPr>
              <w:pStyle w:val="Compact"/>
            </w:pPr>
            <w:r>
              <w:rPr>
                <w:sz w:val="16"/>
              </w:rPr>
              <w:t xml:space="preserve">0.017</w:t>
            </w:r>
          </w:p>
        </w:tc>
        <w:tc>
          <w:tcPr>
            <w:tcW w:type="pct" w:w="833"/>
          </w:tcPr>
          <w:p>
            <w:pPr>
              <w:pStyle w:val="Compact"/>
            </w:pPr>
            <w:r>
              <w:rPr>
                <w:sz w:val="16"/>
              </w:rPr>
              <w:t xml:space="preserve">0.156</w:t>
            </w:r>
          </w:p>
        </w:tc>
        <w:tc>
          <w:tcPr>
            <w:tcW w:type="pct" w:w="833"/>
          </w:tcPr>
          <w:p>
            <w:pPr>
              <w:pStyle w:val="Compact"/>
            </w:pPr>
            <w:r>
              <w:rPr>
                <w:sz w:val="16"/>
              </w:rPr>
              <w:t xml:space="preserve">-0.600</w:t>
            </w:r>
          </w:p>
        </w:tc>
        <w:tc>
          <w:tcPr>
            <w:tcW w:type="pct" w:w="833"/>
          </w:tcPr>
          <w:p>
            <w:pPr>
              <w:pStyle w:val="Compact"/>
            </w:pPr>
            <w:r>
              <w:rPr>
                <w:sz w:val="16"/>
              </w:rPr>
              <w:t xml:space="preserve">0.700</w:t>
            </w:r>
          </w:p>
        </w:tc>
      </w:tr>
      <w:tr>
        <w:trPr>
          <w:trHeight w:hRule="atLeast" w:val="397"/>
        </w:trPr>
        <w:tc>
          <w:tcPr>
            <w:tcW w:type="pct" w:w="833"/>
          </w:tcPr>
          <w:p>
            <w:pPr>
              <w:pStyle w:val="Compact"/>
            </w:pPr>
            <w:r>
              <w:rPr>
                <w:sz w:val="16"/>
              </w:rPr>
              <w:t xml:space="preserve">14</w:t>
            </w:r>
          </w:p>
        </w:tc>
        <w:tc>
          <w:tcPr>
            <w:tcW w:type="pct" w:w="833"/>
          </w:tcPr>
          <w:p>
            <w:pPr>
              <w:pStyle w:val="Compact"/>
            </w:pPr>
            <w:r>
              <w:rPr>
                <w:sz w:val="16"/>
              </w:rPr>
              <w:t xml:space="preserve">f_tl_h</w:t>
            </w:r>
          </w:p>
        </w:tc>
        <w:tc>
          <w:tcPr>
            <w:tcW w:type="pct" w:w="833"/>
          </w:tcPr>
          <w:p>
            <w:pPr>
              <w:pStyle w:val="Compact"/>
            </w:pPr>
            <w:r>
              <w:rPr>
                <w:sz w:val="16"/>
              </w:rPr>
              <w:t xml:space="preserve">0.648</w:t>
            </w:r>
          </w:p>
        </w:tc>
        <w:tc>
          <w:tcPr>
            <w:tcW w:type="pct" w:w="833"/>
          </w:tcPr>
          <w:p>
            <w:pPr>
              <w:pStyle w:val="Compact"/>
            </w:pPr>
            <w:r>
              <w:rPr>
                <w:sz w:val="16"/>
              </w:rPr>
              <w:t xml:space="preserve">0.524</w:t>
            </w:r>
          </w:p>
        </w:tc>
        <w:tc>
          <w:tcPr>
            <w:tcW w:type="pct" w:w="833"/>
          </w:tcPr>
          <w:p>
            <w:pPr>
              <w:pStyle w:val="Compact"/>
            </w:pPr>
            <w:r>
              <w:rPr>
                <w:sz w:val="16"/>
              </w:rPr>
              <w:t xml:space="preserve">-0.125</w:t>
            </w:r>
          </w:p>
        </w:tc>
        <w:tc>
          <w:tcPr>
            <w:tcW w:type="pct" w:w="833"/>
          </w:tcPr>
          <w:p>
            <w:pPr>
              <w:pStyle w:val="Compact"/>
            </w:pPr>
            <w:r>
              <w:rPr>
                <w:sz w:val="16"/>
              </w:rPr>
              <w:t xml:space="preserve">1.375</w:t>
            </w:r>
          </w:p>
        </w:tc>
      </w:tr>
      <w:tr>
        <w:trPr>
          <w:trHeight w:hRule="atLeast" w:val="397"/>
        </w:trPr>
        <w:tc>
          <w:tcPr>
            <w:tcW w:type="pct" w:w="833"/>
          </w:tcPr>
          <w:p>
            <w:pPr>
              <w:pStyle w:val="Compact"/>
            </w:pPr>
            <w:r>
              <w:rPr>
                <w:sz w:val="16"/>
              </w:rPr>
              <w:t xml:space="preserve">15</w:t>
            </w:r>
          </w:p>
        </w:tc>
        <w:tc>
          <w:tcPr>
            <w:tcW w:type="pct" w:w="833"/>
          </w:tcPr>
          <w:p>
            <w:pPr>
              <w:pStyle w:val="Compact"/>
            </w:pPr>
            <w:r>
              <w:rPr>
                <w:sz w:val="16"/>
              </w:rPr>
              <w:t xml:space="preserve">f_tl_m</w:t>
            </w:r>
          </w:p>
        </w:tc>
        <w:tc>
          <w:tcPr>
            <w:tcW w:type="pct" w:w="833"/>
          </w:tcPr>
          <w:p>
            <w:pPr>
              <w:pStyle w:val="Compact"/>
            </w:pPr>
            <w:r>
              <w:rPr>
                <w:sz w:val="16"/>
              </w:rPr>
              <w:t xml:space="preserve">0.000</w:t>
            </w:r>
          </w:p>
        </w:tc>
        <w:tc>
          <w:tcPr>
            <w:tcW w:type="pct" w:w="833"/>
          </w:tcPr>
          <w:p>
            <w:pPr>
              <w:pStyle w:val="Compact"/>
            </w:pPr>
            <w:r>
              <w:rPr>
                <w:sz w:val="16"/>
              </w:rPr>
              <w:t xml:space="preserve">0.013</w:t>
            </w:r>
          </w:p>
        </w:tc>
        <w:tc>
          <w:tcPr>
            <w:tcW w:type="pct" w:w="833"/>
          </w:tcPr>
          <w:p>
            <w:pPr>
              <w:pStyle w:val="Compact"/>
            </w:pPr>
            <w:r>
              <w:rPr>
                <w:sz w:val="16"/>
              </w:rPr>
              <w:t xml:space="preserve">-0.110</w:t>
            </w:r>
          </w:p>
        </w:tc>
        <w:tc>
          <w:tcPr>
            <w:tcW w:type="pct" w:w="833"/>
          </w:tcPr>
          <w:p>
            <w:pPr>
              <w:pStyle w:val="Compact"/>
            </w:pPr>
            <w:r>
              <w:rPr>
                <w:sz w:val="16"/>
              </w:rPr>
              <w:t xml:space="preserve">0.167</w:t>
            </w:r>
          </w:p>
        </w:tc>
      </w:tr>
      <w:tr>
        <w:trPr>
          <w:trHeight w:hRule="atLeast" w:val="397"/>
        </w:trPr>
        <w:tc>
          <w:tcPr>
            <w:tcW w:type="pct" w:w="833"/>
          </w:tcPr>
          <w:p>
            <w:pPr>
              <w:pStyle w:val="Compact"/>
            </w:pPr>
            <w:r>
              <w:rPr>
                <w:sz w:val="16"/>
              </w:rPr>
              <w:t xml:space="preserve">16</w:t>
            </w:r>
          </w:p>
        </w:tc>
        <w:tc>
          <w:tcPr>
            <w:tcW w:type="pct" w:w="833"/>
          </w:tcPr>
          <w:p>
            <w:pPr>
              <w:pStyle w:val="Compact"/>
            </w:pPr>
            <w:r>
              <w:rPr>
                <w:sz w:val="16"/>
              </w:rPr>
              <w:t xml:space="preserve">f_tl_s</w:t>
            </w:r>
          </w:p>
        </w:tc>
        <w:tc>
          <w:tcPr>
            <w:tcW w:type="pct" w:w="833"/>
          </w:tcPr>
          <w:p>
            <w:pPr>
              <w:pStyle w:val="Compact"/>
            </w:pPr>
            <w:r>
              <w:rPr>
                <w:sz w:val="16"/>
              </w:rPr>
              <w:t xml:space="preserve">0.000</w:t>
            </w:r>
          </w:p>
        </w:tc>
        <w:tc>
          <w:tcPr>
            <w:tcW w:type="pct" w:w="833"/>
          </w:tcPr>
          <w:p>
            <w:pPr>
              <w:pStyle w:val="Compact"/>
            </w:pPr>
            <w:r>
              <w:rPr>
                <w:sz w:val="16"/>
              </w:rPr>
              <w:t xml:space="preserve">0.033</w:t>
            </w:r>
          </w:p>
        </w:tc>
        <w:tc>
          <w:tcPr>
            <w:tcW w:type="pct" w:w="833"/>
          </w:tcPr>
          <w:p>
            <w:pPr>
              <w:pStyle w:val="Compact"/>
            </w:pPr>
            <w:r>
              <w:rPr>
                <w:sz w:val="16"/>
              </w:rPr>
              <w:t xml:space="preserve">-0.274</w:t>
            </w:r>
          </w:p>
        </w:tc>
        <w:tc>
          <w:tcPr>
            <w:tcW w:type="pct" w:w="833"/>
          </w:tcPr>
          <w:p>
            <w:pPr>
              <w:pStyle w:val="Compact"/>
            </w:pPr>
            <w:r>
              <w:rPr>
                <w:sz w:val="16"/>
              </w:rPr>
              <w:t xml:space="preserve">0.508</w:t>
            </w:r>
          </w:p>
        </w:tc>
      </w:tr>
      <w:tr>
        <w:trPr>
          <w:trHeight w:hRule="atLeast" w:val="397"/>
        </w:trPr>
        <w:tc>
          <w:tcPr>
            <w:tcW w:type="pct" w:w="833"/>
          </w:tcPr>
          <w:p>
            <w:pPr>
              <w:pStyle w:val="Compact"/>
            </w:pPr>
            <w:r>
              <w:rPr>
                <w:sz w:val="16"/>
              </w:rPr>
              <w:t xml:space="preserve">17</w:t>
            </w:r>
          </w:p>
        </w:tc>
        <w:tc>
          <w:tcPr>
            <w:tcW w:type="pct" w:w="833"/>
          </w:tcPr>
          <w:p>
            <w:pPr>
              <w:pStyle w:val="Compact"/>
            </w:pPr>
            <w:r>
              <w:rPr>
                <w:sz w:val="16"/>
              </w:rPr>
              <w:t xml:space="preserve">f_wc</w:t>
            </w:r>
          </w:p>
        </w:tc>
        <w:tc>
          <w:tcPr>
            <w:tcW w:type="pct" w:w="833"/>
          </w:tcPr>
          <w:p>
            <w:pPr>
              <w:pStyle w:val="Compact"/>
            </w:pPr>
            <w:r>
              <w:rPr>
                <w:sz w:val="16"/>
              </w:rPr>
              <w:t xml:space="preserve">0.502</w:t>
            </w:r>
          </w:p>
        </w:tc>
        <w:tc>
          <w:tcPr>
            <w:tcW w:type="pct" w:w="833"/>
          </w:tcPr>
          <w:p>
            <w:pPr>
              <w:pStyle w:val="Compact"/>
            </w:pPr>
            <w:r>
              <w:rPr>
                <w:sz w:val="16"/>
              </w:rPr>
              <w:t xml:space="preserve">0.026</w:t>
            </w:r>
          </w:p>
        </w:tc>
        <w:tc>
          <w:tcPr>
            <w:tcW w:type="pct" w:w="833"/>
          </w:tcPr>
          <w:p>
            <w:pPr>
              <w:pStyle w:val="Compact"/>
            </w:pPr>
            <w:r>
              <w:rPr>
                <w:sz w:val="16"/>
              </w:rPr>
              <w:t xml:space="preserve">0.372</w:t>
            </w:r>
          </w:p>
        </w:tc>
        <w:tc>
          <w:tcPr>
            <w:tcW w:type="pct" w:w="833"/>
          </w:tcPr>
          <w:p>
            <w:pPr>
              <w:pStyle w:val="Compact"/>
            </w:pPr>
            <w:r>
              <w:rPr>
                <w:sz w:val="16"/>
              </w:rPr>
              <w:t xml:space="preserve">0.647</w:t>
            </w:r>
          </w:p>
        </w:tc>
      </w:tr>
      <w:tr>
        <w:trPr>
          <w:trHeight w:hRule="atLeast" w:val="397"/>
        </w:trPr>
        <w:tc>
          <w:tcPr>
            <w:tcW w:type="pct" w:w="833"/>
          </w:tcPr>
          <w:p>
            <w:pPr>
              <w:pStyle w:val="Compact"/>
            </w:pPr>
            <w:r>
              <w:rPr>
                <w:sz w:val="16"/>
              </w:rPr>
              <w:t xml:space="preserve">18</w:t>
            </w:r>
          </w:p>
        </w:tc>
        <w:tc>
          <w:tcPr>
            <w:tcW w:type="pct" w:w="833"/>
          </w:tcPr>
          <w:p>
            <w:pPr>
              <w:pStyle w:val="Compact"/>
            </w:pPr>
            <w:r>
              <w:rPr>
                <w:sz w:val="16"/>
              </w:rPr>
              <w:t xml:space="preserve">f_wc_a</w:t>
            </w:r>
          </w:p>
        </w:tc>
        <w:tc>
          <w:tcPr>
            <w:tcW w:type="pct" w:w="833"/>
          </w:tcPr>
          <w:p>
            <w:pPr>
              <w:pStyle w:val="Compact"/>
            </w:pPr>
            <w:r>
              <w:rPr>
                <w:sz w:val="16"/>
              </w:rPr>
              <w:t xml:space="preserve">0.014</w:t>
            </w:r>
          </w:p>
        </w:tc>
        <w:tc>
          <w:tcPr>
            <w:tcW w:type="pct" w:w="833"/>
          </w:tcPr>
          <w:p>
            <w:pPr>
              <w:pStyle w:val="Compact"/>
            </w:pPr>
            <w:r>
              <w:rPr>
                <w:sz w:val="16"/>
              </w:rPr>
              <w:t xml:space="preserve">0.006</w:t>
            </w:r>
          </w:p>
        </w:tc>
        <w:tc>
          <w:tcPr>
            <w:tcW w:type="pct" w:w="833"/>
          </w:tcPr>
          <w:p>
            <w:pPr>
              <w:pStyle w:val="Compact"/>
            </w:pPr>
            <w:r>
              <w:rPr>
                <w:sz w:val="16"/>
              </w:rPr>
              <w:t xml:space="preserve">0.002</w:t>
            </w:r>
          </w:p>
        </w:tc>
        <w:tc>
          <w:tcPr>
            <w:tcW w:type="pct" w:w="833"/>
          </w:tcPr>
          <w:p>
            <w:pPr>
              <w:pStyle w:val="Compact"/>
            </w:pPr>
            <w:r>
              <w:rPr>
                <w:sz w:val="16"/>
              </w:rPr>
              <w:t xml:space="preserve">0.076</w:t>
            </w:r>
          </w:p>
        </w:tc>
      </w:tr>
      <w:tr>
        <w:trPr>
          <w:trHeight w:hRule="atLeast" w:val="397"/>
        </w:trPr>
        <w:tc>
          <w:tcPr>
            <w:tcW w:type="pct" w:w="833"/>
          </w:tcPr>
          <w:p>
            <w:pPr>
              <w:pStyle w:val="Compact"/>
            </w:pPr>
            <w:r>
              <w:rPr>
                <w:sz w:val="16"/>
              </w:rPr>
              <w:t xml:space="preserve">19</w:t>
            </w:r>
          </w:p>
        </w:tc>
        <w:tc>
          <w:tcPr>
            <w:tcW w:type="pct" w:w="833"/>
          </w:tcPr>
          <w:p>
            <w:pPr>
              <w:pStyle w:val="Compact"/>
            </w:pPr>
            <w:r>
              <w:rPr>
                <w:sz w:val="16"/>
              </w:rPr>
              <w:t xml:space="preserve">f_wc_b</w:t>
            </w:r>
          </w:p>
        </w:tc>
        <w:tc>
          <w:tcPr>
            <w:tcW w:type="pct" w:w="833"/>
          </w:tcPr>
          <w:p>
            <w:pPr>
              <w:pStyle w:val="Compact"/>
            </w:pPr>
            <w:r>
              <w:rPr>
                <w:sz w:val="16"/>
              </w:rPr>
              <w:t xml:space="preserve">0.531</w:t>
            </w:r>
          </w:p>
        </w:tc>
        <w:tc>
          <w:tcPr>
            <w:tcW w:type="pct" w:w="833"/>
          </w:tcPr>
          <w:p>
            <w:pPr>
              <w:pStyle w:val="Compact"/>
            </w:pPr>
            <w:r>
              <w:rPr>
                <w:sz w:val="16"/>
              </w:rPr>
              <w:t xml:space="preserve">0.358</w:t>
            </w:r>
          </w:p>
        </w:tc>
        <w:tc>
          <w:tcPr>
            <w:tcW w:type="pct" w:w="833"/>
          </w:tcPr>
          <w:p>
            <w:pPr>
              <w:pStyle w:val="Compact"/>
            </w:pPr>
            <w:r>
              <w:rPr>
                <w:sz w:val="16"/>
              </w:rPr>
              <w:t xml:space="preserve">-1.825</w:t>
            </w:r>
          </w:p>
        </w:tc>
        <w:tc>
          <w:tcPr>
            <w:tcW w:type="pct" w:w="833"/>
          </w:tcPr>
          <w:p>
            <w:pPr>
              <w:pStyle w:val="Compact"/>
            </w:pPr>
            <w:r>
              <w:rPr>
                <w:sz w:val="16"/>
              </w:rPr>
              <w:t xml:space="preserve">2.594</w:t>
            </w:r>
          </w:p>
        </w:tc>
      </w:tr>
      <w:tr>
        <w:trPr>
          <w:trHeight w:hRule="atLeast" w:val="397"/>
        </w:trPr>
        <w:tc>
          <w:tcPr>
            <w:tcW w:type="pct" w:w="833"/>
          </w:tcPr>
          <w:p>
            <w:pPr>
              <w:pStyle w:val="Compact"/>
            </w:pPr>
            <w:r>
              <w:rPr>
                <w:sz w:val="16"/>
              </w:rPr>
              <w:t xml:space="preserve">20</w:t>
            </w:r>
          </w:p>
        </w:tc>
        <w:tc>
          <w:tcPr>
            <w:tcW w:type="pct" w:w="833"/>
          </w:tcPr>
          <w:p>
            <w:pPr>
              <w:pStyle w:val="Compact"/>
            </w:pPr>
            <w:r>
              <w:rPr>
                <w:sz w:val="16"/>
              </w:rPr>
              <w:t xml:space="preserve">f_wc_e</w:t>
            </w:r>
          </w:p>
        </w:tc>
        <w:tc>
          <w:tcPr>
            <w:tcW w:type="pct" w:w="833"/>
          </w:tcPr>
          <w:p>
            <w:pPr>
              <w:pStyle w:val="Compact"/>
            </w:pPr>
            <w:r>
              <w:rPr>
                <w:sz w:val="16"/>
              </w:rPr>
              <w:t xml:space="preserve">-0.012</w:t>
            </w:r>
          </w:p>
        </w:tc>
        <w:tc>
          <w:tcPr>
            <w:tcW w:type="pct" w:w="833"/>
          </w:tcPr>
          <w:p>
            <w:pPr>
              <w:pStyle w:val="Compact"/>
            </w:pPr>
            <w:r>
              <w:rPr>
                <w:sz w:val="16"/>
              </w:rPr>
              <w:t xml:space="preserve">0.129</w:t>
            </w:r>
          </w:p>
        </w:tc>
        <w:tc>
          <w:tcPr>
            <w:tcW w:type="pct" w:w="833"/>
          </w:tcPr>
          <w:p>
            <w:pPr>
              <w:pStyle w:val="Compact"/>
            </w:pPr>
            <w:r>
              <w:rPr>
                <w:sz w:val="16"/>
              </w:rPr>
              <w:t xml:space="preserve">-1.147</w:t>
            </w:r>
          </w:p>
        </w:tc>
        <w:tc>
          <w:tcPr>
            <w:tcW w:type="pct" w:w="833"/>
          </w:tcPr>
          <w:p>
            <w:pPr>
              <w:pStyle w:val="Compact"/>
            </w:pPr>
            <w:r>
              <w:rPr>
                <w:sz w:val="16"/>
              </w:rPr>
              <w:t xml:space="preserve">0.404</w:t>
            </w:r>
          </w:p>
        </w:tc>
      </w:tr>
      <w:tr>
        <w:trPr>
          <w:trHeight w:hRule="atLeast" w:val="397"/>
        </w:trPr>
        <w:tc>
          <w:tcPr>
            <w:tcW w:type="pct" w:w="833"/>
          </w:tcPr>
          <w:p>
            <w:pPr>
              <w:pStyle w:val="Compact"/>
            </w:pPr>
            <w:r>
              <w:rPr>
                <w:sz w:val="16"/>
              </w:rPr>
              <w:t xml:space="preserve">21</w:t>
            </w:r>
          </w:p>
        </w:tc>
        <w:tc>
          <w:tcPr>
            <w:tcW w:type="pct" w:w="833"/>
          </w:tcPr>
          <w:p>
            <w:pPr>
              <w:pStyle w:val="Compact"/>
            </w:pPr>
            <w:r>
              <w:rPr>
                <w:sz w:val="16"/>
              </w:rPr>
              <w:t xml:space="preserve">f_wc_m</w:t>
            </w:r>
          </w:p>
        </w:tc>
        <w:tc>
          <w:tcPr>
            <w:tcW w:type="pct" w:w="833"/>
          </w:tcPr>
          <w:p>
            <w:pPr>
              <w:pStyle w:val="Compact"/>
            </w:pPr>
            <w:r>
              <w:rPr>
                <w:sz w:val="16"/>
              </w:rPr>
              <w:t xml:space="preserve">0.064</w:t>
            </w:r>
          </w:p>
        </w:tc>
        <w:tc>
          <w:tcPr>
            <w:tcW w:type="pct" w:w="833"/>
          </w:tcPr>
          <w:p>
            <w:pPr>
              <w:pStyle w:val="Compact"/>
            </w:pPr>
            <w:r>
              <w:rPr>
                <w:sz w:val="16"/>
              </w:rPr>
              <w:t xml:space="preserve">0.358</w:t>
            </w:r>
          </w:p>
        </w:tc>
        <w:tc>
          <w:tcPr>
            <w:tcW w:type="pct" w:w="833"/>
          </w:tcPr>
          <w:p>
            <w:pPr>
              <w:pStyle w:val="Compact"/>
            </w:pPr>
            <w:r>
              <w:rPr>
                <w:sz w:val="16"/>
              </w:rPr>
              <w:t xml:space="preserve">-0.746</w:t>
            </w:r>
          </w:p>
        </w:tc>
        <w:tc>
          <w:tcPr>
            <w:tcW w:type="pct" w:w="833"/>
          </w:tcPr>
          <w:p>
            <w:pPr>
              <w:pStyle w:val="Compact"/>
            </w:pPr>
            <w:r>
              <w:rPr>
                <w:sz w:val="16"/>
              </w:rPr>
              <w:t xml:space="preserve">10.776</w:t>
            </w:r>
          </w:p>
        </w:tc>
      </w:tr>
      <w:tr>
        <w:trPr>
          <w:trHeight w:hRule="atLeast" w:val="397"/>
        </w:trPr>
        <w:tc>
          <w:tcPr>
            <w:tcW w:type="pct" w:w="833"/>
          </w:tcPr>
          <w:p>
            <w:pPr>
              <w:pStyle w:val="Compact"/>
            </w:pPr>
            <w:r>
              <w:rPr>
                <w:sz w:val="16"/>
              </w:rPr>
              <w:t xml:space="preserve">22</w:t>
            </w:r>
          </w:p>
        </w:tc>
        <w:tc>
          <w:tcPr>
            <w:tcW w:type="pct" w:w="833"/>
          </w:tcPr>
          <w:p>
            <w:pPr>
              <w:pStyle w:val="Compact"/>
            </w:pPr>
            <w:r>
              <w:rPr>
                <w:sz w:val="16"/>
              </w:rPr>
              <w:t xml:space="preserve">f_wc_r</w:t>
            </w:r>
          </w:p>
        </w:tc>
        <w:tc>
          <w:tcPr>
            <w:tcW w:type="pct" w:w="833"/>
          </w:tcPr>
          <w:p>
            <w:pPr>
              <w:pStyle w:val="Compact"/>
            </w:pPr>
            <w:r>
              <w:rPr>
                <w:sz w:val="16"/>
              </w:rPr>
              <w:t xml:space="preserve">0.325</w:t>
            </w:r>
          </w:p>
        </w:tc>
        <w:tc>
          <w:tcPr>
            <w:tcW w:type="pct" w:w="833"/>
          </w:tcPr>
          <w:p>
            <w:pPr>
              <w:pStyle w:val="Compact"/>
            </w:pPr>
            <w:r>
              <w:rPr>
                <w:sz w:val="16"/>
              </w:rPr>
              <w:t xml:space="preserve">0.085</w:t>
            </w:r>
          </w:p>
        </w:tc>
        <w:tc>
          <w:tcPr>
            <w:tcW w:type="pct" w:w="833"/>
          </w:tcPr>
          <w:p>
            <w:pPr>
              <w:pStyle w:val="Compact"/>
            </w:pPr>
            <w:r>
              <w:rPr>
                <w:sz w:val="16"/>
              </w:rPr>
              <w:t xml:space="preserve">0.087</w:t>
            </w:r>
          </w:p>
        </w:tc>
        <w:tc>
          <w:tcPr>
            <w:tcW w:type="pct" w:w="833"/>
          </w:tcPr>
          <w:p>
            <w:pPr>
              <w:pStyle w:val="Compact"/>
            </w:pPr>
            <w:r>
              <w:rPr>
                <w:sz w:val="16"/>
              </w:rPr>
              <w:t xml:space="preserve">0.714</w:t>
            </w:r>
          </w:p>
        </w:tc>
      </w:tr>
      <w:tr>
        <w:trPr>
          <w:trHeight w:hRule="atLeast" w:val="397"/>
        </w:trPr>
        <w:tc>
          <w:tcPr>
            <w:tcW w:type="pct" w:w="833"/>
          </w:tcPr>
          <w:p>
            <w:pPr>
              <w:pStyle w:val="Compact"/>
            </w:pPr>
            <w:r>
              <w:rPr>
                <w:sz w:val="16"/>
              </w:rPr>
              <w:t xml:space="preserve">23</w:t>
            </w:r>
          </w:p>
        </w:tc>
        <w:tc>
          <w:tcPr>
            <w:tcW w:type="pct" w:w="833"/>
          </w:tcPr>
          <w:p>
            <w:pPr>
              <w:pStyle w:val="Compact"/>
            </w:pPr>
            <w:r>
              <w:rPr>
                <w:sz w:val="16"/>
              </w:rPr>
              <w:t xml:space="preserve">f_wc_v</w:t>
            </w:r>
          </w:p>
        </w:tc>
        <w:tc>
          <w:tcPr>
            <w:tcW w:type="pct" w:w="833"/>
          </w:tcPr>
          <w:p>
            <w:pPr>
              <w:pStyle w:val="Compact"/>
            </w:pPr>
            <w:r>
              <w:rPr>
                <w:sz w:val="16"/>
              </w:rPr>
              <w:t xml:space="preserve">1.032</w:t>
            </w:r>
          </w:p>
        </w:tc>
        <w:tc>
          <w:tcPr>
            <w:tcW w:type="pct" w:w="833"/>
          </w:tcPr>
          <w:p>
            <w:pPr>
              <w:pStyle w:val="Compact"/>
            </w:pPr>
            <w:r>
              <w:rPr>
                <w:sz w:val="16"/>
              </w:rPr>
              <w:t xml:space="preserve">1.123</w:t>
            </w:r>
          </w:p>
        </w:tc>
        <w:tc>
          <w:tcPr>
            <w:tcW w:type="pct" w:w="833"/>
          </w:tcPr>
          <w:p>
            <w:pPr>
              <w:pStyle w:val="Compact"/>
            </w:pPr>
            <w:r>
              <w:rPr>
                <w:sz w:val="16"/>
              </w:rPr>
              <w:t xml:space="preserve">0.001</w:t>
            </w:r>
          </w:p>
        </w:tc>
        <w:tc>
          <w:tcPr>
            <w:tcW w:type="pct" w:w="833"/>
          </w:tcPr>
          <w:p>
            <w:pPr>
              <w:pStyle w:val="Compact"/>
            </w:pPr>
            <w:r>
              <w:rPr>
                <w:sz w:val="16"/>
              </w:rPr>
              <w:t xml:space="preserve">129.313</w:t>
            </w:r>
          </w:p>
        </w:tc>
      </w:tr>
    </w:tbl>
    <w:p>
      <w:pPr>
        <w:pStyle w:val="BodyText"/>
      </w:pPr>
      <w:r>
        <w:t xml:space="preserve"> </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prefix</w:t>
            </w:r>
          </w:p>
        </w:tc>
        <w:tc>
          <w:tcPr>
            <w:tcW w:type="pct" w:w="1250"/>
          </w:tcPr>
          <w:p>
            <w:pPr>
              <w:pStyle w:val="Compact"/>
            </w:pPr>
            <w:r>
              <w:rPr>
                <w:b/>
              </w:rPr>
              <w:t xml:space="preserve">block</w:t>
            </w:r>
          </w:p>
        </w:tc>
        <w:tc>
          <w:tcPr>
            <w:tcW w:type="pct" w:w="1250"/>
          </w:tcPr>
          <w:p>
            <w:pPr>
              <w:pStyle w:val="Compact"/>
            </w:pPr>
            <w:r>
              <w:rPr>
                <w:b/>
              </w:rPr>
              <w:t xml:space="preserve">columns</w:t>
            </w:r>
          </w:p>
        </w:tc>
      </w:tr>
      <w:tr>
        <w:trPr>
          <w:trHeight w:hRule="atLeast" w:val="397"/>
        </w:trPr>
        <w:tc>
          <w:tcPr>
            <w:tcW w:type="pct" w:w="1250"/>
          </w:tcPr>
          <w:p>
            <w:pPr>
              <w:pStyle w:val="Compact"/>
            </w:pPr>
            <w:r>
              <w:t xml:space="preserve">0</w:t>
            </w:r>
          </w:p>
        </w:tc>
        <w:tc>
          <w:tcPr>
            <w:tcW w:type="pct" w:w="1250"/>
          </w:tcPr>
          <w:p>
            <w:pPr>
              <w:pStyle w:val="Compact"/>
            </w:pPr>
            <w:r>
              <w:t xml:space="preserve">f_st_</w:t>
            </w:r>
          </w:p>
        </w:tc>
        <w:tc>
          <w:tcPr>
            <w:tcW w:type="pct" w:w="1250"/>
          </w:tcPr>
          <w:p>
            <w:pPr>
              <w:pStyle w:val="Compact"/>
            </w:pPr>
            <w:r>
              <w:t xml:space="preserve">triple Supertrend, three ATR bands and the EMA-200 gate</w:t>
            </w:r>
          </w:p>
        </w:tc>
        <w:tc>
          <w:tcPr>
            <w:tcW w:type="pct" w:w="1250"/>
          </w:tcPr>
          <w:p>
            <w:pPr>
              <w:pStyle w:val="Compact"/>
            </w:pPr>
            <w:r>
              <w:t xml:space="preserve">0</w:t>
            </w:r>
          </w:p>
        </w:tc>
      </w:tr>
      <w:tr>
        <w:trPr>
          <w:trHeight w:hRule="atLeast" w:val="397"/>
        </w:trPr>
        <w:tc>
          <w:tcPr>
            <w:tcW w:type="pct" w:w="1250"/>
          </w:tcPr>
          <w:p>
            <w:pPr>
              <w:pStyle w:val="Compact"/>
            </w:pPr>
            <w:r>
              <w:t xml:space="preserve">1</w:t>
            </w:r>
          </w:p>
        </w:tc>
        <w:tc>
          <w:tcPr>
            <w:tcW w:type="pct" w:w="1250"/>
          </w:tcPr>
          <w:p>
            <w:pPr>
              <w:pStyle w:val="Compact"/>
            </w:pPr>
            <w:r>
              <w:t xml:space="preserve">f_mst_</w:t>
            </w:r>
          </w:p>
        </w:tc>
        <w:tc>
          <w:tcPr>
            <w:tcW w:type="pct" w:w="1250"/>
          </w:tcPr>
          <w:p>
            <w:pPr>
              <w:pStyle w:val="Compact"/>
            </w:pPr>
            <w:r>
              <w:t xml:space="preserve">adaptive Supertrend with a Kaufman efficiency gate</w:t>
            </w:r>
          </w:p>
        </w:tc>
        <w:tc>
          <w:tcPr>
            <w:tcW w:type="pct" w:w="1250"/>
          </w:tcPr>
          <w:p>
            <w:pPr>
              <w:pStyle w:val="Compact"/>
            </w:pPr>
            <w:r>
              <w:t xml:space="preserve">0</w:t>
            </w:r>
          </w:p>
        </w:tc>
      </w:tr>
      <w:tr>
        <w:trPr>
          <w:trHeight w:hRule="atLeast" w:val="397"/>
        </w:trPr>
        <w:tc>
          <w:tcPr>
            <w:tcW w:type="pct" w:w="1250"/>
          </w:tcPr>
          <w:p>
            <w:pPr>
              <w:pStyle w:val="Compact"/>
            </w:pPr>
            <w:r>
              <w:t xml:space="preserve">2</w:t>
            </w:r>
          </w:p>
        </w:tc>
        <w:tc>
          <w:tcPr>
            <w:tcW w:type="pct" w:w="1250"/>
          </w:tcPr>
          <w:p>
            <w:pPr>
              <w:pStyle w:val="Compact"/>
            </w:pPr>
            <w:r>
              <w:t xml:space="preserve">f_btc_</w:t>
            </w:r>
          </w:p>
        </w:tc>
        <w:tc>
          <w:tcPr>
            <w:tcW w:type="pct" w:w="1250"/>
          </w:tcPr>
          <w:p>
            <w:pPr>
              <w:pStyle w:val="Compact"/>
            </w:pPr>
            <w:r>
              <w:t xml:space="preserve">relative strength against the market factor</w:t>
            </w:r>
          </w:p>
        </w:tc>
        <w:tc>
          <w:tcPr>
            <w:tcW w:type="pct" w:w="1250"/>
          </w:tcPr>
          <w:p>
            <w:pPr>
              <w:pStyle w:val="Compact"/>
            </w:pPr>
            <w:r>
              <w:t xml:space="preserve">0</w:t>
            </w:r>
          </w:p>
        </w:tc>
      </w:tr>
      <w:tr>
        <w:trPr>
          <w:trHeight w:hRule="atLeast" w:val="397"/>
        </w:trPr>
        <w:tc>
          <w:tcPr>
            <w:tcW w:type="pct" w:w="1250"/>
          </w:tcPr>
          <w:p>
            <w:pPr>
              <w:pStyle w:val="Compact"/>
            </w:pPr>
            <w:r>
              <w:t xml:space="preserve">3</w:t>
            </w:r>
          </w:p>
        </w:tc>
        <w:tc>
          <w:tcPr>
            <w:tcW w:type="pct" w:w="1250"/>
          </w:tcPr>
          <w:p>
            <w:pPr>
              <w:pStyle w:val="Compact"/>
            </w:pPr>
            <w:r>
              <w:t xml:space="preserve">f_4h_</w:t>
            </w:r>
          </w:p>
        </w:tc>
        <w:tc>
          <w:tcPr>
            <w:tcW w:type="pct" w:w="1250"/>
          </w:tcPr>
          <w:p>
            <w:pPr>
              <w:pStyle w:val="Compact"/>
            </w:pPr>
            <w:r>
              <w:t xml:space="preserve">four-hour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4</w:t>
            </w:r>
          </w:p>
        </w:tc>
        <w:tc>
          <w:tcPr>
            <w:tcW w:type="pct" w:w="1250"/>
          </w:tcPr>
          <w:p>
            <w:pPr>
              <w:pStyle w:val="Compact"/>
            </w:pPr>
            <w:r>
              <w:t xml:space="preserve">f_d1_</w:t>
            </w:r>
          </w:p>
        </w:tc>
        <w:tc>
          <w:tcPr>
            <w:tcW w:type="pct" w:w="1250"/>
          </w:tcPr>
          <w:p>
            <w:pPr>
              <w:pStyle w:val="Compact"/>
            </w:pPr>
            <w:r>
              <w:t xml:space="preserve">daily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5</w:t>
            </w:r>
          </w:p>
        </w:tc>
        <w:tc>
          <w:tcPr>
            <w:tcW w:type="pct" w:w="1250"/>
          </w:tcPr>
          <w:p>
            <w:pPr>
              <w:pStyle w:val="Compact"/>
            </w:pPr>
            <w:r>
              <w:t xml:space="preserve">f_w1_</w:t>
            </w:r>
          </w:p>
        </w:tc>
        <w:tc>
          <w:tcPr>
            <w:tcW w:type="pct" w:w="1250"/>
          </w:tcPr>
          <w:p>
            <w:pPr>
              <w:pStyle w:val="Compact"/>
            </w:pPr>
            <w:r>
              <w:t xml:space="preserve">weekly context, merged causally</w:t>
            </w:r>
          </w:p>
        </w:tc>
        <w:tc>
          <w:tcPr>
            <w:tcW w:type="pct" w:w="1250"/>
          </w:tcPr>
          <w:p>
            <w:pPr>
              <w:pStyle w:val="Compact"/>
            </w:pPr>
            <w:r>
              <w:t xml:space="preserve">0</w:t>
            </w:r>
          </w:p>
        </w:tc>
      </w:tr>
      <w:tr>
        <w:trPr>
          <w:trHeight w:hRule="atLeast" w:val="397"/>
        </w:trPr>
        <w:tc>
          <w:tcPr>
            <w:tcW w:type="pct" w:w="1250"/>
          </w:tcPr>
          <w:p>
            <w:pPr>
              <w:pStyle w:val="Compact"/>
            </w:pPr>
            <w:r>
              <w:t xml:space="preserve">6</w:t>
            </w:r>
          </w:p>
        </w:tc>
        <w:tc>
          <w:tcPr>
            <w:tcW w:type="pct" w:w="1250"/>
          </w:tcPr>
          <w:p>
            <w:pPr>
              <w:pStyle w:val="Compact"/>
            </w:pPr>
            <w:r>
              <w:t xml:space="preserve">f_rg_</w:t>
            </w:r>
          </w:p>
        </w:tc>
        <w:tc>
          <w:tcPr>
            <w:tcW w:type="pct" w:w="1250"/>
          </w:tcPr>
          <w:p>
            <w:pPr>
              <w:pStyle w:val="Compact"/>
            </w:pPr>
            <w:r>
              <w:t xml:space="preserve">regime state: realised volatility, drift, breadth</w:t>
            </w:r>
          </w:p>
        </w:tc>
        <w:tc>
          <w:tcPr>
            <w:tcW w:type="pct" w:w="1250"/>
          </w:tcPr>
          <w:p>
            <w:pPr>
              <w:pStyle w:val="Compact"/>
            </w:pPr>
            <w:r>
              <w:t xml:space="preserve">0</w:t>
            </w:r>
          </w:p>
        </w:tc>
      </w:tr>
      <w:tr>
        <w:trPr>
          <w:trHeight w:hRule="atLeast" w:val="397"/>
        </w:trPr>
        <w:tc>
          <w:tcPr>
            <w:tcW w:type="pct" w:w="1250"/>
          </w:tcPr>
          <w:p>
            <w:pPr>
              <w:pStyle w:val="Compact"/>
            </w:pPr>
            <w:r>
              <w:t xml:space="preserve">7</w:t>
            </w:r>
          </w:p>
        </w:tc>
        <w:tc>
          <w:tcPr>
            <w:tcW w:type="pct" w:w="1250"/>
          </w:tcPr>
          <w:p>
            <w:pPr>
              <w:pStyle w:val="Compact"/>
            </w:pPr>
            <w:r>
              <w:t xml:space="preserve">f_flow_</w:t>
            </w:r>
          </w:p>
        </w:tc>
        <w:tc>
          <w:tcPr>
            <w:tcW w:type="pct" w:w="1250"/>
          </w:tcPr>
          <w:p>
            <w:pPr>
              <w:pStyle w:val="Compact"/>
            </w:pPr>
            <w:r>
              <w:t xml:space="preserve">taker buy and sell imbalance</w:t>
            </w:r>
          </w:p>
        </w:tc>
        <w:tc>
          <w:tcPr>
            <w:tcW w:type="pct" w:w="1250"/>
          </w:tcPr>
          <w:p>
            <w:pPr>
              <w:pStyle w:val="Compact"/>
            </w:pPr>
            <w:r>
              <w:t xml:space="preserve">4</w:t>
            </w:r>
          </w:p>
        </w:tc>
      </w:tr>
    </w:tbl>
    <w:p>
      <w:pPr>
        <w:pStyle w:val="BodyText"/>
      </w:pPr>
      <w:r>
        <w:t xml:space="preserve"> </w:t>
      </w:r>
    </w:p>
    <w:p>
      <w:pPr>
        <w:pStyle w:val="SourceCode"/>
      </w:pPr>
      <w:r>
        <w:rPr>
          <w:rStyle w:val="VerbatimChar"/>
        </w:rPr>
        <w:t xml:space="preserve">DATASET DIMENSIONS &amp; CHARACTERISTICS</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value</w:t>
            </w:r>
          </w:p>
        </w:tc>
      </w:tr>
      <w:tr>
        <w:trPr>
          <w:trHeight w:hRule="atLeast" w:val="397"/>
        </w:trPr>
        <w:tc>
          <w:tcPr>
            <w:tcW w:type="pct" w:w="2500"/>
          </w:tcPr>
          <w:p>
            <w:pPr>
              <w:pStyle w:val="Compact"/>
            </w:pPr>
            <w:r>
              <w:t xml:space="preserve">in-sample rows</w:t>
            </w:r>
          </w:p>
        </w:tc>
        <w:tc>
          <w:tcPr>
            <w:tcW w:type="pct" w:w="2500"/>
          </w:tcPr>
          <w:p>
            <w:pPr>
              <w:pStyle w:val="Compact"/>
            </w:pPr>
            <w:r>
              <w:t xml:space="preserve">458,539</w:t>
            </w:r>
          </w:p>
        </w:tc>
      </w:tr>
      <w:tr>
        <w:trPr>
          <w:trHeight w:hRule="atLeast" w:val="397"/>
        </w:trPr>
        <w:tc>
          <w:tcPr>
            <w:tcW w:type="pct" w:w="2500"/>
          </w:tcPr>
          <w:p>
            <w:pPr>
              <w:pStyle w:val="Compact"/>
            </w:pPr>
            <w:r>
              <w:t xml:space="preserve">coins</w:t>
            </w:r>
          </w:p>
        </w:tc>
        <w:tc>
          <w:tcPr>
            <w:tcW w:type="pct" w:w="2500"/>
          </w:tcPr>
          <w:p>
            <w:pPr>
              <w:pStyle w:val="Compact"/>
            </w:pPr>
            <w:r>
              <w:t xml:space="preserve">38</w:t>
            </w:r>
          </w:p>
        </w:tc>
      </w:tr>
      <w:tr>
        <w:trPr>
          <w:trHeight w:hRule="atLeast" w:val="397"/>
        </w:trPr>
        <w:tc>
          <w:tcPr>
            <w:tcW w:type="pct" w:w="2500"/>
          </w:tcPr>
          <w:p>
            <w:pPr>
              <w:pStyle w:val="Compact"/>
            </w:pPr>
            <w:r>
              <w:t xml:space="preserve">features</w:t>
            </w:r>
          </w:p>
        </w:tc>
        <w:tc>
          <w:tcPr>
            <w:tcW w:type="pct" w:w="2500"/>
          </w:tcPr>
          <w:p>
            <w:pPr>
              <w:pStyle w:val="Compact"/>
            </w:pPr>
            <w:r>
              <w:t xml:space="preserve">61</w:t>
            </w:r>
          </w:p>
        </w:tc>
      </w:tr>
      <w:tr>
        <w:trPr>
          <w:trHeight w:hRule="atLeast" w:val="397"/>
        </w:trPr>
        <w:tc>
          <w:tcPr>
            <w:tcW w:type="pct" w:w="2500"/>
          </w:tcPr>
          <w:p>
            <w:pPr>
              <w:pStyle w:val="Compact"/>
            </w:pPr>
            <w:r>
              <w:t xml:space="preserve">date span</w:t>
            </w:r>
          </w:p>
        </w:tc>
        <w:tc>
          <w:tcPr>
            <w:tcW w:type="pct" w:w="2500"/>
          </w:tcPr>
          <w:p>
            <w:pPr>
              <w:pStyle w:val="Compact"/>
            </w:pPr>
            <w:r>
              <w:t xml:space="preserve">2017-12-15 to 2026-06-18</w:t>
            </w:r>
          </w:p>
        </w:tc>
      </w:tr>
      <w:tr>
        <w:trPr>
          <w:trHeight w:hRule="atLeast" w:val="397"/>
        </w:trPr>
        <w:tc>
          <w:tcPr>
            <w:tcW w:type="pct" w:w="2500"/>
          </w:tcPr>
          <w:p>
            <w:pPr>
              <w:pStyle w:val="Compact"/>
            </w:pPr>
            <w:r>
              <w:t xml:space="preserve">base rate (P win)</w:t>
            </w:r>
          </w:p>
        </w:tc>
        <w:tc>
          <w:tcPr>
            <w:tcW w:type="pct" w:w="2500"/>
          </w:tcPr>
          <w:p>
            <w:pPr>
              <w:pStyle w:val="Compact"/>
            </w:pPr>
            <w:r>
              <w:t xml:space="preserve">0.313</w:t>
            </w:r>
          </w:p>
        </w:tc>
      </w:tr>
      <w:tr>
        <w:trPr>
          <w:trHeight w:hRule="atLeast" w:val="397"/>
        </w:trPr>
        <w:tc>
          <w:tcPr>
            <w:tcW w:type="pct" w:w="2500"/>
          </w:tcPr>
          <w:p>
            <w:pPr>
              <w:pStyle w:val="Compact"/>
            </w:pPr>
            <w:r>
              <w:t xml:space="preserve">label 1 / 0</w:t>
            </w:r>
          </w:p>
        </w:tc>
        <w:tc>
          <w:tcPr>
            <w:tcW w:type="pct" w:w="2500"/>
          </w:tcPr>
          <w:p>
            <w:pPr>
              <w:pStyle w:val="Compact"/>
            </w:pPr>
            <w:r>
              <w:t xml:space="preserve">143,615 / 314,924</w:t>
            </w:r>
          </w:p>
        </w:tc>
      </w:tr>
      <w:tr>
        <w:trPr>
          <w:trHeight w:hRule="atLeast" w:val="397"/>
        </w:trPr>
        <w:tc>
          <w:tcPr>
            <w:tcW w:type="pct" w:w="2500"/>
          </w:tcPr>
          <w:p>
            <w:pPr>
              <w:pStyle w:val="Compact"/>
            </w:pPr>
            <w:r>
              <w:t xml:space="preserve">rows with any NaN feature</w:t>
            </w:r>
          </w:p>
        </w:tc>
        <w:tc>
          <w:tcPr>
            <w:tcW w:type="pct" w:w="2500"/>
          </w:tcPr>
          <w:p>
            <w:pPr>
              <w:pStyle w:val="Compact"/>
            </w:pPr>
            <w:r>
              <w:t xml:space="preserve">0</w:t>
            </w:r>
          </w:p>
        </w:tc>
      </w:tr>
      <w:tr>
        <w:trPr>
          <w:trHeight w:hRule="atLeast" w:val="397"/>
        </w:trPr>
        <w:tc>
          <w:tcPr>
            <w:tcW w:type="pct" w:w="2500"/>
          </w:tcPr>
          <w:p>
            <w:pPr>
              <w:pStyle w:val="Compact"/>
            </w:pPr>
            <w:r>
              <w:t xml:space="preserve">in-memory size</w:t>
            </w:r>
          </w:p>
        </w:tc>
        <w:tc>
          <w:tcPr>
            <w:tcW w:type="pct" w:w="2500"/>
          </w:tcPr>
          <w:p>
            <w:pPr>
              <w:pStyle w:val="Compact"/>
            </w:pPr>
            <w:r>
              <w:t xml:space="preserve">150 MB</w:t>
            </w:r>
          </w:p>
        </w:tc>
      </w:tr>
    </w:tbl>
    <w:p>
      <w:pPr>
        <w:pStyle w:val="SourceCode"/>
      </w:pPr>
      <w:r>
        <w:br/>
      </w:r>
      <w:r>
        <w:rPr>
          <w:rStyle w:val="VerbatimChar"/>
        </w:rPr>
        <w:t xml:space="preserve">label base rate by year:</w:t>
      </w:r>
    </w:p>
    <w:tbl>
      <w:tblPr>
        <w:tblStyle w:val="Table"/>
        <w:jc w:val="center"/>
        <w:tblLayout w:type="fixed"/>
        <w:tblLook w:firstRow="1" w:lastRow="0" w:firstColumn="0" w:lastColumn="0" w:noHBand="0" w:noVBand="0" w:val="0020"/>
        <w:tblW w:type="pct" w:w="5000"/>
      </w:tblPr>
      <w:tblGrid>
        <w:gridCol w:w="2640"/>
        <w:gridCol w:w="2640"/>
        <w:gridCol w:w="2640"/>
      </w:tblGrid>
      <w:tr>
        <w:trPr>
          <w:trHeight w:hRule="atLeast" w:val="567"/>
          <w:tblHeader w:val="on"/>
        </w:trPr>
        <w:tc>
          <w:tcPr>
            <w:tcW w:type="pct" w:w="1666"/>
          </w:tcPr>
          <w:p>
            <w:pPr>
              <w:pStyle w:val="Compact"/>
            </w:pPr>
          </w:p>
        </w:tc>
        <w:tc>
          <w:tcPr>
            <w:tcW w:type="pct" w:w="1666"/>
          </w:tcPr>
          <w:p>
            <w:pPr>
              <w:pStyle w:val="Compact"/>
            </w:pPr>
            <w:r>
              <w:rPr>
                <w:b/>
              </w:rPr>
              <w:t xml:space="preserve">rows</w:t>
            </w:r>
          </w:p>
        </w:tc>
        <w:tc>
          <w:tcPr>
            <w:tcW w:type="pct" w:w="1666"/>
          </w:tcPr>
          <w:p>
            <w:pPr>
              <w:pStyle w:val="Compact"/>
            </w:pPr>
            <w:r>
              <w:rPr>
                <w:b/>
              </w:rPr>
              <w:t xml:space="preserve">base_rate</w:t>
            </w:r>
          </w:p>
        </w:tc>
      </w:tr>
      <w:tr>
        <w:trPr>
          <w:trHeight w:hRule="atLeast" w:val="397"/>
          <w:tblHeader w:val="on"/>
        </w:trPr>
        <w:tc>
          <w:tcPr>
            <w:tcW w:type="pct" w:w="1666"/>
          </w:tcPr>
          <w:p>
            <w:pPr>
              <w:pStyle w:val="Compact"/>
            </w:pPr>
            <w:r>
              <w:t xml:space="preserve">year</w:t>
            </w:r>
          </w:p>
        </w:tc>
        <w:tc>
          <w:tcPr>
            <w:tcW w:type="pct" w:w="1666"/>
          </w:tcPr>
          <w:p>
            <w:pPr>
              <w:pStyle w:val="Compact"/>
            </w:pPr>
          </w:p>
        </w:tc>
        <w:tc>
          <w:tcPr>
            <w:tcW w:type="pct" w:w="1666"/>
          </w:tcPr>
          <w:p>
            <w:pPr>
              <w:pStyle w:val="Compact"/>
            </w:pPr>
          </w:p>
        </w:tc>
      </w:tr>
      <w:tr>
        <w:trPr>
          <w:trHeight w:hRule="atLeast" w:val="397"/>
        </w:trPr>
        <w:tc>
          <w:tcPr>
            <w:tcW w:type="pct" w:w="1666"/>
          </w:tcPr>
          <w:p>
            <w:pPr>
              <w:pStyle w:val="Compact"/>
            </w:pPr>
            <w:r>
              <w:t xml:space="preserve">2017</w:t>
            </w:r>
          </w:p>
        </w:tc>
        <w:tc>
          <w:tcPr>
            <w:tcW w:type="pct" w:w="1666"/>
          </w:tcPr>
          <w:p>
            <w:pPr>
              <w:pStyle w:val="Compact"/>
            </w:pPr>
            <w:r>
              <w:t xml:space="preserve">114</w:t>
            </w:r>
          </w:p>
        </w:tc>
        <w:tc>
          <w:tcPr>
            <w:tcW w:type="pct" w:w="1666"/>
          </w:tcPr>
          <w:p>
            <w:pPr>
              <w:pStyle w:val="Compact"/>
            </w:pPr>
            <w:r>
              <w:t xml:space="preserve">0.307</w:t>
            </w:r>
          </w:p>
        </w:tc>
      </w:tr>
      <w:tr>
        <w:trPr>
          <w:trHeight w:hRule="atLeast" w:val="397"/>
        </w:trPr>
        <w:tc>
          <w:tcPr>
            <w:tcW w:type="pct" w:w="1666"/>
          </w:tcPr>
          <w:p>
            <w:pPr>
              <w:pStyle w:val="Compact"/>
            </w:pPr>
            <w:r>
              <w:t xml:space="preserve">2018</w:t>
            </w:r>
          </w:p>
        </w:tc>
        <w:tc>
          <w:tcPr>
            <w:tcW w:type="pct" w:w="1666"/>
          </w:tcPr>
          <w:p>
            <w:pPr>
              <w:pStyle w:val="Compact"/>
            </w:pPr>
            <w:r>
              <w:t xml:space="preserve">13390</w:t>
            </w:r>
          </w:p>
        </w:tc>
        <w:tc>
          <w:tcPr>
            <w:tcW w:type="pct" w:w="1666"/>
          </w:tcPr>
          <w:p>
            <w:pPr>
              <w:pStyle w:val="Compact"/>
            </w:pPr>
            <w:r>
              <w:t xml:space="preserve">0.293</w:t>
            </w:r>
          </w:p>
        </w:tc>
      </w:tr>
      <w:tr>
        <w:trPr>
          <w:trHeight w:hRule="atLeast" w:val="397"/>
        </w:trPr>
        <w:tc>
          <w:tcPr>
            <w:tcW w:type="pct" w:w="1666"/>
          </w:tcPr>
          <w:p>
            <w:pPr>
              <w:pStyle w:val="Compact"/>
            </w:pPr>
            <w:r>
              <w:t xml:space="preserve">2019</w:t>
            </w:r>
          </w:p>
        </w:tc>
        <w:tc>
          <w:tcPr>
            <w:tcW w:type="pct" w:w="1666"/>
          </w:tcPr>
          <w:p>
            <w:pPr>
              <w:pStyle w:val="Compact"/>
            </w:pPr>
            <w:r>
              <w:t xml:space="preserve">19570</w:t>
            </w:r>
          </w:p>
        </w:tc>
        <w:tc>
          <w:tcPr>
            <w:tcW w:type="pct" w:w="1666"/>
          </w:tcPr>
          <w:p>
            <w:pPr>
              <w:pStyle w:val="Compact"/>
            </w:pPr>
            <w:r>
              <w:t xml:space="preserve">0.306</w:t>
            </w:r>
          </w:p>
        </w:tc>
      </w:tr>
      <w:tr>
        <w:trPr>
          <w:trHeight w:hRule="atLeast" w:val="397"/>
        </w:trPr>
        <w:tc>
          <w:tcPr>
            <w:tcW w:type="pct" w:w="1666"/>
          </w:tcPr>
          <w:p>
            <w:pPr>
              <w:pStyle w:val="Compact"/>
            </w:pPr>
            <w:r>
              <w:t xml:space="preserve">2020</w:t>
            </w:r>
          </w:p>
        </w:tc>
        <w:tc>
          <w:tcPr>
            <w:tcW w:type="pct" w:w="1666"/>
          </w:tcPr>
          <w:p>
            <w:pPr>
              <w:pStyle w:val="Compact"/>
            </w:pPr>
            <w:r>
              <w:t xml:space="preserve">32475</w:t>
            </w:r>
          </w:p>
        </w:tc>
        <w:tc>
          <w:tcPr>
            <w:tcW w:type="pct" w:w="1666"/>
          </w:tcPr>
          <w:p>
            <w:pPr>
              <w:pStyle w:val="Compact"/>
            </w:pPr>
            <w:r>
              <w:t xml:space="preserve">0.334</w:t>
            </w:r>
          </w:p>
        </w:tc>
      </w:tr>
      <w:tr>
        <w:trPr>
          <w:trHeight w:hRule="atLeast" w:val="397"/>
        </w:trPr>
        <w:tc>
          <w:tcPr>
            <w:tcW w:type="pct" w:w="1666"/>
          </w:tcPr>
          <w:p>
            <w:pPr>
              <w:pStyle w:val="Compact"/>
            </w:pPr>
            <w:r>
              <w:t xml:space="preserve">2021</w:t>
            </w:r>
          </w:p>
        </w:tc>
        <w:tc>
          <w:tcPr>
            <w:tcW w:type="pct" w:w="1666"/>
          </w:tcPr>
          <w:p>
            <w:pPr>
              <w:pStyle w:val="Compact"/>
            </w:pPr>
            <w:r>
              <w:t xml:space="preserve">68261</w:t>
            </w:r>
          </w:p>
        </w:tc>
        <w:tc>
          <w:tcPr>
            <w:tcW w:type="pct" w:w="1666"/>
          </w:tcPr>
          <w:p>
            <w:pPr>
              <w:pStyle w:val="Compact"/>
            </w:pPr>
            <w:r>
              <w:t xml:space="preserve">0.318</w:t>
            </w:r>
          </w:p>
        </w:tc>
      </w:tr>
      <w:tr>
        <w:trPr>
          <w:trHeight w:hRule="atLeast" w:val="397"/>
        </w:trPr>
        <w:tc>
          <w:tcPr>
            <w:tcW w:type="pct" w:w="1666"/>
          </w:tcPr>
          <w:p>
            <w:pPr>
              <w:pStyle w:val="Compact"/>
            </w:pPr>
            <w:r>
              <w:t xml:space="preserve">2022</w:t>
            </w:r>
          </w:p>
        </w:tc>
        <w:tc>
          <w:tcPr>
            <w:tcW w:type="pct" w:w="1666"/>
          </w:tcPr>
          <w:p>
            <w:pPr>
              <w:pStyle w:val="Compact"/>
            </w:pPr>
            <w:r>
              <w:t xml:space="preserve">70764</w:t>
            </w:r>
          </w:p>
        </w:tc>
        <w:tc>
          <w:tcPr>
            <w:tcW w:type="pct" w:w="1666"/>
          </w:tcPr>
          <w:p>
            <w:pPr>
              <w:pStyle w:val="Compact"/>
            </w:pPr>
            <w:r>
              <w:t xml:space="preserve">0.308</w:t>
            </w:r>
          </w:p>
        </w:tc>
      </w:tr>
      <w:tr>
        <w:trPr>
          <w:trHeight w:hRule="atLeast" w:val="397"/>
        </w:trPr>
        <w:tc>
          <w:tcPr>
            <w:tcW w:type="pct" w:w="1666"/>
          </w:tcPr>
          <w:p>
            <w:pPr>
              <w:pStyle w:val="Compact"/>
            </w:pPr>
            <w:r>
              <w:t xml:space="preserve">2023</w:t>
            </w:r>
          </w:p>
        </w:tc>
        <w:tc>
          <w:tcPr>
            <w:tcW w:type="pct" w:w="1666"/>
          </w:tcPr>
          <w:p>
            <w:pPr>
              <w:pStyle w:val="Compact"/>
            </w:pPr>
            <w:r>
              <w:t xml:space="preserve">51624</w:t>
            </w:r>
          </w:p>
        </w:tc>
        <w:tc>
          <w:tcPr>
            <w:tcW w:type="pct" w:w="1666"/>
          </w:tcPr>
          <w:p>
            <w:pPr>
              <w:pStyle w:val="Compact"/>
            </w:pPr>
            <w:r>
              <w:t xml:space="preserve">0.321</w:t>
            </w:r>
          </w:p>
        </w:tc>
      </w:tr>
      <w:tr>
        <w:trPr>
          <w:trHeight w:hRule="atLeast" w:val="397"/>
        </w:trPr>
        <w:tc>
          <w:tcPr>
            <w:tcW w:type="pct" w:w="1666"/>
          </w:tcPr>
          <w:p>
            <w:pPr>
              <w:pStyle w:val="Compact"/>
            </w:pPr>
            <w:r>
              <w:t xml:space="preserve">2024</w:t>
            </w:r>
          </w:p>
        </w:tc>
        <w:tc>
          <w:tcPr>
            <w:tcW w:type="pct" w:w="1666"/>
          </w:tcPr>
          <w:p>
            <w:pPr>
              <w:pStyle w:val="Compact"/>
            </w:pPr>
            <w:r>
              <w:t xml:space="preserve">85228</w:t>
            </w:r>
          </w:p>
        </w:tc>
        <w:tc>
          <w:tcPr>
            <w:tcW w:type="pct" w:w="1666"/>
          </w:tcPr>
          <w:p>
            <w:pPr>
              <w:pStyle w:val="Compact"/>
            </w:pPr>
            <w:r>
              <w:t xml:space="preserve">0.312</w:t>
            </w:r>
          </w:p>
        </w:tc>
      </w:tr>
      <w:tr>
        <w:trPr>
          <w:trHeight w:hRule="atLeast" w:val="397"/>
        </w:trPr>
        <w:tc>
          <w:tcPr>
            <w:tcW w:type="pct" w:w="1666"/>
          </w:tcPr>
          <w:p>
            <w:pPr>
              <w:pStyle w:val="Compact"/>
            </w:pPr>
            <w:r>
              <w:t xml:space="preserve">2025</w:t>
            </w:r>
          </w:p>
        </w:tc>
        <w:tc>
          <w:tcPr>
            <w:tcW w:type="pct" w:w="1666"/>
          </w:tcPr>
          <w:p>
            <w:pPr>
              <w:pStyle w:val="Compact"/>
            </w:pPr>
            <w:r>
              <w:t xml:space="preserve">91006</w:t>
            </w:r>
          </w:p>
        </w:tc>
        <w:tc>
          <w:tcPr>
            <w:tcW w:type="pct" w:w="1666"/>
          </w:tcPr>
          <w:p>
            <w:pPr>
              <w:pStyle w:val="Compact"/>
            </w:pPr>
            <w:r>
              <w:t xml:space="preserve">0.314</w:t>
            </w:r>
          </w:p>
        </w:tc>
      </w:tr>
      <w:tr>
        <w:trPr>
          <w:trHeight w:hRule="atLeast" w:val="397"/>
        </w:trPr>
        <w:tc>
          <w:tcPr>
            <w:tcW w:type="pct" w:w="1666"/>
          </w:tcPr>
          <w:p>
            <w:pPr>
              <w:pStyle w:val="Compact"/>
            </w:pPr>
            <w:r>
              <w:t xml:space="preserve">2026</w:t>
            </w:r>
          </w:p>
        </w:tc>
        <w:tc>
          <w:tcPr>
            <w:tcW w:type="pct" w:w="1666"/>
          </w:tcPr>
          <w:p>
            <w:pPr>
              <w:pStyle w:val="Compact"/>
            </w:pPr>
            <w:r>
              <w:t xml:space="preserve">26107</w:t>
            </w:r>
          </w:p>
        </w:tc>
        <w:tc>
          <w:tcPr>
            <w:tcW w:type="pct" w:w="1666"/>
          </w:tcPr>
          <w:p>
            <w:pPr>
              <w:pStyle w:val="Compact"/>
            </w:pPr>
            <w:r>
              <w:t xml:space="preserve">0.290</w:t>
            </w:r>
          </w:p>
        </w:tc>
      </w:tr>
    </w:tbl>
    <w:p>
      <w:pPr>
        <w:pStyle w:val="SourceCode"/>
      </w:pPr>
      <w:r>
        <w:br/>
      </w:r>
      <w:r>
        <w:rPr>
          <w:rStyle w:val="VerbatimChar"/>
        </w:rPr>
        <w:t xml:space="preserve">top 10 coins carry 81% of rows (panel tilts to long-history coins):</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p>
        </w:tc>
        <w:tc>
          <w:tcPr>
            <w:tcW w:type="pct" w:w="833"/>
          </w:tcPr>
          <w:p>
            <w:pPr>
              <w:pStyle w:val="Compact"/>
            </w:pPr>
            <w:r>
              <w:rPr>
                <w:b/>
                <w:sz w:val="16"/>
              </w:rPr>
              <w:t xml:space="preserve">rows</w:t>
            </w:r>
          </w:p>
        </w:tc>
        <w:tc>
          <w:tcPr>
            <w:tcW w:type="pct" w:w="833"/>
          </w:tcPr>
          <w:p>
            <w:pPr>
              <w:pStyle w:val="Compact"/>
            </w:pPr>
            <w:r>
              <w:rPr>
                <w:b/>
                <w:sz w:val="16"/>
              </w:rPr>
              <w:t xml:space="preserve">row_share</w:t>
            </w:r>
          </w:p>
        </w:tc>
        <w:tc>
          <w:tcPr>
            <w:tcW w:type="pct" w:w="833"/>
          </w:tcPr>
          <w:p>
            <w:pPr>
              <w:pStyle w:val="Compact"/>
            </w:pPr>
            <w:r>
              <w:rPr>
                <w:b/>
                <w:sz w:val="16"/>
              </w:rPr>
              <w:t xml:space="preserve">base_rate</w:t>
            </w:r>
          </w:p>
        </w:tc>
        <w:tc>
          <w:tcPr>
            <w:tcW w:type="pct" w:w="833"/>
          </w:tcPr>
          <w:p>
            <w:pPr>
              <w:pStyle w:val="Compact"/>
            </w:pPr>
            <w:r>
              <w:rPr>
                <w:b/>
                <w:sz w:val="16"/>
              </w:rPr>
              <w:t xml:space="preserve">first</w:t>
            </w:r>
          </w:p>
        </w:tc>
        <w:tc>
          <w:tcPr>
            <w:tcW w:type="pct" w:w="833"/>
          </w:tcPr>
          <w:p>
            <w:pPr>
              <w:pStyle w:val="Compact"/>
            </w:pPr>
            <w:r>
              <w:rPr>
                <w:b/>
                <w:sz w:val="16"/>
              </w:rPr>
              <w:t xml:space="preserve">last</w:t>
            </w:r>
          </w:p>
        </w:tc>
      </w:tr>
      <w:tr>
        <w:trPr>
          <w:trHeight w:hRule="atLeast" w:val="397"/>
          <w:tblHeader w:val="on"/>
        </w:trPr>
        <w:tc>
          <w:tcPr>
            <w:tcW w:type="pct" w:w="833"/>
          </w:tcPr>
          <w:p>
            <w:pPr>
              <w:pStyle w:val="Compact"/>
            </w:pPr>
            <w:r>
              <w:rPr>
                <w:sz w:val="16"/>
              </w:rPr>
              <w:t xml:space="preserve">symbol</w:t>
            </w: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c>
          <w:tcPr>
            <w:tcW w:type="pct" w:w="833"/>
          </w:tcPr>
          <w:p>
            <w:pPr>
              <w:pStyle w:val="Compact"/>
            </w:pPr>
          </w:p>
        </w:tc>
      </w:tr>
      <w:tr>
        <w:trPr>
          <w:trHeight w:hRule="atLeast" w:val="397"/>
        </w:trPr>
        <w:tc>
          <w:tcPr>
            <w:tcW w:type="pct" w:w="833"/>
          </w:tcPr>
          <w:p>
            <w:pPr>
              <w:pStyle w:val="Compact"/>
            </w:pPr>
            <w:r>
              <w:rPr>
                <w:sz w:val="16"/>
              </w:rPr>
              <w:t xml:space="preserve">ETH/USDT</w:t>
            </w:r>
          </w:p>
        </w:tc>
        <w:tc>
          <w:tcPr>
            <w:tcW w:type="pct" w:w="833"/>
          </w:tcPr>
          <w:p>
            <w:pPr>
              <w:pStyle w:val="Compact"/>
            </w:pPr>
            <w:r>
              <w:rPr>
                <w:sz w:val="16"/>
              </w:rPr>
              <w:t xml:space="preserve">59543</w:t>
            </w:r>
          </w:p>
        </w:tc>
        <w:tc>
          <w:tcPr>
            <w:tcW w:type="pct" w:w="833"/>
          </w:tcPr>
          <w:p>
            <w:pPr>
              <w:pStyle w:val="Compact"/>
            </w:pPr>
            <w:r>
              <w:rPr>
                <w:sz w:val="16"/>
              </w:rPr>
              <w:t xml:space="preserve">0.130</w:t>
            </w:r>
          </w:p>
        </w:tc>
        <w:tc>
          <w:tcPr>
            <w:tcW w:type="pct" w:w="833"/>
          </w:tcPr>
          <w:p>
            <w:pPr>
              <w:pStyle w:val="Compact"/>
            </w:pPr>
            <w:r>
              <w:rPr>
                <w:sz w:val="16"/>
              </w:rPr>
              <w:t xml:space="preserve">0.324</w:t>
            </w:r>
          </w:p>
        </w:tc>
        <w:tc>
          <w:tcPr>
            <w:tcW w:type="pct" w:w="833"/>
          </w:tcPr>
          <w:p>
            <w:pPr>
              <w:pStyle w:val="Compact"/>
            </w:pPr>
            <w:r>
              <w:rPr>
                <w:sz w:val="16"/>
              </w:rPr>
              <w:t xml:space="preserve">2017-12-18</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BTC/USDT</w:t>
            </w:r>
          </w:p>
        </w:tc>
        <w:tc>
          <w:tcPr>
            <w:tcW w:type="pct" w:w="833"/>
          </w:tcPr>
          <w:p>
            <w:pPr>
              <w:pStyle w:val="Compact"/>
            </w:pPr>
            <w:r>
              <w:rPr>
                <w:sz w:val="16"/>
              </w:rPr>
              <w:t xml:space="preserve">54154</w:t>
            </w:r>
          </w:p>
        </w:tc>
        <w:tc>
          <w:tcPr>
            <w:tcW w:type="pct" w:w="833"/>
          </w:tcPr>
          <w:p>
            <w:pPr>
              <w:pStyle w:val="Compact"/>
            </w:pPr>
            <w:r>
              <w:rPr>
                <w:sz w:val="16"/>
              </w:rPr>
              <w:t xml:space="preserve">0.118</w:t>
            </w:r>
          </w:p>
        </w:tc>
        <w:tc>
          <w:tcPr>
            <w:tcW w:type="pct" w:w="833"/>
          </w:tcPr>
          <w:p>
            <w:pPr>
              <w:pStyle w:val="Compact"/>
            </w:pPr>
            <w:r>
              <w:rPr>
                <w:sz w:val="16"/>
              </w:rPr>
              <w:t xml:space="preserve">0.313</w:t>
            </w:r>
          </w:p>
        </w:tc>
        <w:tc>
          <w:tcPr>
            <w:tcW w:type="pct" w:w="833"/>
          </w:tcPr>
          <w:p>
            <w:pPr>
              <w:pStyle w:val="Compact"/>
            </w:pPr>
            <w:r>
              <w:rPr>
                <w:sz w:val="16"/>
              </w:rPr>
              <w:t xml:space="preserve">2017-12-15</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BNB/USDT</w:t>
            </w:r>
          </w:p>
        </w:tc>
        <w:tc>
          <w:tcPr>
            <w:tcW w:type="pct" w:w="833"/>
          </w:tcPr>
          <w:p>
            <w:pPr>
              <w:pStyle w:val="Compact"/>
            </w:pPr>
            <w:r>
              <w:rPr>
                <w:sz w:val="16"/>
              </w:rPr>
              <w:t xml:space="preserve">47723</w:t>
            </w:r>
          </w:p>
        </w:tc>
        <w:tc>
          <w:tcPr>
            <w:tcW w:type="pct" w:w="833"/>
          </w:tcPr>
          <w:p>
            <w:pPr>
              <w:pStyle w:val="Compact"/>
            </w:pPr>
            <w:r>
              <w:rPr>
                <w:sz w:val="16"/>
              </w:rPr>
              <w:t xml:space="preserve">0.104</w:t>
            </w:r>
          </w:p>
        </w:tc>
        <w:tc>
          <w:tcPr>
            <w:tcW w:type="pct" w:w="833"/>
          </w:tcPr>
          <w:p>
            <w:pPr>
              <w:pStyle w:val="Compact"/>
            </w:pPr>
            <w:r>
              <w:rPr>
                <w:sz w:val="16"/>
              </w:rPr>
              <w:t xml:space="preserve">0.320</w:t>
            </w:r>
          </w:p>
        </w:tc>
        <w:tc>
          <w:tcPr>
            <w:tcW w:type="pct" w:w="833"/>
          </w:tcPr>
          <w:p>
            <w:pPr>
              <w:pStyle w:val="Compact"/>
            </w:pPr>
            <w:r>
              <w:rPr>
                <w:sz w:val="16"/>
              </w:rPr>
              <w:t xml:space="preserve">2018-03-19</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SOL/USDT</w:t>
            </w:r>
          </w:p>
        </w:tc>
        <w:tc>
          <w:tcPr>
            <w:tcW w:type="pct" w:w="833"/>
          </w:tcPr>
          <w:p>
            <w:pPr>
              <w:pStyle w:val="Compact"/>
            </w:pPr>
            <w:r>
              <w:rPr>
                <w:sz w:val="16"/>
              </w:rPr>
              <w:t xml:space="preserve">35692</w:t>
            </w:r>
          </w:p>
        </w:tc>
        <w:tc>
          <w:tcPr>
            <w:tcW w:type="pct" w:w="833"/>
          </w:tcPr>
          <w:p>
            <w:pPr>
              <w:pStyle w:val="Compact"/>
            </w:pPr>
            <w:r>
              <w:rPr>
                <w:sz w:val="16"/>
              </w:rPr>
              <w:t xml:space="preserve">0.078</w:t>
            </w:r>
          </w:p>
        </w:tc>
        <w:tc>
          <w:tcPr>
            <w:tcW w:type="pct" w:w="833"/>
          </w:tcPr>
          <w:p>
            <w:pPr>
              <w:pStyle w:val="Compact"/>
            </w:pPr>
            <w:r>
              <w:rPr>
                <w:sz w:val="16"/>
              </w:rPr>
              <w:t xml:space="preserve">0.318</w:t>
            </w:r>
          </w:p>
        </w:tc>
        <w:tc>
          <w:tcPr>
            <w:tcW w:type="pct" w:w="833"/>
          </w:tcPr>
          <w:p>
            <w:pPr>
              <w:pStyle w:val="Compact"/>
            </w:pPr>
            <w:r>
              <w:rPr>
                <w:sz w:val="16"/>
              </w:rPr>
              <w:t xml:space="preserve">2021-02-04</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DOGE/USDT</w:t>
            </w:r>
          </w:p>
        </w:tc>
        <w:tc>
          <w:tcPr>
            <w:tcW w:type="pct" w:w="833"/>
          </w:tcPr>
          <w:p>
            <w:pPr>
              <w:pStyle w:val="Compact"/>
            </w:pPr>
            <w:r>
              <w:rPr>
                <w:sz w:val="16"/>
              </w:rPr>
              <w:t xml:space="preserve">35421</w:t>
            </w:r>
          </w:p>
        </w:tc>
        <w:tc>
          <w:tcPr>
            <w:tcW w:type="pct" w:w="833"/>
          </w:tcPr>
          <w:p>
            <w:pPr>
              <w:pStyle w:val="Compact"/>
            </w:pPr>
            <w:r>
              <w:rPr>
                <w:sz w:val="16"/>
              </w:rPr>
              <w:t xml:space="preserve">0.077</w:t>
            </w:r>
          </w:p>
        </w:tc>
        <w:tc>
          <w:tcPr>
            <w:tcW w:type="pct" w:w="833"/>
          </w:tcPr>
          <w:p>
            <w:pPr>
              <w:pStyle w:val="Compact"/>
            </w:pPr>
            <w:r>
              <w:rPr>
                <w:sz w:val="16"/>
              </w:rPr>
              <w:t xml:space="preserve">0.316</w:t>
            </w:r>
          </w:p>
        </w:tc>
        <w:tc>
          <w:tcPr>
            <w:tcW w:type="pct" w:w="833"/>
          </w:tcPr>
          <w:p>
            <w:pPr>
              <w:pStyle w:val="Compact"/>
            </w:pPr>
            <w:r>
              <w:rPr>
                <w:sz w:val="16"/>
              </w:rPr>
              <w:t xml:space="preserve">2021-02-27</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ADA/USDT</w:t>
            </w:r>
          </w:p>
        </w:tc>
        <w:tc>
          <w:tcPr>
            <w:tcW w:type="pct" w:w="833"/>
          </w:tcPr>
          <w:p>
            <w:pPr>
              <w:pStyle w:val="Compact"/>
            </w:pPr>
            <w:r>
              <w:rPr>
                <w:sz w:val="16"/>
              </w:rPr>
              <w:t xml:space="preserve">33338</w:t>
            </w:r>
          </w:p>
        </w:tc>
        <w:tc>
          <w:tcPr>
            <w:tcW w:type="pct" w:w="833"/>
          </w:tcPr>
          <w:p>
            <w:pPr>
              <w:pStyle w:val="Compact"/>
            </w:pPr>
            <w:r>
              <w:rPr>
                <w:sz w:val="16"/>
              </w:rPr>
              <w:t xml:space="preserve">0.073</w:t>
            </w:r>
          </w:p>
        </w:tc>
        <w:tc>
          <w:tcPr>
            <w:tcW w:type="pct" w:w="833"/>
          </w:tcPr>
          <w:p>
            <w:pPr>
              <w:pStyle w:val="Compact"/>
            </w:pPr>
            <w:r>
              <w:rPr>
                <w:sz w:val="16"/>
              </w:rPr>
              <w:t xml:space="preserve">0.305</w:t>
            </w:r>
          </w:p>
        </w:tc>
        <w:tc>
          <w:tcPr>
            <w:tcW w:type="pct" w:w="833"/>
          </w:tcPr>
          <w:p>
            <w:pPr>
              <w:pStyle w:val="Compact"/>
            </w:pPr>
            <w:r>
              <w:rPr>
                <w:sz w:val="16"/>
              </w:rPr>
              <w:t xml:space="preserve">2018-09-23</w:t>
            </w:r>
          </w:p>
        </w:tc>
        <w:tc>
          <w:tcPr>
            <w:tcW w:type="pct" w:w="833"/>
          </w:tcPr>
          <w:p>
            <w:pPr>
              <w:pStyle w:val="Compact"/>
            </w:pPr>
            <w:r>
              <w:rPr>
                <w:sz w:val="16"/>
              </w:rPr>
              <w:t xml:space="preserve">2026-06-18</w:t>
            </w:r>
          </w:p>
        </w:tc>
      </w:tr>
      <w:tr>
        <w:trPr>
          <w:trHeight w:hRule="atLeast" w:val="397"/>
        </w:trPr>
        <w:tc>
          <w:tcPr>
            <w:tcW w:type="pct" w:w="833"/>
          </w:tcPr>
          <w:p>
            <w:pPr>
              <w:pStyle w:val="Compact"/>
            </w:pPr>
            <w:r>
              <w:rPr>
                <w:sz w:val="16"/>
              </w:rPr>
              <w:t xml:space="preserve">LTC/USDT</w:t>
            </w:r>
          </w:p>
        </w:tc>
        <w:tc>
          <w:tcPr>
            <w:tcW w:type="pct" w:w="833"/>
          </w:tcPr>
          <w:p>
            <w:pPr>
              <w:pStyle w:val="Compact"/>
            </w:pPr>
            <w:r>
              <w:rPr>
                <w:sz w:val="16"/>
              </w:rPr>
              <w:t xml:space="preserve">32527</w:t>
            </w:r>
          </w:p>
        </w:tc>
        <w:tc>
          <w:tcPr>
            <w:tcW w:type="pct" w:w="833"/>
          </w:tcPr>
          <w:p>
            <w:pPr>
              <w:pStyle w:val="Compact"/>
            </w:pPr>
            <w:r>
              <w:rPr>
                <w:sz w:val="16"/>
              </w:rPr>
              <w:t xml:space="preserve">0.071</w:t>
            </w:r>
          </w:p>
        </w:tc>
        <w:tc>
          <w:tcPr>
            <w:tcW w:type="pct" w:w="833"/>
          </w:tcPr>
          <w:p>
            <w:pPr>
              <w:pStyle w:val="Compact"/>
            </w:pPr>
            <w:r>
              <w:rPr>
                <w:sz w:val="16"/>
              </w:rPr>
              <w:t xml:space="preserve">0.307</w:t>
            </w:r>
          </w:p>
        </w:tc>
        <w:tc>
          <w:tcPr>
            <w:tcW w:type="pct" w:w="833"/>
          </w:tcPr>
          <w:p>
            <w:pPr>
              <w:pStyle w:val="Compact"/>
            </w:pPr>
            <w:r>
              <w:rPr>
                <w:sz w:val="16"/>
              </w:rPr>
              <w:t xml:space="preserve">2018-05-03</w:t>
            </w:r>
          </w:p>
        </w:tc>
        <w:tc>
          <w:tcPr>
            <w:tcW w:type="pct" w:w="833"/>
          </w:tcPr>
          <w:p>
            <w:pPr>
              <w:pStyle w:val="Compact"/>
            </w:pPr>
            <w:r>
              <w:rPr>
                <w:sz w:val="16"/>
              </w:rPr>
              <w:t xml:space="preserve">2026-06-06</w:t>
            </w:r>
          </w:p>
        </w:tc>
      </w:tr>
      <w:tr>
        <w:trPr>
          <w:trHeight w:hRule="atLeast" w:val="397"/>
        </w:trPr>
        <w:tc>
          <w:tcPr>
            <w:tcW w:type="pct" w:w="833"/>
          </w:tcPr>
          <w:p>
            <w:pPr>
              <w:pStyle w:val="Compact"/>
            </w:pPr>
            <w:r>
              <w:rPr>
                <w:sz w:val="16"/>
              </w:rPr>
              <w:t xml:space="preserve">LINK/USDT</w:t>
            </w:r>
          </w:p>
        </w:tc>
        <w:tc>
          <w:tcPr>
            <w:tcW w:type="pct" w:w="833"/>
          </w:tcPr>
          <w:p>
            <w:pPr>
              <w:pStyle w:val="Compact"/>
            </w:pPr>
            <w:r>
              <w:rPr>
                <w:sz w:val="16"/>
              </w:rPr>
              <w:t xml:space="preserve">29987</w:t>
            </w:r>
          </w:p>
        </w:tc>
        <w:tc>
          <w:tcPr>
            <w:tcW w:type="pct" w:w="833"/>
          </w:tcPr>
          <w:p>
            <w:pPr>
              <w:pStyle w:val="Compact"/>
            </w:pPr>
            <w:r>
              <w:rPr>
                <w:sz w:val="16"/>
              </w:rPr>
              <w:t xml:space="preserve">0.065</w:t>
            </w:r>
          </w:p>
        </w:tc>
        <w:tc>
          <w:tcPr>
            <w:tcW w:type="pct" w:w="833"/>
          </w:tcPr>
          <w:p>
            <w:pPr>
              <w:pStyle w:val="Compact"/>
            </w:pPr>
            <w:r>
              <w:rPr>
                <w:sz w:val="16"/>
              </w:rPr>
              <w:t xml:space="preserve">0.312</w:t>
            </w:r>
          </w:p>
        </w:tc>
        <w:tc>
          <w:tcPr>
            <w:tcW w:type="pct" w:w="833"/>
          </w:tcPr>
          <w:p>
            <w:pPr>
              <w:pStyle w:val="Compact"/>
            </w:pPr>
            <w:r>
              <w:rPr>
                <w:sz w:val="16"/>
              </w:rPr>
              <w:t xml:space="preserve">2019-10-09</w:t>
            </w:r>
          </w:p>
        </w:tc>
        <w:tc>
          <w:tcPr>
            <w:tcW w:type="pct" w:w="833"/>
          </w:tcPr>
          <w:p>
            <w:pPr>
              <w:pStyle w:val="Compact"/>
            </w:pPr>
            <w:r>
              <w:rPr>
                <w:sz w:val="16"/>
              </w:rPr>
              <w:t xml:space="preserve">2026-06-07</w:t>
            </w:r>
          </w:p>
        </w:tc>
      </w:tr>
      <w:tr>
        <w:trPr>
          <w:trHeight w:hRule="atLeast" w:val="397"/>
        </w:trPr>
        <w:tc>
          <w:tcPr>
            <w:tcW w:type="pct" w:w="833"/>
          </w:tcPr>
          <w:p>
            <w:pPr>
              <w:pStyle w:val="Compact"/>
            </w:pPr>
            <w:r>
              <w:rPr>
                <w:sz w:val="16"/>
              </w:rPr>
              <w:t xml:space="preserve">AVAX/USDT</w:t>
            </w:r>
          </w:p>
        </w:tc>
        <w:tc>
          <w:tcPr>
            <w:tcW w:type="pct" w:w="833"/>
          </w:tcPr>
          <w:p>
            <w:pPr>
              <w:pStyle w:val="Compact"/>
            </w:pPr>
            <w:r>
              <w:rPr>
                <w:sz w:val="16"/>
              </w:rPr>
              <w:t xml:space="preserve">23799</w:t>
            </w:r>
          </w:p>
        </w:tc>
        <w:tc>
          <w:tcPr>
            <w:tcW w:type="pct" w:w="833"/>
          </w:tcPr>
          <w:p>
            <w:pPr>
              <w:pStyle w:val="Compact"/>
            </w:pPr>
            <w:r>
              <w:rPr>
                <w:sz w:val="16"/>
              </w:rPr>
              <w:t xml:space="preserve">0.052</w:t>
            </w:r>
          </w:p>
        </w:tc>
        <w:tc>
          <w:tcPr>
            <w:tcW w:type="pct" w:w="833"/>
          </w:tcPr>
          <w:p>
            <w:pPr>
              <w:pStyle w:val="Compact"/>
            </w:pPr>
            <w:r>
              <w:rPr>
                <w:sz w:val="16"/>
              </w:rPr>
              <w:t xml:space="preserve">0.316</w:t>
            </w:r>
          </w:p>
        </w:tc>
        <w:tc>
          <w:tcPr>
            <w:tcW w:type="pct" w:w="833"/>
          </w:tcPr>
          <w:p>
            <w:pPr>
              <w:pStyle w:val="Compact"/>
            </w:pPr>
            <w:r>
              <w:rPr>
                <w:sz w:val="16"/>
              </w:rPr>
              <w:t xml:space="preserve">2021-02-21</w:t>
            </w:r>
          </w:p>
        </w:tc>
        <w:tc>
          <w:tcPr>
            <w:tcW w:type="pct" w:w="833"/>
          </w:tcPr>
          <w:p>
            <w:pPr>
              <w:pStyle w:val="Compact"/>
            </w:pPr>
            <w:r>
              <w:rPr>
                <w:sz w:val="16"/>
              </w:rPr>
              <w:t xml:space="preserve">2026-06-06</w:t>
            </w:r>
          </w:p>
        </w:tc>
      </w:tr>
      <w:tr>
        <w:trPr>
          <w:trHeight w:hRule="atLeast" w:val="397"/>
        </w:trPr>
        <w:tc>
          <w:tcPr>
            <w:tcW w:type="pct" w:w="833"/>
          </w:tcPr>
          <w:p>
            <w:pPr>
              <w:pStyle w:val="Compact"/>
            </w:pPr>
            <w:r>
              <w:rPr>
                <w:sz w:val="16"/>
              </w:rPr>
              <w:t xml:space="preserve">BCH/USDT</w:t>
            </w:r>
          </w:p>
        </w:tc>
        <w:tc>
          <w:tcPr>
            <w:tcW w:type="pct" w:w="833"/>
          </w:tcPr>
          <w:p>
            <w:pPr>
              <w:pStyle w:val="Compact"/>
            </w:pPr>
            <w:r>
              <w:rPr>
                <w:sz w:val="16"/>
              </w:rPr>
              <w:t xml:space="preserve">17200</w:t>
            </w:r>
          </w:p>
        </w:tc>
        <w:tc>
          <w:tcPr>
            <w:tcW w:type="pct" w:w="833"/>
          </w:tcPr>
          <w:p>
            <w:pPr>
              <w:pStyle w:val="Compact"/>
            </w:pPr>
            <w:r>
              <w:rPr>
                <w:sz w:val="16"/>
              </w:rPr>
              <w:t xml:space="preserve">0.038</w:t>
            </w:r>
          </w:p>
        </w:tc>
        <w:tc>
          <w:tcPr>
            <w:tcW w:type="pct" w:w="833"/>
          </w:tcPr>
          <w:p>
            <w:pPr>
              <w:pStyle w:val="Compact"/>
            </w:pPr>
            <w:r>
              <w:rPr>
                <w:sz w:val="16"/>
              </w:rPr>
              <w:t xml:space="preserve">0.315</w:t>
            </w:r>
          </w:p>
        </w:tc>
        <w:tc>
          <w:tcPr>
            <w:tcW w:type="pct" w:w="833"/>
          </w:tcPr>
          <w:p>
            <w:pPr>
              <w:pStyle w:val="Compact"/>
            </w:pPr>
            <w:r>
              <w:rPr>
                <w:sz w:val="16"/>
              </w:rPr>
              <w:t xml:space="preserve">2020-03-27</w:t>
            </w:r>
          </w:p>
        </w:tc>
        <w:tc>
          <w:tcPr>
            <w:tcW w:type="pct" w:w="833"/>
          </w:tcPr>
          <w:p>
            <w:pPr>
              <w:pStyle w:val="Compact"/>
            </w:pPr>
            <w:r>
              <w:rPr>
                <w:sz w:val="16"/>
              </w:rPr>
              <w:t xml:space="preserve">2026-06-04</w:t>
            </w:r>
          </w:p>
        </w:tc>
      </w:tr>
    </w:tbl>
    <w:p>
      <w:pPr>
        <w:pStyle w:val="SourceCode"/>
      </w:pPr>
      <w:r>
        <w:br/>
      </w:r>
      <w:r>
        <w:rPr>
          <w:rStyle w:val="VerbatimChar"/>
        </w:rPr>
        <w:t xml:space="preserve">most correlated feature pairs (redundancy):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feature_a</w:t>
            </w:r>
          </w:p>
        </w:tc>
        <w:tc>
          <w:tcPr>
            <w:tcW w:type="pct" w:w="1250"/>
          </w:tcPr>
          <w:p>
            <w:pPr>
              <w:pStyle w:val="Compact"/>
            </w:pPr>
            <w:r>
              <w:rPr>
                <w:b/>
              </w:rPr>
              <w:t xml:space="preserve">feature_b</w:t>
            </w:r>
          </w:p>
        </w:tc>
        <w:tc>
          <w:tcPr>
            <w:tcW w:type="pct" w:w="1250"/>
          </w:tcPr>
          <w:p>
            <w:pPr>
              <w:pStyle w:val="Compact"/>
            </w:pPr>
            <w:r>
              <w:rPr>
                <w:b/>
              </w:rPr>
              <w:t xml:space="preserve">abs_corr</w:t>
            </w:r>
          </w:p>
        </w:tc>
      </w:tr>
      <w:tr>
        <w:trPr>
          <w:trHeight w:hRule="atLeast" w:val="397"/>
        </w:trPr>
        <w:tc>
          <w:tcPr>
            <w:tcW w:type="pct" w:w="1250"/>
          </w:tcPr>
          <w:p>
            <w:pPr>
              <w:pStyle w:val="Compact"/>
            </w:pPr>
            <w:r>
              <w:t xml:space="preserve">0</w:t>
            </w:r>
          </w:p>
        </w:tc>
        <w:tc>
          <w:tcPr>
            <w:tcW w:type="pct" w:w="1250"/>
          </w:tcPr>
          <w:p>
            <w:pPr>
              <w:pStyle w:val="Compact"/>
            </w:pPr>
            <w:r>
              <w:t xml:space="preserve">f_ta_willr</w:t>
            </w:r>
          </w:p>
        </w:tc>
        <w:tc>
          <w:tcPr>
            <w:tcW w:type="pct" w:w="1250"/>
          </w:tcPr>
          <w:p>
            <w:pPr>
              <w:pStyle w:val="Compact"/>
            </w:pPr>
            <w:r>
              <w:t xml:space="preserve">f_ta_stochk</w:t>
            </w:r>
          </w:p>
        </w:tc>
        <w:tc>
          <w:tcPr>
            <w:tcW w:type="pct" w:w="1250"/>
          </w:tcPr>
          <w:p>
            <w:pPr>
              <w:pStyle w:val="Compact"/>
            </w:pPr>
            <w:r>
              <w:t xml:space="preserve">1.000</w:t>
            </w:r>
          </w:p>
        </w:tc>
      </w:tr>
      <w:tr>
        <w:trPr>
          <w:trHeight w:hRule="atLeast" w:val="397"/>
        </w:trPr>
        <w:tc>
          <w:tcPr>
            <w:tcW w:type="pct" w:w="1250"/>
          </w:tcPr>
          <w:p>
            <w:pPr>
              <w:pStyle w:val="Compact"/>
            </w:pPr>
            <w:r>
              <w:t xml:space="preserve">1</w:t>
            </w:r>
          </w:p>
        </w:tc>
        <w:tc>
          <w:tcPr>
            <w:tcW w:type="pct" w:w="1250"/>
          </w:tcPr>
          <w:p>
            <w:pPr>
              <w:pStyle w:val="Compact"/>
            </w:pPr>
            <w:r>
              <w:t xml:space="preserve">f_wc_rv_short</w:t>
            </w:r>
          </w:p>
        </w:tc>
        <w:tc>
          <w:tcPr>
            <w:tcW w:type="pct" w:w="1250"/>
          </w:tcPr>
          <w:p>
            <w:pPr>
              <w:pStyle w:val="Compact"/>
            </w:pPr>
            <w:r>
              <w:t xml:space="preserve">f_hr_rv_long</w:t>
            </w:r>
          </w:p>
        </w:tc>
        <w:tc>
          <w:tcPr>
            <w:tcW w:type="pct" w:w="1250"/>
          </w:tcPr>
          <w:p>
            <w:pPr>
              <w:pStyle w:val="Compact"/>
            </w:pPr>
            <w:r>
              <w:t xml:space="preserve">1.000</w:t>
            </w:r>
          </w:p>
        </w:tc>
      </w:tr>
      <w:tr>
        <w:trPr>
          <w:trHeight w:hRule="atLeast" w:val="397"/>
        </w:trPr>
        <w:tc>
          <w:tcPr>
            <w:tcW w:type="pct" w:w="1250"/>
          </w:tcPr>
          <w:p>
            <w:pPr>
              <w:pStyle w:val="Compact"/>
            </w:pPr>
            <w:r>
              <w:t xml:space="preserve">2</w:t>
            </w:r>
          </w:p>
        </w:tc>
        <w:tc>
          <w:tcPr>
            <w:tcW w:type="pct" w:w="1250"/>
          </w:tcPr>
          <w:p>
            <w:pPr>
              <w:pStyle w:val="Compact"/>
            </w:pPr>
            <w:r>
              <w:t xml:space="preserve">f_hr_rsi</w:t>
            </w:r>
          </w:p>
        </w:tc>
        <w:tc>
          <w:tcPr>
            <w:tcW w:type="pct" w:w="1250"/>
          </w:tcPr>
          <w:p>
            <w:pPr>
              <w:pStyle w:val="Compact"/>
            </w:pPr>
            <w:r>
              <w:t xml:space="preserve">f_ta_pta_cmo</w:t>
            </w:r>
          </w:p>
        </w:tc>
        <w:tc>
          <w:tcPr>
            <w:tcW w:type="pct" w:w="1250"/>
          </w:tcPr>
          <w:p>
            <w:pPr>
              <w:pStyle w:val="Compact"/>
            </w:pPr>
            <w:r>
              <w:t xml:space="preserve">1.000</w:t>
            </w:r>
          </w:p>
        </w:tc>
      </w:tr>
      <w:tr>
        <w:trPr>
          <w:trHeight w:hRule="atLeast" w:val="397"/>
        </w:trPr>
        <w:tc>
          <w:tcPr>
            <w:tcW w:type="pct" w:w="1250"/>
          </w:tcPr>
          <w:p>
            <w:pPr>
              <w:pStyle w:val="Compact"/>
            </w:pPr>
            <w:r>
              <w:t xml:space="preserve">3</w:t>
            </w:r>
          </w:p>
        </w:tc>
        <w:tc>
          <w:tcPr>
            <w:tcW w:type="pct" w:w="1250"/>
          </w:tcPr>
          <w:p>
            <w:pPr>
              <w:pStyle w:val="Compact"/>
            </w:pPr>
            <w:r>
              <w:t xml:space="preserve">f_flow_taker_ratio</w:t>
            </w:r>
          </w:p>
        </w:tc>
        <w:tc>
          <w:tcPr>
            <w:tcW w:type="pct" w:w="1250"/>
          </w:tcPr>
          <w:p>
            <w:pPr>
              <w:pStyle w:val="Compact"/>
            </w:pPr>
            <w:r>
              <w:t xml:space="preserve">f_flow_imb</w:t>
            </w:r>
          </w:p>
        </w:tc>
        <w:tc>
          <w:tcPr>
            <w:tcW w:type="pct" w:w="1250"/>
          </w:tcPr>
          <w:p>
            <w:pPr>
              <w:pStyle w:val="Compact"/>
            </w:pPr>
            <w:r>
              <w:t xml:space="preserve">1.000</w:t>
            </w:r>
          </w:p>
        </w:tc>
      </w:tr>
      <w:tr>
        <w:trPr>
          <w:trHeight w:hRule="atLeast" w:val="397"/>
        </w:trPr>
        <w:tc>
          <w:tcPr>
            <w:tcW w:type="pct" w:w="1250"/>
          </w:tcPr>
          <w:p>
            <w:pPr>
              <w:pStyle w:val="Compact"/>
            </w:pPr>
            <w:r>
              <w:t xml:space="preserve">4</w:t>
            </w:r>
          </w:p>
        </w:tc>
        <w:tc>
          <w:tcPr>
            <w:tcW w:type="pct" w:w="1250"/>
          </w:tcPr>
          <w:p>
            <w:pPr>
              <w:pStyle w:val="Compact"/>
            </w:pPr>
            <w:r>
              <w:t xml:space="preserve">f_ta_cci</w:t>
            </w:r>
          </w:p>
        </w:tc>
        <w:tc>
          <w:tcPr>
            <w:tcW w:type="pct" w:w="1250"/>
          </w:tcPr>
          <w:p>
            <w:pPr>
              <w:pStyle w:val="Compact"/>
            </w:pPr>
            <w:r>
              <w:t xml:space="preserve">f_hr_bb_pos</w:t>
            </w:r>
          </w:p>
        </w:tc>
        <w:tc>
          <w:tcPr>
            <w:tcW w:type="pct" w:w="1250"/>
          </w:tcPr>
          <w:p>
            <w:pPr>
              <w:pStyle w:val="Compact"/>
            </w:pPr>
            <w:r>
              <w:t xml:space="preserve">0.940</w:t>
            </w:r>
          </w:p>
        </w:tc>
      </w:tr>
      <w:tr>
        <w:trPr>
          <w:trHeight w:hRule="atLeast" w:val="397"/>
        </w:trPr>
        <w:tc>
          <w:tcPr>
            <w:tcW w:type="pct" w:w="1250"/>
          </w:tcPr>
          <w:p>
            <w:pPr>
              <w:pStyle w:val="Compact"/>
            </w:pPr>
            <w:r>
              <w:t xml:space="preserve">5</w:t>
            </w:r>
          </w:p>
        </w:tc>
        <w:tc>
          <w:tcPr>
            <w:tcW w:type="pct" w:w="1250"/>
          </w:tcPr>
          <w:p>
            <w:pPr>
              <w:pStyle w:val="Compact"/>
            </w:pPr>
            <w:r>
              <w:t xml:space="preserve">f_hr_ema_mid_slow</w:t>
            </w:r>
          </w:p>
        </w:tc>
        <w:tc>
          <w:tcPr>
            <w:tcW w:type="pct" w:w="1250"/>
          </w:tcPr>
          <w:p>
            <w:pPr>
              <w:pStyle w:val="Compact"/>
            </w:pPr>
            <w:r>
              <w:t xml:space="preserve">f_ta_pta_trix</w:t>
            </w:r>
          </w:p>
        </w:tc>
        <w:tc>
          <w:tcPr>
            <w:tcW w:type="pct" w:w="1250"/>
          </w:tcPr>
          <w:p>
            <w:pPr>
              <w:pStyle w:val="Compact"/>
            </w:pPr>
            <w:r>
              <w:t xml:space="preserve">0.935</w:t>
            </w:r>
          </w:p>
        </w:tc>
      </w:tr>
      <w:tr>
        <w:trPr>
          <w:trHeight w:hRule="atLeast" w:val="397"/>
        </w:trPr>
        <w:tc>
          <w:tcPr>
            <w:tcW w:type="pct" w:w="1250"/>
          </w:tcPr>
          <w:p>
            <w:pPr>
              <w:pStyle w:val="Compact"/>
            </w:pPr>
            <w:r>
              <w:t xml:space="preserve">6</w:t>
            </w:r>
          </w:p>
        </w:tc>
        <w:tc>
          <w:tcPr>
            <w:tcW w:type="pct" w:w="1250"/>
          </w:tcPr>
          <w:p>
            <w:pPr>
              <w:pStyle w:val="Compact"/>
            </w:pPr>
            <w:r>
              <w:t xml:space="preserve">f_hr_rsi</w:t>
            </w:r>
          </w:p>
        </w:tc>
        <w:tc>
          <w:tcPr>
            <w:tcW w:type="pct" w:w="1250"/>
          </w:tcPr>
          <w:p>
            <w:pPr>
              <w:pStyle w:val="Compact"/>
            </w:pPr>
            <w:r>
              <w:t xml:space="preserve">f_ta_dmi_diff</w:t>
            </w:r>
          </w:p>
        </w:tc>
        <w:tc>
          <w:tcPr>
            <w:tcW w:type="pct" w:w="1250"/>
          </w:tcPr>
          <w:p>
            <w:pPr>
              <w:pStyle w:val="Compact"/>
            </w:pPr>
            <w:r>
              <w:t xml:space="preserve">0.933</w:t>
            </w:r>
          </w:p>
        </w:tc>
      </w:tr>
      <w:tr>
        <w:trPr>
          <w:trHeight w:hRule="atLeast" w:val="397"/>
        </w:trPr>
        <w:tc>
          <w:tcPr>
            <w:tcW w:type="pct" w:w="1250"/>
          </w:tcPr>
          <w:p>
            <w:pPr>
              <w:pStyle w:val="Compact"/>
            </w:pPr>
            <w:r>
              <w:t xml:space="preserve">7</w:t>
            </w:r>
          </w:p>
        </w:tc>
        <w:tc>
          <w:tcPr>
            <w:tcW w:type="pct" w:w="1250"/>
          </w:tcPr>
          <w:p>
            <w:pPr>
              <w:pStyle w:val="Compact"/>
            </w:pPr>
            <w:r>
              <w:t xml:space="preserve">f_ta_pta_cmo</w:t>
            </w:r>
          </w:p>
        </w:tc>
        <w:tc>
          <w:tcPr>
            <w:tcW w:type="pct" w:w="1250"/>
          </w:tcPr>
          <w:p>
            <w:pPr>
              <w:pStyle w:val="Compact"/>
            </w:pPr>
            <w:r>
              <w:t xml:space="preserve">f_ta_dmi_diff</w:t>
            </w:r>
          </w:p>
        </w:tc>
        <w:tc>
          <w:tcPr>
            <w:tcW w:type="pct" w:w="1250"/>
          </w:tcPr>
          <w:p>
            <w:pPr>
              <w:pStyle w:val="Compact"/>
            </w:pPr>
            <w:r>
              <w:t xml:space="preserve">0.933</w:t>
            </w:r>
          </w:p>
        </w:tc>
      </w:tr>
      <w:tr>
        <w:trPr>
          <w:trHeight w:hRule="atLeast" w:val="397"/>
        </w:trPr>
        <w:tc>
          <w:tcPr>
            <w:tcW w:type="pct" w:w="1250"/>
          </w:tcPr>
          <w:p>
            <w:pPr>
              <w:pStyle w:val="Compact"/>
            </w:pPr>
            <w:r>
              <w:t xml:space="preserve">8</w:t>
            </w:r>
          </w:p>
        </w:tc>
        <w:tc>
          <w:tcPr>
            <w:tcW w:type="pct" w:w="1250"/>
          </w:tcPr>
          <w:p>
            <w:pPr>
              <w:pStyle w:val="Compact"/>
            </w:pPr>
            <w:r>
              <w:t xml:space="preserve">f_hr_ema_fast_mid</w:t>
            </w:r>
          </w:p>
        </w:tc>
        <w:tc>
          <w:tcPr>
            <w:tcW w:type="pct" w:w="1250"/>
          </w:tcPr>
          <w:p>
            <w:pPr>
              <w:pStyle w:val="Compact"/>
            </w:pPr>
            <w:r>
              <w:t xml:space="preserve">f_hr_mom_24</w:t>
            </w:r>
          </w:p>
        </w:tc>
        <w:tc>
          <w:tcPr>
            <w:tcW w:type="pct" w:w="1250"/>
          </w:tcPr>
          <w:p>
            <w:pPr>
              <w:pStyle w:val="Compact"/>
            </w:pPr>
            <w:r>
              <w:t xml:space="preserve">0.914</w:t>
            </w:r>
          </w:p>
        </w:tc>
      </w:tr>
      <w:tr>
        <w:trPr>
          <w:trHeight w:hRule="atLeast" w:val="397"/>
        </w:trPr>
        <w:tc>
          <w:tcPr>
            <w:tcW w:type="pct" w:w="1250"/>
          </w:tcPr>
          <w:p>
            <w:pPr>
              <w:pStyle w:val="Compact"/>
            </w:pPr>
            <w:r>
              <w:t xml:space="preserve">9</w:t>
            </w:r>
          </w:p>
        </w:tc>
        <w:tc>
          <w:tcPr>
            <w:tcW w:type="pct" w:w="1250"/>
          </w:tcPr>
          <w:p>
            <w:pPr>
              <w:pStyle w:val="Compact"/>
            </w:pPr>
            <w:r>
              <w:t xml:space="preserve">f_ta_pta_trix</w:t>
            </w:r>
          </w:p>
        </w:tc>
        <w:tc>
          <w:tcPr>
            <w:tcW w:type="pct" w:w="1250"/>
          </w:tcPr>
          <w:p>
            <w:pPr>
              <w:pStyle w:val="Compact"/>
            </w:pPr>
            <w:r>
              <w:t xml:space="preserve">f_hr_mom_72</w:t>
            </w:r>
          </w:p>
        </w:tc>
        <w:tc>
          <w:tcPr>
            <w:tcW w:type="pct" w:w="1250"/>
          </w:tcPr>
          <w:p>
            <w:pPr>
              <w:pStyle w:val="Compact"/>
            </w:pPr>
            <w:r>
              <w:t xml:space="preserve">0.894</w:t>
            </w:r>
          </w:p>
        </w:tc>
      </w:tr>
    </w:tbl>
    <w:p>
      <w:pPr>
        <w:pStyle w:val="SourceCode"/>
      </w:pPr>
      <w:r>
        <w:br/>
      </w:r>
      <w:r>
        <w:rPr>
          <w:rStyle w:val="VerbatimChar"/>
        </w:rPr>
        <w:t xml:space="preserve">top 12 features by class separation  |mean(1) - mean(0)| / sd:</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p>
        </w:tc>
        <w:tc>
          <w:tcPr>
            <w:tcW w:type="pct" w:w="2500"/>
          </w:tcPr>
          <w:p>
            <w:pPr>
              <w:pStyle w:val="Compact"/>
            </w:pPr>
            <w:r>
              <w:rPr>
                <w:b/>
              </w:rPr>
              <w:t xml:space="preserve">separation</w:t>
            </w:r>
          </w:p>
        </w:tc>
      </w:tr>
      <w:tr>
        <w:trPr>
          <w:trHeight w:hRule="atLeast" w:val="397"/>
        </w:trPr>
        <w:tc>
          <w:tcPr>
            <w:tcW w:type="pct" w:w="2500"/>
          </w:tcPr>
          <w:p>
            <w:pPr>
              <w:pStyle w:val="Compact"/>
            </w:pPr>
            <w:r>
              <w:t xml:space="preserve">f_ta_pta_vortex_diff</w:t>
            </w:r>
          </w:p>
        </w:tc>
        <w:tc>
          <w:tcPr>
            <w:tcW w:type="pct" w:w="2500"/>
          </w:tcPr>
          <w:p>
            <w:pPr>
              <w:pStyle w:val="Compact"/>
            </w:pPr>
            <w:r>
              <w:t xml:space="preserve">0.059</w:t>
            </w:r>
          </w:p>
        </w:tc>
      </w:tr>
      <w:tr>
        <w:trPr>
          <w:trHeight w:hRule="atLeast" w:val="397"/>
        </w:trPr>
        <w:tc>
          <w:tcPr>
            <w:tcW w:type="pct" w:w="2500"/>
          </w:tcPr>
          <w:p>
            <w:pPr>
              <w:pStyle w:val="Compact"/>
            </w:pPr>
            <w:r>
              <w:t xml:space="preserve">f_ta_dmi_diff</w:t>
            </w:r>
          </w:p>
        </w:tc>
        <w:tc>
          <w:tcPr>
            <w:tcW w:type="pct" w:w="2500"/>
          </w:tcPr>
          <w:p>
            <w:pPr>
              <w:pStyle w:val="Compact"/>
            </w:pPr>
            <w:r>
              <w:t xml:space="preserve">0.059</w:t>
            </w:r>
          </w:p>
        </w:tc>
      </w:tr>
      <w:tr>
        <w:trPr>
          <w:trHeight w:hRule="atLeast" w:val="397"/>
        </w:trPr>
        <w:tc>
          <w:tcPr>
            <w:tcW w:type="pct" w:w="2500"/>
          </w:tcPr>
          <w:p>
            <w:pPr>
              <w:pStyle w:val="Compact"/>
            </w:pPr>
            <w:r>
              <w:t xml:space="preserve">f_ta_mfi</w:t>
            </w:r>
          </w:p>
        </w:tc>
        <w:tc>
          <w:tcPr>
            <w:tcW w:type="pct" w:w="2500"/>
          </w:tcPr>
          <w:p>
            <w:pPr>
              <w:pStyle w:val="Compact"/>
            </w:pPr>
            <w:r>
              <w:t xml:space="preserve">0.054</w:t>
            </w:r>
          </w:p>
        </w:tc>
      </w:tr>
      <w:tr>
        <w:trPr>
          <w:trHeight w:hRule="atLeast" w:val="397"/>
        </w:trPr>
        <w:tc>
          <w:tcPr>
            <w:tcW w:type="pct" w:w="2500"/>
          </w:tcPr>
          <w:p>
            <w:pPr>
              <w:pStyle w:val="Compact"/>
            </w:pPr>
            <w:r>
              <w:t xml:space="preserve">f_ta_pta_ppo_hist</w:t>
            </w:r>
          </w:p>
        </w:tc>
        <w:tc>
          <w:tcPr>
            <w:tcW w:type="pct" w:w="2500"/>
          </w:tcPr>
          <w:p>
            <w:pPr>
              <w:pStyle w:val="Compact"/>
            </w:pPr>
            <w:r>
              <w:t xml:space="preserve">0.054</w:t>
            </w:r>
          </w:p>
        </w:tc>
      </w:tr>
      <w:tr>
        <w:trPr>
          <w:trHeight w:hRule="atLeast" w:val="397"/>
        </w:trPr>
        <w:tc>
          <w:tcPr>
            <w:tcW w:type="pct" w:w="2500"/>
          </w:tcPr>
          <w:p>
            <w:pPr>
              <w:pStyle w:val="Compact"/>
            </w:pPr>
            <w:r>
              <w:t xml:space="preserve">f_ta_pta_cmo</w:t>
            </w:r>
          </w:p>
        </w:tc>
        <w:tc>
          <w:tcPr>
            <w:tcW w:type="pct" w:w="2500"/>
          </w:tcPr>
          <w:p>
            <w:pPr>
              <w:pStyle w:val="Compact"/>
            </w:pPr>
            <w:r>
              <w:t xml:space="preserve">0.050</w:t>
            </w:r>
          </w:p>
        </w:tc>
      </w:tr>
      <w:tr>
        <w:trPr>
          <w:trHeight w:hRule="atLeast" w:val="397"/>
        </w:trPr>
        <w:tc>
          <w:tcPr>
            <w:tcW w:type="pct" w:w="2500"/>
          </w:tcPr>
          <w:p>
            <w:pPr>
              <w:pStyle w:val="Compact"/>
            </w:pPr>
            <w:r>
              <w:t xml:space="preserve">f_hr_rsi</w:t>
            </w:r>
          </w:p>
        </w:tc>
        <w:tc>
          <w:tcPr>
            <w:tcW w:type="pct" w:w="2500"/>
          </w:tcPr>
          <w:p>
            <w:pPr>
              <w:pStyle w:val="Compact"/>
            </w:pPr>
            <w:r>
              <w:t xml:space="preserve">0.050</w:t>
            </w:r>
          </w:p>
        </w:tc>
      </w:tr>
      <w:tr>
        <w:trPr>
          <w:trHeight w:hRule="atLeast" w:val="397"/>
        </w:trPr>
        <w:tc>
          <w:tcPr>
            <w:tcW w:type="pct" w:w="2500"/>
          </w:tcPr>
          <w:p>
            <w:pPr>
              <w:pStyle w:val="Compact"/>
            </w:pPr>
            <w:r>
              <w:t xml:space="preserve">f_hr_mom_12</w:t>
            </w:r>
          </w:p>
        </w:tc>
        <w:tc>
          <w:tcPr>
            <w:tcW w:type="pct" w:w="2500"/>
          </w:tcPr>
          <w:p>
            <w:pPr>
              <w:pStyle w:val="Compact"/>
            </w:pPr>
            <w:r>
              <w:t xml:space="preserve">0.050</w:t>
            </w:r>
          </w:p>
        </w:tc>
      </w:tr>
      <w:tr>
        <w:trPr>
          <w:trHeight w:hRule="atLeast" w:val="397"/>
        </w:trPr>
        <w:tc>
          <w:tcPr>
            <w:tcW w:type="pct" w:w="2500"/>
          </w:tcPr>
          <w:p>
            <w:pPr>
              <w:pStyle w:val="Compact"/>
            </w:pPr>
            <w:r>
              <w:t xml:space="preserve">f_ta_pta_cksp_long_dist</w:t>
            </w:r>
          </w:p>
        </w:tc>
        <w:tc>
          <w:tcPr>
            <w:tcW w:type="pct" w:w="2500"/>
          </w:tcPr>
          <w:p>
            <w:pPr>
              <w:pStyle w:val="Compact"/>
            </w:pPr>
            <w:r>
              <w:t xml:space="preserve">0.044</w:t>
            </w:r>
          </w:p>
        </w:tc>
      </w:tr>
      <w:tr>
        <w:trPr>
          <w:trHeight w:hRule="atLeast" w:val="397"/>
        </w:trPr>
        <w:tc>
          <w:tcPr>
            <w:tcW w:type="pct" w:w="2500"/>
          </w:tcPr>
          <w:p>
            <w:pPr>
              <w:pStyle w:val="Compact"/>
            </w:pPr>
            <w:r>
              <w:t xml:space="preserve">f_ta_cci</w:t>
            </w:r>
          </w:p>
        </w:tc>
        <w:tc>
          <w:tcPr>
            <w:tcW w:type="pct" w:w="2500"/>
          </w:tcPr>
          <w:p>
            <w:pPr>
              <w:pStyle w:val="Compact"/>
            </w:pPr>
            <w:r>
              <w:t xml:space="preserve">0.044</w:t>
            </w:r>
          </w:p>
        </w:tc>
      </w:tr>
      <w:tr>
        <w:trPr>
          <w:trHeight w:hRule="atLeast" w:val="397"/>
        </w:trPr>
        <w:tc>
          <w:tcPr>
            <w:tcW w:type="pct" w:w="2500"/>
          </w:tcPr>
          <w:p>
            <w:pPr>
              <w:pStyle w:val="Compact"/>
            </w:pPr>
            <w:r>
              <w:t xml:space="preserve">f_hr_bb_pos</w:t>
            </w:r>
          </w:p>
        </w:tc>
        <w:tc>
          <w:tcPr>
            <w:tcW w:type="pct" w:w="2500"/>
          </w:tcPr>
          <w:p>
            <w:pPr>
              <w:pStyle w:val="Compact"/>
            </w:pPr>
            <w:r>
              <w:t xml:space="preserve">0.041</w:t>
            </w:r>
          </w:p>
        </w:tc>
      </w:tr>
      <w:tr>
        <w:trPr>
          <w:trHeight w:hRule="atLeast" w:val="397"/>
        </w:trPr>
        <w:tc>
          <w:tcPr>
            <w:tcW w:type="pct" w:w="2500"/>
          </w:tcPr>
          <w:p>
            <w:pPr>
              <w:pStyle w:val="Compact"/>
            </w:pPr>
            <w:r>
              <w:t xml:space="preserve">f_hr_ema_fast_mid</w:t>
            </w:r>
          </w:p>
        </w:tc>
        <w:tc>
          <w:tcPr>
            <w:tcW w:type="pct" w:w="2500"/>
          </w:tcPr>
          <w:p>
            <w:pPr>
              <w:pStyle w:val="Compact"/>
            </w:pPr>
            <w:r>
              <w:t xml:space="preserve">0.040</w:t>
            </w:r>
          </w:p>
        </w:tc>
      </w:tr>
      <w:tr>
        <w:trPr>
          <w:trHeight w:hRule="atLeast" w:val="397"/>
        </w:trPr>
        <w:tc>
          <w:tcPr>
            <w:tcW w:type="pct" w:w="2500"/>
          </w:tcPr>
          <w:p>
            <w:pPr>
              <w:pStyle w:val="Compact"/>
            </w:pPr>
            <w:r>
              <w:t xml:space="preserve">f_wc_bb_pos</w:t>
            </w:r>
          </w:p>
        </w:tc>
        <w:tc>
          <w:tcPr>
            <w:tcW w:type="pct" w:w="2500"/>
          </w:tcPr>
          <w:p>
            <w:pPr>
              <w:pStyle w:val="Compact"/>
            </w:pPr>
            <w:r>
              <w:t xml:space="preserve">0.038</w:t>
            </w:r>
          </w:p>
        </w:tc>
      </w:tr>
    </w:tbl>
    <w:bookmarkEnd w:id="71"/>
    <w:bookmarkStart w:id="132" w:name="entries-exits"/>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pPr>
        <w:pStyle w:val="BodyText"/>
      </w:pPr>
      <w:r>
        <w:drawing>
          <wp:inline>
            <wp:extent cx="5943600" cy="3137637"/>
            <wp:effectExtent b="0" l="0" r="0" t="0"/>
            <wp:docPr descr="" title="" id="73" name="Picture"/>
            <a:graphic>
              <a:graphicData uri="http://schemas.openxmlformats.org/drawingml/2006/picture">
                <pic:pic>
                  <pic:nvPicPr>
                    <pic:cNvPr descr="trader-workflow_files/figure-docx/cell-35-output-1.png" id="74" name="Picture"/>
                    <pic:cNvPicPr>
                      <a:picLocks noChangeArrowheads="1" noChangeAspect="1"/>
                    </pic:cNvPicPr>
                  </pic:nvPicPr>
                  <pic:blipFill>
                    <a:blip r:embed="rId72"/>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BTC/USDT: 1145 trades total  .  5 entries / 6 exits in the 220-bar window</w:t>
      </w:r>
    </w:p>
    <w:p>
      <w:pPr>
        <w:pStyle w:val="FirstParagraph"/>
      </w:pPr>
      <w:r>
        <w:drawing>
          <wp:inline>
            <wp:extent cx="5943600" cy="3137637"/>
            <wp:effectExtent b="0" l="0" r="0" t="0"/>
            <wp:docPr descr="" title="" id="76" name="Picture"/>
            <a:graphic>
              <a:graphicData uri="http://schemas.openxmlformats.org/drawingml/2006/picture">
                <pic:pic>
                  <pic:nvPicPr>
                    <pic:cNvPr descr="trader-workflow_files/figure-docx/cell-35-output-3.png" id="77" name="Picture"/>
                    <pic:cNvPicPr>
                      <a:picLocks noChangeArrowheads="1" noChangeAspect="1"/>
                    </pic:cNvPicPr>
                  </pic:nvPicPr>
                  <pic:blipFill>
                    <a:blip r:embed="rId75"/>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ETH/USDT: 1166 trades total  .  6 entries / 6 exits in the 220-bar window</w:t>
      </w:r>
    </w:p>
    <w:p>
      <w:pPr>
        <w:pStyle w:val="FirstParagraph"/>
      </w:pPr>
      <w:r>
        <w:drawing>
          <wp:inline>
            <wp:extent cx="5943600" cy="3135887"/>
            <wp:effectExtent b="0" l="0" r="0" t="0"/>
            <wp:docPr descr="" title="" id="79" name="Picture"/>
            <a:graphic>
              <a:graphicData uri="http://schemas.openxmlformats.org/drawingml/2006/picture">
                <pic:pic>
                  <pic:nvPicPr>
                    <pic:cNvPr descr="trader-workflow_files/figure-docx/cell-35-output-5.png" id="80" name="Picture"/>
                    <pic:cNvPicPr>
                      <a:picLocks noChangeArrowheads="1" noChangeAspect="1"/>
                    </pic:cNvPicPr>
                  </pic:nvPicPr>
                  <pic:blipFill>
                    <a:blip r:embed="rId78"/>
                    <a:stretch>
                      <a:fillRect/>
                    </a:stretch>
                  </pic:blipFill>
                  <pic:spPr bwMode="auto">
                    <a:xfrm>
                      <a:off x="0" y="0"/>
                      <a:ext cx="5943600" cy="3135887"/>
                    </a:xfrm>
                    <a:prstGeom prst="rect">
                      <a:avLst/>
                    </a:prstGeom>
                    <a:noFill/>
                    <a:ln w="9525">
                      <a:noFill/>
                      <a:headEnd/>
                      <a:tailEnd/>
                    </a:ln>
                  </pic:spPr>
                </pic:pic>
              </a:graphicData>
            </a:graphic>
          </wp:inline>
        </w:drawing>
      </w:r>
    </w:p>
    <w:p>
      <w:pPr>
        <w:pStyle w:val="SourceCode"/>
      </w:pPr>
      <w:r>
        <w:rPr>
          <w:rStyle w:val="VerbatimChar"/>
        </w:rPr>
        <w:t xml:space="preserve">SOL/USDT: 820 trades total  .  6 entries / 7 exits in the 220-bar window</w:t>
      </w:r>
    </w:p>
    <w:p>
      <w:pPr>
        <w:pStyle w:val="FirstParagraph"/>
      </w:pPr>
      <w:r>
        <w:drawing>
          <wp:inline>
            <wp:extent cx="5943600" cy="3139388"/>
            <wp:effectExtent b="0" l="0" r="0" t="0"/>
            <wp:docPr descr="" title="" id="82" name="Picture"/>
            <a:graphic>
              <a:graphicData uri="http://schemas.openxmlformats.org/drawingml/2006/picture">
                <pic:pic>
                  <pic:nvPicPr>
                    <pic:cNvPr descr="trader-workflow_files/figure-docx/cell-35-output-7.png" id="83" name="Picture"/>
                    <pic:cNvPicPr>
                      <a:picLocks noChangeArrowheads="1" noChangeAspect="1"/>
                    </pic:cNvPicPr>
                  </pic:nvPicPr>
                  <pic:blipFill>
                    <a:blip r:embed="rId81"/>
                    <a:stretch>
                      <a:fillRect/>
                    </a:stretch>
                  </pic:blipFill>
                  <pic:spPr bwMode="auto">
                    <a:xfrm>
                      <a:off x="0" y="0"/>
                      <a:ext cx="5943600" cy="3139388"/>
                    </a:xfrm>
                    <a:prstGeom prst="rect">
                      <a:avLst/>
                    </a:prstGeom>
                    <a:noFill/>
                    <a:ln w="9525">
                      <a:noFill/>
                      <a:headEnd/>
                      <a:tailEnd/>
                    </a:ln>
                  </pic:spPr>
                </pic:pic>
              </a:graphicData>
            </a:graphic>
          </wp:inline>
        </w:drawing>
      </w:r>
    </w:p>
    <w:p>
      <w:pPr>
        <w:pStyle w:val="SourceCode"/>
      </w:pPr>
      <w:r>
        <w:rPr>
          <w:rStyle w:val="VerbatimChar"/>
        </w:rPr>
        <w:t xml:space="preserve">DOGE/USDT: 804 trades total  .  2 entries / 2 exits in the 220-bar window</w:t>
      </w:r>
    </w:p>
    <w:p>
      <w:pPr>
        <w:pStyle w:val="FirstParagraph"/>
      </w:pPr>
      <w:r>
        <w:drawing>
          <wp:inline>
            <wp:extent cx="5943600" cy="2742944"/>
            <wp:effectExtent b="0" l="0" r="0" t="0"/>
            <wp:docPr descr="" title="" id="85" name="Picture"/>
            <a:graphic>
              <a:graphicData uri="http://schemas.openxmlformats.org/drawingml/2006/picture">
                <pic:pic>
                  <pic:nvPicPr>
                    <pic:cNvPr descr="trader-workflow_files/figure-docx/cell-36-output-1.png" id="86" name="Picture"/>
                    <pic:cNvPicPr>
                      <a:picLocks noChangeArrowheads="1" noChangeAspect="1"/>
                    </pic:cNvPicPr>
                  </pic:nvPicPr>
                  <pic:blipFill>
                    <a:blip r:embed="rId84"/>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2019 spring rally                  2019-04-01 -&gt; 2019-06-20   13 entries / 13 exits</w:t>
      </w:r>
    </w:p>
    <w:p>
      <w:pPr>
        <w:pStyle w:val="FirstParagraph"/>
      </w:pPr>
      <w:r>
        <w:drawing>
          <wp:inline>
            <wp:extent cx="5943600" cy="2741415"/>
            <wp:effectExtent b="0" l="0" r="0" t="0"/>
            <wp:docPr descr="" title="" id="88" name="Picture"/>
            <a:graphic>
              <a:graphicData uri="http://schemas.openxmlformats.org/drawingml/2006/picture">
                <pic:pic>
                  <pic:nvPicPr>
                    <pic:cNvPr descr="trader-workflow_files/figure-docx/cell-36-output-3.png" id="89" name="Picture"/>
                    <pic:cNvPicPr>
                      <a:picLocks noChangeArrowheads="1" noChangeAspect="1"/>
                    </pic:cNvPicPr>
                  </pic:nvPicPr>
                  <pic:blipFill>
                    <a:blip r:embed="rId87"/>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2020 COVID crash + recovery        2020-02-20 -&gt; 2020-05-05   4 entries / 4 exits</w:t>
      </w:r>
    </w:p>
    <w:p>
      <w:pPr>
        <w:pStyle w:val="FirstParagraph"/>
      </w:pPr>
      <w:r>
        <w:drawing>
          <wp:inline>
            <wp:extent cx="5943600" cy="2742944"/>
            <wp:effectExtent b="0" l="0" r="0" t="0"/>
            <wp:docPr descr="" title="" id="91" name="Picture"/>
            <a:graphic>
              <a:graphicData uri="http://schemas.openxmlformats.org/drawingml/2006/picture">
                <pic:pic>
                  <pic:nvPicPr>
                    <pic:cNvPr descr="trader-workflow_files/figure-docx/cell-36-output-5.png" id="92" name="Picture"/>
                    <pic:cNvPicPr>
                      <a:picLocks noChangeArrowheads="1" noChangeAspect="1"/>
                    </pic:cNvPicPr>
                  </pic:nvPicPr>
                  <pic:blipFill>
                    <a:blip r:embed="rId90"/>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2020 H2 bull market start          2020-10-01 -&gt; 2020-12-20   15 entries / 16 exits</w:t>
      </w:r>
    </w:p>
    <w:p>
      <w:pPr>
        <w:pStyle w:val="FirstParagraph"/>
      </w:pPr>
      <w:r>
        <w:drawing>
          <wp:inline>
            <wp:extent cx="5943600" cy="2741415"/>
            <wp:effectExtent b="0" l="0" r="0" t="0"/>
            <wp:docPr descr="" title="" id="94" name="Picture"/>
            <a:graphic>
              <a:graphicData uri="http://schemas.openxmlformats.org/drawingml/2006/picture">
                <pic:pic>
                  <pic:nvPicPr>
                    <pic:cNvPr descr="trader-workflow_files/figure-docx/cell-36-output-7.png" id="95" name="Picture"/>
                    <pic:cNvPicPr>
                      <a:picLocks noChangeArrowheads="1" noChangeAspect="1"/>
                    </pic:cNvPicPr>
                  </pic:nvPicPr>
                  <pic:blipFill>
                    <a:blip r:embed="rId93"/>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2021 blow-off top + May crash      2021-04-05 -&gt; 2021-05-25   6 entries / 6 exits</w:t>
      </w:r>
    </w:p>
    <w:p>
      <w:pPr>
        <w:pStyle w:val="FirstParagraph"/>
      </w:pPr>
      <w:r>
        <w:drawing>
          <wp:inline>
            <wp:extent cx="5943600" cy="2742944"/>
            <wp:effectExtent b="0" l="0" r="0" t="0"/>
            <wp:docPr descr="" title="" id="97" name="Picture"/>
            <a:graphic>
              <a:graphicData uri="http://schemas.openxmlformats.org/drawingml/2006/picture">
                <pic:pic>
                  <pic:nvPicPr>
                    <pic:cNvPr descr="trader-workflow_files/figure-docx/cell-36-output-9.png" id="98" name="Picture"/>
                    <pic:cNvPicPr>
                      <a:picLocks noChangeArrowheads="1" noChangeAspect="1"/>
                    </pic:cNvPicPr>
                  </pic:nvPicPr>
                  <pic:blipFill>
                    <a:blip r:embed="rId96"/>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2023 ETF run-up                    2023-10-10 -&gt; 2024-01-05   16 entries / 16 exits</w:t>
      </w:r>
    </w:p>
    <w:p>
      <w:pPr>
        <w:pStyle w:val="FirstParagraph"/>
      </w:pPr>
      <w:r>
        <w:drawing>
          <wp:inline>
            <wp:extent cx="5943600" cy="2742944"/>
            <wp:effectExtent b="0" l="0" r="0" t="0"/>
            <wp:docPr descr="" title="" id="100" name="Picture"/>
            <a:graphic>
              <a:graphicData uri="http://schemas.openxmlformats.org/drawingml/2006/picture">
                <pic:pic>
                  <pic:nvPicPr>
                    <pic:cNvPr descr="trader-workflow_files/figure-docx/cell-36-output-11.png" id="101" name="Picture"/>
                    <pic:cNvPicPr>
                      <a:picLocks noChangeArrowheads="1" noChangeAspect="1"/>
                    </pic:cNvPicPr>
                  </pic:nvPicPr>
                  <pic:blipFill>
                    <a:blip r:embed="rId99"/>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2024 post-halving chop             2024-02-20 -&gt; 2024-05-01   8 entries / 9 exits</w:t>
      </w:r>
      <w:r>
        <w:br/>
      </w:r>
      <w:r>
        <w:br/>
      </w:r>
      <w:r>
        <w:rPr>
          <w:rStyle w:val="VerbatimChar"/>
        </w:rPr>
        <w:t xml:space="preserve">note: the 2022 LUNA/bear leg is omitted because the rule fires ZERO entries there -- it stands aside</w:t>
      </w:r>
      <w:r>
        <w:br/>
      </w:r>
      <w:r>
        <w:rPr>
          <w:rStyle w:val="VerbatimChar"/>
        </w:rPr>
        <w:t xml:space="preserve">when no uptrend exists, which is itself the correct (and only safe) behaviour.</w:t>
      </w:r>
    </w:p>
    <w:p>
      <w:pPr>
        <w:pStyle w:val="FirstParagraph"/>
      </w:pPr>
      <w:r>
        <w:drawing>
          <wp:inline>
            <wp:extent cx="5943600" cy="2742944"/>
            <wp:effectExtent b="0" l="0" r="0" t="0"/>
            <wp:docPr descr="" title="" id="103" name="Picture"/>
            <a:graphic>
              <a:graphicData uri="http://schemas.openxmlformats.org/drawingml/2006/picture">
                <pic:pic>
                  <pic:nvPicPr>
                    <pic:cNvPr descr="trader-workflow_files/figure-docx/cell-37-output-1.png" id="104" name="Picture"/>
                    <pic:cNvPicPr>
                      <a:picLocks noChangeArrowheads="1" noChangeAspect="1"/>
                    </pic:cNvPicPr>
                  </pic:nvPicPr>
                  <pic:blipFill>
                    <a:blip r:embed="rId102"/>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6" name="Picture"/>
            <a:graphic>
              <a:graphicData uri="http://schemas.openxmlformats.org/drawingml/2006/picture">
                <pic:pic>
                  <pic:nvPicPr>
                    <pic:cNvPr descr="trader-workflow_files/figure-docx/cell-37-output-2.png" id="107" name="Picture"/>
                    <pic:cNvPicPr>
                      <a:picLocks noChangeArrowheads="1" noChangeAspect="1"/>
                    </pic:cNvPicPr>
                  </pic:nvPicPr>
                  <pic:blipFill>
                    <a:blip r:embed="rId105"/>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9" name="Picture"/>
            <a:graphic>
              <a:graphicData uri="http://schemas.openxmlformats.org/drawingml/2006/picture">
                <pic:pic>
                  <pic:nvPicPr>
                    <pic:cNvPr descr="trader-workflow_files/figure-docx/cell-37-output-3.png" id="110" name="Picture"/>
                    <pic:cNvPicPr>
                      <a:picLocks noChangeArrowheads="1" noChangeAspect="1"/>
                    </pic:cNvPicPr>
                  </pic:nvPicPr>
                  <pic:blipFill>
                    <a:blip r:embed="rId108"/>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1h vs 4h at equal candle count is lever 1 (frame); 220 vs 700 on 4h is lever 2 (window). Past ~900 candles, step to a coarser frame rather than zoom further.</w:t>
      </w:r>
    </w:p>
    <w:p>
      <w:pPr>
        <w:pStyle w:val="SourceCode"/>
      </w:pPr>
      <w:r>
        <w:rPr>
          <w:rStyle w:val="VerbatimChar"/>
        </w:rPr>
        <w:t xml:space="preserve">from 282 BTC 4h trades  .  best +15.5%  /  worst -8.7%</w:t>
      </w:r>
    </w:p>
    <w:p>
      <w:pPr>
        <w:pStyle w:val="FirstParagraph"/>
      </w:pPr>
      <w:r>
        <w:drawing>
          <wp:inline>
            <wp:extent cx="5943600" cy="3396889"/>
            <wp:effectExtent b="0" l="0" r="0" t="0"/>
            <wp:docPr descr="" title="" id="112" name="Picture"/>
            <a:graphic>
              <a:graphicData uri="http://schemas.openxmlformats.org/drawingml/2006/picture">
                <pic:pic>
                  <pic:nvPicPr>
                    <pic:cNvPr descr="trader-workflow_files/figure-docx/cell-38-output-2.png" id="113" name="Picture"/>
                    <pic:cNvPicPr>
                      <a:picLocks noChangeArrowheads="1" noChangeAspect="1"/>
                    </pic:cNvPicPr>
                  </pic:nvPicPr>
                  <pic:blipFill>
                    <a:blip r:embed="rId111"/>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5" name="Picture"/>
            <a:graphic>
              <a:graphicData uri="http://schemas.openxmlformats.org/drawingml/2006/picture">
                <pic:pic>
                  <pic:nvPicPr>
                    <pic:cNvPr descr="trader-workflow_files/figure-docx/cell-38-output-3.png" id="116" name="Picture"/>
                    <pic:cNvPicPr>
                      <a:picLocks noChangeArrowheads="1" noChangeAspect="1"/>
                    </pic:cNvPicPr>
                  </pic:nvPicPr>
                  <pic:blipFill>
                    <a:blip r:embed="rId114"/>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8" name="Picture"/>
            <a:graphic>
              <a:graphicData uri="http://schemas.openxmlformats.org/drawingml/2006/picture">
                <pic:pic>
                  <pic:nvPicPr>
                    <pic:cNvPr descr="trader-workflow_files/figure-docx/cell-38-output-4.png" id="119" name="Picture"/>
                    <pic:cNvPicPr>
                      <a:picLocks noChangeArrowheads="1" noChangeAspect="1"/>
                    </pic:cNvPicPr>
                  </pic:nvPicPr>
                  <pic:blipFill>
                    <a:blip r:embed="rId117"/>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21" name="Picture"/>
            <a:graphic>
              <a:graphicData uri="http://schemas.openxmlformats.org/drawingml/2006/picture">
                <pic:pic>
                  <pic:nvPicPr>
                    <pic:cNvPr descr="trader-workflow_files/figure-docx/cell-38-output-5.png" id="122" name="Picture"/>
                    <pic:cNvPicPr>
                      <a:picLocks noChangeArrowheads="1" noChangeAspect="1"/>
                    </pic:cNvPicPr>
                  </pic:nvPicPr>
                  <pic:blipFill>
                    <a:blip r:embed="rId120"/>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4331663"/>
            <wp:effectExtent b="0" l="0" r="0" t="0"/>
            <wp:docPr descr="" title="" id="124" name="Picture"/>
            <a:graphic>
              <a:graphicData uri="http://schemas.openxmlformats.org/drawingml/2006/picture">
                <pic:pic>
                  <pic:nvPicPr>
                    <pic:cNvPr descr="trader-workflow_files/figure-docx/cell-39-output-1.png" id="125" name="Picture"/>
                    <pic:cNvPicPr>
                      <a:picLocks noChangeArrowheads="1" noChangeAspect="1"/>
                    </pic:cNvPicPr>
                  </pic:nvPicPr>
                  <pic:blipFill>
                    <a:blip r:embed="rId123"/>
                    <a:stretch>
                      <a:fillRect/>
                    </a:stretch>
                  </pic:blipFill>
                  <pic:spPr bwMode="auto">
                    <a:xfrm>
                      <a:off x="0" y="0"/>
                      <a:ext cx="5943600" cy="4331663"/>
                    </a:xfrm>
                    <a:prstGeom prst="rect">
                      <a:avLst/>
                    </a:prstGeom>
                    <a:noFill/>
                    <a:ln w="9525">
                      <a:noFill/>
                      <a:headEnd/>
                      <a:tailEnd/>
                    </a:ln>
                  </pic:spPr>
                </pic:pic>
              </a:graphicData>
            </a:graphic>
          </wp:inline>
        </w:drawing>
      </w:r>
    </w:p>
    <w:p>
      <w:pPr>
        <w:pStyle w:val="SourceCode"/>
      </w:pPr>
      <w:r>
        <w:rPr>
          <w:rStyle w:val="VerbatimChar"/>
        </w:rPr>
        <w:t xml:space="preserve">window 2026-06-12 08h -&gt; 2026-06-18 23h  |  111 labelled entries, 35 wins (32%), base rate 31%</w:t>
      </w:r>
    </w:p>
    <w:p>
      <w:pPr>
        <w:pStyle w:val="SourceCode"/>
      </w:pPr>
      <w:r>
        <w:rPr>
          <w:rStyle w:val="VerbatimChar"/>
        </w:rPr>
        <w:t xml:space="preserve">[single] BTC/USDT 1h: 1145 trades  exits: 181 TP / 963 stop / 1 time  mean net -0.35%/trade  -&gt; /Volumes/PortableSSD/Github/day-trader/04-outputs/PNG/3-exit-geometry-candles.png</w:t>
      </w:r>
    </w:p>
    <w:p>
      <w:pPr>
        <w:pStyle w:val="FirstParagraph"/>
      </w:pPr>
      <w:r>
        <w:drawing>
          <wp:inline>
            <wp:extent cx="5943600" cy="4826053"/>
            <wp:effectExtent b="0" l="0" r="0" t="0"/>
            <wp:docPr descr="" title="" id="127" name="Picture"/>
            <a:graphic>
              <a:graphicData uri="http://schemas.openxmlformats.org/drawingml/2006/picture">
                <pic:pic>
                  <pic:nvPicPr>
                    <pic:cNvPr descr="trader-workflow_files/figure-docx/cell-40-output-2.png" id="128" name="Picture"/>
                    <pic:cNvPicPr>
                      <a:picLocks noChangeArrowheads="1" noChangeAspect="1"/>
                    </pic:cNvPicPr>
                  </pic:nvPicPr>
                  <pic:blipFill>
                    <a:blip r:embed="rId126"/>
                    <a:stretch>
                      <a:fillRect/>
                    </a:stretch>
                  </pic:blipFill>
                  <pic:spPr bwMode="auto">
                    <a:xfrm>
                      <a:off x="0" y="0"/>
                      <a:ext cx="5943600" cy="4826053"/>
                    </a:xfrm>
                    <a:prstGeom prst="rect">
                      <a:avLst/>
                    </a:prstGeom>
                    <a:noFill/>
                    <a:ln w="9525">
                      <a:noFill/>
                      <a:headEnd/>
                      <a:tailEnd/>
                    </a:ln>
                  </pic:spPr>
                </pic:pic>
              </a:graphicData>
            </a:graphic>
          </wp:inline>
        </w:drawing>
      </w:r>
    </w:p>
    <w:p>
      <w:pPr>
        <w:pStyle w:val="SourceCode"/>
      </w:pPr>
      <w:r>
        <w:rPr>
          <w:rStyle w:val="VerbatimChar"/>
        </w:rPr>
        <w:t xml:space="preserve">[compare] BTC/USDT 1h: anchored on entry at bar 77414  -&gt; /Volumes/PortableSSD/Github/day-trader/04-outputs/PNG/3-exit-geometry-compare.png</w:t>
      </w:r>
    </w:p>
    <w:p>
      <w:pPr>
        <w:pStyle w:val="FirstParagraph"/>
      </w:pPr>
      <w:r>
        <w:drawing>
          <wp:inline>
            <wp:extent cx="5943600" cy="2290676"/>
            <wp:effectExtent b="0" l="0" r="0" t="0"/>
            <wp:docPr descr="" title="" id="130" name="Picture"/>
            <a:graphic>
              <a:graphicData uri="http://schemas.openxmlformats.org/drawingml/2006/picture">
                <pic:pic>
                  <pic:nvPicPr>
                    <pic:cNvPr descr="trader-workflow_files/figure-docx/cell-41-output-2.png" id="131" name="Picture"/>
                    <pic:cNvPicPr>
                      <a:picLocks noChangeArrowheads="1" noChangeAspect="1"/>
                    </pic:cNvPicPr>
                  </pic:nvPicPr>
                  <pic:blipFill>
                    <a:blip r:embed="rId129"/>
                    <a:stretch>
                      <a:fillRect/>
                    </a:stretch>
                  </pic:blipFill>
                  <pic:spPr bwMode="auto">
                    <a:xfrm>
                      <a:off x="0" y="0"/>
                      <a:ext cx="5943600" cy="2290676"/>
                    </a:xfrm>
                    <a:prstGeom prst="rect">
                      <a:avLst/>
                    </a:prstGeom>
                    <a:noFill/>
                    <a:ln w="9525">
                      <a:noFill/>
                      <a:headEnd/>
                      <a:tailEnd/>
                    </a:ln>
                  </pic:spPr>
                </pic:pic>
              </a:graphicData>
            </a:graphic>
          </wp:inline>
        </w:drawing>
      </w:r>
    </w:p>
    <w:bookmarkEnd w:id="132"/>
    <w:bookmarkStart w:id="133" w:name="sharpening-entries"/>
    <w:p>
      <w:pPr>
        <w:pStyle w:val="Heading3"/>
      </w:pPr>
      <w:r>
        <w:t xml:space="preserve">3.4 Sharpening Entries</w:t>
      </w:r>
    </w:p>
    <w:p>
      <w:pPr>
        <w:pStyle w:val="FirstParagraph"/>
      </w:pPr>
      <w:r>
        <w:t xml:space="preserve">A walk-forward test of whether entry conditioning improves expectancy. Range and volatility conditions do not, trend and momentum do so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pPr>
        <w:pStyle w:val="SourceCode"/>
      </w:pPr>
      <w:r>
        <w:rPr>
          <w:rStyle w:val="VerbatimChar"/>
        </w:rPr>
        <w:t xml:space="preserve">Highest-ranked single-feature entry conditions, in-sample and gross of cost:</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p>
        </w:tc>
        <w:tc>
          <w:tcPr>
            <w:tcW w:type="pct" w:w="1250"/>
          </w:tcPr>
          <w:p>
            <w:pPr>
              <w:pStyle w:val="Compact"/>
            </w:pPr>
            <w:r>
              <w:rPr>
                <w:b/>
              </w:rPr>
              <w:t xml:space="preserve">feature</w:t>
            </w:r>
          </w:p>
        </w:tc>
        <w:tc>
          <w:tcPr>
            <w:tcW w:type="pct" w:w="1250"/>
          </w:tcPr>
          <w:p>
            <w:pPr>
              <w:pStyle w:val="Compact"/>
            </w:pPr>
            <w:r>
              <w:rPr>
                <w:b/>
              </w:rPr>
              <w:t xml:space="preserve">best_decile_winrate</w:t>
            </w:r>
          </w:p>
        </w:tc>
        <w:tc>
          <w:tcPr>
            <w:tcW w:type="pct" w:w="1250"/>
          </w:tcPr>
          <w:p>
            <w:pPr>
              <w:pStyle w:val="Compact"/>
            </w:pPr>
            <w:r>
              <w:rPr>
                <w:b/>
              </w:rPr>
              <w:t xml:space="preserve">lift_over_breakeven</w:t>
            </w:r>
          </w:p>
        </w:tc>
      </w:tr>
      <w:tr>
        <w:trPr>
          <w:trHeight w:hRule="atLeast" w:val="397"/>
        </w:trPr>
        <w:tc>
          <w:tcPr>
            <w:tcW w:type="pct" w:w="1250"/>
          </w:tcPr>
          <w:p>
            <w:pPr>
              <w:pStyle w:val="Compact"/>
            </w:pPr>
            <w:r>
              <w:t xml:space="preserve">0</w:t>
            </w:r>
          </w:p>
        </w:tc>
        <w:tc>
          <w:tcPr>
            <w:tcW w:type="pct" w:w="1250"/>
          </w:tcPr>
          <w:p>
            <w:pPr>
              <w:pStyle w:val="Compact"/>
            </w:pPr>
            <w:r>
              <w:t xml:space="preserve">f_ta_pta_vortex_diff</w:t>
            </w:r>
          </w:p>
        </w:tc>
        <w:tc>
          <w:tcPr>
            <w:tcW w:type="pct" w:w="1250"/>
          </w:tcPr>
          <w:p>
            <w:pPr>
              <w:pStyle w:val="Compact"/>
            </w:pPr>
            <w:r>
              <w:t xml:space="preserve">0.342</w:t>
            </w:r>
          </w:p>
        </w:tc>
        <w:tc>
          <w:tcPr>
            <w:tcW w:type="pct" w:w="1250"/>
          </w:tcPr>
          <w:p>
            <w:pPr>
              <w:pStyle w:val="Compact"/>
            </w:pPr>
            <w:r>
              <w:t xml:space="preserve">0.009</w:t>
            </w:r>
          </w:p>
        </w:tc>
      </w:tr>
      <w:tr>
        <w:trPr>
          <w:trHeight w:hRule="atLeast" w:val="397"/>
        </w:trPr>
        <w:tc>
          <w:tcPr>
            <w:tcW w:type="pct" w:w="1250"/>
          </w:tcPr>
          <w:p>
            <w:pPr>
              <w:pStyle w:val="Compact"/>
            </w:pPr>
            <w:r>
              <w:t xml:space="preserve">1</w:t>
            </w:r>
          </w:p>
        </w:tc>
        <w:tc>
          <w:tcPr>
            <w:tcW w:type="pct" w:w="1250"/>
          </w:tcPr>
          <w:p>
            <w:pPr>
              <w:pStyle w:val="Compact"/>
            </w:pPr>
            <w:r>
              <w:t xml:space="preserve">f_hr_mom_12</w:t>
            </w:r>
          </w:p>
        </w:tc>
        <w:tc>
          <w:tcPr>
            <w:tcW w:type="pct" w:w="1250"/>
          </w:tcPr>
          <w:p>
            <w:pPr>
              <w:pStyle w:val="Compact"/>
            </w:pPr>
            <w:r>
              <w:t xml:space="preserve">0.335</w:t>
            </w:r>
          </w:p>
        </w:tc>
        <w:tc>
          <w:tcPr>
            <w:tcW w:type="pct" w:w="1250"/>
          </w:tcPr>
          <w:p>
            <w:pPr>
              <w:pStyle w:val="Compact"/>
            </w:pPr>
            <w:r>
              <w:t xml:space="preserve">0.001</w:t>
            </w:r>
          </w:p>
        </w:tc>
      </w:tr>
      <w:tr>
        <w:trPr>
          <w:trHeight w:hRule="atLeast" w:val="397"/>
        </w:trPr>
        <w:tc>
          <w:tcPr>
            <w:tcW w:type="pct" w:w="1250"/>
          </w:tcPr>
          <w:p>
            <w:pPr>
              <w:pStyle w:val="Compact"/>
            </w:pPr>
            <w:r>
              <w:t xml:space="preserve">2</w:t>
            </w:r>
          </w:p>
        </w:tc>
        <w:tc>
          <w:tcPr>
            <w:tcW w:type="pct" w:w="1250"/>
          </w:tcPr>
          <w:p>
            <w:pPr>
              <w:pStyle w:val="Compact"/>
            </w:pPr>
            <w:r>
              <w:t xml:space="preserve">f_ta_dmi_diff</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3</w:t>
            </w:r>
          </w:p>
        </w:tc>
        <w:tc>
          <w:tcPr>
            <w:tcW w:type="pct" w:w="1250"/>
          </w:tcPr>
          <w:p>
            <w:pPr>
              <w:pStyle w:val="Compact"/>
            </w:pPr>
            <w:r>
              <w:t xml:space="preserve">f_ta_mfi</w:t>
            </w:r>
          </w:p>
        </w:tc>
        <w:tc>
          <w:tcPr>
            <w:tcW w:type="pct" w:w="1250"/>
          </w:tcPr>
          <w:p>
            <w:pPr>
              <w:pStyle w:val="Compact"/>
            </w:pPr>
            <w:r>
              <w:t xml:space="preserve">0.333</w:t>
            </w:r>
          </w:p>
        </w:tc>
        <w:tc>
          <w:tcPr>
            <w:tcW w:type="pct" w:w="1250"/>
          </w:tcPr>
          <w:p>
            <w:pPr>
              <w:pStyle w:val="Compact"/>
            </w:pPr>
            <w:r>
              <w:t xml:space="preserve">-0.000</w:t>
            </w:r>
          </w:p>
        </w:tc>
      </w:tr>
      <w:tr>
        <w:trPr>
          <w:trHeight w:hRule="atLeast" w:val="397"/>
        </w:trPr>
        <w:tc>
          <w:tcPr>
            <w:tcW w:type="pct" w:w="1250"/>
          </w:tcPr>
          <w:p>
            <w:pPr>
              <w:pStyle w:val="Compact"/>
            </w:pPr>
            <w:r>
              <w:t xml:space="preserve">4</w:t>
            </w:r>
          </w:p>
        </w:tc>
        <w:tc>
          <w:tcPr>
            <w:tcW w:type="pct" w:w="1250"/>
          </w:tcPr>
          <w:p>
            <w:pPr>
              <w:pStyle w:val="Compact"/>
            </w:pPr>
            <w:r>
              <w:t xml:space="preserve">f_ta_pta_cmo</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5</w:t>
            </w:r>
          </w:p>
        </w:tc>
        <w:tc>
          <w:tcPr>
            <w:tcW w:type="pct" w:w="1250"/>
          </w:tcPr>
          <w:p>
            <w:pPr>
              <w:pStyle w:val="Compact"/>
            </w:pPr>
            <w:r>
              <w:t xml:space="preserve">f_hr_rsi</w:t>
            </w:r>
          </w:p>
        </w:tc>
        <w:tc>
          <w:tcPr>
            <w:tcW w:type="pct" w:w="1250"/>
          </w:tcPr>
          <w:p>
            <w:pPr>
              <w:pStyle w:val="Compact"/>
            </w:pPr>
            <w:r>
              <w:t xml:space="preserve">0.331</w:t>
            </w:r>
          </w:p>
        </w:tc>
        <w:tc>
          <w:tcPr>
            <w:tcW w:type="pct" w:w="1250"/>
          </w:tcPr>
          <w:p>
            <w:pPr>
              <w:pStyle w:val="Compact"/>
            </w:pPr>
            <w:r>
              <w:t xml:space="preserve">-0.003</w:t>
            </w:r>
          </w:p>
        </w:tc>
      </w:tr>
      <w:tr>
        <w:trPr>
          <w:trHeight w:hRule="atLeast" w:val="397"/>
        </w:trPr>
        <w:tc>
          <w:tcPr>
            <w:tcW w:type="pct" w:w="1250"/>
          </w:tcPr>
          <w:p>
            <w:pPr>
              <w:pStyle w:val="Compact"/>
            </w:pPr>
            <w:r>
              <w:t xml:space="preserve">6</w:t>
            </w:r>
          </w:p>
        </w:tc>
        <w:tc>
          <w:tcPr>
            <w:tcW w:type="pct" w:w="1250"/>
          </w:tcPr>
          <w:p>
            <w:pPr>
              <w:pStyle w:val="Compact"/>
            </w:pPr>
            <w:r>
              <w:t xml:space="preserve">f_ta_pta_ppo_hist</w:t>
            </w:r>
          </w:p>
        </w:tc>
        <w:tc>
          <w:tcPr>
            <w:tcW w:type="pct" w:w="1250"/>
          </w:tcPr>
          <w:p>
            <w:pPr>
              <w:pStyle w:val="Compact"/>
            </w:pPr>
            <w:r>
              <w:t xml:space="preserve">0.327</w:t>
            </w:r>
          </w:p>
        </w:tc>
        <w:tc>
          <w:tcPr>
            <w:tcW w:type="pct" w:w="1250"/>
          </w:tcPr>
          <w:p>
            <w:pPr>
              <w:pStyle w:val="Compact"/>
            </w:pPr>
            <w:r>
              <w:t xml:space="preserve">-0.006</w:t>
            </w:r>
          </w:p>
        </w:tc>
      </w:tr>
      <w:tr>
        <w:trPr>
          <w:trHeight w:hRule="atLeast" w:val="397"/>
        </w:trPr>
        <w:tc>
          <w:tcPr>
            <w:tcW w:type="pct" w:w="1250"/>
          </w:tcPr>
          <w:p>
            <w:pPr>
              <w:pStyle w:val="Compact"/>
            </w:pPr>
            <w:r>
              <w:t xml:space="preserve">7</w:t>
            </w:r>
          </w:p>
        </w:tc>
        <w:tc>
          <w:tcPr>
            <w:tcW w:type="pct" w:w="1250"/>
          </w:tcPr>
          <w:p>
            <w:pPr>
              <w:pStyle w:val="Compact"/>
            </w:pPr>
            <w:r>
              <w:t xml:space="preserve">f_ta_pta_cksp_long_dist</w:t>
            </w:r>
          </w:p>
        </w:tc>
        <w:tc>
          <w:tcPr>
            <w:tcW w:type="pct" w:w="1250"/>
          </w:tcPr>
          <w:p>
            <w:pPr>
              <w:pStyle w:val="Compact"/>
            </w:pPr>
            <w:r>
              <w:t xml:space="preserve">0.323</w:t>
            </w:r>
          </w:p>
        </w:tc>
        <w:tc>
          <w:tcPr>
            <w:tcW w:type="pct" w:w="1250"/>
          </w:tcPr>
          <w:p>
            <w:pPr>
              <w:pStyle w:val="Compact"/>
            </w:pPr>
            <w:r>
              <w:t xml:space="preserve">-0.010</w:t>
            </w:r>
          </w:p>
        </w:tc>
      </w:tr>
    </w:tbl>
    <w:p>
      <w:pPr>
        <w:pStyle w:val="SourceCode"/>
      </w:pPr>
      <w:r>
        <w:rPr>
          <w:rStyle w:val="VerbatimChar"/>
        </w:rPr>
        <w:t xml:space="preserve">cost drag is ~0.20% round trip; on a +2.0 ATR target a win must clear breakeven by more than that to pay. </w:t>
      </w:r>
    </w:p>
    <w:bookmarkEnd w:id="133"/>
    <w:bookmarkStart w:id="134" w:name="survivorship-pipeline"/>
    <w:p>
      <w:pPr>
        <w:pStyle w:val="Heading3"/>
      </w:pPr>
      <w:r>
        <w:t xml:space="preserve">3.5 Survivorship Pipeline</w:t>
      </w:r>
    </w:p>
    <w:p>
      <w:pPr>
        <w:pStyle w:val="FirstParagraph"/>
      </w:pPr>
      <w:r>
        <w:t xml:space="preserve">The three-stage pipeline that makes the panel survivorship-complete and point-in-time.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pPr>
        <w:pStyle w:val="SourceCode"/>
      </w:pPr>
      <w:r>
        <w:rPr>
          <w:rStyle w:val="VerbatimChar"/>
        </w:rPr>
        <w:t xml:space="preserve">historical USDT universe (incl. dead coins): 683 pairs (+52 leveraged excluded)</w:t>
      </w:r>
      <w:r>
        <w:br/>
      </w:r>
      <w:r>
        <w:rPr>
          <w:rStyle w:val="VerbatimChar"/>
        </w:rPr>
        <w:t xml:space="preserve">dead-coin audit: 10/10 known-delisted present in universe</w:t>
      </w:r>
      <w:r>
        <w:br/>
      </w:r>
      <w:r>
        <w:rPr>
          <w:rStyle w:val="VerbatimChar"/>
        </w:rPr>
        <w:t xml:space="preserve">snapshot: 487 active USDT pairs as of 2026-09-08 -&gt; /Volumes/PortableSSD/Github/day-trader/03-inputs/binance-data/exchange_info_snapshot_2026-09-08.json</w:t>
      </w:r>
      <w:r>
        <w:br/>
      </w:r>
      <w:r>
        <w:rPr>
          <w:rStyle w:val="VerbatimChar"/>
        </w:rPr>
        <w:t xml:space="preserve">survivorship: 683 universe / 480 active / 203 delisted = 29.7% dead coins</w:t>
      </w:r>
    </w:p>
    <w:p>
      <w:pPr>
        <w:pStyle w:val="SourceCode"/>
      </w:pPr>
      <w:r>
        <w:rPr>
          <w:rStyle w:val="VerbatimChar"/>
        </w:rPr>
        <w:t xml:space="preserve">profile run  : /Volumes/PortableSSD/Github/day-trader/04-outputs/3A-training-test-data/panel-profile/2026-09-06T215959Z</w:t>
      </w:r>
      <w:r>
        <w:br/>
      </w:r>
      <w:r>
        <w:rPr>
          <w:rStyle w:val="VerbatimChar"/>
        </w:rPr>
        <w:t xml:space="preserve">symbols      : 600 | delisted share: 33.3%</w:t>
      </w:r>
      <w:r>
        <w:br/>
      </w:r>
      <w:r>
        <w:rPr>
          <w:rStyle w:val="VerbatimChar"/>
        </w:rPr>
        <w:t xml:space="preserve">usable start : 2019-04-01</w:t>
      </w:r>
      <w:r>
        <w:br/>
      </w:r>
      <w:r>
        <w:rPr>
          <w:rStyle w:val="VerbatimChar"/>
        </w:rPr>
        <w:t xml:space="preserve">min history  : 157 days</w:t>
      </w:r>
      <w:r>
        <w:br/>
      </w:r>
      <w:r>
        <w:rPr>
          <w:rStyle w:val="VerbatimChar"/>
        </w:rPr>
        <w:t xml:space="preserve">purge/embargo: 125 days (3000 bars)</w:t>
      </w:r>
      <w:r>
        <w:br/>
      </w:r>
      <w:r>
        <w:rPr>
          <w:rStyle w:val="VerbatimChar"/>
        </w:rPr>
        <w:t xml:space="preserve">point-of-entry: coin enters at its first valid bar (realistic; mirrors when trading would actually begin)  ...</w:t>
      </w:r>
      <w:r>
        <w:br/>
      </w:r>
      <w:r>
        <w:rPr>
          <w:rStyle w:val="VerbatimChar"/>
        </w:rPr>
        <w:t xml:space="preserve">symbol metadata, first 10 of 600:</w:t>
      </w:r>
    </w:p>
    <w:p>
      <w:pPr>
        <w:pStyle w:val="SourceCode"/>
      </w:pPr>
      <w:r>
        <w:rPr>
          <w:rStyle w:val="VerbatimChar"/>
        </w:rPr>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pPr>
        <w:pStyle w:val="SourceCode"/>
      </w:pPr>
      <w:r>
        <w:rPr>
          <w:rStyle w:val="VerbatimChar"/>
        </w:rPr>
        <w:t xml:space="preserve">## Splitting methodology: forward-chained, not stratified</w:t>
      </w:r>
      <w:r>
        <w:br/>
      </w:r>
      <w:r>
        <w:br/>
      </w:r>
      <w:r>
        <w:rPr>
          <w:rStyle w:val="VerbatimChar"/>
        </w:rPr>
        <w:t xml:space="preserve">Objective: estimate out-of-sample performance under REGIME DRIFT, not interpolation within a</w:t>
      </w:r>
      <w:r>
        <w:br/>
      </w:r>
      <w:r>
        <w:rPr>
          <w:rStyle w:val="VerbatimChar"/>
        </w:rPr>
        <w:t xml:space="preserve">known distribution. The data-generating process drifts across time -- the 2017-18 ICO mania,</w:t>
      </w:r>
      <w:r>
        <w:br/>
      </w:r>
      <w:r>
        <w:rPr>
          <w:rStyle w:val="VerbatimChar"/>
        </w:rPr>
        <w:t xml:space="preserve">the 2021 bull run, the 2022 deleveraging, and the current regime are different processes. A</w:t>
      </w:r>
      <w:r>
        <w:br/>
      </w:r>
      <w:r>
        <w:rPr>
          <w:rStyle w:val="VerbatimChar"/>
        </w:rPr>
        <w:t xml:space="preserve">split that interleaves test bars among training bars borrows the future to predict the past</w:t>
      </w:r>
      <w:r>
        <w:br/>
      </w:r>
      <w:r>
        <w:rPr>
          <w:rStyle w:val="VerbatimChar"/>
        </w:rPr>
        <w:t xml:space="preserve">and yields an error estimate that will not survive live trading.</w:t>
      </w:r>
      <w:r>
        <w:br/>
      </w:r>
      <w:r>
        <w:br/>
      </w:r>
      <w:r>
        <w:rPr>
          <w:rStyle w:val="VerbatimChar"/>
        </w:rPr>
        <w:t xml:space="preserve">Stratified sampling is rejected. Stratifying on variance forces similar class proportions</w:t>
      </w:r>
      <w:r>
        <w:br/>
      </w:r>
      <w:r>
        <w:rPr>
          <w:rStyle w:val="VerbatimChar"/>
        </w:rPr>
        <w:t xml:space="preserve">across splits by drawing observations regardless of position in time, which destroys the</w:t>
      </w:r>
      <w:r>
        <w:br/>
      </w:r>
      <w:r>
        <w:rPr>
          <w:rStyle w:val="VerbatimChar"/>
        </w:rPr>
        <w:t xml:space="preserve">temporal ordering that is the whole object of interest. It answers "can the model interpolate</w:t>
      </w:r>
      <w:r>
        <w:br/>
      </w:r>
      <w:r>
        <w:rPr>
          <w:rStyle w:val="VerbatimChar"/>
        </w:rPr>
        <w:t xml:space="preserve">within a known distribution"; the question that matters is "can it extrapolate forward into an</w:t>
      </w:r>
      <w:r>
        <w:br/>
      </w:r>
      <w:r>
        <w:rPr>
          <w:rStyle w:val="VerbatimChar"/>
        </w:rPr>
        <w:t xml:space="preserve">unknown regime." Only a forward-chained split measures that.</w:t>
      </w:r>
      <w:r>
        <w:br/>
      </w:r>
      <w:r>
        <w:br/>
      </w:r>
      <w:r>
        <w:rPr>
          <w:rStyle w:val="VerbatimChar"/>
        </w:rPr>
        <w:t xml:space="preserve">Design: expanding/rolling walk-forward on shared calendar boundaries; purge/embargo =</w:t>
      </w:r>
      <w:r>
        <w:br/>
      </w:r>
      <w:r>
        <w:rPr>
          <w:rStyle w:val="VerbatimChar"/>
        </w:rPr>
        <w:t xml:space="preserve">max(feature lookback, label horizon) at every cut; split on time not on coins; per-fold</w:t>
      </w:r>
      <w:r>
        <w:br/>
      </w:r>
      <w:r>
        <w:rPr>
          <w:rStyle w:val="VerbatimChar"/>
        </w:rPr>
        <w:t xml:space="preserve">universe drawn point-in-time from the Stage B profile; transforms fit on train only;</w:t>
      </w:r>
      <w:r>
        <w:br/>
      </w:r>
      <w:r>
        <w:rPr>
          <w:rStyle w:val="VerbatimChar"/>
        </w:rPr>
        <w:t xml:space="preserve">per-fold metrics weighted by coin count.</w:t>
      </w:r>
      <w:r>
        <w:br/>
      </w:r>
      <w:r>
        <w:br/>
      </w:r>
      <w:r>
        <w:rPr>
          <w:rStyle w:val="VerbatimChar"/>
        </w:rPr>
        <w:t xml:space="preserve">purge/embargo = max(feature lookback 3000, label horizon 48) = 3000 bars = 125 days</w:t>
      </w:r>
      <w:r>
        <w:br/>
      </w:r>
      <w:r>
        <w:rPr>
          <w:rStyle w:val="VerbatimChar"/>
        </w:rPr>
        <w:t xml:space="preserve">walk-forward folds: 5</w:t>
      </w:r>
    </w:p>
    <w:p>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bookmarkEnd w:id="134"/>
    <w:bookmarkStart w:id="149" w:name="variable-selection"/>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pPr>
        <w:pStyle w:val="SourceCode"/>
      </w:pPr>
      <w:r>
        <w:rPr>
          <w:rStyle w:val="VerbatimChar"/>
        </w:rPr>
        <w:t xml:space="preserve">lasso path on 25,000 TRAIN rows x 61 features.</w:t>
      </w:r>
      <w:r>
        <w:br/>
      </w:r>
      <w:r>
        <w:rPr>
          <w:rStyle w:val="VerbatimChar"/>
        </w:rPr>
        <w:t xml:space="preserve">lambda.min=0.000494 (nonzero 46), lambda.1se=0.01121 (nonzero 0)</w:t>
      </w:r>
    </w:p>
    <w:p>
      <w:pPr>
        <w:pStyle w:val="FirstParagraph"/>
      </w:pPr>
      <w:r>
        <w:drawing>
          <wp:inline>
            <wp:extent cx="5943600" cy="4245428"/>
            <wp:effectExtent b="0" l="0" r="0" t="0"/>
            <wp:docPr descr="" title="" id="136" name="Picture"/>
            <a:graphic>
              <a:graphicData uri="http://schemas.openxmlformats.org/drawingml/2006/picture">
                <pic:pic>
                  <pic:nvPicPr>
                    <pic:cNvPr descr="trader-workflow_files/figure-docx/cell-46-output-2.png" id="137" name="Picture"/>
                    <pic:cNvPicPr>
                      <a:picLocks noChangeArrowheads="1" noChangeAspect="1"/>
                    </pic:cNvPicPr>
                  </pic:nvPicPr>
                  <pic:blipFill>
                    <a:blip r:embed="rId135"/>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39" name="Picture"/>
            <a:graphic>
              <a:graphicData uri="http://schemas.openxmlformats.org/drawingml/2006/picture">
                <pic:pic>
                  <pic:nvPicPr>
                    <pic:cNvPr descr="trader-workflow_files/figure-docx/cell-46-output-3.png" id="140" name="Picture"/>
                    <pic:cNvPicPr>
                      <a:picLocks noChangeArrowheads="1" noChangeAspect="1"/>
                    </pic:cNvPicPr>
                  </pic:nvPicPr>
                  <pic:blipFill>
                    <a:blip r:embed="rId138"/>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42" name="Picture"/>
            <a:graphic>
              <a:graphicData uri="http://schemas.openxmlformats.org/drawingml/2006/picture">
                <pic:pic>
                  <pic:nvPicPr>
                    <pic:cNvPr descr="trader-workflow_files/figure-docx/cell-46-output-4.png" id="143" name="Picture"/>
                    <pic:cNvPicPr>
                      <a:picLocks noChangeArrowheads="1" noChangeAspect="1"/>
                    </pic:cNvPicPr>
                  </pic:nvPicPr>
                  <pic:blipFill>
                    <a:blip r:embed="rId141"/>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br/>
      </w:r>
      <w:r>
        <w:rPr>
          <w:rStyle w:val="VerbatimChar"/>
        </w:rPr>
        <w:t xml:space="preserve">elastic-net kept 46 of 61 features at lambda.1se.</w:t>
      </w:r>
      <w:r>
        <w:br/>
      </w:r>
      <w:r>
        <w:rPr>
          <w:rStyle w:val="VerbatimChar"/>
        </w:rPr>
        <w:t xml:space="preserve">top kept: f_hr_ema_fast_mid(+0.093), f_wc_bb_pos(+0.089), f_ta_aroon_osc(-0.086), f_ta_pta_vortex_diff(+0.086), f_ta_pta_ppo_hist(+0.083), f_hr_mom_24(-0.083), f_wc_mom_240(-0.075), f_hr_mom_12(-0.071), f_ta_cci(+0.071), f_ta_pta_cksp_long_dist(+0.071), f_wc_rv_long(-0.067), f_wc_atr_pct(+0.066), f_wc_ema_fast_mid(-0.065), f_tl_sar_dist(-0.049), f_ta_pta_fisher(-0.046)</w:t>
      </w:r>
      <w:r>
        <w:br/>
      </w:r>
      <w:r>
        <w:rPr>
          <w:rStyle w:val="VerbatimChar"/>
        </w:rPr>
        <w:t xml:space="preserve">interactive coefficient path (open in browser): /Volumes/PortableSSD/Github/day-trader/04-outputs/AA-evals/varselect/coefpath.html</w:t>
      </w:r>
      <w:r>
        <w:br/>
      </w:r>
      <w:r>
        <w:br/>
      </w:r>
      <w:r>
        <w:rPr>
          <w:rStyle w:val="VerbatimChar"/>
        </w:rPr>
        <w:t xml:space="preserve">To train the head-to-head on this subset: set  feat = SELECTED_FEATURES  then re-run training.</w:t>
      </w:r>
    </w:p>
    <w:p>
      <w:pPr>
        <w:pStyle w:val="FirstParagraph"/>
      </w:pPr>
      <w:r>
        <w:t xml:space="preserve">Which inputs actually carry signal. Variable selection above asks which columns a penalised</w:t>
      </w:r>
      <w:r>
        <w:t xml:space="preserve"> </w:t>
      </w:r>
      <w:r>
        <w:t xml:space="preserve">regression keeps. This asks a blunter question of the model that is actually used, and answers it three</w:t>
      </w:r>
      <w:r>
        <w:t xml:space="preserve"> </w:t>
      </w:r>
      <w:r>
        <w:t xml:space="preserve">ways, because no single statistic is sufficient alone. A feature’s own area under the curve measures how well it</w:t>
      </w:r>
      <w:r>
        <w:t xml:space="preserve"> </w:t>
      </w:r>
      <w:r>
        <w:t xml:space="preserve">ranks winners above losers by itself, where 0.500 is a coin flip. Its stability says in how many of five</w:t>
      </w:r>
      <w:r>
        <w:t xml:space="preserve"> </w:t>
      </w:r>
      <w:r>
        <w:t xml:space="preserve">walk-forward folds it pointed the same way it did over the whole window, so a feature that helps in one</w:t>
      </w:r>
      <w:r>
        <w:t xml:space="preserve"> </w:t>
      </w:r>
      <w:r>
        <w:t xml:space="preserve">stretch of market and hurts in the next is exposed as a regime rather than a feature. Its shuffle cost</w:t>
      </w:r>
      <w:r>
        <w:t xml:space="preserve"> </w:t>
      </w:r>
      <w:r>
        <w:t xml:space="preserve">says how much worse the model scores when that one column is scrambled, which catches a column that is</w:t>
      </w:r>
      <w:r>
        <w:t xml:space="preserve"> </w:t>
      </w:r>
      <w:r>
        <w:t xml:space="preserve">useless alone and valuable beside others, and equally one that duplicates something the model already</w:t>
      </w:r>
      <w:r>
        <w:t xml:space="preserve"> </w:t>
      </w:r>
      <w:r>
        <w:t xml:space="preserve">has. Everything is computed on the training window; the blind final year is never opened.</w:t>
      </w:r>
    </w:p>
    <w:p>
      <w:pPr>
        <w:pStyle w:val="SourceCode"/>
      </w:pPr>
      <w:r>
        <w:rPr>
          <w:rStyle w:val="ExtensionTok"/>
        </w:rPr>
        <w:t xml:space="preserve">.venv/bin/python</w:t>
      </w:r>
      <w:r>
        <w:rPr>
          <w:rStyle w:val="NormalTok"/>
        </w:rPr>
        <w:t xml:space="preserve"> 03-inputs/feature_report.py </w:t>
      </w:r>
      <w:r>
        <w:rPr>
          <w:rStyle w:val="AttributeTok"/>
        </w:rPr>
        <w:t xml:space="preserve">--frames</w:t>
      </w:r>
      <w:r>
        <w:rPr>
          <w:rStyle w:val="NormalTok"/>
        </w:rPr>
        <w:t xml:space="preserve"> 4h 1d </w:t>
      </w:r>
      <w:r>
        <w:rPr>
          <w:rStyle w:val="AttributeTok"/>
        </w:rPr>
        <w:t xml:space="preserve">--rows</w:t>
      </w:r>
      <w:r>
        <w:rPr>
          <w:rStyle w:val="NormalTok"/>
        </w:rPr>
        <w:t xml:space="preserve"> 120000</w:t>
      </w:r>
    </w:p>
    <w:bookmarkStart w:id="148" w:name="Xe7dfe3671e9eea81cad6d48b3b8cfc378ddbd83"/>
    <w:p>
      <w:pPr>
        <w:pStyle w:val="Heading4"/>
      </w:pPr>
      <w:r>
        <w:t xml:space="preserve">Which inputs carry signal (08 September 2026)</w:t>
      </w:r>
    </w:p>
    <w:p>
      <w:pPr>
        <w:pStyle w:val="FirstParagraph"/>
      </w:pPr>
      <w:r>
        <w:t xml:space="preserve">Computed on the training window of each frame. The blind final year was not opened.</w:t>
      </w:r>
    </w:p>
    <w:p>
      <w:pPr>
        <w:pStyle w:val="BodyText"/>
      </w:pPr>
      <w:r>
        <w:t xml:space="preserve">Three columns, and none of them is trustworthy alone.</w:t>
      </w:r>
      <w:r>
        <w:t xml:space="preserve"> </w:t>
      </w:r>
      <w:r>
        <w:rPr>
          <w:b/>
          <w:bCs/>
        </w:rPr>
        <w:t xml:space="preserve">alone</w:t>
      </w:r>
      <w:r>
        <w:t xml:space="preserve"> </w:t>
      </w:r>
      <w:r>
        <w:t xml:space="preserve">is how far a feature’s own AUC sits from 0.500, a coin flip, so 0.020 means it ranks winners above losers 52 per cent of the time by itself.</w:t>
      </w:r>
      <w:r>
        <w:t xml:space="preserve"> </w:t>
      </w:r>
      <w:r>
        <w:rPr>
          <w:b/>
          <w:bCs/>
        </w:rPr>
        <w:t xml:space="preserve">stable</w:t>
      </w:r>
      <w:r>
        <w:t xml:space="preserve"> </w:t>
      </w:r>
      <w:r>
        <w:t xml:space="preserve">is the share of walk-forward folds in which it pointed the same way as it did over the whole window, so 0.40 means it changed sides in three folds out of five and is a regime rather than a feature.</w:t>
      </w:r>
      <w:r>
        <w:t xml:space="preserve"> </w:t>
      </w:r>
      <w:r>
        <w:rPr>
          <w:b/>
          <w:bCs/>
        </w:rPr>
        <w:t xml:space="preserve">in company</w:t>
      </w:r>
      <w:r>
        <w:t xml:space="preserve"> </w:t>
      </w:r>
      <w:r>
        <w:t xml:space="preserve">is how much worse the model’s Brier score gets when that one column is shuffled, which catches a feature that is useless alone and useful beside others, and equally a feature that duplicates something the model already has.</w:t>
      </w:r>
    </w:p>
    <w:bookmarkStart w:id="147" w:name="the-4h-frame"/>
    <w:p>
      <w:pPr>
        <w:pStyle w:val="Heading5"/>
      </w:pPr>
      <w:r>
        <w:t xml:space="preserve">The 4h frame</w:t>
      </w:r>
    </w:p>
    <w:p>
      <w:pPr>
        <w:pStyle w:val="FirstParagraph"/>
      </w:pPr>
      <w:r>
        <w:t xml:space="preserve">40,000 training rows to 2025-06-21, 90 features, base rate 0.262.</w:t>
      </w:r>
    </w:p>
    <w:bookmarkStart w:id="144" w:name="by-family"/>
    <w:p>
      <w:pPr>
        <w:pStyle w:val="Heading6"/>
      </w:pPr>
      <w:r>
        <w:t xml:space="preserve">By family</w:t>
      </w:r>
    </w:p>
    <w:tbl>
      <w:tblPr>
        <w:tblStyle w:val="Table"/>
        <w:jc w:val="center"/>
        <w:tblLayout w:type="fixed"/>
        <w:tblLook w:firstRow="1" w:lastRow="0" w:firstColumn="0" w:lastColumn="0" w:noHBand="0" w:noVBand="0" w:val="0020"/>
        <w:tblW w:type="pct" w:w="5000"/>
        <w:tblCellMar>
          <w:left w:w="43" w:type="dxa"/>
          <w:right w:w="43" w:type="dxa"/>
        </w:tblCellMar>
      </w:tblPr>
      <w:tblGrid>
        <w:gridCol w:w="913"/>
        <w:gridCol w:w="913"/>
        <w:gridCol w:w="1218"/>
        <w:gridCol w:w="1218"/>
        <w:gridCol w:w="1218"/>
        <w:gridCol w:w="1218"/>
        <w:gridCol w:w="1218"/>
      </w:tblGrid>
      <w:tr>
        <w:trPr>
          <w:trHeight w:hRule="atLeast" w:val="567"/>
          <w:tblHeader w:val="on"/>
        </w:trPr>
        <w:tc>
          <w:tcPr>
            <w:tcW w:type="pct" w:w="714"/>
          </w:tcPr>
          <w:p>
            <w:pPr>
              <w:pStyle w:val="Compact"/>
            </w:pPr>
            <w:r>
              <w:rPr>
                <w:b/>
                <w:sz w:val="16"/>
              </w:rPr>
              <w:t xml:space="preserve">family</w:t>
            </w:r>
          </w:p>
        </w:tc>
        <w:tc>
          <w:tcPr>
            <w:tcW w:type="pct" w:w="714"/>
          </w:tcPr>
          <w:p>
            <w:pPr>
              <w:pStyle w:val="Compact"/>
            </w:pPr>
            <w:r>
              <w:rPr>
                <w:b/>
                <w:sz w:val="16"/>
              </w:rPr>
              <w:t xml:space="preserve">what it is</w:t>
            </w:r>
          </w:p>
        </w:tc>
        <w:tc>
          <w:tcPr>
            <w:tcW w:type="pct" w:w="714"/>
          </w:tcPr>
          <w:p>
            <w:pPr>
              <w:pStyle w:val="Compact"/>
              <w:jc w:val="right"/>
            </w:pPr>
            <w:r>
              <w:rPr>
                <w:b/>
                <w:sz w:val="16"/>
              </w:rPr>
              <w:t xml:space="preserve">inputs</w:t>
            </w:r>
          </w:p>
        </w:tc>
        <w:tc>
          <w:tcPr>
            <w:tcW w:type="pct" w:w="714"/>
          </w:tcPr>
          <w:p>
            <w:pPr>
              <w:pStyle w:val="Compact"/>
              <w:jc w:val="right"/>
            </w:pPr>
            <w:r>
              <w:rPr>
                <w:b/>
                <w:sz w:val="16"/>
              </w:rPr>
              <w:t xml:space="preserve">alone</w:t>
            </w:r>
          </w:p>
        </w:tc>
        <w:tc>
          <w:tcPr>
            <w:tcW w:type="pct" w:w="714"/>
          </w:tcPr>
          <w:p>
            <w:pPr>
              <w:pStyle w:val="Compact"/>
              <w:jc w:val="right"/>
            </w:pPr>
            <w:r>
              <w:rPr>
                <w:b/>
                <w:sz w:val="16"/>
              </w:rPr>
              <w:t xml:space="preserve">stable</w:t>
            </w:r>
          </w:p>
        </w:tc>
        <w:tc>
          <w:tcPr>
            <w:tcW w:type="pct" w:w="714"/>
          </w:tcPr>
          <w:p>
            <w:pPr>
              <w:pStyle w:val="Compact"/>
              <w:jc w:val="right"/>
            </w:pPr>
            <w:r>
              <w:rPr>
                <w:b/>
                <w:sz w:val="16"/>
              </w:rPr>
              <w:t xml:space="preserve">in company</w:t>
            </w:r>
          </w:p>
        </w:tc>
        <w:tc>
          <w:tcPr>
            <w:tcW w:type="pct" w:w="714"/>
          </w:tcPr>
          <w:p>
            <w:pPr>
              <w:pStyle w:val="Compact"/>
              <w:jc w:val="right"/>
            </w:pPr>
            <w:r>
              <w:rPr>
                <w:b/>
                <w:sz w:val="16"/>
              </w:rPr>
              <w:t xml:space="preserve">missing %</w:t>
            </w:r>
          </w:p>
        </w:tc>
      </w:tr>
      <w:tr>
        <w:trPr>
          <w:trHeight w:hRule="atLeast" w:val="397"/>
        </w:trPr>
        <w:tc>
          <w:tcPr>
            <w:tcW w:type="pct" w:w="714"/>
          </w:tcPr>
          <w:p>
            <w:pPr>
              <w:pStyle w:val="Compact"/>
            </w:pPr>
            <w:r>
              <w:rPr>
                <w:rStyle w:val="VerbatimChar"/>
                <w:sz w:val="16"/>
              </w:rPr>
              <w:t xml:space="preserve">f_btc_</w:t>
            </w:r>
          </w:p>
        </w:tc>
        <w:tc>
          <w:tcPr>
            <w:tcW w:type="pct" w:w="714"/>
          </w:tcPr>
          <w:p>
            <w:pPr>
              <w:pStyle w:val="Compact"/>
            </w:pPr>
            <w:r>
              <w:rPr>
                <w:sz w:val="16"/>
              </w:rPr>
              <w:t xml:space="preserve">strength relative to the market (bitcoin, or SPY on shares)</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0.0188</w:t>
            </w:r>
          </w:p>
        </w:tc>
        <w:tc>
          <w:tcPr>
            <w:tcW w:type="pct" w:w="714"/>
          </w:tcPr>
          <w:p>
            <w:pPr>
              <w:pStyle w:val="Compact"/>
              <w:jc w:val="right"/>
            </w:pPr>
            <w:r>
              <w:rPr>
                <w:sz w:val="16"/>
              </w:rPr>
              <w:t xml:space="preserve">0.83</w:t>
            </w:r>
          </w:p>
        </w:tc>
        <w:tc>
          <w:tcPr>
            <w:tcW w:type="pct" w:w="714"/>
          </w:tcPr>
          <w:p>
            <w:pPr>
              <w:pStyle w:val="Compact"/>
              <w:jc w:val="right"/>
            </w:pPr>
            <w:r>
              <w:rPr>
                <w:sz w:val="16"/>
              </w:rPr>
              <w:t xml:space="preserve">+0.00692</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f_ta_pta_</w:t>
            </w:r>
          </w:p>
        </w:tc>
        <w:tc>
          <w:tcPr>
            <w:tcW w:type="pct" w:w="714"/>
          </w:tcPr>
          <w:p>
            <w:pPr>
              <w:pStyle w:val="Compact"/>
            </w:pPr>
            <w:r>
              <w:rPr>
                <w:sz w:val="16"/>
              </w:rPr>
              <w:t xml:space="preserve">pandas-ta indicators</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0.0486</w:t>
            </w:r>
          </w:p>
        </w:tc>
        <w:tc>
          <w:tcPr>
            <w:tcW w:type="pct" w:w="714"/>
          </w:tcPr>
          <w:p>
            <w:pPr>
              <w:pStyle w:val="Compact"/>
              <w:jc w:val="right"/>
            </w:pPr>
            <w:r>
              <w:rPr>
                <w:sz w:val="16"/>
              </w:rPr>
              <w:t xml:space="preserve">1.00</w:t>
            </w:r>
          </w:p>
        </w:tc>
        <w:tc>
          <w:tcPr>
            <w:tcW w:type="pct" w:w="714"/>
          </w:tcPr>
          <w:p>
            <w:pPr>
              <w:pStyle w:val="Compact"/>
              <w:jc w:val="right"/>
            </w:pPr>
            <w:r>
              <w:rPr>
                <w:sz w:val="16"/>
              </w:rPr>
              <w:t xml:space="preserve">+0.00226</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f_w1_</w:t>
            </w:r>
          </w:p>
        </w:tc>
        <w:tc>
          <w:tcPr>
            <w:tcW w:type="pct" w:w="714"/>
          </w:tcPr>
          <w:p>
            <w:pPr>
              <w:pStyle w:val="Compact"/>
            </w:pPr>
            <w:r>
              <w:rPr>
                <w:sz w:val="16"/>
              </w:rPr>
              <w:t xml:space="preserve">the weekly picture</w:t>
            </w:r>
          </w:p>
        </w:tc>
        <w:tc>
          <w:tcPr>
            <w:tcW w:type="pct" w:w="714"/>
          </w:tcPr>
          <w:p>
            <w:pPr>
              <w:pStyle w:val="Compact"/>
              <w:jc w:val="right"/>
            </w:pPr>
            <w:r>
              <w:rPr>
                <w:sz w:val="16"/>
              </w:rPr>
              <w:t xml:space="preserve">5</w:t>
            </w:r>
          </w:p>
        </w:tc>
        <w:tc>
          <w:tcPr>
            <w:tcW w:type="pct" w:w="714"/>
          </w:tcPr>
          <w:p>
            <w:pPr>
              <w:pStyle w:val="Compact"/>
              <w:jc w:val="right"/>
            </w:pPr>
            <w:r>
              <w:rPr>
                <w:sz w:val="16"/>
              </w:rPr>
              <w:t xml:space="preserve">0.0170</w:t>
            </w:r>
          </w:p>
        </w:tc>
        <w:tc>
          <w:tcPr>
            <w:tcW w:type="pct" w:w="714"/>
          </w:tcPr>
          <w:p>
            <w:pPr>
              <w:pStyle w:val="Compact"/>
              <w:jc w:val="right"/>
            </w:pPr>
            <w:r>
              <w:rPr>
                <w:sz w:val="16"/>
              </w:rPr>
              <w:t xml:space="preserve">0.72</w:t>
            </w:r>
          </w:p>
        </w:tc>
        <w:tc>
          <w:tcPr>
            <w:tcW w:type="pct" w:w="714"/>
          </w:tcPr>
          <w:p>
            <w:pPr>
              <w:pStyle w:val="Compact"/>
              <w:jc w:val="right"/>
            </w:pPr>
            <w:r>
              <w:rPr>
                <w:sz w:val="16"/>
              </w:rPr>
              <w:t xml:space="preserve">+0.00213</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f_wc_</w:t>
            </w:r>
          </w:p>
        </w:tc>
        <w:tc>
          <w:tcPr>
            <w:tcW w:type="pct" w:w="714"/>
          </w:tcPr>
          <w:p>
            <w:pPr>
              <w:pStyle w:val="Compact"/>
            </w:pPr>
            <w:r>
              <w:rPr>
                <w:sz w:val="16"/>
              </w:rPr>
              <w:t xml:space="preserve">the coin’s own price over day-length windows</w:t>
            </w:r>
          </w:p>
        </w:tc>
        <w:tc>
          <w:tcPr>
            <w:tcW w:type="pct" w:w="714"/>
          </w:tcPr>
          <w:p>
            <w:pPr>
              <w:pStyle w:val="Compact"/>
              <w:jc w:val="right"/>
            </w:pPr>
            <w:r>
              <w:rPr>
                <w:sz w:val="16"/>
              </w:rPr>
              <w:t xml:space="preserve">12</w:t>
            </w:r>
          </w:p>
        </w:tc>
        <w:tc>
          <w:tcPr>
            <w:tcW w:type="pct" w:w="714"/>
          </w:tcPr>
          <w:p>
            <w:pPr>
              <w:pStyle w:val="Compact"/>
              <w:jc w:val="right"/>
            </w:pPr>
            <w:r>
              <w:rPr>
                <w:sz w:val="16"/>
              </w:rPr>
              <w:t xml:space="preserve">0.0143</w:t>
            </w:r>
          </w:p>
        </w:tc>
        <w:tc>
          <w:tcPr>
            <w:tcW w:type="pct" w:w="714"/>
          </w:tcPr>
          <w:p>
            <w:pPr>
              <w:pStyle w:val="Compact"/>
              <w:jc w:val="right"/>
            </w:pPr>
            <w:r>
              <w:rPr>
                <w:sz w:val="16"/>
              </w:rPr>
              <w:t xml:space="preserve">0.67</w:t>
            </w:r>
          </w:p>
        </w:tc>
        <w:tc>
          <w:tcPr>
            <w:tcW w:type="pct" w:w="714"/>
          </w:tcPr>
          <w:p>
            <w:pPr>
              <w:pStyle w:val="Compact"/>
              <w:jc w:val="right"/>
            </w:pPr>
            <w:r>
              <w:rPr>
                <w:sz w:val="16"/>
              </w:rPr>
              <w:t xml:space="preserve">+0.00172</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f_ta_</w:t>
            </w:r>
          </w:p>
        </w:tc>
        <w:tc>
          <w:tcPr>
            <w:tcW w:type="pct" w:w="714"/>
          </w:tcPr>
          <w:p>
            <w:pPr>
              <w:pStyle w:val="Compact"/>
            </w:pPr>
            <w:r>
              <w:rPr>
                <w:sz w:val="16"/>
              </w:rPr>
              <w:t xml:space="preserve">in-house indicators (Williams %R, stochastic, CCI, money flow, ADX, Aroon)</w:t>
            </w:r>
          </w:p>
        </w:tc>
        <w:tc>
          <w:tcPr>
            <w:tcW w:type="pct" w:w="714"/>
          </w:tcPr>
          <w:p>
            <w:pPr>
              <w:pStyle w:val="Compact"/>
              <w:jc w:val="right"/>
            </w:pPr>
            <w:r>
              <w:rPr>
                <w:sz w:val="16"/>
              </w:rPr>
              <w:t xml:space="preserve">8</w:t>
            </w:r>
          </w:p>
        </w:tc>
        <w:tc>
          <w:tcPr>
            <w:tcW w:type="pct" w:w="714"/>
          </w:tcPr>
          <w:p>
            <w:pPr>
              <w:pStyle w:val="Compact"/>
              <w:jc w:val="right"/>
            </w:pPr>
            <w:r>
              <w:rPr>
                <w:sz w:val="16"/>
              </w:rPr>
              <w:t xml:space="preserve">0.0444</w:t>
            </w:r>
          </w:p>
        </w:tc>
        <w:tc>
          <w:tcPr>
            <w:tcW w:type="pct" w:w="714"/>
          </w:tcPr>
          <w:p>
            <w:pPr>
              <w:pStyle w:val="Compact"/>
              <w:jc w:val="right"/>
            </w:pPr>
            <w:r>
              <w:rPr>
                <w:sz w:val="16"/>
              </w:rPr>
              <w:t xml:space="preserve">0.90</w:t>
            </w:r>
          </w:p>
        </w:tc>
        <w:tc>
          <w:tcPr>
            <w:tcW w:type="pct" w:w="714"/>
          </w:tcPr>
          <w:p>
            <w:pPr>
              <w:pStyle w:val="Compact"/>
              <w:jc w:val="right"/>
            </w:pPr>
            <w:r>
              <w:rPr>
                <w:sz w:val="16"/>
              </w:rPr>
              <w:t xml:space="preserve">+0.00160</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f_hr_</w:t>
            </w:r>
          </w:p>
        </w:tc>
        <w:tc>
          <w:tcPr>
            <w:tcW w:type="pct" w:w="714"/>
          </w:tcPr>
          <w:p>
            <w:pPr>
              <w:pStyle w:val="Compact"/>
            </w:pPr>
            <w:r>
              <w:rPr>
                <w:sz w:val="16"/>
              </w:rPr>
              <w:t xml:space="preserve">the coin’s own price over intraday windows</w:t>
            </w:r>
          </w:p>
        </w:tc>
        <w:tc>
          <w:tcPr>
            <w:tcW w:type="pct" w:w="714"/>
          </w:tcPr>
          <w:p>
            <w:pPr>
              <w:pStyle w:val="Compact"/>
              <w:jc w:val="right"/>
            </w:pPr>
            <w:r>
              <w:rPr>
                <w:sz w:val="16"/>
              </w:rPr>
              <w:t xml:space="preserve">14</w:t>
            </w:r>
          </w:p>
        </w:tc>
        <w:tc>
          <w:tcPr>
            <w:tcW w:type="pct" w:w="714"/>
          </w:tcPr>
          <w:p>
            <w:pPr>
              <w:pStyle w:val="Compact"/>
              <w:jc w:val="right"/>
            </w:pPr>
            <w:r>
              <w:rPr>
                <w:sz w:val="16"/>
              </w:rPr>
              <w:t xml:space="preserve">0.0256</w:t>
            </w:r>
          </w:p>
        </w:tc>
        <w:tc>
          <w:tcPr>
            <w:tcW w:type="pct" w:w="714"/>
          </w:tcPr>
          <w:p>
            <w:pPr>
              <w:pStyle w:val="Compact"/>
              <w:jc w:val="right"/>
            </w:pPr>
            <w:r>
              <w:rPr>
                <w:sz w:val="16"/>
              </w:rPr>
              <w:t xml:space="preserve">0.74</w:t>
            </w:r>
          </w:p>
        </w:tc>
        <w:tc>
          <w:tcPr>
            <w:tcW w:type="pct" w:w="714"/>
          </w:tcPr>
          <w:p>
            <w:pPr>
              <w:pStyle w:val="Compact"/>
              <w:jc w:val="right"/>
            </w:pPr>
            <w:r>
              <w:rPr>
                <w:sz w:val="16"/>
              </w:rPr>
              <w:t xml:space="preserve">+0.00151</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f_d1_</w:t>
            </w:r>
          </w:p>
        </w:tc>
        <w:tc>
          <w:tcPr>
            <w:tcW w:type="pct" w:w="714"/>
          </w:tcPr>
          <w:p>
            <w:pPr>
              <w:pStyle w:val="Compact"/>
            </w:pPr>
            <w:r>
              <w:rPr>
                <w:sz w:val="16"/>
              </w:rPr>
              <w:t xml:space="preserve">the daily picture</w:t>
            </w:r>
          </w:p>
        </w:tc>
        <w:tc>
          <w:tcPr>
            <w:tcW w:type="pct" w:w="714"/>
          </w:tcPr>
          <w:p>
            <w:pPr>
              <w:pStyle w:val="Compact"/>
              <w:jc w:val="right"/>
            </w:pPr>
            <w:r>
              <w:rPr>
                <w:sz w:val="16"/>
              </w:rPr>
              <w:t xml:space="preserve">5</w:t>
            </w:r>
          </w:p>
        </w:tc>
        <w:tc>
          <w:tcPr>
            <w:tcW w:type="pct" w:w="714"/>
          </w:tcPr>
          <w:p>
            <w:pPr>
              <w:pStyle w:val="Compact"/>
              <w:jc w:val="right"/>
            </w:pPr>
            <w:r>
              <w:rPr>
                <w:sz w:val="16"/>
              </w:rPr>
              <w:t xml:space="preserve">0.0077</w:t>
            </w:r>
          </w:p>
        </w:tc>
        <w:tc>
          <w:tcPr>
            <w:tcW w:type="pct" w:w="714"/>
          </w:tcPr>
          <w:p>
            <w:pPr>
              <w:pStyle w:val="Compact"/>
              <w:jc w:val="right"/>
            </w:pPr>
            <w:r>
              <w:rPr>
                <w:sz w:val="16"/>
              </w:rPr>
              <w:t xml:space="preserve">0.72</w:t>
            </w:r>
          </w:p>
        </w:tc>
        <w:tc>
          <w:tcPr>
            <w:tcW w:type="pct" w:w="714"/>
          </w:tcPr>
          <w:p>
            <w:pPr>
              <w:pStyle w:val="Compact"/>
              <w:jc w:val="right"/>
            </w:pPr>
            <w:r>
              <w:rPr>
                <w:sz w:val="16"/>
              </w:rPr>
              <w:t xml:space="preserve">+0.00115</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f_flow_</w:t>
            </w:r>
          </w:p>
        </w:tc>
        <w:tc>
          <w:tcPr>
            <w:tcW w:type="pct" w:w="714"/>
          </w:tcPr>
          <w:p>
            <w:pPr>
              <w:pStyle w:val="Compact"/>
            </w:pPr>
            <w:r>
              <w:rPr>
                <w:sz w:val="16"/>
              </w:rPr>
              <w:t xml:space="preserve">buy and sell order flow</w:t>
            </w:r>
          </w:p>
        </w:tc>
        <w:tc>
          <w:tcPr>
            <w:tcW w:type="pct" w:w="714"/>
          </w:tcPr>
          <w:p>
            <w:pPr>
              <w:pStyle w:val="Compact"/>
              <w:jc w:val="right"/>
            </w:pPr>
            <w:r>
              <w:rPr>
                <w:sz w:val="16"/>
              </w:rPr>
              <w:t xml:space="preserve">4</w:t>
            </w:r>
          </w:p>
        </w:tc>
        <w:tc>
          <w:tcPr>
            <w:tcW w:type="pct" w:w="714"/>
          </w:tcPr>
          <w:p>
            <w:pPr>
              <w:pStyle w:val="Compact"/>
              <w:jc w:val="right"/>
            </w:pPr>
            <w:r>
              <w:rPr>
                <w:sz w:val="16"/>
              </w:rPr>
              <w:t xml:space="preserve">0.0085</w:t>
            </w:r>
          </w:p>
        </w:tc>
        <w:tc>
          <w:tcPr>
            <w:tcW w:type="pct" w:w="714"/>
          </w:tcPr>
          <w:p>
            <w:pPr>
              <w:pStyle w:val="Compact"/>
              <w:jc w:val="right"/>
            </w:pPr>
            <w:r>
              <w:rPr>
                <w:sz w:val="16"/>
              </w:rPr>
              <w:t xml:space="preserve">0.75</w:t>
            </w:r>
          </w:p>
        </w:tc>
        <w:tc>
          <w:tcPr>
            <w:tcW w:type="pct" w:w="714"/>
          </w:tcPr>
          <w:p>
            <w:pPr>
              <w:pStyle w:val="Compact"/>
              <w:jc w:val="right"/>
            </w:pPr>
            <w:r>
              <w:rPr>
                <w:sz w:val="16"/>
              </w:rPr>
              <w:t xml:space="preserve">+0.00088</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f_st_</w:t>
            </w:r>
          </w:p>
        </w:tc>
        <w:tc>
          <w:tcPr>
            <w:tcW w:type="pct" w:w="714"/>
          </w:tcPr>
          <w:p>
            <w:pPr>
              <w:pStyle w:val="Compact"/>
            </w:pPr>
            <w:r>
              <w:rPr>
                <w:sz w:val="16"/>
              </w:rPr>
              <w:t xml:space="preserve">triple Supertrend</w:t>
            </w:r>
          </w:p>
        </w:tc>
        <w:tc>
          <w:tcPr>
            <w:tcW w:type="pct" w:w="714"/>
          </w:tcPr>
          <w:p>
            <w:pPr>
              <w:pStyle w:val="Compact"/>
              <w:jc w:val="right"/>
            </w:pPr>
            <w:r>
              <w:rPr>
                <w:sz w:val="16"/>
              </w:rPr>
              <w:t xml:space="preserve">7</w:t>
            </w:r>
          </w:p>
        </w:tc>
        <w:tc>
          <w:tcPr>
            <w:tcW w:type="pct" w:w="714"/>
          </w:tcPr>
          <w:p>
            <w:pPr>
              <w:pStyle w:val="Compact"/>
              <w:jc w:val="right"/>
            </w:pPr>
            <w:r>
              <w:rPr>
                <w:sz w:val="16"/>
              </w:rPr>
              <w:t xml:space="preserve">0.0313</w:t>
            </w:r>
          </w:p>
        </w:tc>
        <w:tc>
          <w:tcPr>
            <w:tcW w:type="pct" w:w="714"/>
          </w:tcPr>
          <w:p>
            <w:pPr>
              <w:pStyle w:val="Compact"/>
              <w:jc w:val="right"/>
            </w:pPr>
            <w:r>
              <w:rPr>
                <w:sz w:val="16"/>
              </w:rPr>
              <w:t xml:space="preserve">0.89</w:t>
            </w:r>
          </w:p>
        </w:tc>
        <w:tc>
          <w:tcPr>
            <w:tcW w:type="pct" w:w="714"/>
          </w:tcPr>
          <w:p>
            <w:pPr>
              <w:pStyle w:val="Compact"/>
              <w:jc w:val="right"/>
            </w:pPr>
            <w:r>
              <w:rPr>
                <w:sz w:val="16"/>
              </w:rPr>
              <w:t xml:space="preserve">+0.00055</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f_mst_</w:t>
            </w:r>
          </w:p>
        </w:tc>
        <w:tc>
          <w:tcPr>
            <w:tcW w:type="pct" w:w="714"/>
          </w:tcPr>
          <w:p>
            <w:pPr>
              <w:pStyle w:val="Compact"/>
            </w:pPr>
            <w:r>
              <w:rPr>
                <w:sz w:val="16"/>
              </w:rPr>
              <w:t xml:space="preserve">adaptive Supertrend with the efficiency gate</w:t>
            </w:r>
          </w:p>
        </w:tc>
        <w:tc>
          <w:tcPr>
            <w:tcW w:type="pct" w:w="714"/>
          </w:tcPr>
          <w:p>
            <w:pPr>
              <w:pStyle w:val="Compact"/>
              <w:jc w:val="right"/>
            </w:pPr>
            <w:r>
              <w:rPr>
                <w:sz w:val="16"/>
              </w:rPr>
              <w:t xml:space="preserve">6</w:t>
            </w:r>
          </w:p>
        </w:tc>
        <w:tc>
          <w:tcPr>
            <w:tcW w:type="pct" w:w="714"/>
          </w:tcPr>
          <w:p>
            <w:pPr>
              <w:pStyle w:val="Compact"/>
              <w:jc w:val="right"/>
            </w:pPr>
            <w:r>
              <w:rPr>
                <w:sz w:val="16"/>
              </w:rPr>
              <w:t xml:space="preserve">0.0077</w:t>
            </w:r>
          </w:p>
        </w:tc>
        <w:tc>
          <w:tcPr>
            <w:tcW w:type="pct" w:w="714"/>
          </w:tcPr>
          <w:p>
            <w:pPr>
              <w:pStyle w:val="Compact"/>
              <w:jc w:val="right"/>
            </w:pPr>
            <w:r>
              <w:rPr>
                <w:sz w:val="16"/>
              </w:rPr>
              <w:t xml:space="preserve">0.60</w:t>
            </w:r>
          </w:p>
        </w:tc>
        <w:tc>
          <w:tcPr>
            <w:tcW w:type="pct" w:w="714"/>
          </w:tcPr>
          <w:p>
            <w:pPr>
              <w:pStyle w:val="Compact"/>
              <w:jc w:val="right"/>
            </w:pPr>
            <w:r>
              <w:rPr>
                <w:sz w:val="16"/>
              </w:rPr>
              <w:t xml:space="preserve">+0.00041</w:t>
            </w:r>
          </w:p>
        </w:tc>
        <w:tc>
          <w:tcPr>
            <w:tcW w:type="pct" w:w="714"/>
          </w:tcPr>
          <w:p>
            <w:pPr>
              <w:pStyle w:val="Compact"/>
              <w:jc w:val="right"/>
            </w:pPr>
            <w:r>
              <w:rPr>
                <w:sz w:val="16"/>
              </w:rPr>
              <w:t xml:space="preserve">0.0</w:t>
            </w:r>
          </w:p>
        </w:tc>
      </w:tr>
      <w:tr>
        <w:trPr>
          <w:trHeight w:hRule="atLeast" w:val="397"/>
        </w:trPr>
        <w:tc>
          <w:tcPr>
            <w:tcW w:type="pct" w:w="714"/>
          </w:tcPr>
          <w:p>
            <w:pPr>
              <w:pStyle w:val="Compact"/>
            </w:pPr>
            <w:r>
              <w:rPr>
                <w:rStyle w:val="VerbatimChar"/>
                <w:sz w:val="16"/>
              </w:rPr>
              <w:t xml:space="preserve">f_tl_</w:t>
            </w:r>
          </w:p>
        </w:tc>
        <w:tc>
          <w:tcPr>
            <w:tcW w:type="pct" w:w="714"/>
          </w:tcPr>
          <w:p>
            <w:pPr>
              <w:pStyle w:val="Compact"/>
            </w:pPr>
            <w:r>
              <w:rPr>
                <w:sz w:val="16"/>
              </w:rPr>
              <w:t xml:space="preserve">TA-Lib extras (parabolic SAR, MESA, Hilbert cycle, candle patterns)</w:t>
            </w:r>
          </w:p>
        </w:tc>
        <w:tc>
          <w:tcPr>
            <w:tcW w:type="pct" w:w="714"/>
          </w:tcPr>
          <w:p>
            <w:pPr>
              <w:pStyle w:val="Compact"/>
              <w:jc w:val="right"/>
            </w:pPr>
            <w:r>
              <w:rPr>
                <w:sz w:val="16"/>
              </w:rPr>
              <w:t xml:space="preserve">15</w:t>
            </w:r>
          </w:p>
        </w:tc>
        <w:tc>
          <w:tcPr>
            <w:tcW w:type="pct" w:w="714"/>
          </w:tcPr>
          <w:p>
            <w:pPr>
              <w:pStyle w:val="Compact"/>
              <w:jc w:val="right"/>
            </w:pPr>
            <w:r>
              <w:rPr>
                <w:sz w:val="16"/>
              </w:rPr>
              <w:t xml:space="preserve">0.0116</w:t>
            </w:r>
          </w:p>
        </w:tc>
        <w:tc>
          <w:tcPr>
            <w:tcW w:type="pct" w:w="714"/>
          </w:tcPr>
          <w:p>
            <w:pPr>
              <w:pStyle w:val="Compact"/>
              <w:jc w:val="right"/>
            </w:pPr>
            <w:r>
              <w:rPr>
                <w:sz w:val="16"/>
              </w:rPr>
              <w:t xml:space="preserve">0.75</w:t>
            </w:r>
          </w:p>
        </w:tc>
        <w:tc>
          <w:tcPr>
            <w:tcW w:type="pct" w:w="714"/>
          </w:tcPr>
          <w:p>
            <w:pPr>
              <w:pStyle w:val="Compact"/>
              <w:jc w:val="right"/>
            </w:pPr>
            <w:r>
              <w:rPr>
                <w:sz w:val="16"/>
              </w:rPr>
              <w:t xml:space="preserve">+0.00029</w:t>
            </w:r>
          </w:p>
        </w:tc>
        <w:tc>
          <w:tcPr>
            <w:tcW w:type="pct" w:w="714"/>
          </w:tcPr>
          <w:p>
            <w:pPr>
              <w:pStyle w:val="Compact"/>
              <w:jc w:val="right"/>
            </w:pPr>
            <w:r>
              <w:rPr>
                <w:sz w:val="16"/>
              </w:rPr>
              <w:t xml:space="preserve">0.0</w:t>
            </w:r>
          </w:p>
        </w:tc>
      </w:tr>
    </w:tbl>
    <w:bookmarkEnd w:id="144"/>
    <w:bookmarkStart w:id="145" w:name="the-ten-the-model-leans-on-hardest"/>
    <w:p>
      <w:pPr>
        <w:pStyle w:val="Heading6"/>
      </w:pPr>
      <w:r>
        <w:t xml:space="preserve">The ten the model leans on hardest</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f_btc_mom_168</w:t>
            </w:r>
          </w:p>
        </w:tc>
        <w:tc>
          <w:tcPr>
            <w:tcW w:type="pct" w:w="1000"/>
          </w:tcPr>
          <w:p>
            <w:pPr>
              <w:pStyle w:val="Compact"/>
            </w:pPr>
            <w:r>
              <w:rPr>
                <w:rStyle w:val="VerbatimChar"/>
              </w:rPr>
              <w:t xml:space="preserve">f_btc_</w:t>
            </w:r>
          </w:p>
        </w:tc>
        <w:tc>
          <w:tcPr>
            <w:tcW w:type="pct" w:w="1000"/>
          </w:tcPr>
          <w:p>
            <w:pPr>
              <w:pStyle w:val="Compact"/>
              <w:jc w:val="right"/>
            </w:pPr>
            <w:r>
              <w:t xml:space="preserve">0.0017</w:t>
            </w:r>
          </w:p>
        </w:tc>
        <w:tc>
          <w:tcPr>
            <w:tcW w:type="pct" w:w="1000"/>
          </w:tcPr>
          <w:p>
            <w:pPr>
              <w:pStyle w:val="Compact"/>
              <w:jc w:val="right"/>
            </w:pPr>
            <w:r>
              <w:t xml:space="preserve">0.80</w:t>
            </w:r>
          </w:p>
        </w:tc>
        <w:tc>
          <w:tcPr>
            <w:tcW w:type="pct" w:w="1000"/>
          </w:tcPr>
          <w:p>
            <w:pPr>
              <w:pStyle w:val="Compact"/>
              <w:jc w:val="right"/>
            </w:pPr>
            <w:r>
              <w:t xml:space="preserve">+0.01810</w:t>
            </w:r>
          </w:p>
        </w:tc>
      </w:tr>
      <w:tr>
        <w:trPr>
          <w:trHeight w:hRule="atLeast" w:val="397"/>
        </w:trPr>
        <w:tc>
          <w:tcPr>
            <w:tcW w:type="pct" w:w="1000"/>
          </w:tcPr>
          <w:p>
            <w:pPr>
              <w:pStyle w:val="Compact"/>
            </w:pPr>
            <w:r>
              <w:rPr>
                <w:rStyle w:val="VerbatimChar"/>
              </w:rPr>
              <w:t xml:space="preserve">f_btc_mom_24</w:t>
            </w:r>
          </w:p>
        </w:tc>
        <w:tc>
          <w:tcPr>
            <w:tcW w:type="pct" w:w="1000"/>
          </w:tcPr>
          <w:p>
            <w:pPr>
              <w:pStyle w:val="Compact"/>
            </w:pPr>
            <w:r>
              <w:rPr>
                <w:rStyle w:val="VerbatimChar"/>
              </w:rPr>
              <w:t xml:space="preserve">f_btc_</w:t>
            </w:r>
          </w:p>
        </w:tc>
        <w:tc>
          <w:tcPr>
            <w:tcW w:type="pct" w:w="1000"/>
          </w:tcPr>
          <w:p>
            <w:pPr>
              <w:pStyle w:val="Compact"/>
              <w:jc w:val="right"/>
            </w:pPr>
            <w:r>
              <w:t xml:space="preserve">0.0367</w:t>
            </w:r>
          </w:p>
        </w:tc>
        <w:tc>
          <w:tcPr>
            <w:tcW w:type="pct" w:w="1000"/>
          </w:tcPr>
          <w:p>
            <w:pPr>
              <w:pStyle w:val="Compact"/>
              <w:jc w:val="right"/>
            </w:pPr>
            <w:r>
              <w:t xml:space="preserve">0.80</w:t>
            </w:r>
          </w:p>
        </w:tc>
        <w:tc>
          <w:tcPr>
            <w:tcW w:type="pct" w:w="1000"/>
          </w:tcPr>
          <w:p>
            <w:pPr>
              <w:pStyle w:val="Compact"/>
              <w:jc w:val="right"/>
            </w:pPr>
            <w:r>
              <w:t xml:space="preserve">+0.01228</w:t>
            </w:r>
          </w:p>
        </w:tc>
      </w:tr>
      <w:tr>
        <w:trPr>
          <w:trHeight w:hRule="atLeast" w:val="397"/>
        </w:trPr>
        <w:tc>
          <w:tcPr>
            <w:tcW w:type="pct" w:w="1000"/>
          </w:tcPr>
          <w:p>
            <w:pPr>
              <w:pStyle w:val="Compact"/>
            </w:pPr>
            <w:r>
              <w:rPr>
                <w:rStyle w:val="VerbatimChar"/>
              </w:rPr>
              <w:t xml:space="preserve">f_btc_mom_6</w:t>
            </w:r>
          </w:p>
        </w:tc>
        <w:tc>
          <w:tcPr>
            <w:tcW w:type="pct" w:w="1000"/>
          </w:tcPr>
          <w:p>
            <w:pPr>
              <w:pStyle w:val="Compact"/>
            </w:pPr>
            <w:r>
              <w:rPr>
                <w:rStyle w:val="VerbatimChar"/>
              </w:rPr>
              <w:t xml:space="preserve">f_btc_</w:t>
            </w:r>
          </w:p>
        </w:tc>
        <w:tc>
          <w:tcPr>
            <w:tcW w:type="pct" w:w="1000"/>
          </w:tcPr>
          <w:p>
            <w:pPr>
              <w:pStyle w:val="Compact"/>
              <w:jc w:val="right"/>
            </w:pPr>
            <w:r>
              <w:t xml:space="preserve">0.0358</w:t>
            </w:r>
          </w:p>
        </w:tc>
        <w:tc>
          <w:tcPr>
            <w:tcW w:type="pct" w:w="1000"/>
          </w:tcPr>
          <w:p>
            <w:pPr>
              <w:pStyle w:val="Compact"/>
              <w:jc w:val="right"/>
            </w:pPr>
            <w:r>
              <w:t xml:space="preserve">1.00</w:t>
            </w:r>
          </w:p>
        </w:tc>
        <w:tc>
          <w:tcPr>
            <w:tcW w:type="pct" w:w="1000"/>
          </w:tcPr>
          <w:p>
            <w:pPr>
              <w:pStyle w:val="Compact"/>
              <w:jc w:val="right"/>
            </w:pPr>
            <w:r>
              <w:t xml:space="preserve">+0.00725</w:t>
            </w:r>
          </w:p>
        </w:tc>
      </w:tr>
      <w:tr>
        <w:trPr>
          <w:trHeight w:hRule="atLeast" w:val="397"/>
        </w:trPr>
        <w:tc>
          <w:tcPr>
            <w:tcW w:type="pct" w:w="1000"/>
          </w:tcPr>
          <w:p>
            <w:pPr>
              <w:pStyle w:val="Compact"/>
            </w:pPr>
            <w:r>
              <w:rPr>
                <w:rStyle w:val="VerbatimChar"/>
              </w:rPr>
              <w:t xml:space="preserve">f_ta_aroon_osc</w:t>
            </w:r>
          </w:p>
        </w:tc>
        <w:tc>
          <w:tcPr>
            <w:tcW w:type="pct" w:w="1000"/>
          </w:tcPr>
          <w:p>
            <w:pPr>
              <w:pStyle w:val="Compact"/>
            </w:pPr>
            <w:r>
              <w:rPr>
                <w:rStyle w:val="VerbatimChar"/>
              </w:rPr>
              <w:t xml:space="preserve">f_ta_</w:t>
            </w:r>
          </w:p>
        </w:tc>
        <w:tc>
          <w:tcPr>
            <w:tcW w:type="pct" w:w="1000"/>
          </w:tcPr>
          <w:p>
            <w:pPr>
              <w:pStyle w:val="Compact"/>
              <w:jc w:val="right"/>
            </w:pPr>
            <w:r>
              <w:t xml:space="preserve">0.0190</w:t>
            </w:r>
          </w:p>
        </w:tc>
        <w:tc>
          <w:tcPr>
            <w:tcW w:type="pct" w:w="1000"/>
          </w:tcPr>
          <w:p>
            <w:pPr>
              <w:pStyle w:val="Compact"/>
              <w:jc w:val="right"/>
            </w:pPr>
            <w:r>
              <w:t xml:space="preserve">0.80</w:t>
            </w:r>
          </w:p>
        </w:tc>
        <w:tc>
          <w:tcPr>
            <w:tcW w:type="pct" w:w="1000"/>
          </w:tcPr>
          <w:p>
            <w:pPr>
              <w:pStyle w:val="Compact"/>
              <w:jc w:val="right"/>
            </w:pPr>
            <w:r>
              <w:t xml:space="preserve">+0.00544</w:t>
            </w:r>
          </w:p>
        </w:tc>
      </w:tr>
      <w:tr>
        <w:trPr>
          <w:trHeight w:hRule="atLeast" w:val="397"/>
        </w:trPr>
        <w:tc>
          <w:tcPr>
            <w:tcW w:type="pct" w:w="1000"/>
          </w:tcPr>
          <w:p>
            <w:pPr>
              <w:pStyle w:val="Compact"/>
            </w:pPr>
            <w:r>
              <w:rPr>
                <w:rStyle w:val="VerbatimChar"/>
              </w:rPr>
              <w:t xml:space="preserve">f_ta_pta_cksp_long_dist</w:t>
            </w:r>
          </w:p>
        </w:tc>
        <w:tc>
          <w:tcPr>
            <w:tcW w:type="pct" w:w="1000"/>
          </w:tcPr>
          <w:p>
            <w:pPr>
              <w:pStyle w:val="Compact"/>
            </w:pPr>
            <w:r>
              <w:rPr>
                <w:rStyle w:val="VerbatimChar"/>
              </w:rPr>
              <w:t xml:space="preserve">f_ta_pta_</w:t>
            </w:r>
          </w:p>
        </w:tc>
        <w:tc>
          <w:tcPr>
            <w:tcW w:type="pct" w:w="1000"/>
          </w:tcPr>
          <w:p>
            <w:pPr>
              <w:pStyle w:val="Compact"/>
              <w:jc w:val="right"/>
            </w:pPr>
            <w:r>
              <w:t xml:space="preserve">0.0616</w:t>
            </w:r>
          </w:p>
        </w:tc>
        <w:tc>
          <w:tcPr>
            <w:tcW w:type="pct" w:w="1000"/>
          </w:tcPr>
          <w:p>
            <w:pPr>
              <w:pStyle w:val="Compact"/>
              <w:jc w:val="right"/>
            </w:pPr>
            <w:r>
              <w:t xml:space="preserve">1.00</w:t>
            </w:r>
          </w:p>
        </w:tc>
        <w:tc>
          <w:tcPr>
            <w:tcW w:type="pct" w:w="1000"/>
          </w:tcPr>
          <w:p>
            <w:pPr>
              <w:pStyle w:val="Compact"/>
              <w:jc w:val="right"/>
            </w:pPr>
            <w:r>
              <w:t xml:space="preserve">+0.00539</w:t>
            </w:r>
          </w:p>
        </w:tc>
      </w:tr>
      <w:tr>
        <w:trPr>
          <w:trHeight w:hRule="atLeast" w:val="397"/>
        </w:trPr>
        <w:tc>
          <w:tcPr>
            <w:tcW w:type="pct" w:w="1000"/>
          </w:tcPr>
          <w:p>
            <w:pPr>
              <w:pStyle w:val="Compact"/>
            </w:pPr>
            <w:r>
              <w:rPr>
                <w:rStyle w:val="VerbatimChar"/>
              </w:rPr>
              <w:t xml:space="preserve">f_ta_pta_ppo_hist</w:t>
            </w:r>
          </w:p>
        </w:tc>
        <w:tc>
          <w:tcPr>
            <w:tcW w:type="pct" w:w="1000"/>
          </w:tcPr>
          <w:p>
            <w:pPr>
              <w:pStyle w:val="Compact"/>
            </w:pPr>
            <w:r>
              <w:rPr>
                <w:rStyle w:val="VerbatimChar"/>
              </w:rPr>
              <w:t xml:space="preserve">f_ta_pta_</w:t>
            </w:r>
          </w:p>
        </w:tc>
        <w:tc>
          <w:tcPr>
            <w:tcW w:type="pct" w:w="1000"/>
          </w:tcPr>
          <w:p>
            <w:pPr>
              <w:pStyle w:val="Compact"/>
              <w:jc w:val="right"/>
            </w:pPr>
            <w:r>
              <w:t xml:space="preserve">0.0567</w:t>
            </w:r>
          </w:p>
        </w:tc>
        <w:tc>
          <w:tcPr>
            <w:tcW w:type="pct" w:w="1000"/>
          </w:tcPr>
          <w:p>
            <w:pPr>
              <w:pStyle w:val="Compact"/>
              <w:jc w:val="right"/>
            </w:pPr>
            <w:r>
              <w:t xml:space="preserve">1.00</w:t>
            </w:r>
          </w:p>
        </w:tc>
        <w:tc>
          <w:tcPr>
            <w:tcW w:type="pct" w:w="1000"/>
          </w:tcPr>
          <w:p>
            <w:pPr>
              <w:pStyle w:val="Compact"/>
              <w:jc w:val="right"/>
            </w:pPr>
            <w:r>
              <w:t xml:space="preserve">+0.00497</w:t>
            </w:r>
          </w:p>
        </w:tc>
      </w:tr>
      <w:tr>
        <w:trPr>
          <w:trHeight w:hRule="atLeast" w:val="397"/>
        </w:trPr>
        <w:tc>
          <w:tcPr>
            <w:tcW w:type="pct" w:w="1000"/>
          </w:tcPr>
          <w:p>
            <w:pPr>
              <w:pStyle w:val="Compact"/>
            </w:pPr>
            <w:r>
              <w:rPr>
                <w:rStyle w:val="VerbatimChar"/>
              </w:rPr>
              <w:t xml:space="preserve">f_hr_atr_pct</w:t>
            </w:r>
          </w:p>
        </w:tc>
        <w:tc>
          <w:tcPr>
            <w:tcW w:type="pct" w:w="1000"/>
          </w:tcPr>
          <w:p>
            <w:pPr>
              <w:pStyle w:val="Compact"/>
            </w:pPr>
            <w:r>
              <w:rPr>
                <w:rStyle w:val="VerbatimChar"/>
              </w:rPr>
              <w:t xml:space="preserve">f_hr_</w:t>
            </w:r>
          </w:p>
        </w:tc>
        <w:tc>
          <w:tcPr>
            <w:tcW w:type="pct" w:w="1000"/>
          </w:tcPr>
          <w:p>
            <w:pPr>
              <w:pStyle w:val="Compact"/>
              <w:jc w:val="right"/>
            </w:pPr>
            <w:r>
              <w:t xml:space="preserve">0.0203</w:t>
            </w:r>
          </w:p>
        </w:tc>
        <w:tc>
          <w:tcPr>
            <w:tcW w:type="pct" w:w="1000"/>
          </w:tcPr>
          <w:p>
            <w:pPr>
              <w:pStyle w:val="Compact"/>
              <w:jc w:val="right"/>
            </w:pPr>
            <w:r>
              <w:t xml:space="preserve">0.60</w:t>
            </w:r>
          </w:p>
        </w:tc>
        <w:tc>
          <w:tcPr>
            <w:tcW w:type="pct" w:w="1000"/>
          </w:tcPr>
          <w:p>
            <w:pPr>
              <w:pStyle w:val="Compact"/>
              <w:jc w:val="right"/>
            </w:pPr>
            <w:r>
              <w:t xml:space="preserve">+0.00484</w:t>
            </w:r>
          </w:p>
        </w:tc>
      </w:tr>
      <w:tr>
        <w:trPr>
          <w:trHeight w:hRule="atLeast" w:val="397"/>
        </w:trPr>
        <w:tc>
          <w:tcPr>
            <w:tcW w:type="pct" w:w="1000"/>
          </w:tcPr>
          <w:p>
            <w:pPr>
              <w:pStyle w:val="Compact"/>
            </w:pPr>
            <w:r>
              <w:rPr>
                <w:rStyle w:val="VerbatimChar"/>
              </w:rPr>
              <w:t xml:space="preserve">f_btc_corr_168</w:t>
            </w:r>
          </w:p>
        </w:tc>
        <w:tc>
          <w:tcPr>
            <w:tcW w:type="pct" w:w="1000"/>
          </w:tcPr>
          <w:p>
            <w:pPr>
              <w:pStyle w:val="Compact"/>
            </w:pPr>
            <w:r>
              <w:rPr>
                <w:rStyle w:val="VerbatimChar"/>
              </w:rPr>
              <w:t xml:space="preserve">f_btc_</w:t>
            </w:r>
          </w:p>
        </w:tc>
        <w:tc>
          <w:tcPr>
            <w:tcW w:type="pct" w:w="1000"/>
          </w:tcPr>
          <w:p>
            <w:pPr>
              <w:pStyle w:val="Compact"/>
              <w:jc w:val="right"/>
            </w:pPr>
            <w:r>
              <w:t xml:space="preserve">0.0112</w:t>
            </w:r>
          </w:p>
        </w:tc>
        <w:tc>
          <w:tcPr>
            <w:tcW w:type="pct" w:w="1000"/>
          </w:tcPr>
          <w:p>
            <w:pPr>
              <w:pStyle w:val="Compact"/>
              <w:jc w:val="right"/>
            </w:pPr>
            <w:r>
              <w:t xml:space="preserve">0.60</w:t>
            </w:r>
          </w:p>
        </w:tc>
        <w:tc>
          <w:tcPr>
            <w:tcW w:type="pct" w:w="1000"/>
          </w:tcPr>
          <w:p>
            <w:pPr>
              <w:pStyle w:val="Compact"/>
              <w:jc w:val="right"/>
            </w:pPr>
            <w:r>
              <w:t xml:space="preserve">+0.00422</w:t>
            </w:r>
          </w:p>
        </w:tc>
      </w:tr>
      <w:tr>
        <w:trPr>
          <w:trHeight w:hRule="atLeast" w:val="397"/>
        </w:trPr>
        <w:tc>
          <w:tcPr>
            <w:tcW w:type="pct" w:w="1000"/>
          </w:tcPr>
          <w:p>
            <w:pPr>
              <w:pStyle w:val="Compact"/>
            </w:pPr>
            <w:r>
              <w:rPr>
                <w:rStyle w:val="VerbatimChar"/>
              </w:rPr>
              <w:t xml:space="preserve">f_btc_beta_168</w:t>
            </w:r>
          </w:p>
        </w:tc>
        <w:tc>
          <w:tcPr>
            <w:tcW w:type="pct" w:w="1000"/>
          </w:tcPr>
          <w:p>
            <w:pPr>
              <w:pStyle w:val="Compact"/>
            </w:pPr>
            <w:r>
              <w:rPr>
                <w:rStyle w:val="VerbatimChar"/>
              </w:rPr>
              <w:t xml:space="preserve">f_btc_</w:t>
            </w:r>
          </w:p>
        </w:tc>
        <w:tc>
          <w:tcPr>
            <w:tcW w:type="pct" w:w="1000"/>
          </w:tcPr>
          <w:p>
            <w:pPr>
              <w:pStyle w:val="Compact"/>
              <w:jc w:val="right"/>
            </w:pPr>
            <w:r>
              <w:t xml:space="preserve">0.0161</w:t>
            </w:r>
          </w:p>
        </w:tc>
        <w:tc>
          <w:tcPr>
            <w:tcW w:type="pct" w:w="1000"/>
          </w:tcPr>
          <w:p>
            <w:pPr>
              <w:pStyle w:val="Compact"/>
              <w:jc w:val="right"/>
            </w:pPr>
            <w:r>
              <w:t xml:space="preserve">1.00</w:t>
            </w:r>
          </w:p>
        </w:tc>
        <w:tc>
          <w:tcPr>
            <w:tcW w:type="pct" w:w="1000"/>
          </w:tcPr>
          <w:p>
            <w:pPr>
              <w:pStyle w:val="Compact"/>
              <w:jc w:val="right"/>
            </w:pPr>
            <w:r>
              <w:t xml:space="preserve">+0.00407</w:t>
            </w:r>
          </w:p>
        </w:tc>
      </w:tr>
      <w:tr>
        <w:trPr>
          <w:trHeight w:hRule="atLeast" w:val="397"/>
        </w:trPr>
        <w:tc>
          <w:tcPr>
            <w:tcW w:type="pct" w:w="1000"/>
          </w:tcPr>
          <w:p>
            <w:pPr>
              <w:pStyle w:val="Compact"/>
            </w:pPr>
            <w:r>
              <w:rPr>
                <w:rStyle w:val="VerbatimChar"/>
              </w:rPr>
              <w:t xml:space="preserve">f_ta_pta_trix</w:t>
            </w:r>
          </w:p>
        </w:tc>
        <w:tc>
          <w:tcPr>
            <w:tcW w:type="pct" w:w="1000"/>
          </w:tcPr>
          <w:p>
            <w:pPr>
              <w:pStyle w:val="Compact"/>
            </w:pPr>
            <w:r>
              <w:rPr>
                <w:rStyle w:val="VerbatimChar"/>
              </w:rPr>
              <w:t xml:space="preserve">f_ta_pta_</w:t>
            </w:r>
          </w:p>
        </w:tc>
        <w:tc>
          <w:tcPr>
            <w:tcW w:type="pct" w:w="1000"/>
          </w:tcPr>
          <w:p>
            <w:pPr>
              <w:pStyle w:val="Compact"/>
              <w:jc w:val="right"/>
            </w:pPr>
            <w:r>
              <w:t xml:space="preserve">0.0308</w:t>
            </w:r>
          </w:p>
        </w:tc>
        <w:tc>
          <w:tcPr>
            <w:tcW w:type="pct" w:w="1000"/>
          </w:tcPr>
          <w:p>
            <w:pPr>
              <w:pStyle w:val="Compact"/>
              <w:jc w:val="right"/>
            </w:pPr>
            <w:r>
              <w:t xml:space="preserve">1.00</w:t>
            </w:r>
          </w:p>
        </w:tc>
        <w:tc>
          <w:tcPr>
            <w:tcW w:type="pct" w:w="1000"/>
          </w:tcPr>
          <w:p>
            <w:pPr>
              <w:pStyle w:val="Compact"/>
              <w:jc w:val="right"/>
            </w:pPr>
            <w:r>
              <w:t xml:space="preserve">+0.00371</w:t>
            </w:r>
          </w:p>
        </w:tc>
      </w:tr>
    </w:tbl>
    <w:bookmarkEnd w:id="145"/>
    <w:bookmarkStart w:id="146" w:name="the-ten-the-model-does-not-use"/>
    <w:p>
      <w:pPr>
        <w:pStyle w:val="Heading6"/>
      </w:pPr>
      <w:r>
        <w:t xml:space="preserve">The ten the model does not use</w:t>
      </w:r>
    </w:p>
    <w:p>
      <w:pPr>
        <w:pStyle w:val="FirstParagraph"/>
      </w:pPr>
      <w:r>
        <w:t xml:space="preserve">Shuffling any of these changed the model’s score by less than one part in a hundred thousand, so the model is not reading them at all. 16 of 90 features sit in that band.</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feature</w:t>
            </w:r>
          </w:p>
        </w:tc>
        <w:tc>
          <w:tcPr>
            <w:tcW w:type="pct" w:w="1000"/>
          </w:tcPr>
          <w:p>
            <w:pPr>
              <w:pStyle w:val="Compact"/>
            </w:pPr>
            <w:r>
              <w:rPr>
                <w:b/>
              </w:rPr>
              <w:t xml:space="preserve">family</w:t>
            </w:r>
          </w:p>
        </w:tc>
        <w:tc>
          <w:tcPr>
            <w:tcW w:type="pct" w:w="1000"/>
          </w:tcPr>
          <w:p>
            <w:pPr>
              <w:pStyle w:val="Compact"/>
              <w:jc w:val="right"/>
            </w:pPr>
            <w:r>
              <w:rPr>
                <w:b/>
              </w:rPr>
              <w:t xml:space="preserve">alone</w:t>
            </w:r>
          </w:p>
        </w:tc>
        <w:tc>
          <w:tcPr>
            <w:tcW w:type="pct" w:w="1000"/>
          </w:tcPr>
          <w:p>
            <w:pPr>
              <w:pStyle w:val="Compact"/>
              <w:jc w:val="right"/>
            </w:pPr>
            <w:r>
              <w:rPr>
                <w:b/>
              </w:rPr>
              <w:t xml:space="preserve">stable</w:t>
            </w:r>
          </w:p>
        </w:tc>
        <w:tc>
          <w:tcPr>
            <w:tcW w:type="pct" w:w="1000"/>
          </w:tcPr>
          <w:p>
            <w:pPr>
              <w:pStyle w:val="Compact"/>
              <w:jc w:val="right"/>
            </w:pPr>
            <w:r>
              <w:rPr>
                <w:b/>
              </w:rPr>
              <w:t xml:space="preserve">in company</w:t>
            </w:r>
          </w:p>
        </w:tc>
      </w:tr>
      <w:tr>
        <w:trPr>
          <w:trHeight w:hRule="atLeast" w:val="397"/>
        </w:trPr>
        <w:tc>
          <w:tcPr>
            <w:tcW w:type="pct" w:w="1000"/>
          </w:tcPr>
          <w:p>
            <w:pPr>
              <w:pStyle w:val="Compact"/>
            </w:pPr>
            <w:r>
              <w:rPr>
                <w:rStyle w:val="VerbatimChar"/>
              </w:rPr>
              <w:t xml:space="preserve">f_d1_st_up</w:t>
            </w:r>
          </w:p>
        </w:tc>
        <w:tc>
          <w:tcPr>
            <w:tcW w:type="pct" w:w="1000"/>
          </w:tcPr>
          <w:p>
            <w:pPr>
              <w:pStyle w:val="Compact"/>
            </w:pPr>
            <w:r>
              <w:rPr>
                <w:rStyle w:val="VerbatimChar"/>
              </w:rPr>
              <w:t xml:space="preserve">f_d1_</w:t>
            </w:r>
          </w:p>
        </w:tc>
        <w:tc>
          <w:tcPr>
            <w:tcW w:type="pct" w:w="1000"/>
          </w:tcPr>
          <w:p>
            <w:pPr>
              <w:pStyle w:val="Compact"/>
              <w:jc w:val="right"/>
            </w:pPr>
            <w:r>
              <w:t xml:space="preserve">0.0083</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f_mst_flip</w:t>
            </w:r>
          </w:p>
        </w:tc>
        <w:tc>
          <w:tcPr>
            <w:tcW w:type="pct" w:w="1000"/>
          </w:tcPr>
          <w:p>
            <w:pPr>
              <w:pStyle w:val="Compact"/>
            </w:pPr>
            <w:r>
              <w:rPr>
                <w:rStyle w:val="VerbatimChar"/>
              </w:rPr>
              <w:t xml:space="preserve">f_mst_</w:t>
            </w:r>
          </w:p>
        </w:tc>
        <w:tc>
          <w:tcPr>
            <w:tcW w:type="pct" w:w="1000"/>
          </w:tcPr>
          <w:p>
            <w:pPr>
              <w:pStyle w:val="Compact"/>
              <w:jc w:val="right"/>
            </w:pPr>
            <w:r>
              <w:t xml:space="preserve">0.0035</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f_tl_cdl_three_black</w:t>
            </w:r>
          </w:p>
        </w:tc>
        <w:tc>
          <w:tcPr>
            <w:tcW w:type="pct" w:w="1000"/>
          </w:tcPr>
          <w:p>
            <w:pPr>
              <w:pStyle w:val="Compact"/>
            </w:pPr>
            <w:r>
              <w:rPr>
                <w:rStyle w:val="VerbatimChar"/>
              </w:rPr>
              <w:t xml:space="preserve">f_tl_</w:t>
            </w:r>
          </w:p>
        </w:tc>
        <w:tc>
          <w:tcPr>
            <w:tcW w:type="pct" w:w="1000"/>
          </w:tcPr>
          <w:p>
            <w:pPr>
              <w:pStyle w:val="Compact"/>
              <w:jc w:val="right"/>
            </w:pPr>
            <w:r>
              <w:t xml:space="preserve">0.0000</w:t>
            </w:r>
          </w:p>
        </w:tc>
        <w:tc>
          <w:tcPr>
            <w:tcW w:type="pct" w:w="1000"/>
          </w:tcPr>
          <w:p>
            <w:pPr>
              <w:pStyle w:val="Compact"/>
              <w:jc w:val="right"/>
            </w:pPr>
            <w:r>
              <w:t xml:space="preserve">0.33</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f_flow_taker_ratio</w:t>
            </w:r>
          </w:p>
        </w:tc>
        <w:tc>
          <w:tcPr>
            <w:tcW w:type="pct" w:w="1000"/>
          </w:tcPr>
          <w:p>
            <w:pPr>
              <w:pStyle w:val="Compact"/>
            </w:pPr>
            <w:r>
              <w:rPr>
                <w:rStyle w:val="VerbatimChar"/>
              </w:rPr>
              <w:t xml:space="preserve">f_flow_</w:t>
            </w:r>
          </w:p>
        </w:tc>
        <w:tc>
          <w:tcPr>
            <w:tcW w:type="pct" w:w="1000"/>
          </w:tcPr>
          <w:p>
            <w:pPr>
              <w:pStyle w:val="Compact"/>
              <w:jc w:val="right"/>
            </w:pPr>
            <w:r>
              <w:t xml:space="preserve">0.0118</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f_tl_cdl_three_white</w:t>
            </w:r>
          </w:p>
        </w:tc>
        <w:tc>
          <w:tcPr>
            <w:tcW w:type="pct" w:w="1000"/>
          </w:tcPr>
          <w:p>
            <w:pPr>
              <w:pStyle w:val="Compact"/>
            </w:pPr>
            <w:r>
              <w:rPr>
                <w:rStyle w:val="VerbatimChar"/>
              </w:rPr>
              <w:t xml:space="preserve">f_tl_</w:t>
            </w:r>
          </w:p>
        </w:tc>
        <w:tc>
          <w:tcPr>
            <w:tcW w:type="pct" w:w="1000"/>
          </w:tcPr>
          <w:p>
            <w:pPr>
              <w:pStyle w:val="Compact"/>
              <w:jc w:val="right"/>
            </w:pPr>
            <w:r>
              <w:t xml:space="preserve">0.0001</w:t>
            </w:r>
          </w:p>
        </w:tc>
        <w:tc>
          <w:tcPr>
            <w:tcW w:type="pct" w:w="1000"/>
          </w:tcPr>
          <w:p>
            <w:pPr>
              <w:pStyle w:val="Compact"/>
              <w:jc w:val="right"/>
            </w:pPr>
            <w:r>
              <w:t xml:space="preserve">0.75</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f_tl_cdl_eveningstar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f_tl_cdl_morningstar</w:t>
            </w:r>
          </w:p>
        </w:tc>
        <w:tc>
          <w:tcPr>
            <w:tcW w:type="pct" w:w="1000"/>
          </w:tcPr>
          <w:p>
            <w:pPr>
              <w:pStyle w:val="Compact"/>
            </w:pPr>
            <w:r>
              <w:rPr>
                <w:rStyle w:val="VerbatimChar"/>
              </w:rPr>
              <w:t xml:space="preserve">f_tl_</w:t>
            </w:r>
          </w:p>
        </w:tc>
        <w:tc>
          <w:tcPr>
            <w:tcW w:type="pct" w:w="1000"/>
          </w:tcPr>
          <w:p>
            <w:pPr>
              <w:pStyle w:val="Compact"/>
              <w:jc w:val="right"/>
            </w:pPr>
            <w:r>
              <w:t xml:space="preserve">0.0004</w:t>
            </w:r>
          </w:p>
        </w:tc>
        <w:tc>
          <w:tcPr>
            <w:tcW w:type="pct" w:w="1000"/>
          </w:tcPr>
          <w:p>
            <w:pPr>
              <w:pStyle w:val="Compact"/>
              <w:jc w:val="right"/>
            </w:pPr>
            <w:r>
              <w:t xml:space="preserve">0.60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f_tl_cdl_doji</w:t>
            </w:r>
          </w:p>
        </w:tc>
        <w:tc>
          <w:tcPr>
            <w:tcW w:type="pct" w:w="1000"/>
          </w:tcPr>
          <w:p>
            <w:pPr>
              <w:pStyle w:val="Compact"/>
            </w:pPr>
            <w:r>
              <w:rPr>
                <w:rStyle w:val="VerbatimChar"/>
              </w:rPr>
              <w:t xml:space="preserve">f_tl_</w:t>
            </w:r>
          </w:p>
        </w:tc>
        <w:tc>
          <w:tcPr>
            <w:tcW w:type="pct" w:w="1000"/>
          </w:tcPr>
          <w:p>
            <w:pPr>
              <w:pStyle w:val="Compact"/>
              <w:jc w:val="right"/>
            </w:pPr>
            <w:r>
              <w:t xml:space="preserve">0.0054</w:t>
            </w:r>
          </w:p>
        </w:tc>
        <w:tc>
          <w:tcPr>
            <w:tcW w:type="pct" w:w="1000"/>
          </w:tcPr>
          <w:p>
            <w:pPr>
              <w:pStyle w:val="Compact"/>
              <w:jc w:val="right"/>
            </w:pPr>
            <w:r>
              <w:t xml:space="preserve">1.00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f_tl_cdl_shootingstar</w:t>
            </w:r>
          </w:p>
        </w:tc>
        <w:tc>
          <w:tcPr>
            <w:tcW w:type="pct" w:w="1000"/>
          </w:tcPr>
          <w:p>
            <w:pPr>
              <w:pStyle w:val="Compact"/>
            </w:pPr>
            <w:r>
              <w:rPr>
                <w:rStyle w:val="VerbatimChar"/>
              </w:rPr>
              <w:t xml:space="preserve">f_tl_</w:t>
            </w:r>
          </w:p>
        </w:tc>
        <w:tc>
          <w:tcPr>
            <w:tcW w:type="pct" w:w="1000"/>
          </w:tcPr>
          <w:p>
            <w:pPr>
              <w:pStyle w:val="Compact"/>
              <w:jc w:val="right"/>
            </w:pPr>
            <w:r>
              <w:t xml:space="preserve">0.0008</w:t>
            </w:r>
          </w:p>
        </w:tc>
        <w:tc>
          <w:tcPr>
            <w:tcW w:type="pct" w:w="1000"/>
          </w:tcPr>
          <w:p>
            <w:pPr>
              <w:pStyle w:val="Compact"/>
              <w:jc w:val="right"/>
            </w:pPr>
            <w:r>
              <w:t xml:space="preserve">0.80</w:t>
            </w:r>
          </w:p>
        </w:tc>
        <w:tc>
          <w:tcPr>
            <w:tcW w:type="pct" w:w="1000"/>
          </w:tcPr>
          <w:p>
            <w:pPr>
              <w:pStyle w:val="Compact"/>
              <w:jc w:val="right"/>
            </w:pPr>
            <w:r>
              <w:t xml:space="preserve">+0.00000</w:t>
            </w:r>
          </w:p>
        </w:tc>
      </w:tr>
      <w:tr>
        <w:trPr>
          <w:trHeight w:hRule="atLeast" w:val="397"/>
        </w:trPr>
        <w:tc>
          <w:tcPr>
            <w:tcW w:type="pct" w:w="1000"/>
          </w:tcPr>
          <w:p>
            <w:pPr>
              <w:pStyle w:val="Compact"/>
            </w:pPr>
            <w:r>
              <w:rPr>
                <w:rStyle w:val="VerbatimChar"/>
              </w:rPr>
              <w:t xml:space="preserve">f_tl_cdl_hammer</w:t>
            </w:r>
          </w:p>
        </w:tc>
        <w:tc>
          <w:tcPr>
            <w:tcW w:type="pct" w:w="1000"/>
          </w:tcPr>
          <w:p>
            <w:pPr>
              <w:pStyle w:val="Compact"/>
            </w:pPr>
            <w:r>
              <w:rPr>
                <w:rStyle w:val="VerbatimChar"/>
              </w:rPr>
              <w:t xml:space="preserve">f_tl_</w:t>
            </w:r>
          </w:p>
        </w:tc>
        <w:tc>
          <w:tcPr>
            <w:tcW w:type="pct" w:w="1000"/>
          </w:tcPr>
          <w:p>
            <w:pPr>
              <w:pStyle w:val="Compact"/>
              <w:jc w:val="right"/>
            </w:pPr>
            <w:r>
              <w:t xml:space="preserve">0.0045</w:t>
            </w:r>
          </w:p>
        </w:tc>
        <w:tc>
          <w:tcPr>
            <w:tcW w:type="pct" w:w="1000"/>
          </w:tcPr>
          <w:p>
            <w:pPr>
              <w:pStyle w:val="Compact"/>
              <w:jc w:val="right"/>
            </w:pPr>
            <w:r>
              <w:t xml:space="preserve">1.00</w:t>
            </w:r>
          </w:p>
        </w:tc>
        <w:tc>
          <w:tcPr>
            <w:tcW w:type="pct" w:w="1000"/>
          </w:tcPr>
          <w:p>
            <w:pPr>
              <w:pStyle w:val="Compact"/>
              <w:jc w:val="right"/>
            </w:pPr>
            <w:r>
              <w:t xml:space="preserve">+0.00000</w:t>
            </w:r>
          </w:p>
        </w:tc>
      </w:tr>
    </w:tbl>
    <w:p>
      <w:pPr>
        <w:pStyle w:val="BodyText"/>
      </w:pPr>
      <w:r>
        <w:rPr>
          <w:b/>
          <w:bCs/>
        </w:rPr>
        <w:t xml:space="preserve">14 of 90 features held their direction in fewer than three folds out of five.</w:t>
      </w:r>
      <w:r>
        <w:t xml:space="preserve"> </w:t>
      </w:r>
      <w:r>
        <w:t xml:space="preserve">Those are the ones that describe a period rather than a market.</w:t>
      </w:r>
    </w:p>
    <w:p>
      <w:pPr>
        <w:pStyle w:val="BodyText"/>
      </w:pPr>
      <w:r>
        <w:t xml:space="preserve">Full table:</w:t>
      </w:r>
      <w:r>
        <w:t xml:space="preserve"> </w:t>
      </w:r>
      <w:r>
        <w:rPr>
          <w:rStyle w:val="VerbatimChar"/>
        </w:rPr>
        <w:t xml:space="preserve">04-outputs/AA-evals/2026-09-08/feature-report-4h-20260908.csv</w:t>
      </w:r>
    </w:p>
    <w:bookmarkEnd w:id="146"/>
    <w:bookmarkEnd w:id="147"/>
    <w:bookmarkEnd w:id="148"/>
    <w:bookmarkEnd w:id="149"/>
    <w:bookmarkStart w:id="150" w:name="training-regime"/>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0.5 geometry.</w:t>
      </w:r>
    </w:p>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03-inputs/train_model.py.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w:t>
      </w:r>
      <w:r>
        <w:rPr>
          <w:rStyle w:val="NormalTok"/>
        </w:rPr>
        <w:t xml:space="preserve">pd</w:t>
      </w:r>
      <w:r>
        <w:rPr>
          <w:rStyle w:val="SpecialCharTok"/>
        </w:rPr>
        <w:t xml:space="preserve">.</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w:t>
      </w:r>
      <w:r>
        <w:rPr>
          <w:rStyle w:val="NormalTok"/>
        </w:rPr>
        <w:t xml:space="preserve">t1</w:t>
      </w:r>
      <w:r>
        <w:rPr>
          <w:rStyle w:val="SpecialCharTok"/>
        </w:rPr>
        <w:t xml:space="preserve">.</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train 381,207 (2017-12-15 to 2025-06-16)  .  test 76,789 (2025-06-19 to 2026-06-18)  .  cut 2025-06-18  embargo +/-2d  .  base rate 0.303</w:t>
      </w:r>
    </w:p>
    <w:p>
      <w:pPr>
        <w:pStyle w:val="SourceCode"/>
      </w:pPr>
      <w:r>
        <w:rPr>
          <w:rStyle w:val="VerbatimChar"/>
        </w:rPr>
        <w:t xml:space="preserve">fitting on 80,000 of 381,207 train rows (2017-12-16 to 2025-06-16)  [sampled for the notebook; full run is 03-inputs/train_model_1h.py]</w:t>
      </w:r>
      <w:r>
        <w:br/>
      </w:r>
      <w:r>
        <w:br/>
      </w:r>
      <w:r>
        <w:rPr>
          <w:rStyle w:val="VerbatimChar"/>
        </w:rPr>
        <w:t xml:space="preserve">---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0.308   (base rate 0.303)</w:t>
      </w:r>
      <w:r>
        <w:br/>
      </w:r>
      <w:r>
        <w:rPr>
          <w:rStyle w:val="VerbatimChar"/>
        </w:rPr>
        <w:t xml:space="preserve">  test recall(buy)   : 0.561</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[[24148, 29368], [10226, 13047]]</w:t>
      </w:r>
      <w:r>
        <w:br/>
      </w:r>
      <w:r>
        <w:rPr>
          <w:rStyle w:val="VerbatimChar"/>
        </w:rPr>
        <w:t xml:space="preserve">  precision lift over base rate: +0.005</w:t>
      </w:r>
      <w:r>
        <w:br/>
      </w:r>
      <w:r>
        <w:rPr>
          <w:rStyle w:val="VerbatimChar"/>
        </w:rPr>
        <w:t xml:space="preserve">  confidence filter (act if p&gt;=0.60 or p&lt;=0.40): keeps 2.7% of test rows (n=2099)</w:t>
      </w:r>
      <w:r>
        <w:br/>
      </w:r>
      <w:r>
        <w:rPr>
          <w:rStyle w:val="VerbatimChar"/>
        </w:rPr>
        <w:t xml:space="preserve">    precision(buy) 0.281  recall 0.660  F1 0.394  (base rate 0.303)</w:t>
      </w:r>
      <w:r>
        <w:br/>
      </w:r>
      <w:r>
        <w:br/>
      </w:r>
      <w:r>
        <w:rPr>
          <w:rStyle w:val="VerbatimChar"/>
        </w:rPr>
        <w:t xml:space="preserve">---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xml:space="preserve">--- LightGBM ---</w:t>
      </w:r>
      <w:r>
        <w:br/>
      </w:r>
      <w:r>
        <w:rPr>
          <w:rStyle w:val="VerbatimChar"/>
        </w:rPr>
        <w:t xml:space="preserve">  train CV ROC-AUC (5-fold TimeSeriesSplit): 0.518</w:t>
      </w:r>
      <w:r>
        <w:br/>
      </w:r>
      <w:r>
        <w:rPr>
          <w:rStyle w:val="VerbatimChar"/>
        </w:rPr>
        <w:t xml:space="preserve">  test accuracy : 0.532</w:t>
      </w:r>
      <w:r>
        <w:br/>
      </w:r>
      <w:r>
        <w:rPr>
          <w:rStyle w:val="VerbatimChar"/>
        </w:rPr>
        <w:t xml:space="preserve">  test precision(buy): 0.309   (base rate 0.303)</w:t>
      </w:r>
      <w:r>
        <w:br/>
      </w:r>
      <w:r>
        <w:rPr>
          <w:rStyle w:val="VerbatimChar"/>
        </w:rPr>
        <w:t xml:space="preserve">  test recall(buy)   : 0.438</w:t>
      </w:r>
      <w:r>
        <w:br/>
      </w:r>
      <w:r>
        <w:rPr>
          <w:rStyle w:val="VerbatimChar"/>
        </w:rPr>
        <w:t xml:space="preserve">  test ROC-AUC       : 0.509</w:t>
      </w:r>
      <w:r>
        <w:br/>
      </w:r>
      <w:r>
        <w:rPr>
          <w:rStyle w:val="VerbatimChar"/>
        </w:rPr>
        <w:t xml:space="preserve">  confusion matrix [rows=true 0/1, cols=pred 0/1]:</w:t>
      </w:r>
      <w:r>
        <w:br/>
      </w:r>
      <w:r>
        <w:rPr>
          <w:rStyle w:val="VerbatimChar"/>
        </w:rPr>
        <w:t xml:space="preserve">   [[30706, 22810], [13090, 10183]]</w:t>
      </w:r>
      <w:r>
        <w:br/>
      </w:r>
      <w:r>
        <w:rPr>
          <w:rStyle w:val="VerbatimChar"/>
        </w:rPr>
        <w:t xml:space="preserve">  precision lift over base rate: +0.006</w:t>
      </w:r>
      <w:r>
        <w:br/>
      </w:r>
      <w:r>
        <w:rPr>
          <w:rStyle w:val="VerbatimChar"/>
        </w:rPr>
        <w:t xml:space="preserve">  confidence filter (act if p&gt;=0.60 or p&lt;=0.40): keeps 27.5% of test rows (n=21084)</w:t>
      </w:r>
      <w:r>
        <w:br/>
      </w:r>
      <w:r>
        <w:rPr>
          <w:rStyle w:val="VerbatimChar"/>
        </w:rPr>
        <w:t xml:space="preserve">    precision(buy) 0.294  recall 0.349  F1 0.319  (base rate 0.303)</w:t>
      </w:r>
      <w:r>
        <w:br/>
      </w:r>
      <w:r>
        <w:br/>
      </w:r>
      <w:r>
        <w:rPr>
          <w:rStyle w:val="VerbatimChar"/>
        </w:rPr>
        <w:t xml:space="preserve">chosen: RandomForest  (precision 0.310 vs base 0.303, AUC 0.509)</w:t>
      </w:r>
    </w:p>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VerbatimChar"/>
        </w:rPr>
        <w:t xml:space="preserve">HONESTY GATE: NO-GO (no demonstrable edge - do not trade)</w:t>
      </w:r>
      <w:r>
        <w:br/>
      </w:r>
      <w:r>
        <w:rPr>
          <w:rStyle w:val="VerbatimChar"/>
        </w:rPr>
        <w:t xml:space="preserve">saved /Volumes/PortableSSD/Github/day-trader/04-outputs/3B-model-training/model_1h.joblib and model_metrics_1h.txt</w:t>
      </w:r>
    </w:p>
    <w:p>
      <w:pPr>
        <w:pStyle w:val="SourceCode"/>
      </w:pPr>
      <w:r>
        <w:rPr>
          <w:rStyle w:val="VerbatimChar"/>
        </w:rPr>
        <w:t xml:space="preserve">evaluation record: /Volumes/PortableSSD/Github/day-trader/04-outputs/AA-evals/2026-09-08/eval-head-to-head-20260908.md</w:t>
      </w:r>
    </w:p>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Variable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bookmarkEnd w:id="150"/>
    <w:bookmarkStart w:id="151" w:name="model-tuning"/>
    <w:p>
      <w:pPr>
        <w:pStyle w:val="Heading3"/>
      </w:pPr>
      <w:r>
        <w:t xml:space="preserve">3.8 Model Tuning</w:t>
      </w:r>
    </w:p>
    <w:p>
      <w:pPr>
        <w:pStyle w:val="FirstParagraph"/>
      </w:pPr>
      <w:r>
        <w:t xml:space="preserve">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pPr>
        <w:pStyle w:val="BodyText"/>
      </w:pPr>
      <w:r>
        <w:t xml:space="preserve">The sweeps run full-market as scripts, never inside this document, because a grid of fits takes far longer than a render should.</w:t>
      </w:r>
    </w:p>
    <w:p>
      <w:pPr>
        <w:pStyle w:val="SourceCode"/>
      </w:pPr>
      <w:r>
        <w:rPr>
          <w:rStyle w:val="ExtensionTok"/>
        </w:rPr>
        <w:t xml:space="preserve">.venv/bin/python</w:t>
      </w:r>
      <w:r>
        <w:rPr>
          <w:rStyle w:val="NormalTok"/>
        </w:rPr>
        <w:t xml:space="preserve"> 03-inputs/sweep_label_1h.py                </w:t>
      </w:r>
      <w:r>
        <w:rPr>
          <w:rStyle w:val="CommentTok"/>
        </w:rPr>
        <w:t xml:space="preserve"># label geometry</w:t>
      </w:r>
      <w:r>
        <w:br/>
      </w:r>
      <w:r>
        <w:rPr>
          <w:rStyle w:val="ExtensionTok"/>
        </w:rPr>
        <w:t xml:space="preserve">.venv/bin/python</w:t>
      </w:r>
      <w:r>
        <w:rPr>
          <w:rStyle w:val="NormalTok"/>
        </w:rPr>
        <w:t xml:space="preserve"> 03-inputs/walkforward.py                   </w:t>
      </w:r>
      <w:r>
        <w:rPr>
          <w:rStyle w:val="CommentTok"/>
        </w:rPr>
        <w:t xml:space="preserve"># exit geometry</w:t>
      </w:r>
      <w:r>
        <w:br/>
      </w:r>
      <w:r>
        <w:rPr>
          <w:rStyle w:val="ExtensionTok"/>
        </w:rPr>
        <w:t xml:space="preserve">.venv/bin/python</w:t>
      </w:r>
      <w:r>
        <w:rPr>
          <w:rStyle w:val="NormalTok"/>
        </w:rPr>
        <w:t xml:space="preserve"> 03-inputs/model_assessment_1h.py </w:t>
      </w:r>
      <w:r>
        <w:rPr>
          <w:rStyle w:val="AttributeTok"/>
        </w:rPr>
        <w:t xml:space="preserve">--tune</w:t>
      </w:r>
      <w:r>
        <w:rPr>
          <w:rStyle w:val="NormalTok"/>
        </w:rPr>
        <w:t xml:space="preserve">    </w:t>
      </w:r>
      <w:r>
        <w:rPr>
          <w:rStyle w:val="CommentTok"/>
        </w:rPr>
        <w:t xml:space="preserve"># hyperparameters</w:t>
      </w:r>
    </w:p>
    <w:p>
      <w:pPr>
        <w:pStyle w:val="FirstParagraph"/>
      </w:pPr>
      <w:r>
        <w:t xml:space="preserve">Every sweep on disk is rendered below, newest first, with the incumbent settings marked. The overfit</w:t>
      </w:r>
      <w:r>
        <w:t xml:space="preserve"> </w:t>
      </w:r>
      <w:r>
        <w:t xml:space="preserve">ratio is the cross-validated error divided by the training error. A model that has memorised its</w:t>
      </w:r>
      <w:r>
        <w:t xml:space="preserve"> </w:t>
      </w:r>
      <w:r>
        <w:t xml:space="preserve">training data scores a low training error and a high held-out one, so the ratio climbs; anything above</w:t>
      </w:r>
      <w:r>
        <w:t xml:space="preserve"> </w:t>
      </w:r>
      <w:r>
        <w:t xml:space="preserve">1.1 is rejected by house rule regardless of how good its held-out error looks.</w:t>
      </w:r>
    </w:p>
    <w:p>
      <w:pPr>
        <w:pStyle w:val="SourceCode"/>
      </w:pPr>
      <w:r>
        <w:br/>
      </w:r>
      <w:r>
        <w:rPr>
          <w:rStyle w:val="VerbatimChar"/>
        </w:rPr>
        <w:t xml:space="preserve">4h frame, 2026-09-06  .  target: bars until the Supertrend flips</w:t>
      </w:r>
      <w:r>
        <w:br/>
      </w:r>
      <w:r>
        <w:rPr>
          <w:rStyle w:val="VerbatimChar"/>
        </w:rPr>
        <w:t xml:space="preserve">panel: crypto 4h, 40 coins, 250,000 rows</w:t>
      </w:r>
      <w:r>
        <w:br/>
      </w:r>
      <w:r>
        <w:rPr>
          <w:rStyle w:val="VerbatimChar"/>
        </w:rPr>
        <w:t xml:space="preserve">9 settings, 3 walk-forward folds each. Scored on the training window only; the blind stretch is untouched.</w:t>
      </w:r>
      <w:r>
        <w:br/>
      </w:r>
      <w:r>
        <w:br/>
      </w:r>
      <w:r>
        <w:rPr>
          <w:rStyle w:val="VerbatimChar"/>
        </w:rPr>
        <w:t xml:space="preserve">settings                                                      train  held-out   ratio  verdict</w:t>
      </w:r>
      <w:r>
        <w:br/>
      </w:r>
      <w:r>
        <w:rPr>
          <w:rStyle w:val="VerbatimChar"/>
        </w:rPr>
        <w:t xml:space="preserve">learning_rate=0.03  max_depth=4  max_iter=300  min_samples_leaf=100   18.994    24.159   1.272  REJECTED, overfit</w:t>
      </w:r>
      <w:r>
        <w:br/>
      </w:r>
      <w:r>
        <w:rPr>
          <w:rStyle w:val="VerbatimChar"/>
        </w:rPr>
        <w:t xml:space="preserve">learning_rate=0.03  max_depth=10  max_iter=300  min_samples_leaf=100   15.823    24.362   1.540  REJECTED, overfit</w:t>
      </w:r>
      <w:r>
        <w:br/>
      </w:r>
      <w:r>
        <w:rPr>
          <w:rStyle w:val="VerbatimChar"/>
        </w:rPr>
        <w:t xml:space="preserve">learning_rate=0.03  max_depth=6  max_iter=300  min_samples_leaf=100   16.657    24.399   1.465  REJECTED, overfit</w:t>
      </w:r>
      <w:r>
        <w:br/>
      </w:r>
      <w:r>
        <w:rPr>
          <w:rStyle w:val="VerbatimChar"/>
        </w:rPr>
        <w:t xml:space="preserve">learning_rate=0.06  max_depth=4  max_iter=300  min_samples_leaf=100   17.438    24.564   1.409  REJECTED, overfit</w:t>
      </w:r>
      <w:r>
        <w:br/>
      </w:r>
      <w:r>
        <w:rPr>
          <w:rStyle w:val="VerbatimChar"/>
        </w:rPr>
        <w:t xml:space="preserve">learning_rate=0.06  max_depth=10  max_iter=300  min_samples_leaf=100   13.461    24.752   1.839  REJECTED, overfit</w:t>
      </w:r>
      <w:r>
        <w:br/>
      </w:r>
      <w:r>
        <w:rPr>
          <w:rStyle w:val="VerbatimChar"/>
        </w:rPr>
        <w:t xml:space="preserve">learning_rate=0.06  max_depth=6  max_iter=300  min_samples_leaf=100 (incumbent)   14.382    24.804   1.725  REJECTED, overfit</w:t>
      </w:r>
      <w:r>
        <w:br/>
      </w:r>
      <w:r>
        <w:rPr>
          <w:rStyle w:val="VerbatimChar"/>
        </w:rPr>
        <w:t xml:space="preserve">learning_rate=0.12  max_depth=10  max_iter=300  min_samples_leaf=100   10.772    25.199   2.339  REJECTED, overfit</w:t>
      </w:r>
      <w:r>
        <w:br/>
      </w:r>
      <w:r>
        <w:rPr>
          <w:rStyle w:val="VerbatimChar"/>
        </w:rPr>
        <w:t xml:space="preserve">learning_rate=0.12  max_depth=4  max_iter=300  min_samples_leaf=100   15.413    25.288   1.641  REJECTED, overfit</w:t>
      </w:r>
      <w:r>
        <w:br/>
      </w:r>
      <w:r>
        <w:rPr>
          <w:rStyle w:val="VerbatimChar"/>
        </w:rPr>
        <w:t xml:space="preserve">learning_rate=0.12  max_depth=6  max_iter=300  min_samples_leaf=100   11.689    25.526   2.184  REJECTED, overfit</w:t>
      </w:r>
      <w:r>
        <w:br/>
      </w:r>
      <w:r>
        <w:br/>
      </w:r>
      <w:r>
        <w:rPr>
          <w:rStyle w:val="VerbatimChar"/>
        </w:rPr>
        <w:t xml:space="preserve">Best held-out error 24.159, worst 25.526, so the whole grid spans 1.366.</w:t>
      </w:r>
      <w:r>
        <w:br/>
      </w:r>
      <w:r>
        <w:rPr>
          <w:rStyle w:val="VerbatimChar"/>
        </w:rPr>
        <w:t xml:space="preserve">0 of 9 settings pass the 1.1 overfit bar.</w:t>
      </w:r>
      <w:r>
        <w:br/>
      </w:r>
      <w:r>
        <w:rPr>
          <w:rStyle w:val="VerbatimChar"/>
        </w:rPr>
        <w:t xml:space="preserve">record: 04-outputs/AA-evals/2026-09-06/model-tuning-20260906-1145.json</w:t>
      </w:r>
    </w:p>
    <w:p>
      <w:pPr>
        <w:pStyle w:val="FirstParagraph"/>
      </w:pPr>
      <w:r>
        <w:t xml:space="preserve">Reading the sweep above. Two things are worth saying plainly about what tuning has bought so far,</w:t>
      </w:r>
      <w:r>
        <w:t xml:space="preserve"> </w:t>
      </w:r>
      <w:r>
        <w:t xml:space="preserve">because both cut against the instinct to keep turning knobs.</w:t>
      </w:r>
    </w:p>
    <w:p>
      <w:pPr>
        <w:pStyle w:val="BodyText"/>
      </w:pPr>
      <w:r>
        <w:t xml:space="preserve">The first is that the settings barely matter. Across the nine settings tried on the four-hour</w:t>
      </w:r>
      <w:r>
        <w:t xml:space="preserve"> </w:t>
      </w:r>
      <w:r>
        <w:t xml:space="preserve">trend-life target, the training error nearly halved while the held-out error got slightly worse. That</w:t>
      </w:r>
      <w:r>
        <w:t xml:space="preserve"> </w:t>
      </w:r>
      <w:r>
        <w:t xml:space="preserve">is the signature of a grid that is buying memorisation, not skill. The winner was the weakest model in</w:t>
      </w:r>
      <w:r>
        <w:t xml:space="preserve"> </w:t>
      </w:r>
      <w:r>
        <w:t xml:space="preserve">the grid, the expected result when the ceiling is set by the data rather than the model.</w:t>
      </w:r>
    </w:p>
    <w:p>
      <w:pPr>
        <w:pStyle w:val="BodyText"/>
      </w:pPr>
      <w:r>
        <w:t xml:space="preserve">The second is that the period matters more than the settings. Inside any single setting the three</w:t>
      </w:r>
      <w:r>
        <w:t xml:space="preserve"> </w:t>
      </w:r>
      <w:r>
        <w:t xml:space="preserve">walk-forward folds land between roughly 3.6 and 4.2 bars apart, while the best and worst settings in</w:t>
      </w:r>
      <w:r>
        <w:t xml:space="preserve"> </w:t>
      </w:r>
      <w:r>
        <w:t xml:space="preserve">the whole grid are 1.366 bars apart. Which stretch of market a model is tested on moves the score</w:t>
      </w:r>
      <w:r>
        <w:t xml:space="preserve"> </w:t>
      </w:r>
      <w:r>
        <w:t xml:space="preserve">about three times as much as any knob does. That is the argument for walk-forward evaluation over a</w:t>
      </w:r>
      <w:r>
        <w:t xml:space="preserve"> </w:t>
      </w:r>
      <w:r>
        <w:t xml:space="preserve">single split, and the argument against reading a leaderboard of settings as though the top row had</w:t>
      </w:r>
      <w:r>
        <w:t xml:space="preserve"> </w:t>
      </w:r>
      <w:r>
        <w:t xml:space="preserve">earned its position rather than drawn a favourable fold.</w:t>
      </w:r>
    </w:p>
    <w:bookmarkEnd w:id="151"/>
    <w:bookmarkStart w:id="153" w:name="model-assessment"/>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pPr>
        <w:pStyle w:val="SourceCode"/>
      </w:pPr>
      <w:r>
        <w:rPr>
          <w:rStyle w:val="VerbatimChar"/>
        </w:rPr>
        <w:t xml:space="preserve">RECOMPUTE off -- showing latest persisted full-zoo record: model-assessment-20260906.md</w:t>
      </w:r>
    </w:p>
    <w:bookmarkStart w:id="152" w:name="Xb5ae2ff4a4562657fdd31545ddaa05f68c3079d"/>
    <w:p>
      <w:pPr>
        <w:pStyle w:val="Heading4"/>
      </w:pPr>
      <w:r>
        <w:t xml:space="preserve">Model assessment (2026-09-06) – caret-style, 1h frame</w:t>
      </w:r>
    </w:p>
    <w:p>
      <w:pPr>
        <w:pStyle w:val="FirstParagraph"/>
      </w:pPr>
      <w:r>
        <w:t xml:space="preserve">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jc w:val="center"/>
        <w:tblLayout w:type="fixed"/>
        <w:tblLook w:firstRow="1" w:lastRow="0" w:firstColumn="0" w:lastColumn="0" w:noHBand="0" w:noVBand="0" w:val="0020"/>
        <w:tblW w:type="pct" w:w="5000"/>
        <w:tblCellMar>
          <w:left w:w="43" w:type="dxa"/>
          <w:right w:w="43" w:type="dxa"/>
        </w:tblCellMar>
      </w:tblPr>
      <w:tblGrid>
        <w:gridCol w:w="1131"/>
        <w:gridCol w:w="1131"/>
        <w:gridCol w:w="1131"/>
        <w:gridCol w:w="1131"/>
        <w:gridCol w:w="1131"/>
        <w:gridCol w:w="1131"/>
        <w:gridCol w:w="1131"/>
      </w:tblGrid>
      <w:tr>
        <w:trPr>
          <w:trHeight w:hRule="atLeast" w:val="567"/>
          <w:tblHeader w:val="on"/>
        </w:trPr>
        <w:tc>
          <w:tcPr>
            <w:tcW w:type="pct" w:w="714"/>
          </w:tcPr>
          <w:p>
            <w:pPr>
              <w:pStyle w:val="Compact"/>
            </w:pPr>
            <w:r>
              <w:rPr>
                <w:b/>
                <w:sz w:val="16"/>
              </w:rPr>
              <w:t xml:space="preserve">model</w:t>
            </w:r>
          </w:p>
        </w:tc>
        <w:tc>
          <w:tcPr>
            <w:tcW w:type="pct" w:w="714"/>
          </w:tcPr>
          <w:p>
            <w:pPr>
              <w:pStyle w:val="Compact"/>
            </w:pPr>
            <w:r>
              <w:rPr>
                <w:b/>
                <w:sz w:val="16"/>
              </w:rPr>
              <w:t xml:space="preserve">hyperparameters</w:t>
            </w:r>
          </w:p>
        </w:tc>
        <w:tc>
          <w:tcPr>
            <w:tcW w:type="pct" w:w="714"/>
          </w:tcPr>
          <w:p>
            <w:pPr>
              <w:pStyle w:val="Compact"/>
            </w:pPr>
            <w:r>
              <w:rPr>
                <w:b/>
                <w:sz w:val="16"/>
              </w:rPr>
              <w:t xml:space="preserve">Full MAE</w:t>
            </w:r>
          </w:p>
        </w:tc>
        <w:tc>
          <w:tcPr>
            <w:tcW w:type="pct" w:w="714"/>
          </w:tcPr>
          <w:p>
            <w:pPr>
              <w:pStyle w:val="Compact"/>
            </w:pPr>
            <w:r>
              <w:rPr>
                <w:b/>
                <w:sz w:val="16"/>
              </w:rPr>
              <w:t xml:space="preserve">Full RMSE</w:t>
            </w:r>
          </w:p>
        </w:tc>
        <w:tc>
          <w:tcPr>
            <w:tcW w:type="pct" w:w="714"/>
          </w:tcPr>
          <w:p>
            <w:pPr>
              <w:pStyle w:val="Compact"/>
            </w:pPr>
            <w:r>
              <w:rPr>
                <w:b/>
                <w:sz w:val="16"/>
              </w:rPr>
              <w:t xml:space="preserve">CV MAE</w:t>
            </w:r>
          </w:p>
        </w:tc>
        <w:tc>
          <w:tcPr>
            <w:tcW w:type="pct" w:w="714"/>
          </w:tcPr>
          <w:p>
            <w:pPr>
              <w:pStyle w:val="Compact"/>
            </w:pPr>
            <w:r>
              <w:rPr>
                <w:b/>
                <w:sz w:val="16"/>
              </w:rPr>
              <w:t xml:space="preserve">CV RMSE</w:t>
            </w:r>
          </w:p>
        </w:tc>
        <w:tc>
          <w:tcPr>
            <w:tcW w:type="pct" w:w="714"/>
          </w:tcPr>
          <w:p>
            <w:pPr>
              <w:pStyle w:val="Compact"/>
            </w:pPr>
            <w:r>
              <w:rPr>
                <w:b/>
                <w:sz w:val="16"/>
              </w:rPr>
              <w:t xml:space="preserve">RMSEratio</w:t>
            </w:r>
          </w:p>
        </w:tc>
      </w:tr>
      <w:tr>
        <w:trPr>
          <w:trHeight w:hRule="atLeast" w:val="397"/>
        </w:trPr>
        <w:tc>
          <w:tcPr>
            <w:tcW w:type="pct" w:w="714"/>
          </w:tcPr>
          <w:p>
            <w:pPr>
              <w:pStyle w:val="Compact"/>
            </w:pPr>
            <w:r>
              <w:rPr>
                <w:sz w:val="16"/>
              </w:rPr>
              <w:t xml:space="preserve">HistGBM</w:t>
            </w:r>
          </w:p>
        </w:tc>
        <w:tc>
          <w:tcPr>
            <w:tcW w:type="pct" w:w="714"/>
          </w:tcPr>
          <w:p>
            <w:pPr>
              <w:pStyle w:val="Compact"/>
            </w:pPr>
            <w:r>
              <w:rPr>
                <w:sz w:val="16"/>
              </w:rPr>
              <w:t xml:space="preserve">leaves=31 lr=0.05 iter=600</w:t>
            </w:r>
          </w:p>
        </w:tc>
        <w:tc>
          <w:tcPr>
            <w:tcW w:type="pct" w:w="714"/>
          </w:tcPr>
          <w:p>
            <w:pPr>
              <w:pStyle w:val="Compact"/>
            </w:pPr>
            <w:r>
              <w:rPr>
                <w:sz w:val="16"/>
              </w:rPr>
              <w:t xml:space="preserve">0.2181</w:t>
            </w:r>
          </w:p>
        </w:tc>
        <w:tc>
          <w:tcPr>
            <w:tcW w:type="pct" w:w="714"/>
          </w:tcPr>
          <w:p>
            <w:pPr>
              <w:pStyle w:val="Compact"/>
            </w:pPr>
            <w:r>
              <w:rPr>
                <w:sz w:val="16"/>
              </w:rPr>
              <w:t xml:space="preserve">0.2619</w:t>
            </w:r>
          </w:p>
        </w:tc>
        <w:tc>
          <w:tcPr>
            <w:tcW w:type="pct" w:w="714"/>
          </w:tcPr>
          <w:p>
            <w:pPr>
              <w:pStyle w:val="Compact"/>
            </w:pPr>
            <w:r>
              <w:rPr>
                <w:sz w:val="16"/>
              </w:rPr>
              <w:t xml:space="preserve">0.3861</w:t>
            </w:r>
          </w:p>
        </w:tc>
        <w:tc>
          <w:tcPr>
            <w:tcW w:type="pct" w:w="714"/>
          </w:tcPr>
          <w:p>
            <w:pPr>
              <w:pStyle w:val="Compact"/>
            </w:pPr>
            <w:r>
              <w:rPr>
                <w:sz w:val="16"/>
              </w:rPr>
              <w:t xml:space="preserve">0.4818</w:t>
            </w:r>
          </w:p>
        </w:tc>
        <w:tc>
          <w:tcPr>
            <w:tcW w:type="pct" w:w="714"/>
          </w:tcPr>
          <w:p>
            <w:pPr>
              <w:pStyle w:val="Compact"/>
            </w:pPr>
            <w:r>
              <w:rPr>
                <w:sz w:val="16"/>
              </w:rPr>
              <w:t xml:space="preserve">1.840</w:t>
            </w:r>
          </w:p>
        </w:tc>
      </w:tr>
      <w:tr>
        <w:trPr>
          <w:trHeight w:hRule="atLeast" w:val="397"/>
        </w:trPr>
        <w:tc>
          <w:tcPr>
            <w:tcW w:type="pct" w:w="714"/>
          </w:tcPr>
          <w:p>
            <w:pPr>
              <w:pStyle w:val="Compact"/>
            </w:pPr>
            <w:r>
              <w:rPr>
                <w:sz w:val="16"/>
              </w:rPr>
              <w:t xml:space="preserve">LightGBM</w:t>
            </w:r>
          </w:p>
        </w:tc>
        <w:tc>
          <w:tcPr>
            <w:tcW w:type="pct" w:w="714"/>
          </w:tcPr>
          <w:p>
            <w:pPr>
              <w:pStyle w:val="Compact"/>
            </w:pPr>
            <w:r>
              <w:rPr>
                <w:sz w:val="16"/>
              </w:rPr>
              <w:t xml:space="preserve">leaves=31 lr=0.05 n=600</w:t>
            </w:r>
          </w:p>
        </w:tc>
        <w:tc>
          <w:tcPr>
            <w:tcW w:type="pct" w:w="714"/>
          </w:tcPr>
          <w:p>
            <w:pPr>
              <w:pStyle w:val="Compact"/>
            </w:pPr>
            <w:r>
              <w:rPr>
                <w:sz w:val="16"/>
              </w:rPr>
              <w:t xml:space="preserve">0.2387</w:t>
            </w:r>
          </w:p>
        </w:tc>
        <w:tc>
          <w:tcPr>
            <w:tcW w:type="pct" w:w="714"/>
          </w:tcPr>
          <w:p>
            <w:pPr>
              <w:pStyle w:val="Compact"/>
            </w:pPr>
            <w:r>
              <w:rPr>
                <w:sz w:val="16"/>
              </w:rPr>
              <w:t xml:space="preserve">0.2806</w:t>
            </w:r>
          </w:p>
        </w:tc>
        <w:tc>
          <w:tcPr>
            <w:tcW w:type="pct" w:w="714"/>
          </w:tcPr>
          <w:p>
            <w:pPr>
              <w:pStyle w:val="Compact"/>
            </w:pPr>
            <w:r>
              <w:rPr>
                <w:sz w:val="16"/>
              </w:rPr>
              <w:t xml:space="preserve">0.4036</w:t>
            </w:r>
          </w:p>
        </w:tc>
        <w:tc>
          <w:tcPr>
            <w:tcW w:type="pct" w:w="714"/>
          </w:tcPr>
          <w:p>
            <w:pPr>
              <w:pStyle w:val="Compact"/>
            </w:pPr>
            <w:r>
              <w:rPr>
                <w:sz w:val="16"/>
              </w:rPr>
              <w:t xml:space="preserve">0.4826</w:t>
            </w:r>
          </w:p>
        </w:tc>
        <w:tc>
          <w:tcPr>
            <w:tcW w:type="pct" w:w="714"/>
          </w:tcPr>
          <w:p>
            <w:pPr>
              <w:pStyle w:val="Compact"/>
            </w:pPr>
            <w:r>
              <w:rPr>
                <w:sz w:val="16"/>
              </w:rPr>
              <w:t xml:space="preserve">1.720</w:t>
            </w:r>
          </w:p>
        </w:tc>
      </w:tr>
      <w:tr>
        <w:trPr>
          <w:trHeight w:hRule="atLeast" w:val="397"/>
        </w:trPr>
        <w:tc>
          <w:tcPr>
            <w:tcW w:type="pct" w:w="714"/>
          </w:tcPr>
          <w:p>
            <w:pPr>
              <w:pStyle w:val="Compact"/>
            </w:pPr>
            <w:r>
              <w:rPr>
                <w:sz w:val="16"/>
              </w:rPr>
              <w:t xml:space="preserve">RF</w:t>
            </w:r>
          </w:p>
        </w:tc>
        <w:tc>
          <w:tcPr>
            <w:tcW w:type="pct" w:w="714"/>
          </w:tcPr>
          <w:p>
            <w:pPr>
              <w:pStyle w:val="Compact"/>
            </w:pPr>
            <w:r>
              <w:rPr>
                <w:sz w:val="16"/>
              </w:rPr>
              <w:t xml:space="preserve">mtry=auto ntree=400 depth=8</w:t>
            </w:r>
          </w:p>
        </w:tc>
        <w:tc>
          <w:tcPr>
            <w:tcW w:type="pct" w:w="714"/>
          </w:tcPr>
          <w:p>
            <w:pPr>
              <w:pStyle w:val="Compact"/>
            </w:pPr>
            <w:r>
              <w:rPr>
                <w:sz w:val="16"/>
              </w:rPr>
              <w:t xml:space="preserve">0.4445</w:t>
            </w:r>
          </w:p>
        </w:tc>
        <w:tc>
          <w:tcPr>
            <w:tcW w:type="pct" w:w="714"/>
          </w:tcPr>
          <w:p>
            <w:pPr>
              <w:pStyle w:val="Compact"/>
            </w:pPr>
            <w:r>
              <w:rPr>
                <w:sz w:val="16"/>
              </w:rPr>
              <w:t xml:space="preserve">0.4526</w:t>
            </w:r>
          </w:p>
        </w:tc>
        <w:tc>
          <w:tcPr>
            <w:tcW w:type="pct" w:w="714"/>
          </w:tcPr>
          <w:p>
            <w:pPr>
              <w:pStyle w:val="Compact"/>
            </w:pPr>
            <w:r>
              <w:rPr>
                <w:sz w:val="16"/>
              </w:rPr>
              <w:t xml:space="preserve">0.4761</w:t>
            </w:r>
          </w:p>
        </w:tc>
        <w:tc>
          <w:tcPr>
            <w:tcW w:type="pct" w:w="714"/>
          </w:tcPr>
          <w:p>
            <w:pPr>
              <w:pStyle w:val="Compact"/>
            </w:pPr>
            <w:r>
              <w:rPr>
                <w:sz w:val="16"/>
              </w:rPr>
              <w:t xml:space="preserve">0.4840</w:t>
            </w:r>
          </w:p>
        </w:tc>
        <w:tc>
          <w:tcPr>
            <w:tcW w:type="pct" w:w="714"/>
          </w:tcPr>
          <w:p>
            <w:pPr>
              <w:pStyle w:val="Compact"/>
            </w:pPr>
            <w:r>
              <w:rPr>
                <w:sz w:val="16"/>
              </w:rPr>
              <w:t xml:space="preserve">1.069</w:t>
            </w:r>
          </w:p>
        </w:tc>
      </w:tr>
      <w:tr>
        <w:trPr>
          <w:trHeight w:hRule="atLeast" w:val="397"/>
        </w:trPr>
        <w:tc>
          <w:tcPr>
            <w:tcW w:type="pct" w:w="714"/>
          </w:tcPr>
          <w:p>
            <w:pPr>
              <w:pStyle w:val="Compact"/>
            </w:pPr>
            <w:r>
              <w:rPr>
                <w:sz w:val="16"/>
              </w:rPr>
              <w:t xml:space="preserve">LogReg.glm</w:t>
            </w:r>
          </w:p>
        </w:tc>
        <w:tc>
          <w:tcPr>
            <w:tcW w:type="pct" w:w="714"/>
          </w:tcPr>
          <w:p>
            <w:pPr>
              <w:pStyle w:val="Compact"/>
            </w:pPr>
            <w:r>
              <w:rPr>
                <w:sz w:val="16"/>
              </w:rPr>
              <w:t xml:space="preserve">C=1.0</w:t>
            </w:r>
          </w:p>
        </w:tc>
        <w:tc>
          <w:tcPr>
            <w:tcW w:type="pct" w:w="714"/>
          </w:tcPr>
          <w:p>
            <w:pPr>
              <w:pStyle w:val="Compact"/>
            </w:pPr>
            <w:r>
              <w:rPr>
                <w:sz w:val="16"/>
              </w:rPr>
              <w:t xml:space="preserve">0.4718</w:t>
            </w:r>
          </w:p>
        </w:tc>
        <w:tc>
          <w:tcPr>
            <w:tcW w:type="pct" w:w="714"/>
          </w:tcPr>
          <w:p>
            <w:pPr>
              <w:pStyle w:val="Compact"/>
            </w:pPr>
            <w:r>
              <w:rPr>
                <w:sz w:val="16"/>
              </w:rPr>
              <w:t xml:space="preserve">0.4855</w:t>
            </w:r>
          </w:p>
        </w:tc>
        <w:tc>
          <w:tcPr>
            <w:tcW w:type="pct" w:w="714"/>
          </w:tcPr>
          <w:p>
            <w:pPr>
              <w:pStyle w:val="Compact"/>
            </w:pPr>
            <w:r>
              <w:rPr>
                <w:sz w:val="16"/>
              </w:rPr>
              <w:t xml:space="preserve">0.4463</w:t>
            </w:r>
          </w:p>
        </w:tc>
        <w:tc>
          <w:tcPr>
            <w:tcW w:type="pct" w:w="714"/>
          </w:tcPr>
          <w:p>
            <w:pPr>
              <w:pStyle w:val="Compact"/>
            </w:pPr>
            <w:r>
              <w:rPr>
                <w:sz w:val="16"/>
              </w:rPr>
              <w:t xml:space="preserve">0.4909</w:t>
            </w:r>
          </w:p>
        </w:tc>
        <w:tc>
          <w:tcPr>
            <w:tcW w:type="pct" w:w="714"/>
          </w:tcPr>
          <w:p>
            <w:pPr>
              <w:pStyle w:val="Compact"/>
            </w:pPr>
            <w:r>
              <w:rPr>
                <w:sz w:val="16"/>
              </w:rPr>
              <w:t xml:space="preserve">1.011</w:t>
            </w:r>
          </w:p>
        </w:tc>
      </w:tr>
    </w:tbl>
    <w:p>
      <w:pPr>
        <w:pStyle w:val="BodyText"/>
      </w:pPr>
      <w:r>
        <w:rPr>
          <w:b/>
          <w:bCs/>
        </w:rPr>
        <w:t xml:space="preserve">Best by CV RMSE:</w:t>
      </w:r>
      <w:r>
        <w:t xml:space="preserve"> </w:t>
      </w:r>
      <w:r>
        <w:t xml:space="preserve">HistGBM (CV RMSE 0.4818, RMSEratio 1.840).</w:t>
      </w:r>
    </w:p>
    <w:p>
      <w:pPr>
        <w:pStyle w:val="BodyText"/>
      </w:pPr>
      <w:r>
        <w:rPr>
          <w:b/>
          <w:bCs/>
        </w:rPr>
        <w:t xml:space="preserve">Blind final-year test of the best model</w:t>
      </w:r>
      <w:r>
        <w:t xml:space="preserve"> </w:t>
      </w:r>
      <w:r>
        <w:t xml:space="preserve">(scored once): AUC 0.509, precision(buy|p&gt;=0.60) 0.249 vs base rate 0.254, net P&amp;L/trade -0.454% on 3,012 trades.</w:t>
      </w:r>
    </w:p>
    <w:p>
      <w:pPr>
        <w:pStyle w:val="BodyText"/>
      </w:pPr>
      <w:r>
        <w:rPr>
          <w:b/>
          <w:bCs/>
        </w:rPr>
        <w:t xml:space="preserve">Classification view</w:t>
      </w:r>
      <w:r>
        <w:t xml:space="preserve"> </w:t>
      </w:r>
      <w:r>
        <w:t xml:space="preserve">(blind test, 0.5 threshold) – diagnostics for whether the minority (barrier-hit) class is learned; the after-fee Metric 2 above remains the GO/NO-GO. Cohen’s Kappa 0.006; OOB nan (RandomForest only).</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class</w:t>
            </w:r>
          </w:p>
        </w:tc>
        <w:tc>
          <w:tcPr>
            <w:tcW w:type="pct" w:w="1250"/>
          </w:tcPr>
          <w:p>
            <w:pPr>
              <w:pStyle w:val="Compact"/>
            </w:pPr>
            <w:r>
              <w:rPr>
                <w:b/>
              </w:rPr>
              <w:t xml:space="preserve">precision</w:t>
            </w:r>
          </w:p>
        </w:tc>
        <w:tc>
          <w:tcPr>
            <w:tcW w:type="pct" w:w="1250"/>
          </w:tcPr>
          <w:p>
            <w:pPr>
              <w:pStyle w:val="Compact"/>
            </w:pPr>
            <w:r>
              <w:rPr>
                <w:b/>
              </w:rPr>
              <w:t xml:space="preserve">recall</w:t>
            </w:r>
          </w:p>
        </w:tc>
        <w:tc>
          <w:tcPr>
            <w:tcW w:type="pct" w:w="1250"/>
          </w:tcPr>
          <w:p>
            <w:pPr>
              <w:pStyle w:val="Compact"/>
            </w:pPr>
            <w:r>
              <w:rPr>
                <w:b/>
              </w:rPr>
              <w:t xml:space="preserve">F1</w:t>
            </w:r>
          </w:p>
        </w:tc>
      </w:tr>
      <w:tr>
        <w:trPr>
          <w:trHeight w:hRule="atLeast" w:val="397"/>
        </w:trPr>
        <w:tc>
          <w:tcPr>
            <w:tcW w:type="pct" w:w="1250"/>
          </w:tcPr>
          <w:p>
            <w:pPr>
              <w:pStyle w:val="Compact"/>
            </w:pPr>
            <w:r>
              <w:t xml:space="preserve">0 (no-hit)</w:t>
            </w:r>
          </w:p>
        </w:tc>
        <w:tc>
          <w:tcPr>
            <w:tcW w:type="pct" w:w="1250"/>
          </w:tcPr>
          <w:p>
            <w:pPr>
              <w:pStyle w:val="Compact"/>
            </w:pPr>
            <w:r>
              <w:t xml:space="preserve">0.748</w:t>
            </w:r>
          </w:p>
        </w:tc>
        <w:tc>
          <w:tcPr>
            <w:tcW w:type="pct" w:w="1250"/>
          </w:tcPr>
          <w:p>
            <w:pPr>
              <w:pStyle w:val="Compact"/>
            </w:pPr>
            <w:r>
              <w:t xml:space="preserve">0.706</w:t>
            </w:r>
          </w:p>
        </w:tc>
        <w:tc>
          <w:tcPr>
            <w:tcW w:type="pct" w:w="1250"/>
          </w:tcPr>
          <w:p>
            <w:pPr>
              <w:pStyle w:val="Compact"/>
            </w:pPr>
            <w:r>
              <w:t xml:space="preserve">0.726</w:t>
            </w:r>
          </w:p>
        </w:tc>
      </w:tr>
      <w:tr>
        <w:trPr>
          <w:trHeight w:hRule="atLeast" w:val="397"/>
        </w:trPr>
        <w:tc>
          <w:tcPr>
            <w:tcW w:type="pct" w:w="1250"/>
          </w:tcPr>
          <w:p>
            <w:pPr>
              <w:pStyle w:val="Compact"/>
            </w:pPr>
            <w:r>
              <w:t xml:space="preserve">1 (barrier-hit)</w:t>
            </w:r>
          </w:p>
        </w:tc>
        <w:tc>
          <w:tcPr>
            <w:tcW w:type="pct" w:w="1250"/>
          </w:tcPr>
          <w:p>
            <w:pPr>
              <w:pStyle w:val="Compact"/>
            </w:pPr>
            <w:r>
              <w:t xml:space="preserve">0.258</w:t>
            </w:r>
          </w:p>
        </w:tc>
        <w:tc>
          <w:tcPr>
            <w:tcW w:type="pct" w:w="1250"/>
          </w:tcPr>
          <w:p>
            <w:pPr>
              <w:pStyle w:val="Compact"/>
            </w:pPr>
            <w:r>
              <w:t xml:space="preserve">0.301</w:t>
            </w:r>
          </w:p>
        </w:tc>
        <w:tc>
          <w:tcPr>
            <w:tcW w:type="pct" w:w="1250"/>
          </w:tcPr>
          <w:p>
            <w:pPr>
              <w:pStyle w:val="Compact"/>
            </w:pPr>
            <w:r>
              <w:t xml:space="preserve">0.278</w:t>
            </w:r>
          </w:p>
        </w:tc>
      </w:tr>
    </w:tbl>
    <w:p>
      <w:pPr>
        <w:pStyle w:val="BodyText"/>
      </w:pPr>
      <w:r>
        <w:t xml:space="preserve">Confusion matrix [true x pred]: TN 9,942, FP 4,142, FN 3,348, TP 1,440.</w:t>
      </w:r>
    </w:p>
    <w:bookmarkEnd w:id="152"/>
    <w:bookmarkEnd w:id="153"/>
    <w:bookmarkStart w:id="172" w:name="probability-calibration"/>
    <w:p>
      <w:pPr>
        <w:pStyle w:val="Heading3"/>
      </w:pPr>
      <w:r>
        <w:t xml:space="preserve">3.10 Probability Calibration</w:t>
      </w:r>
    </w:p>
    <w:p>
      <w:pPr>
        <w:pStyle w:val="FirstParagraph"/>
      </w:pPr>
      <w:r>
        <w:t xml:space="preserve">Every model in this document emits a probability and is scored on the Brier score, the mean squared distance between that probability and the outcome. Until 8 September 2026 nothing checked whether the probability meant what it said, that is, whether the bars called 30 per cent went on to hit the barrier 30 per cent of the time. A model can rank well and still be badly calibrated, and a miscalibrated probability cannot be used for sizing, because the Kelly fraction takes the probability as an input.</w:t>
      </w:r>
    </w:p>
    <w:p>
      <w:pPr>
        <w:pStyle w:val="BodyText"/>
      </w:pPr>
      <w:r>
        <w:t xml:space="preserve">Three statistics are reported. Expected calibration error is the mean absolute gap between predicted and observed frequency, weighted by bin population. Maximum calibration error is the widest gap in any single bin, which matters because a confidence threshold trades inside one bin rather than across the average. Murphy’s decomposition splits the Brier score into reliability, the calibration penalty, minus resolution, which rewards departure from the base rate, plus uncertainty, which is the base rate’s own variance and belongs to the data rather than the model.</w:t>
      </w:r>
    </w:p>
    <w:p>
      <w:pPr>
        <w:pStyle w:val="BodyText"/>
      </w:pPr>
      <w:r>
        <w:t xml:space="preserve">Two post-hoc mappings are fitted on a held-out fifth of the training window and never on the blind year. Platt scaling is a one-parameter logistic fit on the log-odds of the raw probability. Isotonic regression is non-parametric and monotone. Both are monotone, so neither changes AUC or the order in which trades are ranked; they change the number a threshold and a sizing rule read.</w:t>
      </w:r>
    </w:p>
    <w:p>
      <w:pPr>
        <w:pStyle w:val="SourceCode"/>
      </w:pPr>
      <w:r>
        <w:rPr>
          <w:rStyle w:val="ExtensionTok"/>
        </w:rPr>
        <w:t xml:space="preserve">.venv/bin/python</w:t>
      </w:r>
      <w:r>
        <w:rPr>
          <w:rStyle w:val="NormalTok"/>
        </w:rPr>
        <w:t xml:space="preserve"> 03-inputs/calibration.py </w:t>
      </w:r>
      <w:r>
        <w:rPr>
          <w:rStyle w:val="AttributeTok"/>
        </w:rPr>
        <w:t xml:space="preserve">--interval</w:t>
      </w:r>
      <w:r>
        <w:rPr>
          <w:rStyle w:val="NormalTok"/>
        </w:rPr>
        <w:t xml:space="preserve"> 4h </w:t>
      </w:r>
      <w:r>
        <w:rPr>
          <w:rStyle w:val="AttributeTok"/>
        </w:rPr>
        <w:t xml:space="preserve">--rows</w:t>
      </w:r>
      <w:r>
        <w:rPr>
          <w:rStyle w:val="NormalTok"/>
        </w:rPr>
        <w:t xml:space="preserve"> 120000</w:t>
      </w:r>
      <w:r>
        <w:br/>
      </w:r>
      <w:r>
        <w:rPr>
          <w:rStyle w:val="ExtensionTok"/>
        </w:rPr>
        <w:t xml:space="preserve">.venv/bin/python</w:t>
      </w:r>
      <w:r>
        <w:rPr>
          <w:rStyle w:val="NormalTok"/>
        </w:rPr>
        <w:t xml:space="preserve"> 03-inputs/calibration.py </w:t>
      </w:r>
      <w:r>
        <w:rPr>
          <w:rStyle w:val="AttributeTok"/>
        </w:rPr>
        <w:t xml:space="preserve">--interval</w:t>
      </w:r>
      <w:r>
        <w:rPr>
          <w:rStyle w:val="NormalTok"/>
        </w:rPr>
        <w:t xml:space="preserve"> 4h </w:t>
      </w:r>
      <w:r>
        <w:rPr>
          <w:rStyle w:val="AttributeTok"/>
        </w:rPr>
        <w:t xml:space="preserve">--rows</w:t>
      </w:r>
      <w:r>
        <w:rPr>
          <w:rStyle w:val="NormalTok"/>
        </w:rPr>
        <w:t xml:space="preserve"> 120000 </w:t>
      </w:r>
      <w:r>
        <w:rPr>
          <w:rStyle w:val="AttributeTok"/>
        </w:rPr>
        <w:t xml:space="preserve">--unbalanced</w:t>
      </w:r>
    </w:p>
    <w:bookmarkStart w:id="159" w:name="X7ee86d93278a517a80ff483d733882f94cfb2c2"/>
    <w:p>
      <w:pPr>
        <w:pStyle w:val="Heading4"/>
      </w:pPr>
      <w:r>
        <w:t xml:space="preserve">Probability calibration, 4h frame (08 September 2026)</w:t>
      </w:r>
    </w:p>
    <w:p>
      <w:pPr>
        <w:pStyle w:val="FirstParagraph"/>
      </w:pPr>
      <w:r>
        <w:t xml:space="preserve">Fitted on 48,000 training observations to 2025-06-21, calibrated on a held-out 12,000-row slice of the same training window, and scored once on the 18,872-row blind year. Base rate 0.254. The estimator carries</w:t>
      </w:r>
      <w:r>
        <w:t xml:space="preserve"> </w:t>
      </w:r>
      <w:r>
        <w:rPr>
          <w:rStyle w:val="VerbatimChar"/>
        </w:rPr>
        <w:t xml:space="preserve">class_weight=balanced</w:t>
      </w:r>
      <w:r>
        <w:t xml:space="preserve">.</w:t>
      </w:r>
    </w:p>
    <w:p>
      <w:pPr>
        <w:pStyle w:val="BodyText"/>
      </w:pPr>
      <w:r>
        <w:t xml:space="preserve">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bookmarkStart w:id="154" w:name="summary"/>
    <w:p>
      <w:pPr>
        <w:pStyle w:val="Heading5"/>
      </w:pPr>
      <w:r>
        <w:t xml:space="preserve">Summary</w:t>
      </w:r>
    </w:p>
    <w:tbl>
      <w:tblPr>
        <w:tblStyle w:val="Table"/>
        <w:jc w:val="center"/>
        <w:tblLayout w:type="fixed"/>
        <w:tblLook w:firstRow="1" w:lastRow="0" w:firstColumn="0" w:lastColumn="0" w:noHBand="0" w:noVBand="0" w:val="0020"/>
        <w:tblW w:type="pct" w:w="5000"/>
        <w:tblCellMar>
          <w:left w:w="43" w:type="dxa"/>
          <w:right w:w="43" w:type="dxa"/>
        </w:tblCellMar>
      </w:tblPr>
      <w:tblGrid>
        <w:gridCol w:w="1131"/>
        <w:gridCol w:w="1131"/>
        <w:gridCol w:w="1131"/>
        <w:gridCol w:w="1131"/>
        <w:gridCol w:w="1131"/>
        <w:gridCol w:w="1131"/>
        <w:gridCol w:w="1131"/>
      </w:tblGrid>
      <w:tr>
        <w:trPr>
          <w:trHeight w:hRule="atLeast" w:val="567"/>
          <w:tblHeader w:val="on"/>
        </w:trPr>
        <w:tc>
          <w:tcPr>
            <w:tcW w:type="pct" w:w="714"/>
          </w:tcPr>
          <w:p>
            <w:pPr>
              <w:pStyle w:val="Compact"/>
            </w:pPr>
            <w:r>
              <w:rPr>
                <w:b/>
                <w:sz w:val="16"/>
              </w:rPr>
              <w:t xml:space="preserve">mapping</w:t>
            </w:r>
          </w:p>
        </w:tc>
        <w:tc>
          <w:tcPr>
            <w:tcW w:type="pct" w:w="714"/>
          </w:tcPr>
          <w:p>
            <w:pPr>
              <w:pStyle w:val="Compact"/>
              <w:jc w:val="right"/>
            </w:pPr>
            <w:r>
              <w:rPr>
                <w:b/>
                <w:sz w:val="16"/>
              </w:rPr>
              <w:t xml:space="preserve">ECE</w:t>
            </w:r>
          </w:p>
        </w:tc>
        <w:tc>
          <w:tcPr>
            <w:tcW w:type="pct" w:w="714"/>
          </w:tcPr>
          <w:p>
            <w:pPr>
              <w:pStyle w:val="Compact"/>
              <w:jc w:val="right"/>
            </w:pPr>
            <w:r>
              <w:rPr>
                <w:b/>
                <w:sz w:val="16"/>
              </w:rPr>
              <w:t xml:space="preserve">MCE</w:t>
            </w:r>
          </w:p>
        </w:tc>
        <w:tc>
          <w:tcPr>
            <w:tcW w:type="pct" w:w="714"/>
          </w:tcPr>
          <w:p>
            <w:pPr>
              <w:pStyle w:val="Compact"/>
              <w:jc w:val="right"/>
            </w:pPr>
            <w:r>
              <w:rPr>
                <w:b/>
                <w:sz w:val="16"/>
              </w:rPr>
              <w:t xml:space="preserve">Brier</w:t>
            </w:r>
          </w:p>
        </w:tc>
        <w:tc>
          <w:tcPr>
            <w:tcW w:type="pct" w:w="714"/>
          </w:tcPr>
          <w:p>
            <w:pPr>
              <w:pStyle w:val="Compact"/>
              <w:jc w:val="right"/>
            </w:pPr>
            <w:r>
              <w:rPr>
                <w:b/>
                <w:sz w:val="16"/>
              </w:rPr>
              <w:t xml:space="preserve">reliability</w:t>
            </w:r>
          </w:p>
        </w:tc>
        <w:tc>
          <w:tcPr>
            <w:tcW w:type="pct" w:w="714"/>
          </w:tcPr>
          <w:p>
            <w:pPr>
              <w:pStyle w:val="Compact"/>
              <w:jc w:val="right"/>
            </w:pPr>
            <w:r>
              <w:rPr>
                <w:b/>
                <w:sz w:val="16"/>
              </w:rPr>
              <w:t xml:space="preserve">resolution</w:t>
            </w:r>
          </w:p>
        </w:tc>
        <w:tc>
          <w:tcPr>
            <w:tcW w:type="pct" w:w="714"/>
          </w:tcPr>
          <w:p>
            <w:pPr>
              <w:pStyle w:val="Compact"/>
              <w:jc w:val="right"/>
            </w:pPr>
            <w:r>
              <w:rPr>
                <w:b/>
                <w:sz w:val="16"/>
              </w:rPr>
              <w:t xml:space="preserve">uncertainty</w:t>
            </w:r>
          </w:p>
        </w:tc>
      </w:tr>
      <w:tr>
        <w:trPr>
          <w:trHeight w:hRule="atLeast" w:val="397"/>
        </w:trPr>
        <w:tc>
          <w:tcPr>
            <w:tcW w:type="pct" w:w="714"/>
          </w:tcPr>
          <w:p>
            <w:pPr>
              <w:pStyle w:val="Compact"/>
            </w:pPr>
            <w:r>
              <w:rPr>
                <w:sz w:val="16"/>
              </w:rPr>
              <w:t xml:space="preserve">raw</w:t>
            </w:r>
          </w:p>
        </w:tc>
        <w:tc>
          <w:tcPr>
            <w:tcW w:type="pct" w:w="714"/>
          </w:tcPr>
          <w:p>
            <w:pPr>
              <w:pStyle w:val="Compact"/>
              <w:jc w:val="right"/>
            </w:pPr>
            <w:r>
              <w:rPr>
                <w:sz w:val="16"/>
              </w:rPr>
              <w:t xml:space="preserve">0.2344</w:t>
            </w:r>
          </w:p>
        </w:tc>
        <w:tc>
          <w:tcPr>
            <w:tcW w:type="pct" w:w="714"/>
          </w:tcPr>
          <w:p>
            <w:pPr>
              <w:pStyle w:val="Compact"/>
              <w:jc w:val="right"/>
            </w:pPr>
            <w:r>
              <w:rPr>
                <w:sz w:val="16"/>
              </w:rPr>
              <w:t xml:space="preserve">0.7005</w:t>
            </w:r>
          </w:p>
        </w:tc>
        <w:tc>
          <w:tcPr>
            <w:tcW w:type="pct" w:w="714"/>
          </w:tcPr>
          <w:p>
            <w:pPr>
              <w:pStyle w:val="Compact"/>
              <w:jc w:val="right"/>
            </w:pPr>
            <w:r>
              <w:rPr>
                <w:sz w:val="16"/>
              </w:rPr>
              <w:t xml:space="preserve">0.2586</w:t>
            </w:r>
          </w:p>
        </w:tc>
        <w:tc>
          <w:tcPr>
            <w:tcW w:type="pct" w:w="714"/>
          </w:tcPr>
          <w:p>
            <w:pPr>
              <w:pStyle w:val="Compact"/>
              <w:jc w:val="right"/>
            </w:pPr>
            <w:r>
              <w:rPr>
                <w:sz w:val="16"/>
              </w:rPr>
              <w:t xml:space="preserve">0.06997</w:t>
            </w:r>
          </w:p>
        </w:tc>
        <w:tc>
          <w:tcPr>
            <w:tcW w:type="pct" w:w="714"/>
          </w:tcPr>
          <w:p>
            <w:pPr>
              <w:pStyle w:val="Compact"/>
              <w:jc w:val="right"/>
            </w:pPr>
            <w:r>
              <w:rPr>
                <w:sz w:val="16"/>
              </w:rPr>
              <w:t xml:space="preserve">0.00092</w:t>
            </w:r>
          </w:p>
        </w:tc>
        <w:tc>
          <w:tcPr>
            <w:tcW w:type="pct" w:w="714"/>
          </w:tcPr>
          <w:p>
            <w:pPr>
              <w:pStyle w:val="Compact"/>
              <w:jc w:val="right"/>
            </w:pPr>
            <w:r>
              <w:rPr>
                <w:sz w:val="16"/>
              </w:rPr>
              <w:t xml:space="preserve">0.1893</w:t>
            </w:r>
          </w:p>
        </w:tc>
      </w:tr>
      <w:tr>
        <w:trPr>
          <w:trHeight w:hRule="atLeast" w:val="397"/>
        </w:trPr>
        <w:tc>
          <w:tcPr>
            <w:tcW w:type="pct" w:w="714"/>
          </w:tcPr>
          <w:p>
            <w:pPr>
              <w:pStyle w:val="Compact"/>
            </w:pPr>
            <w:r>
              <w:rPr>
                <w:sz w:val="16"/>
              </w:rPr>
              <w:t xml:space="preserve">Platt</w:t>
            </w:r>
          </w:p>
        </w:tc>
        <w:tc>
          <w:tcPr>
            <w:tcW w:type="pct" w:w="714"/>
          </w:tcPr>
          <w:p>
            <w:pPr>
              <w:pStyle w:val="Compact"/>
              <w:jc w:val="right"/>
            </w:pPr>
            <w:r>
              <w:rPr>
                <w:sz w:val="16"/>
              </w:rPr>
              <w:t xml:space="preserve">0.0295</w:t>
            </w:r>
          </w:p>
        </w:tc>
        <w:tc>
          <w:tcPr>
            <w:tcW w:type="pct" w:w="714"/>
          </w:tcPr>
          <w:p>
            <w:pPr>
              <w:pStyle w:val="Compact"/>
              <w:jc w:val="right"/>
            </w:pPr>
            <w:r>
              <w:rPr>
                <w:sz w:val="16"/>
              </w:rPr>
              <w:t xml:space="preserve">0.2818</w:t>
            </w:r>
          </w:p>
        </w:tc>
        <w:tc>
          <w:tcPr>
            <w:tcW w:type="pct" w:w="714"/>
          </w:tcPr>
          <w:p>
            <w:pPr>
              <w:pStyle w:val="Compact"/>
              <w:jc w:val="right"/>
            </w:pPr>
            <w:r>
              <w:rPr>
                <w:sz w:val="16"/>
              </w:rPr>
              <w:t xml:space="preserve">0.1913</w:t>
            </w:r>
          </w:p>
        </w:tc>
        <w:tc>
          <w:tcPr>
            <w:tcW w:type="pct" w:w="714"/>
          </w:tcPr>
          <w:p>
            <w:pPr>
              <w:pStyle w:val="Compact"/>
              <w:jc w:val="right"/>
            </w:pPr>
            <w:r>
              <w:rPr>
                <w:sz w:val="16"/>
              </w:rPr>
              <w:t xml:space="preserve">0.00257</w:t>
            </w:r>
          </w:p>
        </w:tc>
        <w:tc>
          <w:tcPr>
            <w:tcW w:type="pct" w:w="714"/>
          </w:tcPr>
          <w:p>
            <w:pPr>
              <w:pStyle w:val="Compact"/>
              <w:jc w:val="right"/>
            </w:pPr>
            <w:r>
              <w:rPr>
                <w:sz w:val="16"/>
              </w:rPr>
              <w:t xml:space="preserve">0.00046</w:t>
            </w:r>
          </w:p>
        </w:tc>
        <w:tc>
          <w:tcPr>
            <w:tcW w:type="pct" w:w="714"/>
          </w:tcPr>
          <w:p>
            <w:pPr>
              <w:pStyle w:val="Compact"/>
              <w:jc w:val="right"/>
            </w:pPr>
            <w:r>
              <w:rPr>
                <w:sz w:val="16"/>
              </w:rPr>
              <w:t xml:space="preserve">0.1893</w:t>
            </w:r>
          </w:p>
        </w:tc>
      </w:tr>
      <w:tr>
        <w:trPr>
          <w:trHeight w:hRule="atLeast" w:val="397"/>
        </w:trPr>
        <w:tc>
          <w:tcPr>
            <w:tcW w:type="pct" w:w="714"/>
          </w:tcPr>
          <w:p>
            <w:pPr>
              <w:pStyle w:val="Compact"/>
            </w:pPr>
            <w:r>
              <w:rPr>
                <w:sz w:val="16"/>
              </w:rPr>
              <w:t xml:space="preserve">isotonic</w:t>
            </w:r>
          </w:p>
        </w:tc>
        <w:tc>
          <w:tcPr>
            <w:tcW w:type="pct" w:w="714"/>
          </w:tcPr>
          <w:p>
            <w:pPr>
              <w:pStyle w:val="Compact"/>
              <w:jc w:val="right"/>
            </w:pPr>
            <w:r>
              <w:rPr>
                <w:sz w:val="16"/>
              </w:rPr>
              <w:t xml:space="preserve">0.0314</w:t>
            </w:r>
          </w:p>
        </w:tc>
        <w:tc>
          <w:tcPr>
            <w:tcW w:type="pct" w:w="714"/>
          </w:tcPr>
          <w:p>
            <w:pPr>
              <w:pStyle w:val="Compact"/>
              <w:jc w:val="right"/>
            </w:pPr>
            <w:r>
              <w:rPr>
                <w:sz w:val="16"/>
              </w:rPr>
              <w:t xml:space="preserve">0.6461</w:t>
            </w:r>
          </w:p>
        </w:tc>
        <w:tc>
          <w:tcPr>
            <w:tcW w:type="pct" w:w="714"/>
          </w:tcPr>
          <w:p>
            <w:pPr>
              <w:pStyle w:val="Compact"/>
              <w:jc w:val="right"/>
            </w:pPr>
            <w:r>
              <w:rPr>
                <w:sz w:val="16"/>
              </w:rPr>
              <w:t xml:space="preserve">0.1925</w:t>
            </w:r>
          </w:p>
        </w:tc>
        <w:tc>
          <w:tcPr>
            <w:tcW w:type="pct" w:w="714"/>
          </w:tcPr>
          <w:p>
            <w:pPr>
              <w:pStyle w:val="Compact"/>
              <w:jc w:val="right"/>
            </w:pPr>
            <w:r>
              <w:rPr>
                <w:sz w:val="16"/>
              </w:rPr>
              <w:t xml:space="preserve">0.00373</w:t>
            </w:r>
          </w:p>
        </w:tc>
        <w:tc>
          <w:tcPr>
            <w:tcW w:type="pct" w:w="714"/>
          </w:tcPr>
          <w:p>
            <w:pPr>
              <w:pStyle w:val="Compact"/>
              <w:jc w:val="right"/>
            </w:pPr>
            <w:r>
              <w:rPr>
                <w:sz w:val="16"/>
              </w:rPr>
              <w:t xml:space="preserve">0.00048</w:t>
            </w:r>
          </w:p>
        </w:tc>
        <w:tc>
          <w:tcPr>
            <w:tcW w:type="pct" w:w="714"/>
          </w:tcPr>
          <w:p>
            <w:pPr>
              <w:pStyle w:val="Compact"/>
              <w:jc w:val="right"/>
            </w:pPr>
            <w:r>
              <w:rPr>
                <w:sz w:val="16"/>
              </w:rPr>
              <w:t xml:space="preserve">0.1893</w:t>
            </w:r>
          </w:p>
        </w:tc>
      </w:tr>
    </w:tbl>
    <w:p>
      <w:pPr>
        <w:pStyle w:val="BodyText"/>
      </w:pPr>
      <w:r>
        <w:t xml:space="preserve">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bookmarkEnd w:id="154"/>
    <w:bookmarkStart w:id="155" w:name="reliability-raw"/>
    <w:p>
      <w:pPr>
        <w:pStyle w:val="Heading5"/>
      </w:pPr>
      <w:r>
        <w:t xml:space="preserve">Reliability, raw</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0.0-0.1</w:t>
            </w:r>
          </w:p>
        </w:tc>
        <w:tc>
          <w:tcPr>
            <w:tcW w:type="pct" w:w="1000"/>
          </w:tcPr>
          <w:p>
            <w:pPr>
              <w:pStyle w:val="Compact"/>
              <w:jc w:val="right"/>
            </w:pPr>
            <w:r>
              <w:t xml:space="preserve">14</w:t>
            </w:r>
          </w:p>
        </w:tc>
        <w:tc>
          <w:tcPr>
            <w:tcW w:type="pct" w:w="1000"/>
          </w:tcPr>
          <w:p>
            <w:pPr>
              <w:pStyle w:val="Compact"/>
              <w:jc w:val="right"/>
            </w:pPr>
            <w:r>
              <w:t xml:space="preserve">0.080</w:t>
            </w:r>
          </w:p>
        </w:tc>
        <w:tc>
          <w:tcPr>
            <w:tcW w:type="pct" w:w="1000"/>
          </w:tcPr>
          <w:p>
            <w:pPr>
              <w:pStyle w:val="Compact"/>
              <w:jc w:val="right"/>
            </w:pPr>
            <w:r>
              <w:t xml:space="preserve">0.214</w:t>
            </w:r>
          </w:p>
        </w:tc>
        <w:tc>
          <w:tcPr>
            <w:tcW w:type="pct" w:w="1000"/>
          </w:tcPr>
          <w:p>
            <w:pPr>
              <w:pStyle w:val="Compact"/>
              <w:jc w:val="right"/>
            </w:pPr>
            <w:r>
              <w:t xml:space="preserve">+0.134</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229</w:t>
            </w:r>
          </w:p>
        </w:tc>
        <w:tc>
          <w:tcPr>
            <w:tcW w:type="pct" w:w="1000"/>
          </w:tcPr>
          <w:p>
            <w:pPr>
              <w:pStyle w:val="Compact"/>
              <w:jc w:val="right"/>
            </w:pPr>
            <w:r>
              <w:t xml:space="preserve">0.169</w:t>
            </w:r>
          </w:p>
        </w:tc>
        <w:tc>
          <w:tcPr>
            <w:tcW w:type="pct" w:w="1000"/>
          </w:tcPr>
          <w:p>
            <w:pPr>
              <w:pStyle w:val="Compact"/>
              <w:jc w:val="right"/>
            </w:pPr>
            <w:r>
              <w:t xml:space="preserve">0.148</w:t>
            </w:r>
          </w:p>
        </w:tc>
        <w:tc>
          <w:tcPr>
            <w:tcW w:type="pct" w:w="1000"/>
          </w:tcPr>
          <w:p>
            <w:pPr>
              <w:pStyle w:val="Compact"/>
              <w:jc w:val="right"/>
            </w:pPr>
            <w:r>
              <w:t xml:space="preserve">-0.020</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1,299</w:t>
            </w:r>
          </w:p>
        </w:tc>
        <w:tc>
          <w:tcPr>
            <w:tcW w:type="pct" w:w="1000"/>
          </w:tcPr>
          <w:p>
            <w:pPr>
              <w:pStyle w:val="Compact"/>
              <w:jc w:val="right"/>
            </w:pPr>
            <w:r>
              <w:t xml:space="preserve">0.261</w:t>
            </w:r>
          </w:p>
        </w:tc>
        <w:tc>
          <w:tcPr>
            <w:tcW w:type="pct" w:w="1000"/>
          </w:tcPr>
          <w:p>
            <w:pPr>
              <w:pStyle w:val="Compact"/>
              <w:jc w:val="right"/>
            </w:pPr>
            <w:r>
              <w:t xml:space="preserve">0.181</w:t>
            </w:r>
          </w:p>
        </w:tc>
        <w:tc>
          <w:tcPr>
            <w:tcW w:type="pct" w:w="1000"/>
          </w:tcPr>
          <w:p>
            <w:pPr>
              <w:pStyle w:val="Compact"/>
              <w:jc w:val="right"/>
            </w:pPr>
            <w:r>
              <w:t xml:space="preserve">-0.080</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3,349</w:t>
            </w:r>
          </w:p>
        </w:tc>
        <w:tc>
          <w:tcPr>
            <w:tcW w:type="pct" w:w="1000"/>
          </w:tcPr>
          <w:p>
            <w:pPr>
              <w:pStyle w:val="Compact"/>
              <w:jc w:val="right"/>
            </w:pPr>
            <w:r>
              <w:t xml:space="preserve">0.356</w:t>
            </w:r>
          </w:p>
        </w:tc>
        <w:tc>
          <w:tcPr>
            <w:tcW w:type="pct" w:w="1000"/>
          </w:tcPr>
          <w:p>
            <w:pPr>
              <w:pStyle w:val="Compact"/>
              <w:jc w:val="right"/>
            </w:pPr>
            <w:r>
              <w:t xml:space="preserve">0.227</w:t>
            </w:r>
          </w:p>
        </w:tc>
        <w:tc>
          <w:tcPr>
            <w:tcW w:type="pct" w:w="1000"/>
          </w:tcPr>
          <w:p>
            <w:pPr>
              <w:pStyle w:val="Compact"/>
              <w:jc w:val="right"/>
            </w:pPr>
            <w:r>
              <w:t xml:space="preserve">-0.129</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5,629</w:t>
            </w:r>
          </w:p>
        </w:tc>
        <w:tc>
          <w:tcPr>
            <w:tcW w:type="pct" w:w="1000"/>
          </w:tcPr>
          <w:p>
            <w:pPr>
              <w:pStyle w:val="Compact"/>
              <w:jc w:val="right"/>
            </w:pPr>
            <w:r>
              <w:t xml:space="preserve">0.452</w:t>
            </w:r>
          </w:p>
        </w:tc>
        <w:tc>
          <w:tcPr>
            <w:tcW w:type="pct" w:w="1000"/>
          </w:tcPr>
          <w:p>
            <w:pPr>
              <w:pStyle w:val="Compact"/>
              <w:jc w:val="right"/>
            </w:pPr>
            <w:r>
              <w:t xml:space="preserve">0.261</w:t>
            </w:r>
          </w:p>
        </w:tc>
        <w:tc>
          <w:tcPr>
            <w:tcW w:type="pct" w:w="1000"/>
          </w:tcPr>
          <w:p>
            <w:pPr>
              <w:pStyle w:val="Compact"/>
              <w:jc w:val="right"/>
            </w:pPr>
            <w:r>
              <w:t xml:space="preserve">-0.191</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5,092</w:t>
            </w:r>
          </w:p>
        </w:tc>
        <w:tc>
          <w:tcPr>
            <w:tcW w:type="pct" w:w="1000"/>
          </w:tcPr>
          <w:p>
            <w:pPr>
              <w:pStyle w:val="Compact"/>
              <w:jc w:val="right"/>
            </w:pPr>
            <w:r>
              <w:t xml:space="preserve">0.546</w:t>
            </w:r>
          </w:p>
        </w:tc>
        <w:tc>
          <w:tcPr>
            <w:tcW w:type="pct" w:w="1000"/>
          </w:tcPr>
          <w:p>
            <w:pPr>
              <w:pStyle w:val="Compact"/>
              <w:jc w:val="right"/>
            </w:pPr>
            <w:r>
              <w:t xml:space="preserve">0.283</w:t>
            </w:r>
          </w:p>
        </w:tc>
        <w:tc>
          <w:tcPr>
            <w:tcW w:type="pct" w:w="1000"/>
          </w:tcPr>
          <w:p>
            <w:pPr>
              <w:pStyle w:val="Compact"/>
              <w:jc w:val="right"/>
            </w:pPr>
            <w:r>
              <w:t xml:space="preserve">-0.263</w:t>
            </w:r>
          </w:p>
        </w:tc>
      </w:tr>
      <w:tr>
        <w:trPr>
          <w:trHeight w:hRule="atLeast" w:val="397"/>
        </w:trPr>
        <w:tc>
          <w:tcPr>
            <w:tcW w:type="pct" w:w="1000"/>
          </w:tcPr>
          <w:p>
            <w:pPr>
              <w:pStyle w:val="Compact"/>
            </w:pPr>
            <w:r>
              <w:t xml:space="preserve">0.6-0.7</w:t>
            </w:r>
          </w:p>
        </w:tc>
        <w:tc>
          <w:tcPr>
            <w:tcW w:type="pct" w:w="1000"/>
          </w:tcPr>
          <w:p>
            <w:pPr>
              <w:pStyle w:val="Compact"/>
              <w:jc w:val="right"/>
            </w:pPr>
            <w:r>
              <w:t xml:space="preserve">1,953</w:t>
            </w:r>
          </w:p>
        </w:tc>
        <w:tc>
          <w:tcPr>
            <w:tcW w:type="pct" w:w="1000"/>
          </w:tcPr>
          <w:p>
            <w:pPr>
              <w:pStyle w:val="Compact"/>
              <w:jc w:val="right"/>
            </w:pPr>
            <w:r>
              <w:t xml:space="preserve">0.640</w:t>
            </w:r>
          </w:p>
        </w:tc>
        <w:tc>
          <w:tcPr>
            <w:tcW w:type="pct" w:w="1000"/>
          </w:tcPr>
          <w:p>
            <w:pPr>
              <w:pStyle w:val="Compact"/>
              <w:jc w:val="right"/>
            </w:pPr>
            <w:r>
              <w:t xml:space="preserve">0.267</w:t>
            </w:r>
          </w:p>
        </w:tc>
        <w:tc>
          <w:tcPr>
            <w:tcW w:type="pct" w:w="1000"/>
          </w:tcPr>
          <w:p>
            <w:pPr>
              <w:pStyle w:val="Compact"/>
              <w:jc w:val="right"/>
            </w:pPr>
            <w:r>
              <w:t xml:space="preserve">-0.373</w:t>
            </w:r>
          </w:p>
        </w:tc>
      </w:tr>
      <w:tr>
        <w:trPr>
          <w:trHeight w:hRule="atLeast" w:val="397"/>
        </w:trPr>
        <w:tc>
          <w:tcPr>
            <w:tcW w:type="pct" w:w="1000"/>
          </w:tcPr>
          <w:p>
            <w:pPr>
              <w:pStyle w:val="Compact"/>
            </w:pPr>
            <w:r>
              <w:t xml:space="preserve">0.7-0.8</w:t>
            </w:r>
          </w:p>
        </w:tc>
        <w:tc>
          <w:tcPr>
            <w:tcW w:type="pct" w:w="1000"/>
          </w:tcPr>
          <w:p>
            <w:pPr>
              <w:pStyle w:val="Compact"/>
              <w:jc w:val="right"/>
            </w:pPr>
            <w:r>
              <w:t xml:space="preserve">614</w:t>
            </w:r>
          </w:p>
        </w:tc>
        <w:tc>
          <w:tcPr>
            <w:tcW w:type="pct" w:w="1000"/>
          </w:tcPr>
          <w:p>
            <w:pPr>
              <w:pStyle w:val="Compact"/>
              <w:jc w:val="right"/>
            </w:pPr>
            <w:r>
              <w:t xml:space="preserve">0.746</w:t>
            </w:r>
          </w:p>
        </w:tc>
        <w:tc>
          <w:tcPr>
            <w:tcW w:type="pct" w:w="1000"/>
          </w:tcPr>
          <w:p>
            <w:pPr>
              <w:pStyle w:val="Compact"/>
              <w:jc w:val="right"/>
            </w:pPr>
            <w:r>
              <w:t xml:space="preserve">0.262</w:t>
            </w:r>
          </w:p>
        </w:tc>
        <w:tc>
          <w:tcPr>
            <w:tcW w:type="pct" w:w="1000"/>
          </w:tcPr>
          <w:p>
            <w:pPr>
              <w:pStyle w:val="Compact"/>
              <w:jc w:val="right"/>
            </w:pPr>
            <w:r>
              <w:t xml:space="preserve">-0.484</w:t>
            </w:r>
          </w:p>
        </w:tc>
      </w:tr>
      <w:tr>
        <w:trPr>
          <w:trHeight w:hRule="atLeast" w:val="397"/>
        </w:trPr>
        <w:tc>
          <w:tcPr>
            <w:tcW w:type="pct" w:w="1000"/>
          </w:tcPr>
          <w:p>
            <w:pPr>
              <w:pStyle w:val="Compact"/>
            </w:pPr>
            <w:r>
              <w:t xml:space="preserve">0.8-0.9</w:t>
            </w:r>
          </w:p>
        </w:tc>
        <w:tc>
          <w:tcPr>
            <w:tcW w:type="pct" w:w="1000"/>
          </w:tcPr>
          <w:p>
            <w:pPr>
              <w:pStyle w:val="Compact"/>
              <w:jc w:val="right"/>
            </w:pPr>
            <w:r>
              <w:t xml:space="preserve">458</w:t>
            </w:r>
          </w:p>
        </w:tc>
        <w:tc>
          <w:tcPr>
            <w:tcW w:type="pct" w:w="1000"/>
          </w:tcPr>
          <w:p>
            <w:pPr>
              <w:pStyle w:val="Compact"/>
              <w:jc w:val="right"/>
            </w:pPr>
            <w:r>
              <w:t xml:space="preserve">0.847</w:t>
            </w:r>
          </w:p>
        </w:tc>
        <w:tc>
          <w:tcPr>
            <w:tcW w:type="pct" w:w="1000"/>
          </w:tcPr>
          <w:p>
            <w:pPr>
              <w:pStyle w:val="Compact"/>
              <w:jc w:val="right"/>
            </w:pPr>
            <w:r>
              <w:t xml:space="preserve">0.240</w:t>
            </w:r>
          </w:p>
        </w:tc>
        <w:tc>
          <w:tcPr>
            <w:tcW w:type="pct" w:w="1000"/>
          </w:tcPr>
          <w:p>
            <w:pPr>
              <w:pStyle w:val="Compact"/>
              <w:jc w:val="right"/>
            </w:pPr>
            <w:r>
              <w:t xml:space="preserve">-0.607</w:t>
            </w:r>
          </w:p>
        </w:tc>
      </w:tr>
      <w:tr>
        <w:trPr>
          <w:trHeight w:hRule="atLeast" w:val="397"/>
        </w:trPr>
        <w:tc>
          <w:tcPr>
            <w:tcW w:type="pct" w:w="1000"/>
          </w:tcPr>
          <w:p>
            <w:pPr>
              <w:pStyle w:val="Compact"/>
            </w:pPr>
            <w:r>
              <w:t xml:space="preserve">0.9-1.0</w:t>
            </w:r>
          </w:p>
        </w:tc>
        <w:tc>
          <w:tcPr>
            <w:tcW w:type="pct" w:w="1000"/>
          </w:tcPr>
          <w:p>
            <w:pPr>
              <w:pStyle w:val="Compact"/>
              <w:jc w:val="right"/>
            </w:pPr>
            <w:r>
              <w:t xml:space="preserve">235</w:t>
            </w:r>
          </w:p>
        </w:tc>
        <w:tc>
          <w:tcPr>
            <w:tcW w:type="pct" w:w="1000"/>
          </w:tcPr>
          <w:p>
            <w:pPr>
              <w:pStyle w:val="Compact"/>
              <w:jc w:val="right"/>
            </w:pPr>
            <w:r>
              <w:t xml:space="preserve">0.926</w:t>
            </w:r>
          </w:p>
        </w:tc>
        <w:tc>
          <w:tcPr>
            <w:tcW w:type="pct" w:w="1000"/>
          </w:tcPr>
          <w:p>
            <w:pPr>
              <w:pStyle w:val="Compact"/>
              <w:jc w:val="right"/>
            </w:pPr>
            <w:r>
              <w:t xml:space="preserve">0.226</w:t>
            </w:r>
          </w:p>
        </w:tc>
        <w:tc>
          <w:tcPr>
            <w:tcW w:type="pct" w:w="1000"/>
          </w:tcPr>
          <w:p>
            <w:pPr>
              <w:pStyle w:val="Compact"/>
              <w:jc w:val="right"/>
            </w:pPr>
            <w:r>
              <w:t xml:space="preserve">-0.701</w:t>
            </w:r>
          </w:p>
        </w:tc>
      </w:tr>
    </w:tbl>
    <w:bookmarkEnd w:id="155"/>
    <w:bookmarkStart w:id="156" w:name="reliability-platt"/>
    <w:p>
      <w:pPr>
        <w:pStyle w:val="Heading5"/>
      </w:pPr>
      <w:r>
        <w:t xml:space="preserve">Reliability, Platt</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481</w:t>
            </w:r>
          </w:p>
        </w:tc>
        <w:tc>
          <w:tcPr>
            <w:tcW w:type="pct" w:w="1000"/>
          </w:tcPr>
          <w:p>
            <w:pPr>
              <w:pStyle w:val="Compact"/>
              <w:jc w:val="right"/>
            </w:pPr>
            <w:r>
              <w:t xml:space="preserve">0.184</w:t>
            </w:r>
          </w:p>
        </w:tc>
        <w:tc>
          <w:tcPr>
            <w:tcW w:type="pct" w:w="1000"/>
          </w:tcPr>
          <w:p>
            <w:pPr>
              <w:pStyle w:val="Compact"/>
              <w:jc w:val="right"/>
            </w:pPr>
            <w:r>
              <w:t xml:space="preserve">0.154</w:t>
            </w:r>
          </w:p>
        </w:tc>
        <w:tc>
          <w:tcPr>
            <w:tcW w:type="pct" w:w="1000"/>
          </w:tcPr>
          <w:p>
            <w:pPr>
              <w:pStyle w:val="Compact"/>
              <w:jc w:val="right"/>
            </w:pPr>
            <w:r>
              <w:t xml:space="preserve">-0.030</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12,968</w:t>
            </w:r>
          </w:p>
        </w:tc>
        <w:tc>
          <w:tcPr>
            <w:tcW w:type="pct" w:w="1000"/>
          </w:tcPr>
          <w:p>
            <w:pPr>
              <w:pStyle w:val="Compact"/>
              <w:jc w:val="right"/>
            </w:pPr>
            <w:r>
              <w:t xml:space="preserve">0.262</w:t>
            </w:r>
          </w:p>
        </w:tc>
        <w:tc>
          <w:tcPr>
            <w:tcW w:type="pct" w:w="1000"/>
          </w:tcPr>
          <w:p>
            <w:pPr>
              <w:pStyle w:val="Compact"/>
              <w:jc w:val="right"/>
            </w:pPr>
            <w:r>
              <w:t xml:space="preserve">0.249</w:t>
            </w:r>
          </w:p>
        </w:tc>
        <w:tc>
          <w:tcPr>
            <w:tcW w:type="pct" w:w="1000"/>
          </w:tcPr>
          <w:p>
            <w:pPr>
              <w:pStyle w:val="Compact"/>
              <w:jc w:val="right"/>
            </w:pPr>
            <w:r>
              <w:t xml:space="preserve">-0.013</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4,712</w:t>
            </w:r>
          </w:p>
        </w:tc>
        <w:tc>
          <w:tcPr>
            <w:tcW w:type="pct" w:w="1000"/>
          </w:tcPr>
          <w:p>
            <w:pPr>
              <w:pStyle w:val="Compact"/>
              <w:jc w:val="right"/>
            </w:pPr>
            <w:r>
              <w:t xml:space="preserve">0.326</w:t>
            </w:r>
          </w:p>
        </w:tc>
        <w:tc>
          <w:tcPr>
            <w:tcW w:type="pct" w:w="1000"/>
          </w:tcPr>
          <w:p>
            <w:pPr>
              <w:pStyle w:val="Compact"/>
              <w:jc w:val="right"/>
            </w:pPr>
            <w:r>
              <w:t xml:space="preserve">0.280</w:t>
            </w:r>
          </w:p>
        </w:tc>
        <w:tc>
          <w:tcPr>
            <w:tcW w:type="pct" w:w="1000"/>
          </w:tcPr>
          <w:p>
            <w:pPr>
              <w:pStyle w:val="Compact"/>
              <w:jc w:val="right"/>
            </w:pPr>
            <w:r>
              <w:t xml:space="preserve">-0.045</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565</w:t>
            </w:r>
          </w:p>
        </w:tc>
        <w:tc>
          <w:tcPr>
            <w:tcW w:type="pct" w:w="1000"/>
          </w:tcPr>
          <w:p>
            <w:pPr>
              <w:pStyle w:val="Compact"/>
              <w:jc w:val="right"/>
            </w:pPr>
            <w:r>
              <w:t xml:space="preserve">0.442</w:t>
            </w:r>
          </w:p>
        </w:tc>
        <w:tc>
          <w:tcPr>
            <w:tcW w:type="pct" w:w="1000"/>
          </w:tcPr>
          <w:p>
            <w:pPr>
              <w:pStyle w:val="Compact"/>
              <w:jc w:val="right"/>
            </w:pPr>
            <w:r>
              <w:t xml:space="preserve">0.234</w:t>
            </w:r>
          </w:p>
        </w:tc>
        <w:tc>
          <w:tcPr>
            <w:tcW w:type="pct" w:w="1000"/>
          </w:tcPr>
          <w:p>
            <w:pPr>
              <w:pStyle w:val="Compact"/>
              <w:jc w:val="right"/>
            </w:pPr>
            <w:r>
              <w:t xml:space="preserve">-0.209</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146</w:t>
            </w:r>
          </w:p>
        </w:tc>
        <w:tc>
          <w:tcPr>
            <w:tcW w:type="pct" w:w="1000"/>
          </w:tcPr>
          <w:p>
            <w:pPr>
              <w:pStyle w:val="Compact"/>
              <w:jc w:val="right"/>
            </w:pPr>
            <w:r>
              <w:t xml:space="preserve">0.528</w:t>
            </w:r>
          </w:p>
        </w:tc>
        <w:tc>
          <w:tcPr>
            <w:tcW w:type="pct" w:w="1000"/>
          </w:tcPr>
          <w:p>
            <w:pPr>
              <w:pStyle w:val="Compact"/>
              <w:jc w:val="right"/>
            </w:pPr>
            <w:r>
              <w:t xml:space="preserve">0.247</w:t>
            </w:r>
          </w:p>
        </w:tc>
        <w:tc>
          <w:tcPr>
            <w:tcW w:type="pct" w:w="1000"/>
          </w:tcPr>
          <w:p>
            <w:pPr>
              <w:pStyle w:val="Compact"/>
              <w:jc w:val="right"/>
            </w:pPr>
            <w:r>
              <w:t xml:space="preserve">-0.282</w:t>
            </w:r>
          </w:p>
        </w:tc>
      </w:tr>
    </w:tbl>
    <w:bookmarkEnd w:id="156"/>
    <w:bookmarkStart w:id="157" w:name="reliability-isotonic"/>
    <w:p>
      <w:pPr>
        <w:pStyle w:val="Heading5"/>
      </w:pPr>
      <w:r>
        <w:t xml:space="preserve">Reliability, isotonic</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0.0-0.1</w:t>
            </w:r>
          </w:p>
        </w:tc>
        <w:tc>
          <w:tcPr>
            <w:tcW w:type="pct" w:w="1000"/>
          </w:tcPr>
          <w:p>
            <w:pPr>
              <w:pStyle w:val="Compact"/>
              <w:jc w:val="right"/>
            </w:pPr>
            <w:r>
              <w:t xml:space="preserve">43</w:t>
            </w:r>
          </w:p>
        </w:tc>
        <w:tc>
          <w:tcPr>
            <w:tcW w:type="pct" w:w="1000"/>
          </w:tcPr>
          <w:p>
            <w:pPr>
              <w:pStyle w:val="Compact"/>
              <w:jc w:val="right"/>
            </w:pPr>
            <w:r>
              <w:t xml:space="preserve">0.019</w:t>
            </w:r>
          </w:p>
        </w:tc>
        <w:tc>
          <w:tcPr>
            <w:tcW w:type="pct" w:w="1000"/>
          </w:tcPr>
          <w:p>
            <w:pPr>
              <w:pStyle w:val="Compact"/>
              <w:jc w:val="right"/>
            </w:pPr>
            <w:r>
              <w:t xml:space="preserve">0.140</w:t>
            </w:r>
          </w:p>
        </w:tc>
        <w:tc>
          <w:tcPr>
            <w:tcW w:type="pct" w:w="1000"/>
          </w:tcPr>
          <w:p>
            <w:pPr>
              <w:pStyle w:val="Compact"/>
              <w:jc w:val="right"/>
            </w:pPr>
            <w:r>
              <w:t xml:space="preserve">+0.121</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2,163</w:t>
            </w:r>
          </w:p>
        </w:tc>
        <w:tc>
          <w:tcPr>
            <w:tcW w:type="pct" w:w="1000"/>
          </w:tcPr>
          <w:p>
            <w:pPr>
              <w:pStyle w:val="Compact"/>
              <w:jc w:val="right"/>
            </w:pPr>
            <w:r>
              <w:t xml:space="preserve">0.191</w:t>
            </w:r>
          </w:p>
        </w:tc>
        <w:tc>
          <w:tcPr>
            <w:tcW w:type="pct" w:w="1000"/>
          </w:tcPr>
          <w:p>
            <w:pPr>
              <w:pStyle w:val="Compact"/>
              <w:jc w:val="right"/>
            </w:pPr>
            <w:r>
              <w:t xml:space="preserve">0.200</w:t>
            </w:r>
          </w:p>
        </w:tc>
        <w:tc>
          <w:tcPr>
            <w:tcW w:type="pct" w:w="1000"/>
          </w:tcPr>
          <w:p>
            <w:pPr>
              <w:pStyle w:val="Compact"/>
              <w:jc w:val="right"/>
            </w:pPr>
            <w:r>
              <w:t xml:space="preserve">+0.009</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12,000</w:t>
            </w:r>
          </w:p>
        </w:tc>
        <w:tc>
          <w:tcPr>
            <w:tcW w:type="pct" w:w="1000"/>
          </w:tcPr>
          <w:p>
            <w:pPr>
              <w:pStyle w:val="Compact"/>
              <w:jc w:val="right"/>
            </w:pPr>
            <w:r>
              <w:t xml:space="preserve">0.279</w:t>
            </w:r>
          </w:p>
        </w:tc>
        <w:tc>
          <w:tcPr>
            <w:tcW w:type="pct" w:w="1000"/>
          </w:tcPr>
          <w:p>
            <w:pPr>
              <w:pStyle w:val="Compact"/>
              <w:jc w:val="right"/>
            </w:pPr>
            <w:r>
              <w:t xml:space="preserve">0.258</w:t>
            </w:r>
          </w:p>
        </w:tc>
        <w:tc>
          <w:tcPr>
            <w:tcW w:type="pct" w:w="1000"/>
          </w:tcPr>
          <w:p>
            <w:pPr>
              <w:pStyle w:val="Compact"/>
              <w:jc w:val="right"/>
            </w:pPr>
            <w:r>
              <w:t xml:space="preserve">-0.022</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4,428</w:t>
            </w:r>
          </w:p>
        </w:tc>
        <w:tc>
          <w:tcPr>
            <w:tcW w:type="pct" w:w="1000"/>
          </w:tcPr>
          <w:p>
            <w:pPr>
              <w:pStyle w:val="Compact"/>
              <w:jc w:val="right"/>
            </w:pPr>
            <w:r>
              <w:t xml:space="preserve">0.318</w:t>
            </w:r>
          </w:p>
        </w:tc>
        <w:tc>
          <w:tcPr>
            <w:tcW w:type="pct" w:w="1000"/>
          </w:tcPr>
          <w:p>
            <w:pPr>
              <w:pStyle w:val="Compact"/>
              <w:jc w:val="right"/>
            </w:pPr>
            <w:r>
              <w:t xml:space="preserve">0.272</w:t>
            </w:r>
          </w:p>
        </w:tc>
        <w:tc>
          <w:tcPr>
            <w:tcW w:type="pct" w:w="1000"/>
          </w:tcPr>
          <w:p>
            <w:pPr>
              <w:pStyle w:val="Compact"/>
              <w:jc w:val="right"/>
            </w:pPr>
            <w:r>
              <w:t xml:space="preserve">-0.046</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109</w:t>
            </w:r>
          </w:p>
        </w:tc>
        <w:tc>
          <w:tcPr>
            <w:tcW w:type="pct" w:w="1000"/>
          </w:tcPr>
          <w:p>
            <w:pPr>
              <w:pStyle w:val="Compact"/>
              <w:jc w:val="right"/>
            </w:pPr>
            <w:r>
              <w:t xml:space="preserve">0.465</w:t>
            </w:r>
          </w:p>
        </w:tc>
        <w:tc>
          <w:tcPr>
            <w:tcW w:type="pct" w:w="1000"/>
          </w:tcPr>
          <w:p>
            <w:pPr>
              <w:pStyle w:val="Compact"/>
              <w:jc w:val="right"/>
            </w:pPr>
            <w:r>
              <w:t xml:space="preserve">0.229</w:t>
            </w:r>
          </w:p>
        </w:tc>
        <w:tc>
          <w:tcPr>
            <w:tcW w:type="pct" w:w="1000"/>
          </w:tcPr>
          <w:p>
            <w:pPr>
              <w:pStyle w:val="Compact"/>
              <w:jc w:val="right"/>
            </w:pPr>
            <w:r>
              <w:t xml:space="preserve">-0.236</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2</w:t>
            </w:r>
          </w:p>
        </w:tc>
        <w:tc>
          <w:tcPr>
            <w:tcW w:type="pct" w:w="1000"/>
          </w:tcPr>
          <w:p>
            <w:pPr>
              <w:pStyle w:val="Compact"/>
              <w:jc w:val="right"/>
            </w:pPr>
            <w:r>
              <w:t xml:space="preserve">0.569</w:t>
            </w:r>
          </w:p>
        </w:tc>
        <w:tc>
          <w:tcPr>
            <w:tcW w:type="pct" w:w="1000"/>
          </w:tcPr>
          <w:p>
            <w:pPr>
              <w:pStyle w:val="Compact"/>
              <w:jc w:val="right"/>
            </w:pPr>
            <w:r>
              <w:t xml:space="preserve">0.500</w:t>
            </w:r>
          </w:p>
        </w:tc>
        <w:tc>
          <w:tcPr>
            <w:tcW w:type="pct" w:w="1000"/>
          </w:tcPr>
          <w:p>
            <w:pPr>
              <w:pStyle w:val="Compact"/>
              <w:jc w:val="right"/>
            </w:pPr>
            <w:r>
              <w:t xml:space="preserve">-0.069</w:t>
            </w:r>
          </w:p>
        </w:tc>
      </w:tr>
      <w:tr>
        <w:trPr>
          <w:trHeight w:hRule="atLeast" w:val="397"/>
        </w:trPr>
        <w:tc>
          <w:tcPr>
            <w:tcW w:type="pct" w:w="1000"/>
          </w:tcPr>
          <w:p>
            <w:pPr>
              <w:pStyle w:val="Compact"/>
            </w:pPr>
            <w:r>
              <w:t xml:space="preserve">0.6-0.7</w:t>
            </w:r>
          </w:p>
        </w:tc>
        <w:tc>
          <w:tcPr>
            <w:tcW w:type="pct" w:w="1000"/>
          </w:tcPr>
          <w:p>
            <w:pPr>
              <w:pStyle w:val="Compact"/>
              <w:jc w:val="right"/>
            </w:pPr>
            <w:r>
              <w:t xml:space="preserve">6</w:t>
            </w:r>
          </w:p>
        </w:tc>
        <w:tc>
          <w:tcPr>
            <w:tcW w:type="pct" w:w="1000"/>
          </w:tcPr>
          <w:p>
            <w:pPr>
              <w:pStyle w:val="Compact"/>
              <w:jc w:val="right"/>
            </w:pPr>
            <w:r>
              <w:t xml:space="preserve">0.644</w:t>
            </w:r>
          </w:p>
        </w:tc>
        <w:tc>
          <w:tcPr>
            <w:tcW w:type="pct" w:w="1000"/>
          </w:tcPr>
          <w:p>
            <w:pPr>
              <w:pStyle w:val="Compact"/>
              <w:jc w:val="right"/>
            </w:pPr>
            <w:r>
              <w:t xml:space="preserve">0.333</w:t>
            </w:r>
          </w:p>
        </w:tc>
        <w:tc>
          <w:tcPr>
            <w:tcW w:type="pct" w:w="1000"/>
          </w:tcPr>
          <w:p>
            <w:pPr>
              <w:pStyle w:val="Compact"/>
              <w:jc w:val="right"/>
            </w:pPr>
            <w:r>
              <w:t xml:space="preserve">-0.311</w:t>
            </w:r>
          </w:p>
        </w:tc>
      </w:tr>
      <w:tr>
        <w:trPr>
          <w:trHeight w:hRule="atLeast" w:val="397"/>
        </w:trPr>
        <w:tc>
          <w:tcPr>
            <w:tcW w:type="pct" w:w="1000"/>
          </w:tcPr>
          <w:p>
            <w:pPr>
              <w:pStyle w:val="Compact"/>
            </w:pPr>
            <w:r>
              <w:t xml:space="preserve">0.7-0.8</w:t>
            </w:r>
          </w:p>
        </w:tc>
        <w:tc>
          <w:tcPr>
            <w:tcW w:type="pct" w:w="1000"/>
          </w:tcPr>
          <w:p>
            <w:pPr>
              <w:pStyle w:val="Compact"/>
              <w:jc w:val="right"/>
            </w:pPr>
            <w:r>
              <w:t xml:space="preserve">8</w:t>
            </w:r>
          </w:p>
        </w:tc>
        <w:tc>
          <w:tcPr>
            <w:tcW w:type="pct" w:w="1000"/>
          </w:tcPr>
          <w:p>
            <w:pPr>
              <w:pStyle w:val="Compact"/>
              <w:jc w:val="right"/>
            </w:pPr>
            <w:r>
              <w:t xml:space="preserve">0.746</w:t>
            </w:r>
          </w:p>
        </w:tc>
        <w:tc>
          <w:tcPr>
            <w:tcW w:type="pct" w:w="1000"/>
          </w:tcPr>
          <w:p>
            <w:pPr>
              <w:pStyle w:val="Compact"/>
              <w:jc w:val="right"/>
            </w:pPr>
            <w:r>
              <w:t xml:space="preserve">0.375</w:t>
            </w:r>
          </w:p>
        </w:tc>
        <w:tc>
          <w:tcPr>
            <w:tcW w:type="pct" w:w="1000"/>
          </w:tcPr>
          <w:p>
            <w:pPr>
              <w:pStyle w:val="Compact"/>
              <w:jc w:val="right"/>
            </w:pPr>
            <w:r>
              <w:t xml:space="preserve">-0.371</w:t>
            </w:r>
          </w:p>
        </w:tc>
      </w:tr>
      <w:tr>
        <w:trPr>
          <w:trHeight w:hRule="atLeast" w:val="397"/>
        </w:trPr>
        <w:tc>
          <w:tcPr>
            <w:tcW w:type="pct" w:w="1000"/>
          </w:tcPr>
          <w:p>
            <w:pPr>
              <w:pStyle w:val="Compact"/>
            </w:pPr>
            <w:r>
              <w:t xml:space="preserve">0.8-0.9</w:t>
            </w:r>
          </w:p>
        </w:tc>
        <w:tc>
          <w:tcPr>
            <w:tcW w:type="pct" w:w="1000"/>
          </w:tcPr>
          <w:p>
            <w:pPr>
              <w:pStyle w:val="Compact"/>
              <w:jc w:val="right"/>
            </w:pPr>
            <w:r>
              <w:t xml:space="preserve">108</w:t>
            </w:r>
          </w:p>
        </w:tc>
        <w:tc>
          <w:tcPr>
            <w:tcW w:type="pct" w:w="1000"/>
          </w:tcPr>
          <w:p>
            <w:pPr>
              <w:pStyle w:val="Compact"/>
              <w:jc w:val="right"/>
            </w:pPr>
            <w:r>
              <w:t xml:space="preserve">0.850</w:t>
            </w:r>
          </w:p>
        </w:tc>
        <w:tc>
          <w:tcPr>
            <w:tcW w:type="pct" w:w="1000"/>
          </w:tcPr>
          <w:p>
            <w:pPr>
              <w:pStyle w:val="Compact"/>
              <w:jc w:val="right"/>
            </w:pPr>
            <w:r>
              <w:t xml:space="preserve">0.204</w:t>
            </w:r>
          </w:p>
        </w:tc>
        <w:tc>
          <w:tcPr>
            <w:tcW w:type="pct" w:w="1000"/>
          </w:tcPr>
          <w:p>
            <w:pPr>
              <w:pStyle w:val="Compact"/>
              <w:jc w:val="right"/>
            </w:pPr>
            <w:r>
              <w:t xml:space="preserve">-0.646</w:t>
            </w:r>
          </w:p>
        </w:tc>
      </w:tr>
      <w:tr>
        <w:trPr>
          <w:trHeight w:hRule="atLeast" w:val="397"/>
        </w:trPr>
        <w:tc>
          <w:tcPr>
            <w:tcW w:type="pct" w:w="1000"/>
          </w:tcPr>
          <w:p>
            <w:pPr>
              <w:pStyle w:val="Compact"/>
            </w:pPr>
            <w:r>
              <w:t xml:space="preserve">0.9-1.0</w:t>
            </w:r>
          </w:p>
        </w:tc>
        <w:tc>
          <w:tcPr>
            <w:tcW w:type="pct" w:w="1000"/>
          </w:tcPr>
          <w:p>
            <w:pPr>
              <w:pStyle w:val="Compact"/>
              <w:jc w:val="right"/>
            </w:pPr>
            <w:r>
              <w:t xml:space="preserve">5</w:t>
            </w:r>
          </w:p>
        </w:tc>
        <w:tc>
          <w:tcPr>
            <w:tcW w:type="pct" w:w="1000"/>
          </w:tcPr>
          <w:p>
            <w:pPr>
              <w:pStyle w:val="Compact"/>
              <w:jc w:val="right"/>
            </w:pPr>
            <w:r>
              <w:t xml:space="preserve">1.000</w:t>
            </w:r>
          </w:p>
        </w:tc>
        <w:tc>
          <w:tcPr>
            <w:tcW w:type="pct" w:w="1000"/>
          </w:tcPr>
          <w:p>
            <w:pPr>
              <w:pStyle w:val="Compact"/>
              <w:jc w:val="right"/>
            </w:pPr>
            <w:r>
              <w:t xml:space="preserve">0.400</w:t>
            </w:r>
          </w:p>
        </w:tc>
        <w:tc>
          <w:tcPr>
            <w:tcW w:type="pct" w:w="1000"/>
          </w:tcPr>
          <w:p>
            <w:pPr>
              <w:pStyle w:val="Compact"/>
              <w:jc w:val="right"/>
            </w:pPr>
            <w:r>
              <w:t xml:space="preserve">-0.600</w:t>
            </w:r>
          </w:p>
        </w:tc>
      </w:tr>
    </w:tbl>
    <w:bookmarkEnd w:id="157"/>
    <w:bookmarkStart w:id="158" w:name="verdict"/>
    <w:p>
      <w:pPr>
        <w:pStyle w:val="Heading5"/>
      </w:pPr>
      <w:r>
        <w:t xml:space="preserve">Verdict</w:t>
      </w:r>
    </w:p>
    <w:p>
      <w:pPr>
        <w:pStyle w:val="FirstParagraph"/>
      </w:pPr>
      <w:r>
        <w:t xml:space="preserve">The raw probabilities carry an expected calibration error of 0.2344 and a maximum of 0.7005. The lowest error after mapping is Platt at 0.0295. Calibration reduces the error by 0.2049 in probability units.</w:t>
      </w:r>
    </w:p>
    <w:p>
      <w:pPr>
        <w:pStyle w:val="BodyText"/>
      </w:pPr>
      <w:r>
        <w:t xml:space="preserve">Calibration is monotone, so it does not change AUC or the order in which trades are ranked. It changes the number a confidence threshold and a Kelly fraction read, which is where a miscalibrated probability does its damage.</w:t>
      </w:r>
    </w:p>
    <w:p>
      <w:pPr>
        <w:pStyle w:val="BodyText"/>
      </w:pPr>
      <w:r>
        <w:t xml:space="preserve">Full reliability tables:</w:t>
      </w:r>
      <w:r>
        <w:t xml:space="preserve"> </w:t>
      </w:r>
      <w:r>
        <w:rPr>
          <w:rStyle w:val="VerbatimChar"/>
        </w:rPr>
        <w:t xml:space="preserve">04-outputs/AA-evals/2026-09-08/calibration-4h-balanced-20260908.csv</w:t>
      </w:r>
    </w:p>
    <w:bookmarkEnd w:id="158"/>
    <w:bookmarkEnd w:id="159"/>
    <w:bookmarkStart w:id="165" w:name="X7216d846347e8b046f4e1921a3e7e318583509e"/>
    <w:p>
      <w:pPr>
        <w:pStyle w:val="Heading4"/>
      </w:pPr>
      <w:r>
        <w:t xml:space="preserve">Probability calibration, 4h frame (08 September 2026)</w:t>
      </w:r>
    </w:p>
    <w:p>
      <w:pPr>
        <w:pStyle w:val="FirstParagraph"/>
      </w:pPr>
      <w:r>
        <w:t xml:space="preserve">Fitted on 48,000 training observations to 2025-06-21, calibrated on a held-out 12,000-row slice of the same training window, and scored once on the 18,872-row blind year. Base rate 0.254. The estimator carries</w:t>
      </w:r>
      <w:r>
        <w:t xml:space="preserve"> </w:t>
      </w:r>
      <w:r>
        <w:rPr>
          <w:rStyle w:val="VerbatimChar"/>
        </w:rPr>
        <w:t xml:space="preserve">class_weight=None</w:t>
      </w:r>
      <w:r>
        <w:t xml:space="preserve">.</w:t>
      </w:r>
    </w:p>
    <w:p>
      <w:pPr>
        <w:pStyle w:val="BodyText"/>
      </w:pPr>
      <w:r>
        <w:t xml:space="preserve">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bookmarkStart w:id="160" w:name="summary-1"/>
    <w:p>
      <w:pPr>
        <w:pStyle w:val="Heading5"/>
      </w:pPr>
      <w:r>
        <w:t xml:space="preserve">Summary</w:t>
      </w:r>
    </w:p>
    <w:tbl>
      <w:tblPr>
        <w:tblStyle w:val="Table"/>
        <w:jc w:val="center"/>
        <w:tblLayout w:type="fixed"/>
        <w:tblLook w:firstRow="1" w:lastRow="0" w:firstColumn="0" w:lastColumn="0" w:noHBand="0" w:noVBand="0" w:val="0020"/>
        <w:tblW w:type="pct" w:w="5000"/>
        <w:tblCellMar>
          <w:left w:w="43" w:type="dxa"/>
          <w:right w:w="43" w:type="dxa"/>
        </w:tblCellMar>
      </w:tblPr>
      <w:tblGrid>
        <w:gridCol w:w="1131"/>
        <w:gridCol w:w="1131"/>
        <w:gridCol w:w="1131"/>
        <w:gridCol w:w="1131"/>
        <w:gridCol w:w="1131"/>
        <w:gridCol w:w="1131"/>
        <w:gridCol w:w="1131"/>
      </w:tblGrid>
      <w:tr>
        <w:trPr>
          <w:trHeight w:hRule="atLeast" w:val="567"/>
          <w:tblHeader w:val="on"/>
        </w:trPr>
        <w:tc>
          <w:tcPr>
            <w:tcW w:type="pct" w:w="714"/>
          </w:tcPr>
          <w:p>
            <w:pPr>
              <w:pStyle w:val="Compact"/>
            </w:pPr>
            <w:r>
              <w:rPr>
                <w:b/>
                <w:sz w:val="16"/>
              </w:rPr>
              <w:t xml:space="preserve">mapping</w:t>
            </w:r>
          </w:p>
        </w:tc>
        <w:tc>
          <w:tcPr>
            <w:tcW w:type="pct" w:w="714"/>
          </w:tcPr>
          <w:p>
            <w:pPr>
              <w:pStyle w:val="Compact"/>
              <w:jc w:val="right"/>
            </w:pPr>
            <w:r>
              <w:rPr>
                <w:b/>
                <w:sz w:val="16"/>
              </w:rPr>
              <w:t xml:space="preserve">ECE</w:t>
            </w:r>
          </w:p>
        </w:tc>
        <w:tc>
          <w:tcPr>
            <w:tcW w:type="pct" w:w="714"/>
          </w:tcPr>
          <w:p>
            <w:pPr>
              <w:pStyle w:val="Compact"/>
              <w:jc w:val="right"/>
            </w:pPr>
            <w:r>
              <w:rPr>
                <w:b/>
                <w:sz w:val="16"/>
              </w:rPr>
              <w:t xml:space="preserve">MCE</w:t>
            </w:r>
          </w:p>
        </w:tc>
        <w:tc>
          <w:tcPr>
            <w:tcW w:type="pct" w:w="714"/>
          </w:tcPr>
          <w:p>
            <w:pPr>
              <w:pStyle w:val="Compact"/>
              <w:jc w:val="right"/>
            </w:pPr>
            <w:r>
              <w:rPr>
                <w:b/>
                <w:sz w:val="16"/>
              </w:rPr>
              <w:t xml:space="preserve">Brier</w:t>
            </w:r>
          </w:p>
        </w:tc>
        <w:tc>
          <w:tcPr>
            <w:tcW w:type="pct" w:w="714"/>
          </w:tcPr>
          <w:p>
            <w:pPr>
              <w:pStyle w:val="Compact"/>
              <w:jc w:val="right"/>
            </w:pPr>
            <w:r>
              <w:rPr>
                <w:b/>
                <w:sz w:val="16"/>
              </w:rPr>
              <w:t xml:space="preserve">reliability</w:t>
            </w:r>
          </w:p>
        </w:tc>
        <w:tc>
          <w:tcPr>
            <w:tcW w:type="pct" w:w="714"/>
          </w:tcPr>
          <w:p>
            <w:pPr>
              <w:pStyle w:val="Compact"/>
              <w:jc w:val="right"/>
            </w:pPr>
            <w:r>
              <w:rPr>
                <w:b/>
                <w:sz w:val="16"/>
              </w:rPr>
              <w:t xml:space="preserve">resolution</w:t>
            </w:r>
          </w:p>
        </w:tc>
        <w:tc>
          <w:tcPr>
            <w:tcW w:type="pct" w:w="714"/>
          </w:tcPr>
          <w:p>
            <w:pPr>
              <w:pStyle w:val="Compact"/>
              <w:jc w:val="right"/>
            </w:pPr>
            <w:r>
              <w:rPr>
                <w:b/>
                <w:sz w:val="16"/>
              </w:rPr>
              <w:t xml:space="preserve">uncertainty</w:t>
            </w:r>
          </w:p>
        </w:tc>
      </w:tr>
      <w:tr>
        <w:trPr>
          <w:trHeight w:hRule="atLeast" w:val="397"/>
        </w:trPr>
        <w:tc>
          <w:tcPr>
            <w:tcW w:type="pct" w:w="714"/>
          </w:tcPr>
          <w:p>
            <w:pPr>
              <w:pStyle w:val="Compact"/>
            </w:pPr>
            <w:r>
              <w:rPr>
                <w:sz w:val="16"/>
              </w:rPr>
              <w:t xml:space="preserve">raw</w:t>
            </w:r>
          </w:p>
        </w:tc>
        <w:tc>
          <w:tcPr>
            <w:tcW w:type="pct" w:w="714"/>
          </w:tcPr>
          <w:p>
            <w:pPr>
              <w:pStyle w:val="Compact"/>
              <w:jc w:val="right"/>
            </w:pPr>
            <w:r>
              <w:rPr>
                <w:sz w:val="16"/>
              </w:rPr>
              <w:t xml:space="preserve">0.0736</w:t>
            </w:r>
          </w:p>
        </w:tc>
        <w:tc>
          <w:tcPr>
            <w:tcW w:type="pct" w:w="714"/>
          </w:tcPr>
          <w:p>
            <w:pPr>
              <w:pStyle w:val="Compact"/>
              <w:jc w:val="right"/>
            </w:pPr>
            <w:r>
              <w:rPr>
                <w:sz w:val="16"/>
              </w:rPr>
              <w:t xml:space="preserve">0.6542</w:t>
            </w:r>
          </w:p>
        </w:tc>
        <w:tc>
          <w:tcPr>
            <w:tcW w:type="pct" w:w="714"/>
          </w:tcPr>
          <w:p>
            <w:pPr>
              <w:pStyle w:val="Compact"/>
              <w:jc w:val="right"/>
            </w:pPr>
            <w:r>
              <w:rPr>
                <w:sz w:val="16"/>
              </w:rPr>
              <w:t xml:space="preserve">0.2060</w:t>
            </w:r>
          </w:p>
        </w:tc>
        <w:tc>
          <w:tcPr>
            <w:tcW w:type="pct" w:w="714"/>
          </w:tcPr>
          <w:p>
            <w:pPr>
              <w:pStyle w:val="Compact"/>
              <w:jc w:val="right"/>
            </w:pPr>
            <w:r>
              <w:rPr>
                <w:sz w:val="16"/>
              </w:rPr>
              <w:t xml:space="preserve">0.01728</w:t>
            </w:r>
          </w:p>
        </w:tc>
        <w:tc>
          <w:tcPr>
            <w:tcW w:type="pct" w:w="714"/>
          </w:tcPr>
          <w:p>
            <w:pPr>
              <w:pStyle w:val="Compact"/>
              <w:jc w:val="right"/>
            </w:pPr>
            <w:r>
              <w:rPr>
                <w:sz w:val="16"/>
              </w:rPr>
              <w:t xml:space="preserve">0.00090</w:t>
            </w:r>
          </w:p>
        </w:tc>
        <w:tc>
          <w:tcPr>
            <w:tcW w:type="pct" w:w="714"/>
          </w:tcPr>
          <w:p>
            <w:pPr>
              <w:pStyle w:val="Compact"/>
              <w:jc w:val="right"/>
            </w:pPr>
            <w:r>
              <w:rPr>
                <w:sz w:val="16"/>
              </w:rPr>
              <w:t xml:space="preserve">0.1893</w:t>
            </w:r>
          </w:p>
        </w:tc>
      </w:tr>
      <w:tr>
        <w:trPr>
          <w:trHeight w:hRule="atLeast" w:val="397"/>
        </w:trPr>
        <w:tc>
          <w:tcPr>
            <w:tcW w:type="pct" w:w="714"/>
          </w:tcPr>
          <w:p>
            <w:pPr>
              <w:pStyle w:val="Compact"/>
            </w:pPr>
            <w:r>
              <w:rPr>
                <w:sz w:val="16"/>
              </w:rPr>
              <w:t xml:space="preserve">Platt</w:t>
            </w:r>
          </w:p>
        </w:tc>
        <w:tc>
          <w:tcPr>
            <w:tcW w:type="pct" w:w="714"/>
          </w:tcPr>
          <w:p>
            <w:pPr>
              <w:pStyle w:val="Compact"/>
              <w:jc w:val="right"/>
            </w:pPr>
            <w:r>
              <w:rPr>
                <w:sz w:val="16"/>
              </w:rPr>
              <w:t xml:space="preserve">0.0301</w:t>
            </w:r>
          </w:p>
        </w:tc>
        <w:tc>
          <w:tcPr>
            <w:tcW w:type="pct" w:w="714"/>
          </w:tcPr>
          <w:p>
            <w:pPr>
              <w:pStyle w:val="Compact"/>
              <w:jc w:val="right"/>
            </w:pPr>
            <w:r>
              <w:rPr>
                <w:sz w:val="16"/>
              </w:rPr>
              <w:t xml:space="preserve">0.3367</w:t>
            </w:r>
          </w:p>
        </w:tc>
        <w:tc>
          <w:tcPr>
            <w:tcW w:type="pct" w:w="714"/>
          </w:tcPr>
          <w:p>
            <w:pPr>
              <w:pStyle w:val="Compact"/>
              <w:jc w:val="right"/>
            </w:pPr>
            <w:r>
              <w:rPr>
                <w:sz w:val="16"/>
              </w:rPr>
              <w:t xml:space="preserve">0.1926</w:t>
            </w:r>
          </w:p>
        </w:tc>
        <w:tc>
          <w:tcPr>
            <w:tcW w:type="pct" w:w="714"/>
          </w:tcPr>
          <w:p>
            <w:pPr>
              <w:pStyle w:val="Compact"/>
              <w:jc w:val="right"/>
            </w:pPr>
            <w:r>
              <w:rPr>
                <w:sz w:val="16"/>
              </w:rPr>
              <w:t xml:space="preserve">0.00381</w:t>
            </w:r>
          </w:p>
        </w:tc>
        <w:tc>
          <w:tcPr>
            <w:tcW w:type="pct" w:w="714"/>
          </w:tcPr>
          <w:p>
            <w:pPr>
              <w:pStyle w:val="Compact"/>
              <w:jc w:val="right"/>
            </w:pPr>
            <w:r>
              <w:rPr>
                <w:sz w:val="16"/>
              </w:rPr>
              <w:t xml:space="preserve">0.00046</w:t>
            </w:r>
          </w:p>
        </w:tc>
        <w:tc>
          <w:tcPr>
            <w:tcW w:type="pct" w:w="714"/>
          </w:tcPr>
          <w:p>
            <w:pPr>
              <w:pStyle w:val="Compact"/>
              <w:jc w:val="right"/>
            </w:pPr>
            <w:r>
              <w:rPr>
                <w:sz w:val="16"/>
              </w:rPr>
              <w:t xml:space="preserve">0.1893</w:t>
            </w:r>
          </w:p>
        </w:tc>
      </w:tr>
      <w:tr>
        <w:trPr>
          <w:trHeight w:hRule="atLeast" w:val="397"/>
        </w:trPr>
        <w:tc>
          <w:tcPr>
            <w:tcW w:type="pct" w:w="714"/>
          </w:tcPr>
          <w:p>
            <w:pPr>
              <w:pStyle w:val="Compact"/>
            </w:pPr>
            <w:r>
              <w:rPr>
                <w:sz w:val="16"/>
              </w:rPr>
              <w:t xml:space="preserve">isotonic</w:t>
            </w:r>
          </w:p>
        </w:tc>
        <w:tc>
          <w:tcPr>
            <w:tcW w:type="pct" w:w="714"/>
          </w:tcPr>
          <w:p>
            <w:pPr>
              <w:pStyle w:val="Compact"/>
              <w:jc w:val="right"/>
            </w:pPr>
            <w:r>
              <w:rPr>
                <w:sz w:val="16"/>
              </w:rPr>
              <w:t xml:space="preserve">0.0304</w:t>
            </w:r>
          </w:p>
        </w:tc>
        <w:tc>
          <w:tcPr>
            <w:tcW w:type="pct" w:w="714"/>
          </w:tcPr>
          <w:p>
            <w:pPr>
              <w:pStyle w:val="Compact"/>
              <w:jc w:val="right"/>
            </w:pPr>
            <w:r>
              <w:rPr>
                <w:sz w:val="16"/>
              </w:rPr>
              <w:t xml:space="preserve">0.6718</w:t>
            </w:r>
          </w:p>
        </w:tc>
        <w:tc>
          <w:tcPr>
            <w:tcW w:type="pct" w:w="714"/>
          </w:tcPr>
          <w:p>
            <w:pPr>
              <w:pStyle w:val="Compact"/>
              <w:jc w:val="right"/>
            </w:pPr>
            <w:r>
              <w:rPr>
                <w:sz w:val="16"/>
              </w:rPr>
              <w:t xml:space="preserve">0.1919</w:t>
            </w:r>
          </w:p>
        </w:tc>
        <w:tc>
          <w:tcPr>
            <w:tcW w:type="pct" w:w="714"/>
          </w:tcPr>
          <w:p>
            <w:pPr>
              <w:pStyle w:val="Compact"/>
              <w:jc w:val="right"/>
            </w:pPr>
            <w:r>
              <w:rPr>
                <w:sz w:val="16"/>
              </w:rPr>
              <w:t xml:space="preserve">0.00356</w:t>
            </w:r>
          </w:p>
        </w:tc>
        <w:tc>
          <w:tcPr>
            <w:tcW w:type="pct" w:w="714"/>
          </w:tcPr>
          <w:p>
            <w:pPr>
              <w:pStyle w:val="Compact"/>
              <w:jc w:val="right"/>
            </w:pPr>
            <w:r>
              <w:rPr>
                <w:sz w:val="16"/>
              </w:rPr>
              <w:t xml:space="preserve">0.00073</w:t>
            </w:r>
          </w:p>
        </w:tc>
        <w:tc>
          <w:tcPr>
            <w:tcW w:type="pct" w:w="714"/>
          </w:tcPr>
          <w:p>
            <w:pPr>
              <w:pStyle w:val="Compact"/>
              <w:jc w:val="right"/>
            </w:pPr>
            <w:r>
              <w:rPr>
                <w:sz w:val="16"/>
              </w:rPr>
              <w:t xml:space="preserve">0.1893</w:t>
            </w:r>
          </w:p>
        </w:tc>
      </w:tr>
    </w:tbl>
    <w:p>
      <w:pPr>
        <w:pStyle w:val="BodyText"/>
      </w:pPr>
      <w:r>
        <w:t xml:space="preserve">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bookmarkEnd w:id="160"/>
    <w:bookmarkStart w:id="161" w:name="reliability-raw-1"/>
    <w:p>
      <w:pPr>
        <w:pStyle w:val="Heading5"/>
      </w:pPr>
      <w:r>
        <w:t xml:space="preserve">Reliability, raw</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0.0-0.1</w:t>
            </w:r>
          </w:p>
        </w:tc>
        <w:tc>
          <w:tcPr>
            <w:tcW w:type="pct" w:w="1000"/>
          </w:tcPr>
          <w:p>
            <w:pPr>
              <w:pStyle w:val="Compact"/>
              <w:jc w:val="right"/>
            </w:pPr>
            <w:r>
              <w:t xml:space="preserve">273</w:t>
            </w:r>
          </w:p>
        </w:tc>
        <w:tc>
          <w:tcPr>
            <w:tcW w:type="pct" w:w="1000"/>
          </w:tcPr>
          <w:p>
            <w:pPr>
              <w:pStyle w:val="Compact"/>
              <w:jc w:val="right"/>
            </w:pPr>
            <w:r>
              <w:t xml:space="preserve">0.081</w:t>
            </w:r>
          </w:p>
        </w:tc>
        <w:tc>
          <w:tcPr>
            <w:tcW w:type="pct" w:w="1000"/>
          </w:tcPr>
          <w:p>
            <w:pPr>
              <w:pStyle w:val="Compact"/>
              <w:jc w:val="right"/>
            </w:pPr>
            <w:r>
              <w:t xml:space="preserve">0.117</w:t>
            </w:r>
          </w:p>
        </w:tc>
        <w:tc>
          <w:tcPr>
            <w:tcW w:type="pct" w:w="1000"/>
          </w:tcPr>
          <w:p>
            <w:pPr>
              <w:pStyle w:val="Compact"/>
              <w:jc w:val="right"/>
            </w:pPr>
            <w:r>
              <w:t xml:space="preserve">+0.036</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4,272</w:t>
            </w:r>
          </w:p>
        </w:tc>
        <w:tc>
          <w:tcPr>
            <w:tcW w:type="pct" w:w="1000"/>
          </w:tcPr>
          <w:p>
            <w:pPr>
              <w:pStyle w:val="Compact"/>
              <w:jc w:val="right"/>
            </w:pPr>
            <w:r>
              <w:t xml:space="preserve">0.162</w:t>
            </w:r>
          </w:p>
        </w:tc>
        <w:tc>
          <w:tcPr>
            <w:tcW w:type="pct" w:w="1000"/>
          </w:tcPr>
          <w:p>
            <w:pPr>
              <w:pStyle w:val="Compact"/>
              <w:jc w:val="right"/>
            </w:pPr>
            <w:r>
              <w:t xml:space="preserve">0.217</w:t>
            </w:r>
          </w:p>
        </w:tc>
        <w:tc>
          <w:tcPr>
            <w:tcW w:type="pct" w:w="1000"/>
          </w:tcPr>
          <w:p>
            <w:pPr>
              <w:pStyle w:val="Compact"/>
              <w:jc w:val="right"/>
            </w:pPr>
            <w:r>
              <w:t xml:space="preserve">+0.055</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8,020</w:t>
            </w:r>
          </w:p>
        </w:tc>
        <w:tc>
          <w:tcPr>
            <w:tcW w:type="pct" w:w="1000"/>
          </w:tcPr>
          <w:p>
            <w:pPr>
              <w:pStyle w:val="Compact"/>
              <w:jc w:val="right"/>
            </w:pPr>
            <w:r>
              <w:t xml:space="preserve">0.249</w:t>
            </w:r>
          </w:p>
        </w:tc>
        <w:tc>
          <w:tcPr>
            <w:tcW w:type="pct" w:w="1000"/>
          </w:tcPr>
          <w:p>
            <w:pPr>
              <w:pStyle w:val="Compact"/>
              <w:jc w:val="right"/>
            </w:pPr>
            <w:r>
              <w:t xml:space="preserve">0.268</w:t>
            </w:r>
          </w:p>
        </w:tc>
        <w:tc>
          <w:tcPr>
            <w:tcW w:type="pct" w:w="1000"/>
          </w:tcPr>
          <w:p>
            <w:pPr>
              <w:pStyle w:val="Compact"/>
              <w:jc w:val="right"/>
            </w:pPr>
            <w:r>
              <w:t xml:space="preserve">+0.020</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4,017</w:t>
            </w:r>
          </w:p>
        </w:tc>
        <w:tc>
          <w:tcPr>
            <w:tcW w:type="pct" w:w="1000"/>
          </w:tcPr>
          <w:p>
            <w:pPr>
              <w:pStyle w:val="Compact"/>
              <w:jc w:val="right"/>
            </w:pPr>
            <w:r>
              <w:t xml:space="preserve">0.340</w:t>
            </w:r>
          </w:p>
        </w:tc>
        <w:tc>
          <w:tcPr>
            <w:tcW w:type="pct" w:w="1000"/>
          </w:tcPr>
          <w:p>
            <w:pPr>
              <w:pStyle w:val="Compact"/>
              <w:jc w:val="right"/>
            </w:pPr>
            <w:r>
              <w:t xml:space="preserve">0.277</w:t>
            </w:r>
          </w:p>
        </w:tc>
        <w:tc>
          <w:tcPr>
            <w:tcW w:type="pct" w:w="1000"/>
          </w:tcPr>
          <w:p>
            <w:pPr>
              <w:pStyle w:val="Compact"/>
              <w:jc w:val="right"/>
            </w:pPr>
            <w:r>
              <w:t xml:space="preserve">-0.062</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1,039</w:t>
            </w:r>
          </w:p>
        </w:tc>
        <w:tc>
          <w:tcPr>
            <w:tcW w:type="pct" w:w="1000"/>
          </w:tcPr>
          <w:p>
            <w:pPr>
              <w:pStyle w:val="Compact"/>
              <w:jc w:val="right"/>
            </w:pPr>
            <w:r>
              <w:t xml:space="preserve">0.442</w:t>
            </w:r>
          </w:p>
        </w:tc>
        <w:tc>
          <w:tcPr>
            <w:tcW w:type="pct" w:w="1000"/>
          </w:tcPr>
          <w:p>
            <w:pPr>
              <w:pStyle w:val="Compact"/>
              <w:jc w:val="right"/>
            </w:pPr>
            <w:r>
              <w:t xml:space="preserve">0.250</w:t>
            </w:r>
          </w:p>
        </w:tc>
        <w:tc>
          <w:tcPr>
            <w:tcW w:type="pct" w:w="1000"/>
          </w:tcPr>
          <w:p>
            <w:pPr>
              <w:pStyle w:val="Compact"/>
              <w:jc w:val="right"/>
            </w:pPr>
            <w:r>
              <w:t xml:space="preserve">-0.192</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466</w:t>
            </w:r>
          </w:p>
        </w:tc>
        <w:tc>
          <w:tcPr>
            <w:tcW w:type="pct" w:w="1000"/>
          </w:tcPr>
          <w:p>
            <w:pPr>
              <w:pStyle w:val="Compact"/>
              <w:jc w:val="right"/>
            </w:pPr>
            <w:r>
              <w:t xml:space="preserve">0.545</w:t>
            </w:r>
          </w:p>
        </w:tc>
        <w:tc>
          <w:tcPr>
            <w:tcW w:type="pct" w:w="1000"/>
          </w:tcPr>
          <w:p>
            <w:pPr>
              <w:pStyle w:val="Compact"/>
              <w:jc w:val="right"/>
            </w:pPr>
            <w:r>
              <w:t xml:space="preserve">0.255</w:t>
            </w:r>
          </w:p>
        </w:tc>
        <w:tc>
          <w:tcPr>
            <w:tcW w:type="pct" w:w="1000"/>
          </w:tcPr>
          <w:p>
            <w:pPr>
              <w:pStyle w:val="Compact"/>
              <w:jc w:val="right"/>
            </w:pPr>
            <w:r>
              <w:t xml:space="preserve">-0.289</w:t>
            </w:r>
          </w:p>
        </w:tc>
      </w:tr>
      <w:tr>
        <w:trPr>
          <w:trHeight w:hRule="atLeast" w:val="397"/>
        </w:trPr>
        <w:tc>
          <w:tcPr>
            <w:tcW w:type="pct" w:w="1000"/>
          </w:tcPr>
          <w:p>
            <w:pPr>
              <w:pStyle w:val="Compact"/>
            </w:pPr>
            <w:r>
              <w:t xml:space="preserve">0.6-0.7</w:t>
            </w:r>
          </w:p>
        </w:tc>
        <w:tc>
          <w:tcPr>
            <w:tcW w:type="pct" w:w="1000"/>
          </w:tcPr>
          <w:p>
            <w:pPr>
              <w:pStyle w:val="Compact"/>
              <w:jc w:val="right"/>
            </w:pPr>
            <w:r>
              <w:t xml:space="preserve">286</w:t>
            </w:r>
          </w:p>
        </w:tc>
        <w:tc>
          <w:tcPr>
            <w:tcW w:type="pct" w:w="1000"/>
          </w:tcPr>
          <w:p>
            <w:pPr>
              <w:pStyle w:val="Compact"/>
              <w:jc w:val="right"/>
            </w:pPr>
            <w:r>
              <w:t xml:space="preserve">0.649</w:t>
            </w:r>
          </w:p>
        </w:tc>
        <w:tc>
          <w:tcPr>
            <w:tcW w:type="pct" w:w="1000"/>
          </w:tcPr>
          <w:p>
            <w:pPr>
              <w:pStyle w:val="Compact"/>
              <w:jc w:val="right"/>
            </w:pPr>
            <w:r>
              <w:t xml:space="preserve">0.283</w:t>
            </w:r>
          </w:p>
        </w:tc>
        <w:tc>
          <w:tcPr>
            <w:tcW w:type="pct" w:w="1000"/>
          </w:tcPr>
          <w:p>
            <w:pPr>
              <w:pStyle w:val="Compact"/>
              <w:jc w:val="right"/>
            </w:pPr>
            <w:r>
              <w:t xml:space="preserve">-0.366</w:t>
            </w:r>
          </w:p>
        </w:tc>
      </w:tr>
      <w:tr>
        <w:trPr>
          <w:trHeight w:hRule="atLeast" w:val="397"/>
        </w:trPr>
        <w:tc>
          <w:tcPr>
            <w:tcW w:type="pct" w:w="1000"/>
          </w:tcPr>
          <w:p>
            <w:pPr>
              <w:pStyle w:val="Compact"/>
            </w:pPr>
            <w:r>
              <w:t xml:space="preserve">0.7-0.8</w:t>
            </w:r>
          </w:p>
        </w:tc>
        <w:tc>
          <w:tcPr>
            <w:tcW w:type="pct" w:w="1000"/>
          </w:tcPr>
          <w:p>
            <w:pPr>
              <w:pStyle w:val="Compact"/>
              <w:jc w:val="right"/>
            </w:pPr>
            <w:r>
              <w:t xml:space="preserve">248</w:t>
            </w:r>
          </w:p>
        </w:tc>
        <w:tc>
          <w:tcPr>
            <w:tcW w:type="pct" w:w="1000"/>
          </w:tcPr>
          <w:p>
            <w:pPr>
              <w:pStyle w:val="Compact"/>
              <w:jc w:val="right"/>
            </w:pPr>
            <w:r>
              <w:t xml:space="preserve">0.748</w:t>
            </w:r>
          </w:p>
        </w:tc>
        <w:tc>
          <w:tcPr>
            <w:tcW w:type="pct" w:w="1000"/>
          </w:tcPr>
          <w:p>
            <w:pPr>
              <w:pStyle w:val="Compact"/>
              <w:jc w:val="right"/>
            </w:pPr>
            <w:r>
              <w:t xml:space="preserve">0.198</w:t>
            </w:r>
          </w:p>
        </w:tc>
        <w:tc>
          <w:tcPr>
            <w:tcW w:type="pct" w:w="1000"/>
          </w:tcPr>
          <w:p>
            <w:pPr>
              <w:pStyle w:val="Compact"/>
              <w:jc w:val="right"/>
            </w:pPr>
            <w:r>
              <w:t xml:space="preserve">-0.550</w:t>
            </w:r>
          </w:p>
        </w:tc>
      </w:tr>
      <w:tr>
        <w:trPr>
          <w:trHeight w:hRule="atLeast" w:val="397"/>
        </w:trPr>
        <w:tc>
          <w:tcPr>
            <w:tcW w:type="pct" w:w="1000"/>
          </w:tcPr>
          <w:p>
            <w:pPr>
              <w:pStyle w:val="Compact"/>
            </w:pPr>
            <w:r>
              <w:t xml:space="preserve">0.8-0.9</w:t>
            </w:r>
          </w:p>
        </w:tc>
        <w:tc>
          <w:tcPr>
            <w:tcW w:type="pct" w:w="1000"/>
          </w:tcPr>
          <w:p>
            <w:pPr>
              <w:pStyle w:val="Compact"/>
              <w:jc w:val="right"/>
            </w:pPr>
            <w:r>
              <w:t xml:space="preserve">214</w:t>
            </w:r>
          </w:p>
        </w:tc>
        <w:tc>
          <w:tcPr>
            <w:tcW w:type="pct" w:w="1000"/>
          </w:tcPr>
          <w:p>
            <w:pPr>
              <w:pStyle w:val="Compact"/>
              <w:jc w:val="right"/>
            </w:pPr>
            <w:r>
              <w:t xml:space="preserve">0.846</w:t>
            </w:r>
          </w:p>
        </w:tc>
        <w:tc>
          <w:tcPr>
            <w:tcW w:type="pct" w:w="1000"/>
          </w:tcPr>
          <w:p>
            <w:pPr>
              <w:pStyle w:val="Compact"/>
              <w:jc w:val="right"/>
            </w:pPr>
            <w:r>
              <w:t xml:space="preserve">0.192</w:t>
            </w:r>
          </w:p>
        </w:tc>
        <w:tc>
          <w:tcPr>
            <w:tcW w:type="pct" w:w="1000"/>
          </w:tcPr>
          <w:p>
            <w:pPr>
              <w:pStyle w:val="Compact"/>
              <w:jc w:val="right"/>
            </w:pPr>
            <w:r>
              <w:t xml:space="preserve">-0.654</w:t>
            </w:r>
          </w:p>
        </w:tc>
      </w:tr>
      <w:tr>
        <w:trPr>
          <w:trHeight w:hRule="atLeast" w:val="397"/>
        </w:trPr>
        <w:tc>
          <w:tcPr>
            <w:tcW w:type="pct" w:w="1000"/>
          </w:tcPr>
          <w:p>
            <w:pPr>
              <w:pStyle w:val="Compact"/>
            </w:pPr>
            <w:r>
              <w:t xml:space="preserve">0.9-1.0</w:t>
            </w:r>
          </w:p>
        </w:tc>
        <w:tc>
          <w:tcPr>
            <w:tcW w:type="pct" w:w="1000"/>
          </w:tcPr>
          <w:p>
            <w:pPr>
              <w:pStyle w:val="Compact"/>
              <w:jc w:val="right"/>
            </w:pPr>
            <w:r>
              <w:t xml:space="preserve">37</w:t>
            </w:r>
          </w:p>
        </w:tc>
        <w:tc>
          <w:tcPr>
            <w:tcW w:type="pct" w:w="1000"/>
          </w:tcPr>
          <w:p>
            <w:pPr>
              <w:pStyle w:val="Compact"/>
              <w:jc w:val="right"/>
            </w:pPr>
            <w:r>
              <w:t xml:space="preserve">0.919</w:t>
            </w:r>
          </w:p>
        </w:tc>
        <w:tc>
          <w:tcPr>
            <w:tcW w:type="pct" w:w="1000"/>
          </w:tcPr>
          <w:p>
            <w:pPr>
              <w:pStyle w:val="Compact"/>
              <w:jc w:val="right"/>
            </w:pPr>
            <w:r>
              <w:t xml:space="preserve">0.351</w:t>
            </w:r>
          </w:p>
        </w:tc>
        <w:tc>
          <w:tcPr>
            <w:tcW w:type="pct" w:w="1000"/>
          </w:tcPr>
          <w:p>
            <w:pPr>
              <w:pStyle w:val="Compact"/>
              <w:jc w:val="right"/>
            </w:pPr>
            <w:r>
              <w:t xml:space="preserve">-0.568</w:t>
            </w:r>
          </w:p>
        </w:tc>
      </w:tr>
    </w:tbl>
    <w:bookmarkEnd w:id="161"/>
    <w:bookmarkStart w:id="162" w:name="reliability-platt-1"/>
    <w:p>
      <w:pPr>
        <w:pStyle w:val="Heading5"/>
      </w:pPr>
      <w:r>
        <w:t xml:space="preserve">Reliability, Platt</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501</w:t>
            </w:r>
          </w:p>
        </w:tc>
        <w:tc>
          <w:tcPr>
            <w:tcW w:type="pct" w:w="1000"/>
          </w:tcPr>
          <w:p>
            <w:pPr>
              <w:pStyle w:val="Compact"/>
              <w:jc w:val="right"/>
            </w:pPr>
            <w:r>
              <w:t xml:space="preserve">0.184</w:t>
            </w:r>
          </w:p>
        </w:tc>
        <w:tc>
          <w:tcPr>
            <w:tcW w:type="pct" w:w="1000"/>
          </w:tcPr>
          <w:p>
            <w:pPr>
              <w:pStyle w:val="Compact"/>
              <w:jc w:val="right"/>
            </w:pPr>
            <w:r>
              <w:t xml:space="preserve">0.136</w:t>
            </w:r>
          </w:p>
        </w:tc>
        <w:tc>
          <w:tcPr>
            <w:tcW w:type="pct" w:w="1000"/>
          </w:tcPr>
          <w:p>
            <w:pPr>
              <w:pStyle w:val="Compact"/>
              <w:jc w:val="right"/>
            </w:pPr>
            <w:r>
              <w:t xml:space="preserve">-0.048</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13,239</w:t>
            </w:r>
          </w:p>
        </w:tc>
        <w:tc>
          <w:tcPr>
            <w:tcW w:type="pct" w:w="1000"/>
          </w:tcPr>
          <w:p>
            <w:pPr>
              <w:pStyle w:val="Compact"/>
              <w:jc w:val="right"/>
            </w:pPr>
            <w:r>
              <w:t xml:space="preserve">0.260</w:t>
            </w:r>
          </w:p>
        </w:tc>
        <w:tc>
          <w:tcPr>
            <w:tcW w:type="pct" w:w="1000"/>
          </w:tcPr>
          <w:p>
            <w:pPr>
              <w:pStyle w:val="Compact"/>
              <w:jc w:val="right"/>
            </w:pPr>
            <w:r>
              <w:t xml:space="preserve">0.255</w:t>
            </w:r>
          </w:p>
        </w:tc>
        <w:tc>
          <w:tcPr>
            <w:tcW w:type="pct" w:w="1000"/>
          </w:tcPr>
          <w:p>
            <w:pPr>
              <w:pStyle w:val="Compact"/>
              <w:jc w:val="right"/>
            </w:pPr>
            <w:r>
              <w:t xml:space="preserve">-0.005</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4,238</w:t>
            </w:r>
          </w:p>
        </w:tc>
        <w:tc>
          <w:tcPr>
            <w:tcW w:type="pct" w:w="1000"/>
          </w:tcPr>
          <w:p>
            <w:pPr>
              <w:pStyle w:val="Compact"/>
              <w:jc w:val="right"/>
            </w:pPr>
            <w:r>
              <w:t xml:space="preserve">0.328</w:t>
            </w:r>
          </w:p>
        </w:tc>
        <w:tc>
          <w:tcPr>
            <w:tcW w:type="pct" w:w="1000"/>
          </w:tcPr>
          <w:p>
            <w:pPr>
              <w:pStyle w:val="Compact"/>
              <w:jc w:val="right"/>
            </w:pPr>
            <w:r>
              <w:t xml:space="preserve">0.265</w:t>
            </w:r>
          </w:p>
        </w:tc>
        <w:tc>
          <w:tcPr>
            <w:tcW w:type="pct" w:w="1000"/>
          </w:tcPr>
          <w:p>
            <w:pPr>
              <w:pStyle w:val="Compact"/>
              <w:jc w:val="right"/>
            </w:pPr>
            <w:r>
              <w:t xml:space="preserve">-0.063</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588</w:t>
            </w:r>
          </w:p>
        </w:tc>
        <w:tc>
          <w:tcPr>
            <w:tcW w:type="pct" w:w="1000"/>
          </w:tcPr>
          <w:p>
            <w:pPr>
              <w:pStyle w:val="Compact"/>
              <w:jc w:val="right"/>
            </w:pPr>
            <w:r>
              <w:t xml:space="preserve">0.442</w:t>
            </w:r>
          </w:p>
        </w:tc>
        <w:tc>
          <w:tcPr>
            <w:tcW w:type="pct" w:w="1000"/>
          </w:tcPr>
          <w:p>
            <w:pPr>
              <w:pStyle w:val="Compact"/>
              <w:jc w:val="right"/>
            </w:pPr>
            <w:r>
              <w:t xml:space="preserve">0.257</w:t>
            </w:r>
          </w:p>
        </w:tc>
        <w:tc>
          <w:tcPr>
            <w:tcW w:type="pct" w:w="1000"/>
          </w:tcPr>
          <w:p>
            <w:pPr>
              <w:pStyle w:val="Compact"/>
              <w:jc w:val="right"/>
            </w:pPr>
            <w:r>
              <w:t xml:space="preserve">-0.186</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270</w:t>
            </w:r>
          </w:p>
        </w:tc>
        <w:tc>
          <w:tcPr>
            <w:tcW w:type="pct" w:w="1000"/>
          </w:tcPr>
          <w:p>
            <w:pPr>
              <w:pStyle w:val="Compact"/>
              <w:jc w:val="right"/>
            </w:pPr>
            <w:r>
              <w:t xml:space="preserve">0.540</w:t>
            </w:r>
          </w:p>
        </w:tc>
        <w:tc>
          <w:tcPr>
            <w:tcW w:type="pct" w:w="1000"/>
          </w:tcPr>
          <w:p>
            <w:pPr>
              <w:pStyle w:val="Compact"/>
              <w:jc w:val="right"/>
            </w:pPr>
            <w:r>
              <w:t xml:space="preserve">0.204</w:t>
            </w:r>
          </w:p>
        </w:tc>
        <w:tc>
          <w:tcPr>
            <w:tcW w:type="pct" w:w="1000"/>
          </w:tcPr>
          <w:p>
            <w:pPr>
              <w:pStyle w:val="Compact"/>
              <w:jc w:val="right"/>
            </w:pPr>
            <w:r>
              <w:t xml:space="preserve">-0.337</w:t>
            </w:r>
          </w:p>
        </w:tc>
      </w:tr>
      <w:tr>
        <w:trPr>
          <w:trHeight w:hRule="atLeast" w:val="397"/>
        </w:trPr>
        <w:tc>
          <w:tcPr>
            <w:tcW w:type="pct" w:w="1000"/>
          </w:tcPr>
          <w:p>
            <w:pPr>
              <w:pStyle w:val="Compact"/>
            </w:pPr>
            <w:r>
              <w:t xml:space="preserve">0.6-0.7</w:t>
            </w:r>
          </w:p>
        </w:tc>
        <w:tc>
          <w:tcPr>
            <w:tcW w:type="pct" w:w="1000"/>
          </w:tcPr>
          <w:p>
            <w:pPr>
              <w:pStyle w:val="Compact"/>
              <w:jc w:val="right"/>
            </w:pPr>
            <w:r>
              <w:t xml:space="preserve">36</w:t>
            </w:r>
          </w:p>
        </w:tc>
        <w:tc>
          <w:tcPr>
            <w:tcW w:type="pct" w:w="1000"/>
          </w:tcPr>
          <w:p>
            <w:pPr>
              <w:pStyle w:val="Compact"/>
              <w:jc w:val="right"/>
            </w:pPr>
            <w:r>
              <w:t xml:space="preserve">0.623</w:t>
            </w:r>
          </w:p>
        </w:tc>
        <w:tc>
          <w:tcPr>
            <w:tcW w:type="pct" w:w="1000"/>
          </w:tcPr>
          <w:p>
            <w:pPr>
              <w:pStyle w:val="Compact"/>
              <w:jc w:val="right"/>
            </w:pPr>
            <w:r>
              <w:t xml:space="preserve">0.361</w:t>
            </w:r>
          </w:p>
        </w:tc>
        <w:tc>
          <w:tcPr>
            <w:tcW w:type="pct" w:w="1000"/>
          </w:tcPr>
          <w:p>
            <w:pPr>
              <w:pStyle w:val="Compact"/>
              <w:jc w:val="right"/>
            </w:pPr>
            <w:r>
              <w:t xml:space="preserve">-0.262</w:t>
            </w:r>
          </w:p>
        </w:tc>
      </w:tr>
    </w:tbl>
    <w:bookmarkEnd w:id="162"/>
    <w:bookmarkStart w:id="163" w:name="reliability-isotonic-1"/>
    <w:p>
      <w:pPr>
        <w:pStyle w:val="Heading5"/>
      </w:pPr>
      <w:r>
        <w:t xml:space="preserve">Reliability, isotonic</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predicted band</w:t>
            </w:r>
          </w:p>
        </w:tc>
        <w:tc>
          <w:tcPr>
            <w:tcW w:type="pct" w:w="1000"/>
          </w:tcPr>
          <w:p>
            <w:pPr>
              <w:pStyle w:val="Compact"/>
              <w:jc w:val="right"/>
            </w:pPr>
            <w:r>
              <w:rPr>
                <w:b/>
              </w:rPr>
              <w:t xml:space="preserve">n</w:t>
            </w:r>
          </w:p>
        </w:tc>
        <w:tc>
          <w:tcPr>
            <w:tcW w:type="pct" w:w="1000"/>
          </w:tcPr>
          <w:p>
            <w:pPr>
              <w:pStyle w:val="Compact"/>
              <w:jc w:val="right"/>
            </w:pPr>
            <w:r>
              <w:rPr>
                <w:b/>
              </w:rPr>
              <w:t xml:space="preserve">mean predicted</w:t>
            </w:r>
          </w:p>
        </w:tc>
        <w:tc>
          <w:tcPr>
            <w:tcW w:type="pct" w:w="1000"/>
          </w:tcPr>
          <w:p>
            <w:pPr>
              <w:pStyle w:val="Compact"/>
              <w:jc w:val="right"/>
            </w:pPr>
            <w:r>
              <w:rPr>
                <w:b/>
              </w:rPr>
              <w:t xml:space="preserve">observed frequency</w:t>
            </w:r>
          </w:p>
        </w:tc>
        <w:tc>
          <w:tcPr>
            <w:tcW w:type="pct" w:w="1000"/>
          </w:tcPr>
          <w:p>
            <w:pPr>
              <w:pStyle w:val="Compact"/>
              <w:jc w:val="right"/>
            </w:pPr>
            <w:r>
              <w:rPr>
                <w:b/>
              </w:rPr>
              <w:t xml:space="preserve">gap</w:t>
            </w:r>
          </w:p>
        </w:tc>
      </w:tr>
      <w:tr>
        <w:trPr>
          <w:trHeight w:hRule="atLeast" w:val="397"/>
        </w:trPr>
        <w:tc>
          <w:tcPr>
            <w:tcW w:type="pct" w:w="1000"/>
          </w:tcPr>
          <w:p>
            <w:pPr>
              <w:pStyle w:val="Compact"/>
            </w:pPr>
            <w:r>
              <w:t xml:space="preserve">0.0-0.1</w:t>
            </w:r>
          </w:p>
        </w:tc>
        <w:tc>
          <w:tcPr>
            <w:tcW w:type="pct" w:w="1000"/>
          </w:tcPr>
          <w:p>
            <w:pPr>
              <w:pStyle w:val="Compact"/>
              <w:jc w:val="right"/>
            </w:pPr>
            <w:r>
              <w:t xml:space="preserve">58</w:t>
            </w:r>
          </w:p>
        </w:tc>
        <w:tc>
          <w:tcPr>
            <w:tcW w:type="pct" w:w="1000"/>
          </w:tcPr>
          <w:p>
            <w:pPr>
              <w:pStyle w:val="Compact"/>
              <w:jc w:val="right"/>
            </w:pPr>
            <w:r>
              <w:t xml:space="preserve">0.058</w:t>
            </w:r>
          </w:p>
        </w:tc>
        <w:tc>
          <w:tcPr>
            <w:tcW w:type="pct" w:w="1000"/>
          </w:tcPr>
          <w:p>
            <w:pPr>
              <w:pStyle w:val="Compact"/>
              <w:jc w:val="right"/>
            </w:pPr>
            <w:r>
              <w:t xml:space="preserve">0.103</w:t>
            </w:r>
          </w:p>
        </w:tc>
        <w:tc>
          <w:tcPr>
            <w:tcW w:type="pct" w:w="1000"/>
          </w:tcPr>
          <w:p>
            <w:pPr>
              <w:pStyle w:val="Compact"/>
              <w:jc w:val="right"/>
            </w:pPr>
            <w:r>
              <w:t xml:space="preserve">+0.045</w:t>
            </w:r>
          </w:p>
        </w:tc>
      </w:tr>
      <w:tr>
        <w:trPr>
          <w:trHeight w:hRule="atLeast" w:val="397"/>
        </w:trPr>
        <w:tc>
          <w:tcPr>
            <w:tcW w:type="pct" w:w="1000"/>
          </w:tcPr>
          <w:p>
            <w:pPr>
              <w:pStyle w:val="Compact"/>
            </w:pPr>
            <w:r>
              <w:t xml:space="preserve">0.1-0.2</w:t>
            </w:r>
          </w:p>
        </w:tc>
        <w:tc>
          <w:tcPr>
            <w:tcW w:type="pct" w:w="1000"/>
          </w:tcPr>
          <w:p>
            <w:pPr>
              <w:pStyle w:val="Compact"/>
              <w:jc w:val="right"/>
            </w:pPr>
            <w:r>
              <w:t xml:space="preserve">1,026</w:t>
            </w:r>
          </w:p>
        </w:tc>
        <w:tc>
          <w:tcPr>
            <w:tcW w:type="pct" w:w="1000"/>
          </w:tcPr>
          <w:p>
            <w:pPr>
              <w:pStyle w:val="Compact"/>
              <w:jc w:val="right"/>
            </w:pPr>
            <w:r>
              <w:t xml:space="preserve">0.165</w:t>
            </w:r>
          </w:p>
        </w:tc>
        <w:tc>
          <w:tcPr>
            <w:tcW w:type="pct" w:w="1000"/>
          </w:tcPr>
          <w:p>
            <w:pPr>
              <w:pStyle w:val="Compact"/>
              <w:jc w:val="right"/>
            </w:pPr>
            <w:r>
              <w:t xml:space="preserve">0.168</w:t>
            </w:r>
          </w:p>
        </w:tc>
        <w:tc>
          <w:tcPr>
            <w:tcW w:type="pct" w:w="1000"/>
          </w:tcPr>
          <w:p>
            <w:pPr>
              <w:pStyle w:val="Compact"/>
              <w:jc w:val="right"/>
            </w:pPr>
            <w:r>
              <w:t xml:space="preserve">+0.003</w:t>
            </w:r>
          </w:p>
        </w:tc>
      </w:tr>
      <w:tr>
        <w:trPr>
          <w:trHeight w:hRule="atLeast" w:val="397"/>
        </w:trPr>
        <w:tc>
          <w:tcPr>
            <w:tcW w:type="pct" w:w="1000"/>
          </w:tcPr>
          <w:p>
            <w:pPr>
              <w:pStyle w:val="Compact"/>
            </w:pPr>
            <w:r>
              <w:t xml:space="preserve">0.2-0.3</w:t>
            </w:r>
          </w:p>
        </w:tc>
        <w:tc>
          <w:tcPr>
            <w:tcW w:type="pct" w:w="1000"/>
          </w:tcPr>
          <w:p>
            <w:pPr>
              <w:pStyle w:val="Compact"/>
              <w:jc w:val="right"/>
            </w:pPr>
            <w:r>
              <w:t xml:space="preserve">11,037</w:t>
            </w:r>
          </w:p>
        </w:tc>
        <w:tc>
          <w:tcPr>
            <w:tcW w:type="pct" w:w="1000"/>
          </w:tcPr>
          <w:p>
            <w:pPr>
              <w:pStyle w:val="Compact"/>
              <w:jc w:val="right"/>
            </w:pPr>
            <w:r>
              <w:t xml:space="preserve">0.268</w:t>
            </w:r>
          </w:p>
        </w:tc>
        <w:tc>
          <w:tcPr>
            <w:tcW w:type="pct" w:w="1000"/>
          </w:tcPr>
          <w:p>
            <w:pPr>
              <w:pStyle w:val="Compact"/>
              <w:jc w:val="right"/>
            </w:pPr>
            <w:r>
              <w:t xml:space="preserve">0.255</w:t>
            </w:r>
          </w:p>
        </w:tc>
        <w:tc>
          <w:tcPr>
            <w:tcW w:type="pct" w:w="1000"/>
          </w:tcPr>
          <w:p>
            <w:pPr>
              <w:pStyle w:val="Compact"/>
              <w:jc w:val="right"/>
            </w:pPr>
            <w:r>
              <w:t xml:space="preserve">-0.013</w:t>
            </w:r>
          </w:p>
        </w:tc>
      </w:tr>
      <w:tr>
        <w:trPr>
          <w:trHeight w:hRule="atLeast" w:val="397"/>
        </w:trPr>
        <w:tc>
          <w:tcPr>
            <w:tcW w:type="pct" w:w="1000"/>
          </w:tcPr>
          <w:p>
            <w:pPr>
              <w:pStyle w:val="Compact"/>
            </w:pPr>
            <w:r>
              <w:t xml:space="preserve">0.3-0.4</w:t>
            </w:r>
          </w:p>
        </w:tc>
        <w:tc>
          <w:tcPr>
            <w:tcW w:type="pct" w:w="1000"/>
          </w:tcPr>
          <w:p>
            <w:pPr>
              <w:pStyle w:val="Compact"/>
              <w:jc w:val="right"/>
            </w:pPr>
            <w:r>
              <w:t xml:space="preserve">6,298</w:t>
            </w:r>
          </w:p>
        </w:tc>
        <w:tc>
          <w:tcPr>
            <w:tcW w:type="pct" w:w="1000"/>
          </w:tcPr>
          <w:p>
            <w:pPr>
              <w:pStyle w:val="Compact"/>
              <w:jc w:val="right"/>
            </w:pPr>
            <w:r>
              <w:t xml:space="preserve">0.315</w:t>
            </w:r>
          </w:p>
        </w:tc>
        <w:tc>
          <w:tcPr>
            <w:tcW w:type="pct" w:w="1000"/>
          </w:tcPr>
          <w:p>
            <w:pPr>
              <w:pStyle w:val="Compact"/>
              <w:jc w:val="right"/>
            </w:pPr>
            <w:r>
              <w:t xml:space="preserve">0.270</w:t>
            </w:r>
          </w:p>
        </w:tc>
        <w:tc>
          <w:tcPr>
            <w:tcW w:type="pct" w:w="1000"/>
          </w:tcPr>
          <w:p>
            <w:pPr>
              <w:pStyle w:val="Compact"/>
              <w:jc w:val="right"/>
            </w:pPr>
            <w:r>
              <w:t xml:space="preserve">-0.045</w:t>
            </w:r>
          </w:p>
        </w:tc>
      </w:tr>
      <w:tr>
        <w:trPr>
          <w:trHeight w:hRule="atLeast" w:val="397"/>
        </w:trPr>
        <w:tc>
          <w:tcPr>
            <w:tcW w:type="pct" w:w="1000"/>
          </w:tcPr>
          <w:p>
            <w:pPr>
              <w:pStyle w:val="Compact"/>
            </w:pPr>
            <w:r>
              <w:t xml:space="preserve">0.4-0.5</w:t>
            </w:r>
          </w:p>
        </w:tc>
        <w:tc>
          <w:tcPr>
            <w:tcW w:type="pct" w:w="1000"/>
          </w:tcPr>
          <w:p>
            <w:pPr>
              <w:pStyle w:val="Compact"/>
              <w:jc w:val="right"/>
            </w:pPr>
            <w:r>
              <w:t xml:space="preserve">200</w:t>
            </w:r>
          </w:p>
        </w:tc>
        <w:tc>
          <w:tcPr>
            <w:tcW w:type="pct" w:w="1000"/>
          </w:tcPr>
          <w:p>
            <w:pPr>
              <w:pStyle w:val="Compact"/>
              <w:jc w:val="right"/>
            </w:pPr>
            <w:r>
              <w:t xml:space="preserve">0.406</w:t>
            </w:r>
          </w:p>
        </w:tc>
        <w:tc>
          <w:tcPr>
            <w:tcW w:type="pct" w:w="1000"/>
          </w:tcPr>
          <w:p>
            <w:pPr>
              <w:pStyle w:val="Compact"/>
              <w:jc w:val="right"/>
            </w:pPr>
            <w:r>
              <w:t xml:space="preserve">0.190</w:t>
            </w:r>
          </w:p>
        </w:tc>
        <w:tc>
          <w:tcPr>
            <w:tcW w:type="pct" w:w="1000"/>
          </w:tcPr>
          <w:p>
            <w:pPr>
              <w:pStyle w:val="Compact"/>
              <w:jc w:val="right"/>
            </w:pPr>
            <w:r>
              <w:t xml:space="preserve">-0.216</w:t>
            </w:r>
          </w:p>
        </w:tc>
      </w:tr>
      <w:tr>
        <w:trPr>
          <w:trHeight w:hRule="atLeast" w:val="397"/>
        </w:trPr>
        <w:tc>
          <w:tcPr>
            <w:tcW w:type="pct" w:w="1000"/>
          </w:tcPr>
          <w:p>
            <w:pPr>
              <w:pStyle w:val="Compact"/>
            </w:pPr>
            <w:r>
              <w:t xml:space="preserve">0.5-0.6</w:t>
            </w:r>
          </w:p>
        </w:tc>
        <w:tc>
          <w:tcPr>
            <w:tcW w:type="pct" w:w="1000"/>
          </w:tcPr>
          <w:p>
            <w:pPr>
              <w:pStyle w:val="Compact"/>
              <w:jc w:val="right"/>
            </w:pPr>
            <w:r>
              <w:t xml:space="preserve">197</w:t>
            </w:r>
          </w:p>
        </w:tc>
        <w:tc>
          <w:tcPr>
            <w:tcW w:type="pct" w:w="1000"/>
          </w:tcPr>
          <w:p>
            <w:pPr>
              <w:pStyle w:val="Compact"/>
              <w:jc w:val="right"/>
            </w:pPr>
            <w:r>
              <w:t xml:space="preserve">0.545</w:t>
            </w:r>
          </w:p>
        </w:tc>
        <w:tc>
          <w:tcPr>
            <w:tcW w:type="pct" w:w="1000"/>
          </w:tcPr>
          <w:p>
            <w:pPr>
              <w:pStyle w:val="Compact"/>
              <w:jc w:val="right"/>
            </w:pPr>
            <w:r>
              <w:t xml:space="preserve">0.203</w:t>
            </w:r>
          </w:p>
        </w:tc>
        <w:tc>
          <w:tcPr>
            <w:tcW w:type="pct" w:w="1000"/>
          </w:tcPr>
          <w:p>
            <w:pPr>
              <w:pStyle w:val="Compact"/>
              <w:jc w:val="right"/>
            </w:pPr>
            <w:r>
              <w:t xml:space="preserve">-0.342</w:t>
            </w:r>
          </w:p>
        </w:tc>
      </w:tr>
      <w:tr>
        <w:trPr>
          <w:trHeight w:hRule="atLeast" w:val="397"/>
        </w:trPr>
        <w:tc>
          <w:tcPr>
            <w:tcW w:type="pct" w:w="1000"/>
          </w:tcPr>
          <w:p>
            <w:pPr>
              <w:pStyle w:val="Compact"/>
            </w:pPr>
            <w:r>
              <w:t xml:space="preserve">0.6-0.7</w:t>
            </w:r>
          </w:p>
        </w:tc>
        <w:tc>
          <w:tcPr>
            <w:tcW w:type="pct" w:w="1000"/>
          </w:tcPr>
          <w:p>
            <w:pPr>
              <w:pStyle w:val="Compact"/>
              <w:jc w:val="right"/>
            </w:pPr>
            <w:r>
              <w:t xml:space="preserve">20</w:t>
            </w:r>
          </w:p>
        </w:tc>
        <w:tc>
          <w:tcPr>
            <w:tcW w:type="pct" w:w="1000"/>
          </w:tcPr>
          <w:p>
            <w:pPr>
              <w:pStyle w:val="Compact"/>
              <w:jc w:val="right"/>
            </w:pPr>
            <w:r>
              <w:t xml:space="preserve">0.668</w:t>
            </w:r>
          </w:p>
        </w:tc>
        <w:tc>
          <w:tcPr>
            <w:tcW w:type="pct" w:w="1000"/>
          </w:tcPr>
          <w:p>
            <w:pPr>
              <w:pStyle w:val="Compact"/>
              <w:jc w:val="right"/>
            </w:pPr>
            <w:r>
              <w:t xml:space="preserve">0.050</w:t>
            </w:r>
          </w:p>
        </w:tc>
        <w:tc>
          <w:tcPr>
            <w:tcW w:type="pct" w:w="1000"/>
          </w:tcPr>
          <w:p>
            <w:pPr>
              <w:pStyle w:val="Compact"/>
              <w:jc w:val="right"/>
            </w:pPr>
            <w:r>
              <w:t xml:space="preserve">-0.618</w:t>
            </w:r>
          </w:p>
        </w:tc>
      </w:tr>
      <w:tr>
        <w:trPr>
          <w:trHeight w:hRule="atLeast" w:val="397"/>
        </w:trPr>
        <w:tc>
          <w:tcPr>
            <w:tcW w:type="pct" w:w="1000"/>
          </w:tcPr>
          <w:p>
            <w:pPr>
              <w:pStyle w:val="Compact"/>
            </w:pPr>
            <w:r>
              <w:t xml:space="preserve">0.7-0.8</w:t>
            </w:r>
          </w:p>
        </w:tc>
        <w:tc>
          <w:tcPr>
            <w:tcW w:type="pct" w:w="1000"/>
          </w:tcPr>
          <w:p>
            <w:pPr>
              <w:pStyle w:val="Compact"/>
              <w:jc w:val="right"/>
            </w:pPr>
            <w:r>
              <w:t xml:space="preserve">2</w:t>
            </w:r>
          </w:p>
        </w:tc>
        <w:tc>
          <w:tcPr>
            <w:tcW w:type="pct" w:w="1000"/>
          </w:tcPr>
          <w:p>
            <w:pPr>
              <w:pStyle w:val="Compact"/>
              <w:jc w:val="right"/>
            </w:pPr>
            <w:r>
              <w:t xml:space="preserve">0.797</w:t>
            </w:r>
          </w:p>
        </w:tc>
        <w:tc>
          <w:tcPr>
            <w:tcW w:type="pct" w:w="1000"/>
          </w:tcPr>
          <w:p>
            <w:pPr>
              <w:pStyle w:val="Compact"/>
              <w:jc w:val="right"/>
            </w:pPr>
            <w:r>
              <w:t xml:space="preserve">0.500</w:t>
            </w:r>
          </w:p>
        </w:tc>
        <w:tc>
          <w:tcPr>
            <w:tcW w:type="pct" w:w="1000"/>
          </w:tcPr>
          <w:p>
            <w:pPr>
              <w:pStyle w:val="Compact"/>
              <w:jc w:val="right"/>
            </w:pPr>
            <w:r>
              <w:t xml:space="preserve">-0.297</w:t>
            </w:r>
          </w:p>
        </w:tc>
      </w:tr>
      <w:tr>
        <w:trPr>
          <w:trHeight w:hRule="atLeast" w:val="397"/>
        </w:trPr>
        <w:tc>
          <w:tcPr>
            <w:tcW w:type="pct" w:w="1000"/>
          </w:tcPr>
          <w:p>
            <w:pPr>
              <w:pStyle w:val="Compact"/>
            </w:pPr>
            <w:r>
              <w:t xml:space="preserve">0.8-0.9</w:t>
            </w:r>
          </w:p>
        </w:tc>
        <w:tc>
          <w:tcPr>
            <w:tcW w:type="pct" w:w="1000"/>
          </w:tcPr>
          <w:p>
            <w:pPr>
              <w:pStyle w:val="Compact"/>
              <w:jc w:val="right"/>
            </w:pPr>
            <w:r>
              <w:t xml:space="preserve">11</w:t>
            </w:r>
          </w:p>
        </w:tc>
        <w:tc>
          <w:tcPr>
            <w:tcW w:type="pct" w:w="1000"/>
          </w:tcPr>
          <w:p>
            <w:pPr>
              <w:pStyle w:val="Compact"/>
              <w:jc w:val="right"/>
            </w:pPr>
            <w:r>
              <w:t xml:space="preserve">0.854</w:t>
            </w:r>
          </w:p>
        </w:tc>
        <w:tc>
          <w:tcPr>
            <w:tcW w:type="pct" w:w="1000"/>
          </w:tcPr>
          <w:p>
            <w:pPr>
              <w:pStyle w:val="Compact"/>
              <w:jc w:val="right"/>
            </w:pPr>
            <w:r>
              <w:t xml:space="preserve">0.182</w:t>
            </w:r>
          </w:p>
        </w:tc>
        <w:tc>
          <w:tcPr>
            <w:tcW w:type="pct" w:w="1000"/>
          </w:tcPr>
          <w:p>
            <w:pPr>
              <w:pStyle w:val="Compact"/>
              <w:jc w:val="right"/>
            </w:pPr>
            <w:r>
              <w:t xml:space="preserve">-0.672</w:t>
            </w:r>
          </w:p>
        </w:tc>
      </w:tr>
      <w:tr>
        <w:trPr>
          <w:trHeight w:hRule="atLeast" w:val="397"/>
        </w:trPr>
        <w:tc>
          <w:tcPr>
            <w:tcW w:type="pct" w:w="1000"/>
          </w:tcPr>
          <w:p>
            <w:pPr>
              <w:pStyle w:val="Compact"/>
            </w:pPr>
            <w:r>
              <w:t xml:space="preserve">0.9-1.0</w:t>
            </w:r>
          </w:p>
        </w:tc>
        <w:tc>
          <w:tcPr>
            <w:tcW w:type="pct" w:w="1000"/>
          </w:tcPr>
          <w:p>
            <w:pPr>
              <w:pStyle w:val="Compact"/>
              <w:jc w:val="right"/>
            </w:pPr>
            <w:r>
              <w:t xml:space="preserve">23</w:t>
            </w:r>
          </w:p>
        </w:tc>
        <w:tc>
          <w:tcPr>
            <w:tcW w:type="pct" w:w="1000"/>
          </w:tcPr>
          <w:p>
            <w:pPr>
              <w:pStyle w:val="Compact"/>
              <w:jc w:val="right"/>
            </w:pPr>
            <w:r>
              <w:t xml:space="preserve">1.000</w:t>
            </w:r>
          </w:p>
        </w:tc>
        <w:tc>
          <w:tcPr>
            <w:tcW w:type="pct" w:w="1000"/>
          </w:tcPr>
          <w:p>
            <w:pPr>
              <w:pStyle w:val="Compact"/>
              <w:jc w:val="right"/>
            </w:pPr>
            <w:r>
              <w:t xml:space="preserve">0.435</w:t>
            </w:r>
          </w:p>
        </w:tc>
        <w:tc>
          <w:tcPr>
            <w:tcW w:type="pct" w:w="1000"/>
          </w:tcPr>
          <w:p>
            <w:pPr>
              <w:pStyle w:val="Compact"/>
              <w:jc w:val="right"/>
            </w:pPr>
            <w:r>
              <w:t xml:space="preserve">-0.565</w:t>
            </w:r>
          </w:p>
        </w:tc>
      </w:tr>
    </w:tbl>
    <w:bookmarkEnd w:id="163"/>
    <w:bookmarkStart w:id="164" w:name="verdict-1"/>
    <w:p>
      <w:pPr>
        <w:pStyle w:val="Heading5"/>
      </w:pPr>
      <w:r>
        <w:t xml:space="preserve">Verdict</w:t>
      </w:r>
    </w:p>
    <w:p>
      <w:pPr>
        <w:pStyle w:val="FirstParagraph"/>
      </w:pPr>
      <w:r>
        <w:t xml:space="preserve">The raw probabilities carry an expected calibration error of 0.0736 and a maximum of 0.6542. The lowest error after mapping is Platt at 0.0301. Calibration reduces the error by 0.0435 in probability units.</w:t>
      </w:r>
    </w:p>
    <w:p>
      <w:pPr>
        <w:pStyle w:val="BodyText"/>
      </w:pPr>
      <w:r>
        <w:t xml:space="preserve">Calibration is monotone, so it does not change AUC or the order in which trades are ranked. It changes the number a confidence threshold and a Kelly fraction read, which is where a miscalibrated probability does its damage.</w:t>
      </w:r>
    </w:p>
    <w:p>
      <w:pPr>
        <w:pStyle w:val="BodyText"/>
      </w:pPr>
      <w:r>
        <w:t xml:space="preserve">Full reliability tables:</w:t>
      </w:r>
      <w:r>
        <w:t xml:space="preserve"> </w:t>
      </w:r>
      <w:r>
        <w:rPr>
          <w:rStyle w:val="VerbatimChar"/>
        </w:rPr>
        <w:t xml:space="preserve">04-outputs/AA-evals/2026-09-08/calibration-4h-unweighted-20260908.csv</w:t>
      </w:r>
    </w:p>
    <w:bookmarkEnd w:id="164"/>
    <w:bookmarkEnd w:id="165"/>
    <w:p>
      <w:pPr>
        <w:pStyle w:val="BodyText"/>
      </w:pPr>
      <w:r>
        <w:drawing>
          <wp:inline>
            <wp:extent cx="5486400" cy="4572000"/>
            <wp:effectExtent b="0" l="0" r="0" t="0"/>
            <wp:docPr descr="" title="" id="167" name="Picture"/>
            <a:graphic>
              <a:graphicData uri="http://schemas.openxmlformats.org/drawingml/2006/picture">
                <pic:pic>
                  <pic:nvPicPr>
                    <pic:cNvPr descr="trader-workflow_files/figure-docx/cell-56-output-1.png" id="168" name="Picture"/>
                    <pic:cNvPicPr>
                      <a:picLocks noChangeArrowheads="1" noChangeAspect="1"/>
                    </pic:cNvPicPr>
                  </pic:nvPicPr>
                  <pic:blipFill>
                    <a:blip r:embed="rId166"/>
                    <a:stretch>
                      <a:fillRect/>
                    </a:stretch>
                  </pic:blipFill>
                  <pic:spPr bwMode="auto">
                    <a:xfrm>
                      <a:off x="0" y="0"/>
                      <a:ext cx="5486400" cy="4572000"/>
                    </a:xfrm>
                    <a:prstGeom prst="rect">
                      <a:avLst/>
                    </a:prstGeom>
                    <a:noFill/>
                    <a:ln w="9525">
                      <a:noFill/>
                      <a:headEnd/>
                      <a:tailEnd/>
                    </a:ln>
                  </pic:spPr>
                </pic:pic>
              </a:graphicData>
            </a:graphic>
          </wp:inline>
        </w:drawing>
      </w:r>
    </w:p>
    <w:p>
      <w:pPr>
        <w:pStyle w:val="BodyText"/>
      </w:pPr>
      <w:r>
        <w:drawing>
          <wp:inline>
            <wp:extent cx="5486400" cy="4572000"/>
            <wp:effectExtent b="0" l="0" r="0" t="0"/>
            <wp:docPr descr="" title="" id="170" name="Picture"/>
            <a:graphic>
              <a:graphicData uri="http://schemas.openxmlformats.org/drawingml/2006/picture">
                <pic:pic>
                  <pic:nvPicPr>
                    <pic:cNvPr descr="trader-workflow_files/figure-docx/cell-56-output-2.png" id="171" name="Picture"/>
                    <pic:cNvPicPr>
                      <a:picLocks noChangeArrowheads="1" noChangeAspect="1"/>
                    </pic:cNvPicPr>
                  </pic:nvPicPr>
                  <pic:blipFill>
                    <a:blip r:embed="rId169"/>
                    <a:stretch>
                      <a:fillRect/>
                    </a:stretch>
                  </pic:blipFill>
                  <pic:spPr bwMode="auto">
                    <a:xfrm>
                      <a:off x="0" y="0"/>
                      <a:ext cx="5486400" cy="4572000"/>
                    </a:xfrm>
                    <a:prstGeom prst="rect">
                      <a:avLst/>
                    </a:prstGeom>
                    <a:noFill/>
                    <a:ln w="9525">
                      <a:noFill/>
                      <a:headEnd/>
                      <a:tailEnd/>
                    </a:ln>
                  </pic:spPr>
                </pic:pic>
              </a:graphicData>
            </a:graphic>
          </wp:inline>
        </w:drawing>
      </w:r>
    </w:p>
    <w:p>
      <w:pPr>
        <w:pStyle w:val="BodyText"/>
      </w:pPr>
      <w:r>
        <w:t xml:space="preserve">The result is the largest single improvement in the document. On the four-hour frame the raw probabilities carry an expected calibration error of 0.2344: when the estimator states 92.6 per cent the barrier is hit 22.6 per cent of the time, a gap of 70 percentage points, while the observed frequency moves only between 0.148 and 0.283 across the entire predicted range. Platt scaling reduces the error to 0.0295 and the Brier score from 0.2586 to 0.1913.</w:t>
      </w:r>
    </w:p>
    <w:p>
      <w:pPr>
        <w:pStyle w:val="BodyText"/>
      </w:pPr>
      <w:r>
        <w:t xml:space="preserve">The cause is identifiable and it is a choice made in this repository rather than a property of the market. Every estimator in the zoo carries</w:t>
      </w:r>
      <w:r>
        <w:t xml:space="preserve"> </w:t>
      </w:r>
      <w:r>
        <w:rPr>
          <w:rStyle w:val="VerbatimChar"/>
        </w:rPr>
        <w:t xml:space="preserve">class_weight="balanced"</w:t>
      </w:r>
      <w:r>
        <w:t xml:space="preserve">, which reweights the minority class and moves predicted probabilities away from the base rate by construction. Refitting the same estimator unweighted cuts the raw calibration error from 0.2344 to 0.0736 and the Brier score from 0.2586 to 0.2060 before any mapping is applied. Class weighting was therefore costing roughly two thirds of the calibration error and a fifth of the Brier score, on the metric these models are ranked by.</w:t>
      </w:r>
    </w:p>
    <w:p>
      <w:pPr>
        <w:pStyle w:val="BodyText"/>
      </w:pPr>
      <w:r>
        <w:t xml:space="preserve">Resolution is 0.00092 on the balanced fit, near zero. A calibrated probability is not an edge: the mapping corrects what the numbers mean without adding information the model did not have, and the after-fee out-of-sample scoreboard in 3.14 remains the test.</w:t>
      </w:r>
    </w:p>
    <w:bookmarkEnd w:id="172"/>
    <w:bookmarkStart w:id="173" w:name="stability"/>
    <w:p>
      <w:pPr>
        <w:pStyle w:val="Heading3"/>
      </w:pPr>
      <w:r>
        <w:t xml:space="preserve">3.11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which is the expected result for a compounded negative-mean series.</w:t>
      </w:r>
    </w:p>
    <w:p>
      <w:pPr>
        <w:pStyle w:val="SourceCode"/>
      </w:pPr>
      <w:r>
        <w:br/>
      </w:r>
      <w:r>
        <w:rPr>
          <w:rStyle w:val="VerbatimChar"/>
        </w:rPr>
        <w:t xml:space="preserve">=== [1h] Stability Monte Carlo (reusing loaded frame,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-99.7%</w:t>
            </w:r>
          </w:p>
        </w:tc>
        <w:tc>
          <w:tcPr>
            <w:tcW w:type="pct" w:w="1000"/>
          </w:tcPr>
          <w:p>
            <w:pPr>
              <w:pStyle w:val="Compact"/>
            </w:pPr>
            <w:r>
              <w:t xml:space="preserve">-99.9%</w:t>
            </w:r>
          </w:p>
        </w:tc>
        <w:tc>
          <w:tcPr>
            <w:tcW w:type="pct" w:w="1000"/>
          </w:tcPr>
          <w:p>
            <w:pPr>
              <w:pStyle w:val="Compact"/>
            </w:pPr>
            <w:r>
              <w:t xml:space="preserve">-99.7%</w:t>
            </w:r>
          </w:p>
        </w:tc>
        <w:tc>
          <w:tcPr>
            <w:tcW w:type="pct" w:w="1000"/>
          </w:tcPr>
          <w:p>
            <w:pPr>
              <w:pStyle w:val="Compact"/>
            </w:pPr>
            <w:r>
              <w:t xml:space="preserve">-99.0%</w:t>
            </w:r>
          </w:p>
        </w:tc>
      </w:tr>
      <w:tr>
        <w:trPr>
          <w:trHeight w:hRule="atLeast" w:val="397"/>
        </w:trPr>
        <w:tc>
          <w:tcPr>
            <w:tcW w:type="pct" w:w="1000"/>
          </w:tcPr>
          <w:p>
            <w:pPr>
              <w:pStyle w:val="Compact"/>
            </w:pPr>
            <w:r>
              <w:t xml:space="preserve">max drawdown</w:t>
            </w:r>
          </w:p>
        </w:tc>
        <w:tc>
          <w:tcPr>
            <w:tcW w:type="pct" w:w="1000"/>
          </w:tcPr>
          <w:p>
            <w:pPr>
              <w:pStyle w:val="Compact"/>
            </w:pPr>
            <w:r>
              <w:t xml:space="preserve">-99.7%</w:t>
            </w:r>
          </w:p>
        </w:tc>
        <w:tc>
          <w:tcPr>
            <w:tcW w:type="pct" w:w="1000"/>
          </w:tcPr>
          <w:p>
            <w:pPr>
              <w:pStyle w:val="Compact"/>
            </w:pPr>
            <w:r>
              <w:t xml:space="preserve">-99.9%</w:t>
            </w:r>
          </w:p>
        </w:tc>
        <w:tc>
          <w:tcPr>
            <w:tcW w:type="pct" w:w="1000"/>
          </w:tcPr>
          <w:p>
            <w:pPr>
              <w:pStyle w:val="Compact"/>
            </w:pPr>
            <w:r>
              <w:t xml:space="preserve">-99.7%</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-7.38</w:t>
            </w:r>
          </w:p>
        </w:tc>
        <w:tc>
          <w:tcPr>
            <w:tcW w:type="pct" w:w="1000"/>
          </w:tcPr>
          <w:p>
            <w:pPr>
              <w:pStyle w:val="Compact"/>
            </w:pPr>
            <w:r>
              <w:t xml:space="preserve">-9.22</w:t>
            </w:r>
          </w:p>
        </w:tc>
        <w:tc>
          <w:tcPr>
            <w:tcW w:type="pct" w:w="1000"/>
          </w:tcPr>
          <w:p>
            <w:pPr>
              <w:pStyle w:val="Compact"/>
            </w:pPr>
            <w:r>
              <w:t xml:space="preserve">-7.39</w:t>
            </w:r>
          </w:p>
        </w:tc>
        <w:tc>
          <w:tcPr>
            <w:tcW w:type="pct" w:w="1000"/>
          </w:tcPr>
          <w:p>
            <w:pPr>
              <w:pStyle w:val="Compact"/>
            </w:pPr>
            <w:r>
              <w:t xml:space="preserve">-</w:t>
            </w:r>
          </w:p>
        </w:tc>
      </w:tr>
    </w:tbl>
    <w:p>
      <w:pPr>
        <w:pStyle w:val="SourceCode"/>
      </w:pPr>
      <w:r>
        <w:rPr>
          <w:rStyle w:val="VerbatimChar"/>
        </w:rPr>
        <w:t xml:space="preserve">1h trained model (held-out OOS, confident picks): trades 1511  prob(loss) 100.0%  sign-flip p-value 1.0000  -&gt;  FRAGILE</w:t>
      </w:r>
      <w:r>
        <w:br/>
      </w:r>
      <w:r>
        <w:rPr>
          <w:rStyle w:val="VerbatimChar"/>
        </w:rPr>
        <w:t xml:space="preserve">monte carlo record: /Volumes/PortableSSD/Github/day-trader/04-outputs/AA-evals/2026-09-08/monte-carlo-20260908-1h.md</w:t>
      </w:r>
      <w:r>
        <w:br/>
      </w:r>
      <w:r>
        <w:br/>
      </w:r>
      <w:r>
        <w:rPr>
          <w:rStyle w:val="VerbatimChar"/>
        </w:rPr>
        <w:t xml:space="preserve">=== [4h]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-90.3%</w:t>
            </w:r>
          </w:p>
        </w:tc>
        <w:tc>
          <w:tcPr>
            <w:tcW w:type="pct" w:w="1000"/>
          </w:tcPr>
          <w:p>
            <w:pPr>
              <w:pStyle w:val="Compact"/>
            </w:pPr>
            <w:r>
              <w:t xml:space="preserve">-99.2%</w:t>
            </w:r>
          </w:p>
        </w:tc>
        <w:tc>
          <w:tcPr>
            <w:tcW w:type="pct" w:w="1000"/>
          </w:tcPr>
          <w:p>
            <w:pPr>
              <w:pStyle w:val="Compact"/>
            </w:pPr>
            <w:r>
              <w:t xml:space="preserve">-90.3%</w:t>
            </w:r>
          </w:p>
        </w:tc>
        <w:tc>
          <w:tcPr>
            <w:tcW w:type="pct" w:w="1000"/>
          </w:tcPr>
          <w:p>
            <w:pPr>
              <w:pStyle w:val="Compact"/>
            </w:pPr>
            <w:r>
              <w:t xml:space="preserve">+32.9%</w:t>
            </w:r>
          </w:p>
        </w:tc>
      </w:tr>
      <w:tr>
        <w:trPr>
          <w:trHeight w:hRule="atLeast" w:val="397"/>
        </w:trPr>
        <w:tc>
          <w:tcPr>
            <w:tcW w:type="pct" w:w="1000"/>
          </w:tcPr>
          <w:p>
            <w:pPr>
              <w:pStyle w:val="Compact"/>
            </w:pPr>
            <w:r>
              <w:t xml:space="preserve">max drawdown</w:t>
            </w:r>
          </w:p>
        </w:tc>
        <w:tc>
          <w:tcPr>
            <w:tcW w:type="pct" w:w="1000"/>
          </w:tcPr>
          <w:p>
            <w:pPr>
              <w:pStyle w:val="Compact"/>
            </w:pPr>
            <w:r>
              <w:t xml:space="preserve">-99.6%</w:t>
            </w:r>
          </w:p>
        </w:tc>
        <w:tc>
          <w:tcPr>
            <w:tcW w:type="pct" w:w="1000"/>
          </w:tcPr>
          <w:p>
            <w:pPr>
              <w:pStyle w:val="Compact"/>
            </w:pPr>
            <w:r>
              <w:t xml:space="preserve">-99.6%</w:t>
            </w:r>
          </w:p>
        </w:tc>
        <w:tc>
          <w:tcPr>
            <w:tcW w:type="pct" w:w="1000"/>
          </w:tcPr>
          <w:p>
            <w:pPr>
              <w:pStyle w:val="Compact"/>
            </w:pPr>
            <w:r>
              <w:t xml:space="preserve">-95.8%</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-0.65</w:t>
            </w:r>
          </w:p>
        </w:tc>
        <w:tc>
          <w:tcPr>
            <w:tcW w:type="pct" w:w="1000"/>
          </w:tcPr>
          <w:p>
            <w:pPr>
              <w:pStyle w:val="Compact"/>
            </w:pPr>
            <w:r>
              <w:t xml:space="preserve">-2.30</w:t>
            </w:r>
          </w:p>
        </w:tc>
        <w:tc>
          <w:tcPr>
            <w:tcW w:type="pct" w:w="1000"/>
          </w:tcPr>
          <w:p>
            <w:pPr>
              <w:pStyle w:val="Compact"/>
            </w:pPr>
            <w:r>
              <w:t xml:space="preserve">-0.65</w:t>
            </w:r>
          </w:p>
        </w:tc>
        <w:tc>
          <w:tcPr>
            <w:tcW w:type="pct" w:w="1000"/>
          </w:tcPr>
          <w:p>
            <w:pPr>
              <w:pStyle w:val="Compact"/>
            </w:pPr>
            <w:r>
              <w:t xml:space="preserve">-</w:t>
            </w:r>
          </w:p>
        </w:tc>
      </w:tr>
    </w:tbl>
    <w:p>
      <w:pPr>
        <w:pStyle w:val="SourceCode"/>
      </w:pPr>
      <w:r>
        <w:rPr>
          <w:rStyle w:val="VerbatimChar"/>
        </w:rPr>
        <w:t xml:space="preserve">4h trained model (held-out OOS, confident picks): trades 2010  prob(loss) 92.7%  sign-flip p-value 0.7403  -&gt;  FRAGILE</w:t>
      </w:r>
      <w:r>
        <w:br/>
      </w:r>
      <w:r>
        <w:rPr>
          <w:rStyle w:val="VerbatimChar"/>
        </w:rPr>
        <w:t xml:space="preserve">monte carlo record: /Volumes/PortableSSD/Github/day-trader/04-outputs/AA-evals/2026-09-08/monte-carlo-20260908-4h.md</w:t>
      </w:r>
      <w:r>
        <w:br/>
      </w:r>
      <w:r>
        <w:br/>
      </w:r>
      <w:r>
        <w:rPr>
          <w:rStyle w:val="VerbatimChar"/>
        </w:rPr>
        <w:t xml:space="preserve">=== [5m] Stability Monte Carlo (loaded from disk, 150,000 rows) ===</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p>
        </w:tc>
        <w:tc>
          <w:tcPr>
            <w:tcW w:type="pct" w:w="1000"/>
          </w:tcPr>
          <w:p>
            <w:pPr>
              <w:pStyle w:val="Compact"/>
            </w:pPr>
            <w:r>
              <w:rPr>
                <w:b/>
              </w:rPr>
              <w:t xml:space="preserve">actual</w:t>
            </w:r>
          </w:p>
        </w:tc>
        <w:tc>
          <w:tcPr>
            <w:tcW w:type="pct" w:w="1000"/>
          </w:tcPr>
          <w:p>
            <w:pPr>
              <w:pStyle w:val="Compact"/>
            </w:pPr>
            <w:r>
              <w:rPr>
                <w:b/>
              </w:rPr>
              <w:t xml:space="preserve">P5 (worst)</w:t>
            </w:r>
          </w:p>
        </w:tc>
        <w:tc>
          <w:tcPr>
            <w:tcW w:type="pct" w:w="1000"/>
          </w:tcPr>
          <w:p>
            <w:pPr>
              <w:pStyle w:val="Compact"/>
            </w:pPr>
            <w:r>
              <w:rPr>
                <w:b/>
              </w:rPr>
              <w:t xml:space="preserve">median</w:t>
            </w:r>
          </w:p>
        </w:tc>
        <w:tc>
          <w:tcPr>
            <w:tcW w:type="pct" w:w="1000"/>
          </w:tcPr>
          <w:p>
            <w:pPr>
              <w:pStyle w:val="Compact"/>
            </w:pPr>
            <w:r>
              <w:rPr>
                <w:b/>
              </w:rPr>
              <w:t xml:space="preserve">P95</w:t>
            </w:r>
          </w:p>
        </w:tc>
      </w:tr>
      <w:tr>
        <w:trPr>
          <w:trHeight w:hRule="atLeast" w:val="397"/>
        </w:trPr>
        <w:tc>
          <w:tcPr>
            <w:tcW w:type="pct" w:w="1000"/>
          </w:tcPr>
          <w:p>
            <w:pPr>
              <w:pStyle w:val="Compact"/>
            </w:pPr>
            <w:r>
              <w:t xml:space="preserve">total return</w:t>
            </w:r>
          </w:p>
        </w:tc>
        <w:tc>
          <w:tcPr>
            <w:tcW w:type="pct" w:w="1000"/>
          </w:tcPr>
          <w:p>
            <w:pPr>
              <w:pStyle w:val="Compact"/>
            </w:pPr>
            <w:r>
              <w:t xml:space="preserve">-41.8%</w:t>
            </w:r>
          </w:p>
        </w:tc>
        <w:tc>
          <w:tcPr>
            <w:tcW w:type="pct" w:w="1000"/>
          </w:tcPr>
          <w:p>
            <w:pPr>
              <w:pStyle w:val="Compact"/>
            </w:pPr>
            <w:r>
              <w:t xml:space="preserve">-51.2%</w:t>
            </w:r>
          </w:p>
        </w:tc>
        <w:tc>
          <w:tcPr>
            <w:tcW w:type="pct" w:w="1000"/>
          </w:tcPr>
          <w:p>
            <w:pPr>
              <w:pStyle w:val="Compact"/>
            </w:pPr>
            <w:r>
              <w:t xml:space="preserve">-41.8%</w:t>
            </w:r>
          </w:p>
        </w:tc>
        <w:tc>
          <w:tcPr>
            <w:tcW w:type="pct" w:w="1000"/>
          </w:tcPr>
          <w:p>
            <w:pPr>
              <w:pStyle w:val="Compact"/>
            </w:pPr>
            <w:r>
              <w:t xml:space="preserve">-30.3%</w:t>
            </w:r>
          </w:p>
        </w:tc>
      </w:tr>
      <w:tr>
        <w:trPr>
          <w:trHeight w:hRule="atLeast" w:val="397"/>
        </w:trPr>
        <w:tc>
          <w:tcPr>
            <w:tcW w:type="pct" w:w="1000"/>
          </w:tcPr>
          <w:p>
            <w:pPr>
              <w:pStyle w:val="Compact"/>
            </w:pPr>
            <w:r>
              <w:t xml:space="preserve">max drawdown</w:t>
            </w:r>
          </w:p>
        </w:tc>
        <w:tc>
          <w:tcPr>
            <w:tcW w:type="pct" w:w="1000"/>
          </w:tcPr>
          <w:p>
            <w:pPr>
              <w:pStyle w:val="Compact"/>
            </w:pPr>
            <w:r>
              <w:t xml:space="preserve">-43.4%</w:t>
            </w:r>
          </w:p>
        </w:tc>
        <w:tc>
          <w:tcPr>
            <w:tcW w:type="pct" w:w="1000"/>
          </w:tcPr>
          <w:p>
            <w:pPr>
              <w:pStyle w:val="Compact"/>
            </w:pPr>
            <w:r>
              <w:t xml:space="preserve">-51.8%</w:t>
            </w:r>
          </w:p>
        </w:tc>
        <w:tc>
          <w:tcPr>
            <w:tcW w:type="pct" w:w="1000"/>
          </w:tcPr>
          <w:p>
            <w:pPr>
              <w:pStyle w:val="Compact"/>
            </w:pPr>
            <w:r>
              <w:t xml:space="preserve">-42.7%</w:t>
            </w:r>
          </w:p>
        </w:tc>
        <w:tc>
          <w:tcPr>
            <w:tcW w:type="pct" w:w="1000"/>
          </w:tcPr>
          <w:p>
            <w:pPr>
              <w:pStyle w:val="Compact"/>
            </w:pPr>
            <w:r>
              <w:t xml:space="preserve">-</w:t>
            </w:r>
          </w:p>
        </w:tc>
      </w:tr>
      <w:tr>
        <w:trPr>
          <w:trHeight w:hRule="atLeast" w:val="397"/>
        </w:trPr>
        <w:tc>
          <w:tcPr>
            <w:tcW w:type="pct" w:w="1000"/>
          </w:tcPr>
          <w:p>
            <w:pPr>
              <w:pStyle w:val="Compact"/>
            </w:pPr>
            <w:r>
              <w:t xml:space="preserve">Sharpe</w:t>
            </w:r>
          </w:p>
        </w:tc>
        <w:tc>
          <w:tcPr>
            <w:tcW w:type="pct" w:w="1000"/>
          </w:tcPr>
          <w:p>
            <w:pPr>
              <w:pStyle w:val="Compact"/>
            </w:pPr>
            <w:r>
              <w:t xml:space="preserve">-4.84</w:t>
            </w:r>
          </w:p>
        </w:tc>
        <w:tc>
          <w:tcPr>
            <w:tcW w:type="pct" w:w="1000"/>
          </w:tcPr>
          <w:p>
            <w:pPr>
              <w:pStyle w:val="Compact"/>
            </w:pPr>
            <w:r>
              <w:t xml:space="preserve">-6.85</w:t>
            </w:r>
          </w:p>
        </w:tc>
        <w:tc>
          <w:tcPr>
            <w:tcW w:type="pct" w:w="1000"/>
          </w:tcPr>
          <w:p>
            <w:pPr>
              <w:pStyle w:val="Compact"/>
            </w:pPr>
            <w:r>
              <w:t xml:space="preserve">-4.86</w:t>
            </w:r>
          </w:p>
        </w:tc>
        <w:tc>
          <w:tcPr>
            <w:tcW w:type="pct" w:w="1000"/>
          </w:tcPr>
          <w:p>
            <w:pPr>
              <w:pStyle w:val="Compact"/>
            </w:pPr>
            <w:r>
              <w:t xml:space="preserve">-</w:t>
            </w:r>
          </w:p>
        </w:tc>
      </w:tr>
    </w:tbl>
    <w:p>
      <w:pPr>
        <w:pStyle w:val="SourceCode"/>
      </w:pPr>
      <w:r>
        <w:rPr>
          <w:rStyle w:val="VerbatimChar"/>
        </w:rPr>
        <w:t xml:space="preserve">5m trained model (held-out OOS, confident picks): trades 398  prob(loss) 100.0%  sign-flip p-value 1.0000  -&gt;  FRAGILE</w:t>
      </w:r>
      <w:r>
        <w:br/>
      </w:r>
      <w:r>
        <w:rPr>
          <w:rStyle w:val="VerbatimChar"/>
        </w:rPr>
        <w:t xml:space="preserve">monte carlo record: /Volumes/PortableSSD/Github/day-trader/04-outputs/AA-evals/2026-09-08/monte-carlo-20260908-5m.md</w:t>
      </w:r>
    </w:p>
    <w:bookmarkEnd w:id="173"/>
    <w:bookmarkStart w:id="195" w:name="edge-diagnostics"/>
    <w:p>
      <w:pPr>
        <w:pStyle w:val="Heading3"/>
      </w:pPr>
      <w:r>
        <w:t xml:space="preserve">3.12 Edge Diagnostics</w:t>
      </w:r>
    </w:p>
    <w:p>
      <w:pPr>
        <w:pStyle w:val="FirstParagraph"/>
      </w:pPr>
      <w:r>
        <w:t xml:space="preserve">Why the scoreboard returns NO-GO, in three diagnostics plus an out-of-sample selectivity test, run per frame. Q1 asks whether a pre-cost edge exists at all against a base-rate coin flip and a one-bar persistence rule. Q5 asks whether any edge is stable across eras or an artifact of one regime. Q6 sweeps the confidence threshold to test whether selectivity raises expectancy. The out-of-sample selectivity test then chooses the threshold on train and scores it once on the blind year, so a thin in-sample peak cannot pass. The verdict is a real floor rather than a leakage artefact; the leakage audit is clean.</w:t>
      </w:r>
    </w:p>
    <w:p>
      <w:pPr>
        <w:pStyle w:val="SourceCode"/>
      </w:pPr>
      <w:r>
        <w:rPr>
          <w:rStyle w:val="VerbatimChar"/>
        </w:rPr>
        <w:t xml:space="preserve">RECOMPUTE off -- showing the latest persisted records (3 of 10):</w:t>
      </w:r>
    </w:p>
    <w:bookmarkStart w:id="180" w:name="Xb684fe911dcc36b1d62bbf740bd28f3b07f713d"/>
    <w:p>
      <w:pPr>
        <w:pStyle w:val="Heading4"/>
      </w:pPr>
      <w:r>
        <w:t xml:space="preserve">Edge diagnostics (2026-09-07) – 1d all-market</w:t>
      </w:r>
    </w:p>
    <w:bookmarkStart w:id="174" w:name="q1.-pre-cost-edge-held-out-fees-stripped"/>
    <w:p>
      <w:pPr>
        <w:pStyle w:val="Heading5"/>
      </w:pPr>
      <w:r>
        <w:t xml:space="preserve">Q1. Pre-cost edge (held-out, fees stripped)</w:t>
      </w:r>
    </w:p>
    <w:p>
      <w:pPr>
        <w:pStyle w:val="Compact"/>
        <w:numPr>
          <w:ilvl w:val="0"/>
          <w:numId w:val="1002"/>
        </w:numPr>
      </w:pPr>
      <w:r>
        <w:t xml:space="preserve">base rate 0.147 (majority-class accuracy 0.853, informational only)</w:t>
      </w:r>
    </w:p>
    <w:p>
      <w:pPr>
        <w:pStyle w:val="Compact"/>
        <w:numPr>
          <w:ilvl w:val="0"/>
          <w:numId w:val="1002"/>
        </w:numPr>
      </w:pPr>
      <w:r>
        <w:t xml:space="preserve">model: AUC 0.530 (vs 0.50), accuracy 0.657</w:t>
      </w:r>
    </w:p>
    <w:p>
      <w:pPr>
        <w:pStyle w:val="Compact"/>
        <w:numPr>
          <w:ilvl w:val="0"/>
          <w:numId w:val="1002"/>
        </w:numPr>
      </w:pPr>
      <w:r>
        <w:t xml:space="preserve">model picks: precision 0.167 vs base 0.147 -&gt; beats the real balance: True</w:t>
      </w:r>
    </w:p>
    <w:p>
      <w:pPr>
        <w:pStyle w:val="Compact"/>
        <w:numPr>
          <w:ilvl w:val="0"/>
          <w:numId w:val="1002"/>
        </w:numPr>
      </w:pPr>
      <w:r>
        <w:t xml:space="preserve">1-bar persistence baseline: precision 0.159, pre-cost -2.299%/trade</w:t>
      </w:r>
    </w:p>
    <w:p>
      <w:pPr>
        <w:pStyle w:val="Compact"/>
        <w:numPr>
          <w:ilvl w:val="0"/>
          <w:numId w:val="1002"/>
        </w:numPr>
      </w:pPr>
      <w:r>
        <w:t xml:space="preserve">model pre-cost mean return per acted trade -1.150% on 418 trades; after-cost -1.350% (cost 0.20% round trip)</w:t>
      </w:r>
    </w:p>
    <w:p>
      <w:pPr>
        <w:pStyle w:val="Compact"/>
        <w:numPr>
          <w:ilvl w:val="0"/>
          <w:numId w:val="1002"/>
        </w:numPr>
      </w:pPr>
      <w:r>
        <w:rPr>
          <w:b/>
          <w:bCs/>
        </w:rPr>
        <w:t xml:space="preserve">gate: FAIL - no pre-cost edge; the problem is features/architecture, not costs</w:t>
      </w:r>
      <w:r>
        <w:t xml:space="preserve"> </w:t>
      </w:r>
      <w:r>
        <w:t xml:space="preserve">(beats base False, beats persistence True)</w:t>
      </w:r>
    </w:p>
    <w:bookmarkEnd w:id="174"/>
    <w:bookmarkStart w:id="175" w:name="X3c3faebc208caeffd750fcd2d6ca929f0d29dd9"/>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1,142</w:t>
            </w:r>
          </w:p>
        </w:tc>
        <w:tc>
          <w:tcPr>
            <w:tcW w:type="pct" w:w="1250"/>
          </w:tcPr>
          <w:p>
            <w:pPr>
              <w:pStyle w:val="Compact"/>
            </w:pPr>
            <w:r>
              <w:t xml:space="preserve">-1.849%</w:t>
            </w:r>
          </w:p>
        </w:tc>
        <w:tc>
          <w:tcPr>
            <w:tcW w:type="pct" w:w="1250"/>
          </w:tcPr>
          <w:p>
            <w:pPr>
              <w:pStyle w:val="Compact"/>
            </w:pPr>
            <w:r>
              <w:t xml:space="preserve">0.22</w:t>
            </w:r>
          </w:p>
        </w:tc>
      </w:tr>
      <w:tr>
        <w:trPr>
          <w:trHeight w:hRule="atLeast" w:val="397"/>
        </w:trPr>
        <w:tc>
          <w:tcPr>
            <w:tcW w:type="pct" w:w="1250"/>
          </w:tcPr>
          <w:p>
            <w:pPr>
              <w:pStyle w:val="Compact"/>
            </w:pPr>
            <w:r>
              <w:t xml:space="preserve">2023-24 recovery</w:t>
            </w:r>
          </w:p>
        </w:tc>
        <w:tc>
          <w:tcPr>
            <w:tcW w:type="pct" w:w="1250"/>
          </w:tcPr>
          <w:p>
            <w:pPr>
              <w:pStyle w:val="Compact"/>
            </w:pPr>
            <w:r>
              <w:t xml:space="preserve">306</w:t>
            </w:r>
          </w:p>
        </w:tc>
        <w:tc>
          <w:tcPr>
            <w:tcW w:type="pct" w:w="1250"/>
          </w:tcPr>
          <w:p>
            <w:pPr>
              <w:pStyle w:val="Compact"/>
            </w:pPr>
            <w:r>
              <w:t xml:space="preserve">-0.043%</w:t>
            </w:r>
          </w:p>
        </w:tc>
        <w:tc>
          <w:tcPr>
            <w:tcW w:type="pct" w:w="1250"/>
          </w:tcPr>
          <w:p>
            <w:pPr>
              <w:pStyle w:val="Compact"/>
            </w:pPr>
            <w:r>
              <w:t xml:space="preserve">0.34</w:t>
            </w:r>
          </w:p>
        </w:tc>
      </w:tr>
      <w:tr>
        <w:trPr>
          <w:trHeight w:hRule="atLeast" w:val="397"/>
        </w:trPr>
        <w:tc>
          <w:tcPr>
            <w:tcW w:type="pct" w:w="1250"/>
          </w:tcPr>
          <w:p>
            <w:pPr>
              <w:pStyle w:val="Compact"/>
            </w:pPr>
            <w:r>
              <w:t xml:space="preserve">2025-26 recent</w:t>
            </w:r>
          </w:p>
        </w:tc>
        <w:tc>
          <w:tcPr>
            <w:tcW w:type="pct" w:w="1250"/>
          </w:tcPr>
          <w:p>
            <w:pPr>
              <w:pStyle w:val="Compact"/>
            </w:pPr>
            <w:r>
              <w:t xml:space="preserve">606</w:t>
            </w:r>
          </w:p>
        </w:tc>
        <w:tc>
          <w:tcPr>
            <w:tcW w:type="pct" w:w="1250"/>
          </w:tcPr>
          <w:p>
            <w:pPr>
              <w:pStyle w:val="Compact"/>
            </w:pPr>
            <w:r>
              <w:t xml:space="preserve">-0.473%</w:t>
            </w:r>
          </w:p>
        </w:tc>
        <w:tc>
          <w:tcPr>
            <w:tcW w:type="pct" w:w="1250"/>
          </w:tcPr>
          <w:p>
            <w:pPr>
              <w:pStyle w:val="Compact"/>
            </w:pPr>
            <w:r>
              <w:t xml:space="preserve">0.27</w:t>
            </w:r>
          </w:p>
        </w:tc>
      </w:tr>
    </w:tbl>
    <w:bookmarkEnd w:id="175"/>
    <w:bookmarkStart w:id="179" w:name="X58eeebe89fbe6a573544a8a00f0e07f7d81b22d"/>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77" name="Picture"/>
            <a:graphic>
              <a:graphicData uri="http://schemas.openxmlformats.org/drawingml/2006/picture">
                <pic:pic>
                  <pic:nvPicPr>
                    <pic:cNvPr descr="file:///Volumes/PortableSSD/Github/day-trader/04-outputs/AA-evals/2026-09-07/edge-diagnostics-selectivity-1d-20260907.png" id="178" name="Picture"/>
                    <pic:cNvPicPr>
                      <a:picLocks noChangeArrowheads="1" noChangeAspect="1"/>
                    </pic:cNvPicPr>
                  </pic:nvPicPr>
                  <pic:blipFill>
                    <a:blip r:embed="rId17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4,204</w:t>
            </w:r>
          </w:p>
        </w:tc>
        <w:tc>
          <w:tcPr>
            <w:tcW w:type="pct" w:w="1000"/>
          </w:tcPr>
          <w:p>
            <w:pPr>
              <w:pStyle w:val="Compact"/>
            </w:pPr>
            <w:r>
              <w:t xml:space="preserve">-1.151%</w:t>
            </w:r>
          </w:p>
        </w:tc>
        <w:tc>
          <w:tcPr>
            <w:tcW w:type="pct" w:w="1000"/>
          </w:tcPr>
          <w:p>
            <w:pPr>
              <w:pStyle w:val="Compact"/>
            </w:pPr>
            <w:r>
              <w:t xml:space="preserve">-4838.3%</w:t>
            </w:r>
          </w:p>
        </w:tc>
        <w:tc>
          <w:tcPr>
            <w:tcW w:type="pct" w:w="1000"/>
          </w:tcPr>
          <w:p>
            <w:pPr>
              <w:pStyle w:val="Compact"/>
            </w:pPr>
            <w:r>
              <w:t xml:space="preserve">0.26</w:t>
            </w:r>
          </w:p>
        </w:tc>
      </w:tr>
      <w:tr>
        <w:trPr>
          <w:trHeight w:hRule="atLeast" w:val="397"/>
        </w:trPr>
        <w:tc>
          <w:tcPr>
            <w:tcW w:type="pct" w:w="1000"/>
          </w:tcPr>
          <w:p>
            <w:pPr>
              <w:pStyle w:val="Compact"/>
            </w:pPr>
            <w:r>
              <w:t xml:space="preserve">0.491</w:t>
            </w:r>
          </w:p>
        </w:tc>
        <w:tc>
          <w:tcPr>
            <w:tcW w:type="pct" w:w="1000"/>
          </w:tcPr>
          <w:p>
            <w:pPr>
              <w:pStyle w:val="Compact"/>
            </w:pPr>
            <w:r>
              <w:t xml:space="preserve">3,513</w:t>
            </w:r>
          </w:p>
        </w:tc>
        <w:tc>
          <w:tcPr>
            <w:tcW w:type="pct" w:w="1000"/>
          </w:tcPr>
          <w:p>
            <w:pPr>
              <w:pStyle w:val="Compact"/>
            </w:pPr>
            <w:r>
              <w:t xml:space="preserve">-1.005%</w:t>
            </w:r>
          </w:p>
        </w:tc>
        <w:tc>
          <w:tcPr>
            <w:tcW w:type="pct" w:w="1000"/>
          </w:tcPr>
          <w:p>
            <w:pPr>
              <w:pStyle w:val="Compact"/>
            </w:pPr>
            <w:r>
              <w:t xml:space="preserve">-3528.9%</w:t>
            </w:r>
          </w:p>
        </w:tc>
        <w:tc>
          <w:tcPr>
            <w:tcW w:type="pct" w:w="1000"/>
          </w:tcPr>
          <w:p>
            <w:pPr>
              <w:pStyle w:val="Compact"/>
            </w:pPr>
            <w:r>
              <w:t xml:space="preserve">0.27</w:t>
            </w:r>
          </w:p>
        </w:tc>
      </w:tr>
      <w:tr>
        <w:trPr>
          <w:trHeight w:hRule="atLeast" w:val="397"/>
        </w:trPr>
        <w:tc>
          <w:tcPr>
            <w:tcW w:type="pct" w:w="1000"/>
          </w:tcPr>
          <w:p>
            <w:pPr>
              <w:pStyle w:val="Compact"/>
            </w:pPr>
            <w:r>
              <w:t xml:space="preserve">0.532</w:t>
            </w:r>
          </w:p>
        </w:tc>
        <w:tc>
          <w:tcPr>
            <w:tcW w:type="pct" w:w="1000"/>
          </w:tcPr>
          <w:p>
            <w:pPr>
              <w:pStyle w:val="Compact"/>
            </w:pPr>
            <w:r>
              <w:t xml:space="preserve">2,879</w:t>
            </w:r>
          </w:p>
        </w:tc>
        <w:tc>
          <w:tcPr>
            <w:tcW w:type="pct" w:w="1000"/>
          </w:tcPr>
          <w:p>
            <w:pPr>
              <w:pStyle w:val="Compact"/>
            </w:pPr>
            <w:r>
              <w:t xml:space="preserve">-1.021%</w:t>
            </w:r>
          </w:p>
        </w:tc>
        <w:tc>
          <w:tcPr>
            <w:tcW w:type="pct" w:w="1000"/>
          </w:tcPr>
          <w:p>
            <w:pPr>
              <w:pStyle w:val="Compact"/>
            </w:pPr>
            <w:r>
              <w:t xml:space="preserve">-2939.6%</w:t>
            </w:r>
          </w:p>
        </w:tc>
        <w:tc>
          <w:tcPr>
            <w:tcW w:type="pct" w:w="1000"/>
          </w:tcPr>
          <w:p>
            <w:pPr>
              <w:pStyle w:val="Compact"/>
            </w:pPr>
            <w:r>
              <w:t xml:space="preserve">0.26</w:t>
            </w:r>
          </w:p>
        </w:tc>
      </w:tr>
      <w:tr>
        <w:trPr>
          <w:trHeight w:hRule="atLeast" w:val="397"/>
        </w:trPr>
        <w:tc>
          <w:tcPr>
            <w:tcW w:type="pct" w:w="1000"/>
          </w:tcPr>
          <w:p>
            <w:pPr>
              <w:pStyle w:val="Compact"/>
            </w:pPr>
            <w:r>
              <w:t xml:space="preserve">0.573</w:t>
            </w:r>
          </w:p>
        </w:tc>
        <w:tc>
          <w:tcPr>
            <w:tcW w:type="pct" w:w="1000"/>
          </w:tcPr>
          <w:p>
            <w:pPr>
              <w:pStyle w:val="Compact"/>
            </w:pPr>
            <w:r>
              <w:t xml:space="preserve">2,360</w:t>
            </w:r>
          </w:p>
        </w:tc>
        <w:tc>
          <w:tcPr>
            <w:tcW w:type="pct" w:w="1000"/>
          </w:tcPr>
          <w:p>
            <w:pPr>
              <w:pStyle w:val="Compact"/>
            </w:pPr>
            <w:r>
              <w:t xml:space="preserve">-1.060%</w:t>
            </w:r>
          </w:p>
        </w:tc>
        <w:tc>
          <w:tcPr>
            <w:tcW w:type="pct" w:w="1000"/>
          </w:tcPr>
          <w:p>
            <w:pPr>
              <w:pStyle w:val="Compact"/>
            </w:pPr>
            <w:r>
              <w:t xml:space="preserve">-2502.0%</w:t>
            </w:r>
          </w:p>
        </w:tc>
        <w:tc>
          <w:tcPr>
            <w:tcW w:type="pct" w:w="1000"/>
          </w:tcPr>
          <w:p>
            <w:pPr>
              <w:pStyle w:val="Compact"/>
            </w:pPr>
            <w:r>
              <w:t xml:space="preserve">0.26</w:t>
            </w:r>
          </w:p>
        </w:tc>
      </w:tr>
      <w:tr>
        <w:trPr>
          <w:trHeight w:hRule="atLeast" w:val="397"/>
        </w:trPr>
        <w:tc>
          <w:tcPr>
            <w:tcW w:type="pct" w:w="1000"/>
          </w:tcPr>
          <w:p>
            <w:pPr>
              <w:pStyle w:val="Compact"/>
            </w:pPr>
            <w:r>
              <w:t xml:space="preserve">0.614</w:t>
            </w:r>
          </w:p>
        </w:tc>
        <w:tc>
          <w:tcPr>
            <w:tcW w:type="pct" w:w="1000"/>
          </w:tcPr>
          <w:p>
            <w:pPr>
              <w:pStyle w:val="Compact"/>
            </w:pPr>
            <w:r>
              <w:t xml:space="preserve">1,926</w:t>
            </w:r>
          </w:p>
        </w:tc>
        <w:tc>
          <w:tcPr>
            <w:tcW w:type="pct" w:w="1000"/>
          </w:tcPr>
          <w:p>
            <w:pPr>
              <w:pStyle w:val="Compact"/>
            </w:pPr>
            <w:r>
              <w:t xml:space="preserve">-1.132%</w:t>
            </w:r>
          </w:p>
        </w:tc>
        <w:tc>
          <w:tcPr>
            <w:tcW w:type="pct" w:w="1000"/>
          </w:tcPr>
          <w:p>
            <w:pPr>
              <w:pStyle w:val="Compact"/>
            </w:pPr>
            <w:r>
              <w:t xml:space="preserve">-2180.1%</w:t>
            </w:r>
          </w:p>
        </w:tc>
        <w:tc>
          <w:tcPr>
            <w:tcW w:type="pct" w:w="1000"/>
          </w:tcPr>
          <w:p>
            <w:pPr>
              <w:pStyle w:val="Compact"/>
            </w:pPr>
            <w:r>
              <w:t xml:space="preserve">0.26</w:t>
            </w:r>
          </w:p>
        </w:tc>
      </w:tr>
      <w:tr>
        <w:trPr>
          <w:trHeight w:hRule="atLeast" w:val="397"/>
        </w:trPr>
        <w:tc>
          <w:tcPr>
            <w:tcW w:type="pct" w:w="1000"/>
          </w:tcPr>
          <w:p>
            <w:pPr>
              <w:pStyle w:val="Compact"/>
            </w:pPr>
            <w:r>
              <w:t xml:space="preserve">0.655</w:t>
            </w:r>
          </w:p>
        </w:tc>
        <w:tc>
          <w:tcPr>
            <w:tcW w:type="pct" w:w="1000"/>
          </w:tcPr>
          <w:p>
            <w:pPr>
              <w:pStyle w:val="Compact"/>
            </w:pPr>
            <w:r>
              <w:t xml:space="preserve">1,568</w:t>
            </w:r>
          </w:p>
        </w:tc>
        <w:tc>
          <w:tcPr>
            <w:tcW w:type="pct" w:w="1000"/>
          </w:tcPr>
          <w:p>
            <w:pPr>
              <w:pStyle w:val="Compact"/>
            </w:pPr>
            <w:r>
              <w:t xml:space="preserve">-1.291%</w:t>
            </w:r>
          </w:p>
        </w:tc>
        <w:tc>
          <w:tcPr>
            <w:tcW w:type="pct" w:w="1000"/>
          </w:tcPr>
          <w:p>
            <w:pPr>
              <w:pStyle w:val="Compact"/>
            </w:pPr>
            <w:r>
              <w:t xml:space="preserve">-2023.6%</w:t>
            </w:r>
          </w:p>
        </w:tc>
        <w:tc>
          <w:tcPr>
            <w:tcW w:type="pct" w:w="1000"/>
          </w:tcPr>
          <w:p>
            <w:pPr>
              <w:pStyle w:val="Compact"/>
            </w:pPr>
            <w:r>
              <w:t xml:space="preserve">0.25</w:t>
            </w:r>
          </w:p>
        </w:tc>
      </w:tr>
      <w:tr>
        <w:trPr>
          <w:trHeight w:hRule="atLeast" w:val="397"/>
        </w:trPr>
        <w:tc>
          <w:tcPr>
            <w:tcW w:type="pct" w:w="1000"/>
          </w:tcPr>
          <w:p>
            <w:pPr>
              <w:pStyle w:val="Compact"/>
            </w:pPr>
            <w:r>
              <w:t xml:space="preserve">0.695</w:t>
            </w:r>
          </w:p>
        </w:tc>
        <w:tc>
          <w:tcPr>
            <w:tcW w:type="pct" w:w="1000"/>
          </w:tcPr>
          <w:p>
            <w:pPr>
              <w:pStyle w:val="Compact"/>
            </w:pPr>
            <w:r>
              <w:t xml:space="preserve">1,232</w:t>
            </w:r>
          </w:p>
        </w:tc>
        <w:tc>
          <w:tcPr>
            <w:tcW w:type="pct" w:w="1000"/>
          </w:tcPr>
          <w:p>
            <w:pPr>
              <w:pStyle w:val="Compact"/>
            </w:pPr>
            <w:r>
              <w:t xml:space="preserve">-1.241%</w:t>
            </w:r>
          </w:p>
        </w:tc>
        <w:tc>
          <w:tcPr>
            <w:tcW w:type="pct" w:w="1000"/>
          </w:tcPr>
          <w:p>
            <w:pPr>
              <w:pStyle w:val="Compact"/>
            </w:pPr>
            <w:r>
              <w:t xml:space="preserve">-1528.6%</w:t>
            </w:r>
          </w:p>
        </w:tc>
        <w:tc>
          <w:tcPr>
            <w:tcW w:type="pct" w:w="1000"/>
          </w:tcPr>
          <w:p>
            <w:pPr>
              <w:pStyle w:val="Compact"/>
            </w:pPr>
            <w:r>
              <w:t xml:space="preserve">0.25</w:t>
            </w:r>
          </w:p>
        </w:tc>
      </w:tr>
      <w:tr>
        <w:trPr>
          <w:trHeight w:hRule="atLeast" w:val="397"/>
        </w:trPr>
        <w:tc>
          <w:tcPr>
            <w:tcW w:type="pct" w:w="1000"/>
          </w:tcPr>
          <w:p>
            <w:pPr>
              <w:pStyle w:val="Compact"/>
            </w:pPr>
            <w:r>
              <w:t xml:space="preserve">0.736</w:t>
            </w:r>
          </w:p>
        </w:tc>
        <w:tc>
          <w:tcPr>
            <w:tcW w:type="pct" w:w="1000"/>
          </w:tcPr>
          <w:p>
            <w:pPr>
              <w:pStyle w:val="Compact"/>
            </w:pPr>
            <w:r>
              <w:t xml:space="preserve">931</w:t>
            </w:r>
          </w:p>
        </w:tc>
        <w:tc>
          <w:tcPr>
            <w:tcW w:type="pct" w:w="1000"/>
          </w:tcPr>
          <w:p>
            <w:pPr>
              <w:pStyle w:val="Compact"/>
            </w:pPr>
            <w:r>
              <w:t xml:space="preserve">-1.293%</w:t>
            </w:r>
          </w:p>
        </w:tc>
        <w:tc>
          <w:tcPr>
            <w:tcW w:type="pct" w:w="1000"/>
          </w:tcPr>
          <w:p>
            <w:pPr>
              <w:pStyle w:val="Compact"/>
            </w:pPr>
            <w:r>
              <w:t xml:space="preserve">-1203.6%</w:t>
            </w:r>
          </w:p>
        </w:tc>
        <w:tc>
          <w:tcPr>
            <w:tcW w:type="pct" w:w="1000"/>
          </w:tcPr>
          <w:p>
            <w:pPr>
              <w:pStyle w:val="Compact"/>
            </w:pPr>
            <w:r>
              <w:t xml:space="preserve">0.25</w:t>
            </w:r>
          </w:p>
        </w:tc>
      </w:tr>
      <w:tr>
        <w:trPr>
          <w:trHeight w:hRule="atLeast" w:val="397"/>
        </w:trPr>
        <w:tc>
          <w:tcPr>
            <w:tcW w:type="pct" w:w="1000"/>
          </w:tcPr>
          <w:p>
            <w:pPr>
              <w:pStyle w:val="Compact"/>
            </w:pPr>
            <w:r>
              <w:t xml:space="preserve">0.777</w:t>
            </w:r>
          </w:p>
        </w:tc>
        <w:tc>
          <w:tcPr>
            <w:tcW w:type="pct" w:w="1000"/>
          </w:tcPr>
          <w:p>
            <w:pPr>
              <w:pStyle w:val="Compact"/>
            </w:pPr>
            <w:r>
              <w:t xml:space="preserve">691</w:t>
            </w:r>
          </w:p>
        </w:tc>
        <w:tc>
          <w:tcPr>
            <w:tcW w:type="pct" w:w="1000"/>
          </w:tcPr>
          <w:p>
            <w:pPr>
              <w:pStyle w:val="Compact"/>
            </w:pPr>
            <w:r>
              <w:t xml:space="preserve">-1.650%</w:t>
            </w:r>
          </w:p>
        </w:tc>
        <w:tc>
          <w:tcPr>
            <w:tcW w:type="pct" w:w="1000"/>
          </w:tcPr>
          <w:p>
            <w:pPr>
              <w:pStyle w:val="Compact"/>
            </w:pPr>
            <w:r>
              <w:t xml:space="preserve">-1139.9%</w:t>
            </w:r>
          </w:p>
        </w:tc>
        <w:tc>
          <w:tcPr>
            <w:tcW w:type="pct" w:w="1000"/>
          </w:tcPr>
          <w:p>
            <w:pPr>
              <w:pStyle w:val="Compact"/>
            </w:pPr>
            <w:r>
              <w:t xml:space="preserve">0.24</w:t>
            </w:r>
          </w:p>
        </w:tc>
      </w:tr>
      <w:tr>
        <w:trPr>
          <w:trHeight w:hRule="atLeast" w:val="397"/>
        </w:trPr>
        <w:tc>
          <w:tcPr>
            <w:tcW w:type="pct" w:w="1000"/>
          </w:tcPr>
          <w:p>
            <w:pPr>
              <w:pStyle w:val="Compact"/>
            </w:pPr>
            <w:r>
              <w:t xml:space="preserve">0.818</w:t>
            </w:r>
          </w:p>
        </w:tc>
        <w:tc>
          <w:tcPr>
            <w:tcW w:type="pct" w:w="1000"/>
          </w:tcPr>
          <w:p>
            <w:pPr>
              <w:pStyle w:val="Compact"/>
            </w:pPr>
            <w:r>
              <w:t xml:space="preserve">500</w:t>
            </w:r>
          </w:p>
        </w:tc>
        <w:tc>
          <w:tcPr>
            <w:tcW w:type="pct" w:w="1000"/>
          </w:tcPr>
          <w:p>
            <w:pPr>
              <w:pStyle w:val="Compact"/>
            </w:pPr>
            <w:r>
              <w:t xml:space="preserve">-1.687%</w:t>
            </w:r>
          </w:p>
        </w:tc>
        <w:tc>
          <w:tcPr>
            <w:tcW w:type="pct" w:w="1000"/>
          </w:tcPr>
          <w:p>
            <w:pPr>
              <w:pStyle w:val="Compact"/>
            </w:pPr>
            <w:r>
              <w:t xml:space="preserve">-843.3%</w:t>
            </w:r>
          </w:p>
        </w:tc>
        <w:tc>
          <w:tcPr>
            <w:tcW w:type="pct" w:w="1000"/>
          </w:tcPr>
          <w:p>
            <w:pPr>
              <w:pStyle w:val="Compact"/>
            </w:pPr>
            <w:r>
              <w:t xml:space="preserve">0.24</w:t>
            </w:r>
          </w:p>
        </w:tc>
      </w:tr>
      <w:tr>
        <w:trPr>
          <w:trHeight w:hRule="atLeast" w:val="397"/>
        </w:trPr>
        <w:tc>
          <w:tcPr>
            <w:tcW w:type="pct" w:w="1000"/>
          </w:tcPr>
          <w:p>
            <w:pPr>
              <w:pStyle w:val="Compact"/>
            </w:pPr>
            <w:r>
              <w:t xml:space="preserve">0.859</w:t>
            </w:r>
          </w:p>
        </w:tc>
        <w:tc>
          <w:tcPr>
            <w:tcW w:type="pct" w:w="1000"/>
          </w:tcPr>
          <w:p>
            <w:pPr>
              <w:pStyle w:val="Compact"/>
            </w:pPr>
            <w:r>
              <w:t xml:space="preserve">327</w:t>
            </w:r>
          </w:p>
        </w:tc>
        <w:tc>
          <w:tcPr>
            <w:tcW w:type="pct" w:w="1000"/>
          </w:tcPr>
          <w:p>
            <w:pPr>
              <w:pStyle w:val="Compact"/>
            </w:pPr>
            <w:r>
              <w:t xml:space="preserve">-2.559%</w:t>
            </w:r>
          </w:p>
        </w:tc>
        <w:tc>
          <w:tcPr>
            <w:tcW w:type="pct" w:w="1000"/>
          </w:tcPr>
          <w:p>
            <w:pPr>
              <w:pStyle w:val="Compact"/>
            </w:pPr>
            <w:r>
              <w:t xml:space="preserve">-836.8%</w:t>
            </w:r>
          </w:p>
        </w:tc>
        <w:tc>
          <w:tcPr>
            <w:tcW w:type="pct" w:w="1000"/>
          </w:tcPr>
          <w:p>
            <w:pPr>
              <w:pStyle w:val="Compact"/>
            </w:pPr>
            <w:r>
              <w:t xml:space="preserve">0.20</w:t>
            </w:r>
          </w:p>
        </w:tc>
      </w:tr>
      <w:tr>
        <w:trPr>
          <w:trHeight w:hRule="atLeast" w:val="397"/>
        </w:trPr>
        <w:tc>
          <w:tcPr>
            <w:tcW w:type="pct" w:w="1000"/>
          </w:tcPr>
          <w:p>
            <w:pPr>
              <w:pStyle w:val="Compact"/>
            </w:pPr>
            <w:r>
              <w:t xml:space="preserve">0.900</w:t>
            </w:r>
          </w:p>
        </w:tc>
        <w:tc>
          <w:tcPr>
            <w:tcW w:type="pct" w:w="1000"/>
          </w:tcPr>
          <w:p>
            <w:pPr>
              <w:pStyle w:val="Compact"/>
            </w:pPr>
            <w:r>
              <w:t xml:space="preserve">179</w:t>
            </w:r>
          </w:p>
        </w:tc>
        <w:tc>
          <w:tcPr>
            <w:tcW w:type="pct" w:w="1000"/>
          </w:tcPr>
          <w:p>
            <w:pPr>
              <w:pStyle w:val="Compact"/>
            </w:pPr>
            <w:r>
              <w:t xml:space="preserve">-4.240%</w:t>
            </w:r>
          </w:p>
        </w:tc>
        <w:tc>
          <w:tcPr>
            <w:tcW w:type="pct" w:w="1000"/>
          </w:tcPr>
          <w:p>
            <w:pPr>
              <w:pStyle w:val="Compact"/>
            </w:pPr>
            <w:r>
              <w:t xml:space="preserve">-759.0%</w:t>
            </w:r>
          </w:p>
        </w:tc>
        <w:tc>
          <w:tcPr>
            <w:tcW w:type="pct" w:w="1000"/>
          </w:tcPr>
          <w:p>
            <w:pPr>
              <w:pStyle w:val="Compact"/>
            </w:pPr>
            <w:r>
              <w:t xml:space="preserve">0.14</w:t>
            </w:r>
          </w:p>
        </w:tc>
      </w:tr>
    </w:tbl>
    <w:p>
      <w:pPr>
        <w:pStyle w:val="BodyText"/>
      </w:pPr>
      <w:r>
        <w:rPr>
          <w:b/>
          <w:bCs/>
        </w:rPr>
        <w:t xml:space="preserve">Selectivity reading:</w:t>
      </w:r>
      <w:r>
        <w:t xml:space="preserve"> </w:t>
      </w:r>
      <w:r>
        <w:t xml:space="preserve">after-cost return per trade is flat or falls with the threshold – the confidence ranking carries no usable selectivity; neither a higher threshold nor a retrain on it helps.</w:t>
      </w:r>
    </w:p>
    <w:bookmarkEnd w:id="179"/>
    <w:bookmarkEnd w:id="180"/>
    <w:bookmarkStart w:id="187" w:name="X7c90886ecf26d4cce17c8980881259106ec4df0"/>
    <w:p>
      <w:pPr>
        <w:pStyle w:val="Heading4"/>
      </w:pPr>
      <w:r>
        <w:t xml:space="preserve">Edge diagnostics (2026-09-07) – 4h all-market</w:t>
      </w:r>
    </w:p>
    <w:bookmarkStart w:id="181" w:name="X8146f6421db3323a079ab1491d09c2ee4815765"/>
    <w:p>
      <w:pPr>
        <w:pStyle w:val="Heading5"/>
      </w:pPr>
      <w:r>
        <w:t xml:space="preserve">Q1. Pre-cost edge (held-out, fees stripped)</w:t>
      </w:r>
    </w:p>
    <w:p>
      <w:pPr>
        <w:pStyle w:val="Compact"/>
        <w:numPr>
          <w:ilvl w:val="0"/>
          <w:numId w:val="1003"/>
        </w:numPr>
      </w:pPr>
      <w:r>
        <w:t xml:space="preserve">base rate 0.254 (majority-class accuracy 0.746, informational only)</w:t>
      </w:r>
    </w:p>
    <w:p>
      <w:pPr>
        <w:pStyle w:val="Compact"/>
        <w:numPr>
          <w:ilvl w:val="0"/>
          <w:numId w:val="1003"/>
        </w:numPr>
      </w:pPr>
      <w:r>
        <w:t xml:space="preserve">model: AUC 0.549 (vs 0.50), accuracy 0.598</w:t>
      </w:r>
    </w:p>
    <w:p>
      <w:pPr>
        <w:pStyle w:val="Compact"/>
        <w:numPr>
          <w:ilvl w:val="0"/>
          <w:numId w:val="1003"/>
        </w:numPr>
      </w:pPr>
      <w:r>
        <w:t xml:space="preserve">model picks: precision 0.273 vs base 0.254 -&gt; beats the real balance: True</w:t>
      </w:r>
    </w:p>
    <w:p>
      <w:pPr>
        <w:pStyle w:val="Compact"/>
        <w:numPr>
          <w:ilvl w:val="0"/>
          <w:numId w:val="1003"/>
        </w:numPr>
      </w:pPr>
      <w:r>
        <w:t xml:space="preserve">1-bar persistence baseline: precision 0.265, pre-cost -0.118%/trade</w:t>
      </w:r>
    </w:p>
    <w:p>
      <w:pPr>
        <w:pStyle w:val="Compact"/>
        <w:numPr>
          <w:ilvl w:val="0"/>
          <w:numId w:val="1003"/>
        </w:numPr>
      </w:pPr>
      <w:r>
        <w:t xml:space="preserve">model pre-cost mean return per acted trade -0.182% on 1,748 trades; after-cost -0.382% (cost 0.20% round trip)</w:t>
      </w:r>
    </w:p>
    <w:p>
      <w:pPr>
        <w:pStyle w:val="Compact"/>
        <w:numPr>
          <w:ilvl w:val="0"/>
          <w:numId w:val="1003"/>
        </w:numPr>
      </w:pPr>
      <w:r>
        <w:rPr>
          <w:b/>
          <w:bCs/>
        </w:rPr>
        <w:t xml:space="preserve">gate: FAIL - no pre-cost edge; the problem is features/architecture, not costs</w:t>
      </w:r>
      <w:r>
        <w:t xml:space="preserve"> </w:t>
      </w:r>
      <w:r>
        <w:t xml:space="preserve">(beats base False, beats persistence False)</w:t>
      </w:r>
    </w:p>
    <w:bookmarkEnd w:id="181"/>
    <w:bookmarkStart w:id="182" w:name="X6c8137835440f7ad61bab39bec24641637095a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1,722</w:t>
            </w:r>
          </w:p>
        </w:tc>
        <w:tc>
          <w:tcPr>
            <w:tcW w:type="pct" w:w="1250"/>
          </w:tcPr>
          <w:p>
            <w:pPr>
              <w:pStyle w:val="Compact"/>
            </w:pPr>
            <w:r>
              <w:t xml:space="preserve">-0.262%</w:t>
            </w:r>
          </w:p>
        </w:tc>
        <w:tc>
          <w:tcPr>
            <w:tcW w:type="pct" w:w="1250"/>
          </w:tcPr>
          <w:p>
            <w:pPr>
              <w:pStyle w:val="Compact"/>
            </w:pPr>
            <w:r>
              <w:t xml:space="preserve">0.35</w:t>
            </w:r>
          </w:p>
        </w:tc>
      </w:tr>
      <w:tr>
        <w:trPr>
          <w:trHeight w:hRule="atLeast" w:val="397"/>
        </w:trPr>
        <w:tc>
          <w:tcPr>
            <w:tcW w:type="pct" w:w="1250"/>
          </w:tcPr>
          <w:p>
            <w:pPr>
              <w:pStyle w:val="Compact"/>
            </w:pPr>
            <w:r>
              <w:t xml:space="preserve">2023-24 recovery</w:t>
            </w:r>
          </w:p>
        </w:tc>
        <w:tc>
          <w:tcPr>
            <w:tcW w:type="pct" w:w="1250"/>
          </w:tcPr>
          <w:p>
            <w:pPr>
              <w:pStyle w:val="Compact"/>
            </w:pPr>
            <w:r>
              <w:t xml:space="preserve">3,493</w:t>
            </w:r>
          </w:p>
        </w:tc>
        <w:tc>
          <w:tcPr>
            <w:tcW w:type="pct" w:w="1250"/>
          </w:tcPr>
          <w:p>
            <w:pPr>
              <w:pStyle w:val="Compact"/>
            </w:pPr>
            <w:r>
              <w:t xml:space="preserve">-0.028%</w:t>
            </w:r>
          </w:p>
        </w:tc>
        <w:tc>
          <w:tcPr>
            <w:tcW w:type="pct" w:w="1250"/>
          </w:tcPr>
          <w:p>
            <w:pPr>
              <w:pStyle w:val="Compact"/>
            </w:pPr>
            <w:r>
              <w:t xml:space="preserve">0.38</w:t>
            </w:r>
          </w:p>
        </w:tc>
      </w:tr>
      <w:tr>
        <w:trPr>
          <w:trHeight w:hRule="atLeast" w:val="397"/>
        </w:trPr>
        <w:tc>
          <w:tcPr>
            <w:tcW w:type="pct" w:w="1250"/>
          </w:tcPr>
          <w:p>
            <w:pPr>
              <w:pStyle w:val="Compact"/>
            </w:pPr>
            <w:r>
              <w:t xml:space="preserve">2025-26 recent</w:t>
            </w:r>
          </w:p>
        </w:tc>
        <w:tc>
          <w:tcPr>
            <w:tcW w:type="pct" w:w="1250"/>
          </w:tcPr>
          <w:p>
            <w:pPr>
              <w:pStyle w:val="Compact"/>
            </w:pPr>
            <w:r>
              <w:t xml:space="preserve">3,650</w:t>
            </w:r>
          </w:p>
        </w:tc>
        <w:tc>
          <w:tcPr>
            <w:tcW w:type="pct" w:w="1250"/>
          </w:tcPr>
          <w:p>
            <w:pPr>
              <w:pStyle w:val="Compact"/>
            </w:pPr>
            <w:r>
              <w:t xml:space="preserve">-0.316%</w:t>
            </w:r>
          </w:p>
        </w:tc>
        <w:tc>
          <w:tcPr>
            <w:tcW w:type="pct" w:w="1250"/>
          </w:tcPr>
          <w:p>
            <w:pPr>
              <w:pStyle w:val="Compact"/>
            </w:pPr>
            <w:r>
              <w:t xml:space="preserve">0.34</w:t>
            </w:r>
          </w:p>
        </w:tc>
      </w:tr>
    </w:tbl>
    <w:bookmarkEnd w:id="182"/>
    <w:bookmarkStart w:id="186" w:name="Xe6ed14cd01152bbbf96d17663147386bfa0bcdc"/>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84" name="Picture"/>
            <a:graphic>
              <a:graphicData uri="http://schemas.openxmlformats.org/drawingml/2006/picture">
                <pic:pic>
                  <pic:nvPicPr>
                    <pic:cNvPr descr="file:///Volumes/PortableSSD/Github/day-trader/04-outputs/AA-evals/2026-09-07/edge-diagnostics-selectivity-4h-20260907.png" id="185" name="Picture"/>
                    <pic:cNvPicPr>
                      <a:picLocks noChangeArrowheads="1" noChangeAspect="1"/>
                    </pic:cNvPicPr>
                  </pic:nvPicPr>
                  <pic:blipFill>
                    <a:blip r:embed="rId18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41,690</w:t>
            </w:r>
          </w:p>
        </w:tc>
        <w:tc>
          <w:tcPr>
            <w:tcW w:type="pct" w:w="1000"/>
          </w:tcPr>
          <w:p>
            <w:pPr>
              <w:pStyle w:val="Compact"/>
            </w:pPr>
            <w:r>
              <w:t xml:space="preserve">-0.242%</w:t>
            </w:r>
          </w:p>
        </w:tc>
        <w:tc>
          <w:tcPr>
            <w:tcW w:type="pct" w:w="1000"/>
          </w:tcPr>
          <w:p>
            <w:pPr>
              <w:pStyle w:val="Compact"/>
            </w:pPr>
            <w:r>
              <w:t xml:space="preserve">-10096.9%</w:t>
            </w:r>
          </w:p>
        </w:tc>
        <w:tc>
          <w:tcPr>
            <w:tcW w:type="pct" w:w="1000"/>
          </w:tcPr>
          <w:p>
            <w:pPr>
              <w:pStyle w:val="Compact"/>
            </w:pPr>
            <w:r>
              <w:t xml:space="preserve">0.35</w:t>
            </w:r>
          </w:p>
        </w:tc>
      </w:tr>
      <w:tr>
        <w:trPr>
          <w:trHeight w:hRule="atLeast" w:val="397"/>
        </w:trPr>
        <w:tc>
          <w:tcPr>
            <w:tcW w:type="pct" w:w="1000"/>
          </w:tcPr>
          <w:p>
            <w:pPr>
              <w:pStyle w:val="Compact"/>
            </w:pPr>
            <w:r>
              <w:t xml:space="preserve">0.491</w:t>
            </w:r>
          </w:p>
        </w:tc>
        <w:tc>
          <w:tcPr>
            <w:tcW w:type="pct" w:w="1000"/>
          </w:tcPr>
          <w:p>
            <w:pPr>
              <w:pStyle w:val="Compact"/>
            </w:pPr>
            <w:r>
              <w:t xml:space="preserve">30,545</w:t>
            </w:r>
          </w:p>
        </w:tc>
        <w:tc>
          <w:tcPr>
            <w:tcW w:type="pct" w:w="1000"/>
          </w:tcPr>
          <w:p>
            <w:pPr>
              <w:pStyle w:val="Compact"/>
            </w:pPr>
            <w:r>
              <w:t xml:space="preserve">-0.207%</w:t>
            </w:r>
          </w:p>
        </w:tc>
        <w:tc>
          <w:tcPr>
            <w:tcW w:type="pct" w:w="1000"/>
          </w:tcPr>
          <w:p>
            <w:pPr>
              <w:pStyle w:val="Compact"/>
            </w:pPr>
            <w:r>
              <w:t xml:space="preserve">-6316.9%</w:t>
            </w:r>
          </w:p>
        </w:tc>
        <w:tc>
          <w:tcPr>
            <w:tcW w:type="pct" w:w="1000"/>
          </w:tcPr>
          <w:p>
            <w:pPr>
              <w:pStyle w:val="Compact"/>
            </w:pPr>
            <w:r>
              <w:t xml:space="preserve">0.35</w:t>
            </w:r>
          </w:p>
        </w:tc>
      </w:tr>
      <w:tr>
        <w:trPr>
          <w:trHeight w:hRule="atLeast" w:val="397"/>
        </w:trPr>
        <w:tc>
          <w:tcPr>
            <w:tcW w:type="pct" w:w="1000"/>
          </w:tcPr>
          <w:p>
            <w:pPr>
              <w:pStyle w:val="Compact"/>
            </w:pPr>
            <w:r>
              <w:t xml:space="preserve">0.532</w:t>
            </w:r>
          </w:p>
        </w:tc>
        <w:tc>
          <w:tcPr>
            <w:tcW w:type="pct" w:w="1000"/>
          </w:tcPr>
          <w:p>
            <w:pPr>
              <w:pStyle w:val="Compact"/>
            </w:pPr>
            <w:r>
              <w:t xml:space="preserve">20,702</w:t>
            </w:r>
          </w:p>
        </w:tc>
        <w:tc>
          <w:tcPr>
            <w:tcW w:type="pct" w:w="1000"/>
          </w:tcPr>
          <w:p>
            <w:pPr>
              <w:pStyle w:val="Compact"/>
            </w:pPr>
            <w:r>
              <w:t xml:space="preserve">-0.203%</w:t>
            </w:r>
          </w:p>
        </w:tc>
        <w:tc>
          <w:tcPr>
            <w:tcW w:type="pct" w:w="1000"/>
          </w:tcPr>
          <w:p>
            <w:pPr>
              <w:pStyle w:val="Compact"/>
            </w:pPr>
            <w:r>
              <w:t xml:space="preserve">-4207.5%</w:t>
            </w:r>
          </w:p>
        </w:tc>
        <w:tc>
          <w:tcPr>
            <w:tcW w:type="pct" w:w="1000"/>
          </w:tcPr>
          <w:p>
            <w:pPr>
              <w:pStyle w:val="Compact"/>
            </w:pPr>
            <w:r>
              <w:t xml:space="preserve">0.35</w:t>
            </w:r>
          </w:p>
        </w:tc>
      </w:tr>
      <w:tr>
        <w:trPr>
          <w:trHeight w:hRule="atLeast" w:val="397"/>
        </w:trPr>
        <w:tc>
          <w:tcPr>
            <w:tcW w:type="pct" w:w="1000"/>
          </w:tcPr>
          <w:p>
            <w:pPr>
              <w:pStyle w:val="Compact"/>
            </w:pPr>
            <w:r>
              <w:t xml:space="preserve">0.573</w:t>
            </w:r>
          </w:p>
        </w:tc>
        <w:tc>
          <w:tcPr>
            <w:tcW w:type="pct" w:w="1000"/>
          </w:tcPr>
          <w:p>
            <w:pPr>
              <w:pStyle w:val="Compact"/>
            </w:pPr>
            <w:r>
              <w:t xml:space="preserve">12,932</w:t>
            </w:r>
          </w:p>
        </w:tc>
        <w:tc>
          <w:tcPr>
            <w:tcW w:type="pct" w:w="1000"/>
          </w:tcPr>
          <w:p>
            <w:pPr>
              <w:pStyle w:val="Compact"/>
            </w:pPr>
            <w:r>
              <w:t xml:space="preserve">-0.219%</w:t>
            </w:r>
          </w:p>
        </w:tc>
        <w:tc>
          <w:tcPr>
            <w:tcW w:type="pct" w:w="1000"/>
          </w:tcPr>
          <w:p>
            <w:pPr>
              <w:pStyle w:val="Compact"/>
            </w:pPr>
            <w:r>
              <w:t xml:space="preserve">-2832.8%</w:t>
            </w:r>
          </w:p>
        </w:tc>
        <w:tc>
          <w:tcPr>
            <w:tcW w:type="pct" w:w="1000"/>
          </w:tcPr>
          <w:p>
            <w:pPr>
              <w:pStyle w:val="Compact"/>
            </w:pPr>
            <w:r>
              <w:t xml:space="preserve">0.35</w:t>
            </w:r>
          </w:p>
        </w:tc>
      </w:tr>
      <w:tr>
        <w:trPr>
          <w:trHeight w:hRule="atLeast" w:val="397"/>
        </w:trPr>
        <w:tc>
          <w:tcPr>
            <w:tcW w:type="pct" w:w="1000"/>
          </w:tcPr>
          <w:p>
            <w:pPr>
              <w:pStyle w:val="Compact"/>
            </w:pPr>
            <w:r>
              <w:t xml:space="preserve">0.614</w:t>
            </w:r>
          </w:p>
        </w:tc>
        <w:tc>
          <w:tcPr>
            <w:tcW w:type="pct" w:w="1000"/>
          </w:tcPr>
          <w:p>
            <w:pPr>
              <w:pStyle w:val="Compact"/>
            </w:pPr>
            <w:r>
              <w:t xml:space="preserve">7,217</w:t>
            </w:r>
          </w:p>
        </w:tc>
        <w:tc>
          <w:tcPr>
            <w:tcW w:type="pct" w:w="1000"/>
          </w:tcPr>
          <w:p>
            <w:pPr>
              <w:pStyle w:val="Compact"/>
            </w:pPr>
            <w:r>
              <w:t xml:space="preserve">-0.235%</w:t>
            </w:r>
          </w:p>
        </w:tc>
        <w:tc>
          <w:tcPr>
            <w:tcW w:type="pct" w:w="1000"/>
          </w:tcPr>
          <w:p>
            <w:pPr>
              <w:pStyle w:val="Compact"/>
            </w:pPr>
            <w:r>
              <w:t xml:space="preserve">-1695.0%</w:t>
            </w:r>
          </w:p>
        </w:tc>
        <w:tc>
          <w:tcPr>
            <w:tcW w:type="pct" w:w="1000"/>
          </w:tcPr>
          <w:p>
            <w:pPr>
              <w:pStyle w:val="Compact"/>
            </w:pPr>
            <w:r>
              <w:t xml:space="preserve">0.35</w:t>
            </w:r>
          </w:p>
        </w:tc>
      </w:tr>
      <w:tr>
        <w:trPr>
          <w:trHeight w:hRule="atLeast" w:val="397"/>
        </w:trPr>
        <w:tc>
          <w:tcPr>
            <w:tcW w:type="pct" w:w="1000"/>
          </w:tcPr>
          <w:p>
            <w:pPr>
              <w:pStyle w:val="Compact"/>
            </w:pPr>
            <w:r>
              <w:t xml:space="preserve">0.655</w:t>
            </w:r>
          </w:p>
        </w:tc>
        <w:tc>
          <w:tcPr>
            <w:tcW w:type="pct" w:w="1000"/>
          </w:tcPr>
          <w:p>
            <w:pPr>
              <w:pStyle w:val="Compact"/>
            </w:pPr>
            <w:r>
              <w:t xml:space="preserve">3,665</w:t>
            </w:r>
          </w:p>
        </w:tc>
        <w:tc>
          <w:tcPr>
            <w:tcW w:type="pct" w:w="1000"/>
          </w:tcPr>
          <w:p>
            <w:pPr>
              <w:pStyle w:val="Compact"/>
            </w:pPr>
            <w:r>
              <w:t xml:space="preserve">-0.278%</w:t>
            </w:r>
          </w:p>
        </w:tc>
        <w:tc>
          <w:tcPr>
            <w:tcW w:type="pct" w:w="1000"/>
          </w:tcPr>
          <w:p>
            <w:pPr>
              <w:pStyle w:val="Compact"/>
            </w:pPr>
            <w:r>
              <w:t xml:space="preserve">-1020.7%</w:t>
            </w:r>
          </w:p>
        </w:tc>
        <w:tc>
          <w:tcPr>
            <w:tcW w:type="pct" w:w="1000"/>
          </w:tcPr>
          <w:p>
            <w:pPr>
              <w:pStyle w:val="Compact"/>
            </w:pPr>
            <w:r>
              <w:t xml:space="preserve">0.35</w:t>
            </w:r>
          </w:p>
        </w:tc>
      </w:tr>
      <w:tr>
        <w:trPr>
          <w:trHeight w:hRule="atLeast" w:val="397"/>
        </w:trPr>
        <w:tc>
          <w:tcPr>
            <w:tcW w:type="pct" w:w="1000"/>
          </w:tcPr>
          <w:p>
            <w:pPr>
              <w:pStyle w:val="Compact"/>
            </w:pPr>
            <w:r>
              <w:t xml:space="preserve">0.695</w:t>
            </w:r>
          </w:p>
        </w:tc>
        <w:tc>
          <w:tcPr>
            <w:tcW w:type="pct" w:w="1000"/>
          </w:tcPr>
          <w:p>
            <w:pPr>
              <w:pStyle w:val="Compact"/>
            </w:pPr>
            <w:r>
              <w:t xml:space="preserve">1,651</w:t>
            </w:r>
          </w:p>
        </w:tc>
        <w:tc>
          <w:tcPr>
            <w:tcW w:type="pct" w:w="1000"/>
          </w:tcPr>
          <w:p>
            <w:pPr>
              <w:pStyle w:val="Compact"/>
            </w:pPr>
            <w:r>
              <w:t xml:space="preserve">-0.152%</w:t>
            </w:r>
          </w:p>
        </w:tc>
        <w:tc>
          <w:tcPr>
            <w:tcW w:type="pct" w:w="1000"/>
          </w:tcPr>
          <w:p>
            <w:pPr>
              <w:pStyle w:val="Compact"/>
            </w:pPr>
            <w:r>
              <w:t xml:space="preserve">-250.6%</w:t>
            </w:r>
          </w:p>
        </w:tc>
        <w:tc>
          <w:tcPr>
            <w:tcW w:type="pct" w:w="1000"/>
          </w:tcPr>
          <w:p>
            <w:pPr>
              <w:pStyle w:val="Compact"/>
            </w:pPr>
            <w:r>
              <w:t xml:space="preserve">0.36</w:t>
            </w:r>
          </w:p>
        </w:tc>
      </w:tr>
      <w:tr>
        <w:trPr>
          <w:trHeight w:hRule="atLeast" w:val="397"/>
        </w:trPr>
        <w:tc>
          <w:tcPr>
            <w:tcW w:type="pct" w:w="1000"/>
          </w:tcPr>
          <w:p>
            <w:pPr>
              <w:pStyle w:val="Compact"/>
            </w:pPr>
            <w:r>
              <w:t xml:space="preserve">0.736</w:t>
            </w:r>
          </w:p>
        </w:tc>
        <w:tc>
          <w:tcPr>
            <w:tcW w:type="pct" w:w="1000"/>
          </w:tcPr>
          <w:p>
            <w:pPr>
              <w:pStyle w:val="Compact"/>
            </w:pPr>
            <w:r>
              <w:t xml:space="preserve">640</w:t>
            </w:r>
          </w:p>
        </w:tc>
        <w:tc>
          <w:tcPr>
            <w:tcW w:type="pct" w:w="1000"/>
          </w:tcPr>
          <w:p>
            <w:pPr>
              <w:pStyle w:val="Compact"/>
            </w:pPr>
            <w:r>
              <w:t xml:space="preserve">+0.074%</w:t>
            </w:r>
          </w:p>
        </w:tc>
        <w:tc>
          <w:tcPr>
            <w:tcW w:type="pct" w:w="1000"/>
          </w:tcPr>
          <w:p>
            <w:pPr>
              <w:pStyle w:val="Compact"/>
            </w:pPr>
            <w:r>
              <w:t xml:space="preserve">+47.2%</w:t>
            </w:r>
          </w:p>
        </w:tc>
        <w:tc>
          <w:tcPr>
            <w:tcW w:type="pct" w:w="1000"/>
          </w:tcPr>
          <w:p>
            <w:pPr>
              <w:pStyle w:val="Compact"/>
            </w:pPr>
            <w:r>
              <w:t xml:space="preserve">0.38</w:t>
            </w:r>
          </w:p>
        </w:tc>
      </w:tr>
      <w:tr>
        <w:trPr>
          <w:trHeight w:hRule="atLeast" w:val="397"/>
        </w:trPr>
        <w:tc>
          <w:tcPr>
            <w:tcW w:type="pct" w:w="1000"/>
          </w:tcPr>
          <w:p>
            <w:pPr>
              <w:pStyle w:val="Compact"/>
            </w:pPr>
            <w:r>
              <w:t xml:space="preserve">0.777</w:t>
            </w:r>
          </w:p>
        </w:tc>
        <w:tc>
          <w:tcPr>
            <w:tcW w:type="pct" w:w="1000"/>
          </w:tcPr>
          <w:p>
            <w:pPr>
              <w:pStyle w:val="Compact"/>
            </w:pPr>
            <w:r>
              <w:t xml:space="preserve">194</w:t>
            </w:r>
          </w:p>
        </w:tc>
        <w:tc>
          <w:tcPr>
            <w:tcW w:type="pct" w:w="1000"/>
          </w:tcPr>
          <w:p>
            <w:pPr>
              <w:pStyle w:val="Compact"/>
            </w:pPr>
            <w:r>
              <w:t xml:space="preserve">+0.360%</w:t>
            </w:r>
          </w:p>
        </w:tc>
        <w:tc>
          <w:tcPr>
            <w:tcW w:type="pct" w:w="1000"/>
          </w:tcPr>
          <w:p>
            <w:pPr>
              <w:pStyle w:val="Compact"/>
            </w:pPr>
            <w:r>
              <w:t xml:space="preserve">+69.9%</w:t>
            </w:r>
          </w:p>
        </w:tc>
        <w:tc>
          <w:tcPr>
            <w:tcW w:type="pct" w:w="1000"/>
          </w:tcPr>
          <w:p>
            <w:pPr>
              <w:pStyle w:val="Compact"/>
            </w:pPr>
            <w:r>
              <w:t xml:space="preserve">0.41</w:t>
            </w:r>
          </w:p>
        </w:tc>
      </w:tr>
      <w:tr>
        <w:trPr>
          <w:trHeight w:hRule="atLeast" w:val="397"/>
        </w:trPr>
        <w:tc>
          <w:tcPr>
            <w:tcW w:type="pct" w:w="1000"/>
          </w:tcPr>
          <w:p>
            <w:pPr>
              <w:pStyle w:val="Compact"/>
            </w:pPr>
            <w:r>
              <w:t xml:space="preserve">0.818</w:t>
            </w:r>
          </w:p>
        </w:tc>
        <w:tc>
          <w:tcPr>
            <w:tcW w:type="pct" w:w="1000"/>
          </w:tcPr>
          <w:p>
            <w:pPr>
              <w:pStyle w:val="Compact"/>
            </w:pPr>
            <w:r>
              <w:t xml:space="preserve">46</w:t>
            </w:r>
          </w:p>
        </w:tc>
        <w:tc>
          <w:tcPr>
            <w:tcW w:type="pct" w:w="1000"/>
          </w:tcPr>
          <w:p>
            <w:pPr>
              <w:pStyle w:val="Compact"/>
            </w:pPr>
            <w:r>
              <w:t xml:space="preserve">+0.572%</w:t>
            </w:r>
          </w:p>
        </w:tc>
        <w:tc>
          <w:tcPr>
            <w:tcW w:type="pct" w:w="1000"/>
          </w:tcPr>
          <w:p>
            <w:pPr>
              <w:pStyle w:val="Compact"/>
            </w:pPr>
            <w:r>
              <w:t xml:space="preserve">+26.3%</w:t>
            </w:r>
          </w:p>
        </w:tc>
        <w:tc>
          <w:tcPr>
            <w:tcW w:type="pct" w:w="1000"/>
          </w:tcPr>
          <w:p>
            <w:pPr>
              <w:pStyle w:val="Compact"/>
            </w:pPr>
            <w:r>
              <w:t xml:space="preserve">0.41</w:t>
            </w:r>
          </w:p>
        </w:tc>
      </w:tr>
      <w:tr>
        <w:trPr>
          <w:trHeight w:hRule="atLeast" w:val="397"/>
        </w:trPr>
        <w:tc>
          <w:tcPr>
            <w:tcW w:type="pct" w:w="1000"/>
          </w:tcPr>
          <w:p>
            <w:pPr>
              <w:pStyle w:val="Compact"/>
            </w:pPr>
            <w:r>
              <w:t xml:space="preserve">0.859</w:t>
            </w:r>
          </w:p>
        </w:tc>
        <w:tc>
          <w:tcPr>
            <w:tcW w:type="pct" w:w="1000"/>
          </w:tcPr>
          <w:p>
            <w:pPr>
              <w:pStyle w:val="Compact"/>
            </w:pPr>
            <w:r>
              <w:t xml:space="preserve">4</w:t>
            </w:r>
          </w:p>
        </w:tc>
        <w:tc>
          <w:tcPr>
            <w:tcW w:type="pct" w:w="1000"/>
          </w:tcPr>
          <w:p>
            <w:pPr>
              <w:pStyle w:val="Compact"/>
            </w:pPr>
            <w:r>
              <w:t xml:space="preserve">+1.443%</w:t>
            </w:r>
          </w:p>
        </w:tc>
        <w:tc>
          <w:tcPr>
            <w:tcW w:type="pct" w:w="1000"/>
          </w:tcPr>
          <w:p>
            <w:pPr>
              <w:pStyle w:val="Compact"/>
            </w:pPr>
            <w:r>
              <w:t xml:space="preserve">+5.8%</w:t>
            </w:r>
          </w:p>
        </w:tc>
        <w:tc>
          <w:tcPr>
            <w:tcW w:type="pct" w:w="1000"/>
          </w:tcPr>
          <w:p>
            <w:pPr>
              <w:pStyle w:val="Compact"/>
            </w:pPr>
            <w:r>
              <w:t xml:space="preserve">0.50</w:t>
            </w:r>
          </w:p>
        </w:tc>
      </w:tr>
      <w:tr>
        <w:trPr>
          <w:trHeight w:hRule="atLeast" w:val="397"/>
        </w:trPr>
        <w:tc>
          <w:tcPr>
            <w:tcW w:type="pct" w:w="1000"/>
          </w:tcPr>
          <w:p>
            <w:pPr>
              <w:pStyle w:val="Compact"/>
            </w:pPr>
            <w:r>
              <w:t xml:space="preserve">0.900</w:t>
            </w:r>
          </w:p>
        </w:tc>
        <w:tc>
          <w:tcPr>
            <w:tcW w:type="pct" w:w="1000"/>
          </w:tcPr>
          <w:p>
            <w:pPr>
              <w:pStyle w:val="Compact"/>
            </w:pPr>
            <w:r>
              <w:t xml:space="preserve">1</w:t>
            </w:r>
          </w:p>
        </w:tc>
        <w:tc>
          <w:tcPr>
            <w:tcW w:type="pct" w:w="1000"/>
          </w:tcPr>
          <w:p>
            <w:pPr>
              <w:pStyle w:val="Compact"/>
            </w:pPr>
            <w:r>
              <w:t xml:space="preserve">+4.825%</w:t>
            </w:r>
          </w:p>
        </w:tc>
        <w:tc>
          <w:tcPr>
            <w:tcW w:type="pct" w:w="1000"/>
          </w:tcPr>
          <w:p>
            <w:pPr>
              <w:pStyle w:val="Compact"/>
            </w:pPr>
            <w:r>
              <w:t xml:space="preserve">+4.8%</w:t>
            </w:r>
          </w:p>
        </w:tc>
        <w:tc>
          <w:tcPr>
            <w:tcW w:type="pct" w:w="1000"/>
          </w:tcPr>
          <w:p>
            <w:pPr>
              <w:pStyle w:val="Compact"/>
            </w:pPr>
            <w:r>
              <w:t xml:space="preserve">1.00</w:t>
            </w:r>
          </w:p>
        </w:tc>
      </w:tr>
    </w:tbl>
    <w:p>
      <w:pPr>
        <w:pStyle w:val="BodyText"/>
      </w:pPr>
      <w:r>
        <w:rPr>
          <w:b/>
          <w:bCs/>
        </w:rPr>
        <w:t xml:space="preserve">Selectivity reading:</w:t>
      </w:r>
      <w:r>
        <w:t xml:space="preserve"> </w:t>
      </w:r>
      <w:r>
        <w:t xml:space="preserve">after-cost return per trade rises AND crosses zero – at p&gt;=0.777 it is +0.360% on 194 trades. A selective operating point clears fees: tune that confidence threshold OUT-OF-SAMPLE (walk-forward) with a minimum-trade floor, judged on TOTAL after-cost P&amp;L (best so far at p&gt;=0.777), not per-trade alone. This is operating-point tuning, not a model retrain.</w:t>
      </w:r>
    </w:p>
    <w:bookmarkEnd w:id="186"/>
    <w:bookmarkEnd w:id="187"/>
    <w:bookmarkStart w:id="194" w:name="X9a7e6051c6383c540d05b583864c19d48f652b8"/>
    <w:p>
      <w:pPr>
        <w:pStyle w:val="Heading4"/>
      </w:pPr>
      <w:r>
        <w:t xml:space="preserve">Edge diagnostics (2026-09-08) – 5m all-market</w:t>
      </w:r>
    </w:p>
    <w:bookmarkStart w:id="188" w:name="Xb9b700c0d82970d41824626852c1f88b611f01a"/>
    <w:p>
      <w:pPr>
        <w:pStyle w:val="Heading5"/>
      </w:pPr>
      <w:r>
        <w:t xml:space="preserve">Q1. Pre-cost edge (held-out, fees stripped)</w:t>
      </w:r>
    </w:p>
    <w:p>
      <w:pPr>
        <w:pStyle w:val="Compact"/>
        <w:numPr>
          <w:ilvl w:val="0"/>
          <w:numId w:val="1004"/>
        </w:numPr>
      </w:pPr>
      <w:r>
        <w:t xml:space="preserve">base rate 0.380 (majority-class accuracy 0.620, informational only)</w:t>
      </w:r>
    </w:p>
    <w:p>
      <w:pPr>
        <w:pStyle w:val="Compact"/>
        <w:numPr>
          <w:ilvl w:val="0"/>
          <w:numId w:val="1004"/>
        </w:numPr>
      </w:pPr>
      <w:r>
        <w:t xml:space="preserve">model: AUC 0.516 (vs 0.50), accuracy 0.496</w:t>
      </w:r>
    </w:p>
    <w:p>
      <w:pPr>
        <w:pStyle w:val="Compact"/>
        <w:numPr>
          <w:ilvl w:val="0"/>
          <w:numId w:val="1004"/>
        </w:numPr>
      </w:pPr>
      <w:r>
        <w:t xml:space="preserve">model picks: precision 0.435 vs base 0.380 -&gt; beats the real balance: True</w:t>
      </w:r>
    </w:p>
    <w:p>
      <w:pPr>
        <w:pStyle w:val="Compact"/>
        <w:numPr>
          <w:ilvl w:val="0"/>
          <w:numId w:val="1004"/>
        </w:numPr>
      </w:pPr>
      <w:r>
        <w:t xml:space="preserve">1-bar persistence baseline: precision 0.375, pre-cost -0.018%/trade</w:t>
      </w:r>
    </w:p>
    <w:p>
      <w:pPr>
        <w:pStyle w:val="Compact"/>
        <w:numPr>
          <w:ilvl w:val="0"/>
          <w:numId w:val="1004"/>
        </w:numPr>
      </w:pPr>
      <w:r>
        <w:t xml:space="preserve">model pre-cost mean return per acted trade +0.033% on 1,594 trades; after-cost -0.167% (cost 0.20% round trip)</w:t>
      </w:r>
    </w:p>
    <w:p>
      <w:pPr>
        <w:pStyle w:val="Compact"/>
        <w:numPr>
          <w:ilvl w:val="0"/>
          <w:numId w:val="1004"/>
        </w:numPr>
      </w:pPr>
      <w:r>
        <w:rPr>
          <w:b/>
          <w:bCs/>
        </w:rPr>
        <w:t xml:space="preserve">gate: PASS - a pre-cost edge exists to chase</w:t>
      </w:r>
      <w:r>
        <w:t xml:space="preserve"> </w:t>
      </w:r>
      <w:r>
        <w:t xml:space="preserve">(beats base True, beats persistence True)</w:t>
      </w:r>
    </w:p>
    <w:bookmarkEnd w:id="188"/>
    <w:bookmarkStart w:id="189" w:name="Xf0281c91ad6839a208f956e47f65980d9f3e5fd"/>
    <w:p>
      <w:pPr>
        <w:pStyle w:val="Heading5"/>
      </w:pPr>
      <w:r>
        <w:t xml:space="preserve">Q5. Edge stability across eras (after-cost, time-series out-of-fold)</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 / trade</w:t>
            </w:r>
          </w:p>
        </w:tc>
        <w:tc>
          <w:tcPr>
            <w:tcW w:type="pct" w:w="1250"/>
          </w:tcPr>
          <w:p>
            <w:pPr>
              <w:pStyle w:val="Compact"/>
            </w:pPr>
            <w:r>
              <w:rPr>
                <w:b/>
              </w:rPr>
              <w:t xml:space="preserve">win rate</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8,390</w:t>
            </w:r>
          </w:p>
        </w:tc>
        <w:tc>
          <w:tcPr>
            <w:tcW w:type="pct" w:w="1250"/>
          </w:tcPr>
          <w:p>
            <w:pPr>
              <w:pStyle w:val="Compact"/>
            </w:pPr>
            <w:r>
              <w:t xml:space="preserve">-0.170%</w:t>
            </w:r>
          </w:p>
        </w:tc>
        <w:tc>
          <w:tcPr>
            <w:tcW w:type="pct" w:w="1250"/>
          </w:tcPr>
          <w:p>
            <w:pPr>
              <w:pStyle w:val="Compact"/>
            </w:pPr>
            <w:r>
              <w:t xml:space="preserve">0.42</w:t>
            </w:r>
          </w:p>
        </w:tc>
      </w:tr>
      <w:tr>
        <w:trPr>
          <w:trHeight w:hRule="atLeast" w:val="397"/>
        </w:trPr>
        <w:tc>
          <w:tcPr>
            <w:tcW w:type="pct" w:w="1250"/>
          </w:tcPr>
          <w:p>
            <w:pPr>
              <w:pStyle w:val="Compact"/>
            </w:pPr>
            <w:r>
              <w:t xml:space="preserve">2021 top + chop</w:t>
            </w:r>
          </w:p>
        </w:tc>
        <w:tc>
          <w:tcPr>
            <w:tcW w:type="pct" w:w="1250"/>
          </w:tcPr>
          <w:p>
            <w:pPr>
              <w:pStyle w:val="Compact"/>
            </w:pPr>
            <w:r>
              <w:t xml:space="preserve">14,409</w:t>
            </w:r>
          </w:p>
        </w:tc>
        <w:tc>
          <w:tcPr>
            <w:tcW w:type="pct" w:w="1250"/>
          </w:tcPr>
          <w:p>
            <w:pPr>
              <w:pStyle w:val="Compact"/>
            </w:pPr>
            <w:r>
              <w:t xml:space="preserve">-0.165%</w:t>
            </w:r>
          </w:p>
        </w:tc>
        <w:tc>
          <w:tcPr>
            <w:tcW w:type="pct" w:w="1250"/>
          </w:tcPr>
          <w:p>
            <w:pPr>
              <w:pStyle w:val="Compact"/>
            </w:pPr>
            <w:r>
              <w:t xml:space="preserve">0.43</w:t>
            </w:r>
          </w:p>
        </w:tc>
      </w:tr>
      <w:tr>
        <w:trPr>
          <w:trHeight w:hRule="atLeast" w:val="397"/>
        </w:trPr>
        <w:tc>
          <w:tcPr>
            <w:tcW w:type="pct" w:w="1250"/>
          </w:tcPr>
          <w:p>
            <w:pPr>
              <w:pStyle w:val="Compact"/>
            </w:pPr>
            <w:r>
              <w:t xml:space="preserve">2022 collapse</w:t>
            </w:r>
          </w:p>
        </w:tc>
        <w:tc>
          <w:tcPr>
            <w:tcW w:type="pct" w:w="1250"/>
          </w:tcPr>
          <w:p>
            <w:pPr>
              <w:pStyle w:val="Compact"/>
            </w:pPr>
            <w:r>
              <w:t xml:space="preserve">24,227</w:t>
            </w:r>
          </w:p>
        </w:tc>
        <w:tc>
          <w:tcPr>
            <w:tcW w:type="pct" w:w="1250"/>
          </w:tcPr>
          <w:p>
            <w:pPr>
              <w:pStyle w:val="Compact"/>
            </w:pPr>
            <w:r>
              <w:t xml:space="preserve">-0.174%</w:t>
            </w:r>
          </w:p>
        </w:tc>
        <w:tc>
          <w:tcPr>
            <w:tcW w:type="pct" w:w="1250"/>
          </w:tcPr>
          <w:p>
            <w:pPr>
              <w:pStyle w:val="Compact"/>
            </w:pPr>
            <w:r>
              <w:t xml:space="preserve">0.43</w:t>
            </w:r>
          </w:p>
        </w:tc>
      </w:tr>
      <w:tr>
        <w:trPr>
          <w:trHeight w:hRule="atLeast" w:val="397"/>
        </w:trPr>
        <w:tc>
          <w:tcPr>
            <w:tcW w:type="pct" w:w="1250"/>
          </w:tcPr>
          <w:p>
            <w:pPr>
              <w:pStyle w:val="Compact"/>
            </w:pPr>
            <w:r>
              <w:t xml:space="preserve">2023-24 recovery</w:t>
            </w:r>
          </w:p>
        </w:tc>
        <w:tc>
          <w:tcPr>
            <w:tcW w:type="pct" w:w="1250"/>
          </w:tcPr>
          <w:p>
            <w:pPr>
              <w:pStyle w:val="Compact"/>
            </w:pPr>
            <w:r>
              <w:t xml:space="preserve">5,924</w:t>
            </w:r>
          </w:p>
        </w:tc>
        <w:tc>
          <w:tcPr>
            <w:tcW w:type="pct" w:w="1250"/>
          </w:tcPr>
          <w:p>
            <w:pPr>
              <w:pStyle w:val="Compact"/>
            </w:pPr>
            <w:r>
              <w:t xml:space="preserve">-0.151%</w:t>
            </w:r>
          </w:p>
        </w:tc>
        <w:tc>
          <w:tcPr>
            <w:tcW w:type="pct" w:w="1250"/>
          </w:tcPr>
          <w:p>
            <w:pPr>
              <w:pStyle w:val="Compact"/>
            </w:pPr>
            <w:r>
              <w:t xml:space="preserve">0.46</w:t>
            </w:r>
          </w:p>
        </w:tc>
      </w:tr>
      <w:tr>
        <w:trPr>
          <w:trHeight w:hRule="atLeast" w:val="397"/>
        </w:trPr>
        <w:tc>
          <w:tcPr>
            <w:tcW w:type="pct" w:w="1250"/>
          </w:tcPr>
          <w:p>
            <w:pPr>
              <w:pStyle w:val="Compact"/>
            </w:pPr>
            <w:r>
              <w:t xml:space="preserve">2025-26 recent</w:t>
            </w:r>
          </w:p>
        </w:tc>
        <w:tc>
          <w:tcPr>
            <w:tcW w:type="pct" w:w="1250"/>
          </w:tcPr>
          <w:p>
            <w:pPr>
              <w:pStyle w:val="Compact"/>
            </w:pPr>
            <w:r>
              <w:t xml:space="preserve">6,162</w:t>
            </w:r>
          </w:p>
        </w:tc>
        <w:tc>
          <w:tcPr>
            <w:tcW w:type="pct" w:w="1250"/>
          </w:tcPr>
          <w:p>
            <w:pPr>
              <w:pStyle w:val="Compact"/>
            </w:pPr>
            <w:r>
              <w:t xml:space="preserve">-0.192%</w:t>
            </w:r>
          </w:p>
        </w:tc>
        <w:tc>
          <w:tcPr>
            <w:tcW w:type="pct" w:w="1250"/>
          </w:tcPr>
          <w:p>
            <w:pPr>
              <w:pStyle w:val="Compact"/>
            </w:pPr>
            <w:r>
              <w:t xml:space="preserve">0.42</w:t>
            </w:r>
          </w:p>
        </w:tc>
      </w:tr>
    </w:tbl>
    <w:bookmarkEnd w:id="189"/>
    <w:bookmarkStart w:id="193" w:name="X4de0dd86192a9992de3bb937d2ac59b8450230e"/>
    <w:p>
      <w:pPr>
        <w:pStyle w:val="Heading5"/>
      </w:pPr>
      <w:r>
        <w:t xml:space="preserve">Q6. Selectivity (after-cost return per trade vs confidence threshold)</w:t>
      </w:r>
    </w:p>
    <w:p>
      <w:pPr>
        <w:pStyle w:val="CaptionedFigure"/>
      </w:pPr>
      <w:r>
        <w:drawing>
          <wp:inline>
            <wp:extent cx="5943600" cy="3302000"/>
            <wp:effectExtent b="0" l="0" r="0" t="0"/>
            <wp:docPr descr="selectivity" title="" id="191" name="Picture"/>
            <a:graphic>
              <a:graphicData uri="http://schemas.openxmlformats.org/drawingml/2006/picture">
                <pic:pic>
                  <pic:nvPicPr>
                    <pic:cNvPr descr="file:///Volumes/PortableSSD/Github/day-trader/04-outputs/AA-evals/2026-09-08/edge-diagnostics-selectivity-5m-20260908.png" id="192" name="Picture"/>
                    <pic:cNvPicPr>
                      <a:picLocks noChangeArrowheads="1" noChangeAspect="1"/>
                    </pic:cNvPicPr>
                  </pic:nvPicPr>
                  <pic:blipFill>
                    <a:blip r:embed="rId19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selectivity</w:t>
      </w:r>
    </w:p>
    <w:tbl>
      <w:tblPr>
        <w:tblStyle w:val="Table"/>
        <w:jc w:val="center"/>
        <w:tblLayout w:type="fixed"/>
        <w:tblLook w:firstRow="1" w:lastRow="0" w:firstColumn="0" w:lastColumn="0" w:noHBand="0" w:noVBand="0" w:val="0020"/>
        <w:tblW w:type="pct" w:w="5000"/>
      </w:tblPr>
      <w:tblGrid>
        <w:gridCol w:w="1584"/>
        <w:gridCol w:w="1584"/>
        <w:gridCol w:w="1584"/>
        <w:gridCol w:w="1584"/>
        <w:gridCol w:w="1584"/>
      </w:tblGrid>
      <w:tr>
        <w:trPr>
          <w:trHeight w:hRule="atLeast" w:val="567"/>
          <w:tblHeader w:val="on"/>
        </w:trPr>
        <w:tc>
          <w:tcPr>
            <w:tcW w:type="pct" w:w="1000"/>
          </w:tcPr>
          <w:p>
            <w:pPr>
              <w:pStyle w:val="Compact"/>
            </w:pPr>
            <w:r>
              <w:rPr>
                <w:b/>
              </w:rPr>
              <w:t xml:space="preserve">threshold</w:t>
            </w:r>
          </w:p>
        </w:tc>
        <w:tc>
          <w:tcPr>
            <w:tcW w:type="pct" w:w="1000"/>
          </w:tcPr>
          <w:p>
            <w:pPr>
              <w:pStyle w:val="Compact"/>
            </w:pPr>
            <w:r>
              <w:rPr>
                <w:b/>
              </w:rPr>
              <w:t xml:space="preserve">trades</w:t>
            </w:r>
          </w:p>
        </w:tc>
        <w:tc>
          <w:tcPr>
            <w:tcW w:type="pct" w:w="1000"/>
          </w:tcPr>
          <w:p>
            <w:pPr>
              <w:pStyle w:val="Compact"/>
            </w:pPr>
            <w:r>
              <w:rPr>
                <w:b/>
              </w:rPr>
              <w:t xml:space="preserve">after-cost / trade</w:t>
            </w:r>
          </w:p>
        </w:tc>
        <w:tc>
          <w:tcPr>
            <w:tcW w:type="pct" w:w="1000"/>
          </w:tcPr>
          <w:p>
            <w:pPr>
              <w:pStyle w:val="Compact"/>
            </w:pPr>
            <w:r>
              <w:rPr>
                <w:b/>
              </w:rPr>
              <w:t xml:space="preserve">total after-cost</w:t>
            </w:r>
          </w:p>
        </w:tc>
        <w:tc>
          <w:tcPr>
            <w:tcW w:type="pct" w:w="1000"/>
          </w:tcPr>
          <w:p>
            <w:pPr>
              <w:pStyle w:val="Compact"/>
            </w:pPr>
            <w:r>
              <w:rPr>
                <w:b/>
              </w:rPr>
              <w:t xml:space="preserve">win rate</w:t>
            </w:r>
          </w:p>
        </w:tc>
      </w:tr>
      <w:tr>
        <w:trPr>
          <w:trHeight w:hRule="atLeast" w:val="397"/>
        </w:trPr>
        <w:tc>
          <w:tcPr>
            <w:tcW w:type="pct" w:w="1000"/>
          </w:tcPr>
          <w:p>
            <w:pPr>
              <w:pStyle w:val="Compact"/>
            </w:pPr>
            <w:r>
              <w:t xml:space="preserve">0.450</w:t>
            </w:r>
          </w:p>
        </w:tc>
        <w:tc>
          <w:tcPr>
            <w:tcW w:type="pct" w:w="1000"/>
          </w:tcPr>
          <w:p>
            <w:pPr>
              <w:pStyle w:val="Compact"/>
            </w:pPr>
            <w:r>
              <w:t xml:space="preserve">2,487,844</w:t>
            </w:r>
          </w:p>
        </w:tc>
        <w:tc>
          <w:tcPr>
            <w:tcW w:type="pct" w:w="1000"/>
          </w:tcPr>
          <w:p>
            <w:pPr>
              <w:pStyle w:val="Compact"/>
            </w:pPr>
            <w:r>
              <w:t xml:space="preserve">-0.204%</w:t>
            </w:r>
          </w:p>
        </w:tc>
        <w:tc>
          <w:tcPr>
            <w:tcW w:type="pct" w:w="1000"/>
          </w:tcPr>
          <w:p>
            <w:pPr>
              <w:pStyle w:val="Compact"/>
            </w:pPr>
            <w:r>
              <w:t xml:space="preserve">-507936.3%</w:t>
            </w:r>
          </w:p>
        </w:tc>
        <w:tc>
          <w:tcPr>
            <w:tcW w:type="pct" w:w="1000"/>
          </w:tcPr>
          <w:p>
            <w:pPr>
              <w:pStyle w:val="Compact"/>
            </w:pPr>
            <w:r>
              <w:t xml:space="preserve">0.39</w:t>
            </w:r>
          </w:p>
        </w:tc>
      </w:tr>
      <w:tr>
        <w:trPr>
          <w:trHeight w:hRule="atLeast" w:val="397"/>
        </w:trPr>
        <w:tc>
          <w:tcPr>
            <w:tcW w:type="pct" w:w="1000"/>
          </w:tcPr>
          <w:p>
            <w:pPr>
              <w:pStyle w:val="Compact"/>
            </w:pPr>
            <w:r>
              <w:t xml:space="preserve">0.491</w:t>
            </w:r>
          </w:p>
        </w:tc>
        <w:tc>
          <w:tcPr>
            <w:tcW w:type="pct" w:w="1000"/>
          </w:tcPr>
          <w:p>
            <w:pPr>
              <w:pStyle w:val="Compact"/>
            </w:pPr>
            <w:r>
              <w:t xml:space="preserve">1,702,029</w:t>
            </w:r>
          </w:p>
        </w:tc>
        <w:tc>
          <w:tcPr>
            <w:tcW w:type="pct" w:w="1000"/>
          </w:tcPr>
          <w:p>
            <w:pPr>
              <w:pStyle w:val="Compact"/>
            </w:pPr>
            <w:r>
              <w:t xml:space="preserve">-0.199%</w:t>
            </w:r>
          </w:p>
        </w:tc>
        <w:tc>
          <w:tcPr>
            <w:tcW w:type="pct" w:w="1000"/>
          </w:tcPr>
          <w:p>
            <w:pPr>
              <w:pStyle w:val="Compact"/>
            </w:pPr>
            <w:r>
              <w:t xml:space="preserve">-339268.0%</w:t>
            </w:r>
          </w:p>
        </w:tc>
        <w:tc>
          <w:tcPr>
            <w:tcW w:type="pct" w:w="1000"/>
          </w:tcPr>
          <w:p>
            <w:pPr>
              <w:pStyle w:val="Compact"/>
            </w:pPr>
            <w:r>
              <w:t xml:space="preserve">0.40</w:t>
            </w:r>
          </w:p>
        </w:tc>
      </w:tr>
      <w:tr>
        <w:trPr>
          <w:trHeight w:hRule="atLeast" w:val="397"/>
        </w:trPr>
        <w:tc>
          <w:tcPr>
            <w:tcW w:type="pct" w:w="1000"/>
          </w:tcPr>
          <w:p>
            <w:pPr>
              <w:pStyle w:val="Compact"/>
            </w:pPr>
            <w:r>
              <w:t xml:space="preserve">0.532</w:t>
            </w:r>
          </w:p>
        </w:tc>
        <w:tc>
          <w:tcPr>
            <w:tcW w:type="pct" w:w="1000"/>
          </w:tcPr>
          <w:p>
            <w:pPr>
              <w:pStyle w:val="Compact"/>
            </w:pPr>
            <w:r>
              <w:t xml:space="preserve">576,714</w:t>
            </w:r>
          </w:p>
        </w:tc>
        <w:tc>
          <w:tcPr>
            <w:tcW w:type="pct" w:w="1000"/>
          </w:tcPr>
          <w:p>
            <w:pPr>
              <w:pStyle w:val="Compact"/>
            </w:pPr>
            <w:r>
              <w:t xml:space="preserve">-0.189%</w:t>
            </w:r>
          </w:p>
        </w:tc>
        <w:tc>
          <w:tcPr>
            <w:tcW w:type="pct" w:w="1000"/>
          </w:tcPr>
          <w:p>
            <w:pPr>
              <w:pStyle w:val="Compact"/>
            </w:pPr>
            <w:r>
              <w:t xml:space="preserve">-109068.8%</w:t>
            </w:r>
          </w:p>
        </w:tc>
        <w:tc>
          <w:tcPr>
            <w:tcW w:type="pct" w:w="1000"/>
          </w:tcPr>
          <w:p>
            <w:pPr>
              <w:pStyle w:val="Compact"/>
            </w:pPr>
            <w:r>
              <w:t xml:space="preserve">0.41</w:t>
            </w:r>
          </w:p>
        </w:tc>
      </w:tr>
      <w:tr>
        <w:trPr>
          <w:trHeight w:hRule="atLeast" w:val="397"/>
        </w:trPr>
        <w:tc>
          <w:tcPr>
            <w:tcW w:type="pct" w:w="1000"/>
          </w:tcPr>
          <w:p>
            <w:pPr>
              <w:pStyle w:val="Compact"/>
            </w:pPr>
            <w:r>
              <w:t xml:space="preserve">0.573</w:t>
            </w:r>
          </w:p>
        </w:tc>
        <w:tc>
          <w:tcPr>
            <w:tcW w:type="pct" w:w="1000"/>
          </w:tcPr>
          <w:p>
            <w:pPr>
              <w:pStyle w:val="Compact"/>
            </w:pPr>
            <w:r>
              <w:t xml:space="preserve">144,223</w:t>
            </w:r>
          </w:p>
        </w:tc>
        <w:tc>
          <w:tcPr>
            <w:tcW w:type="pct" w:w="1000"/>
          </w:tcPr>
          <w:p>
            <w:pPr>
              <w:pStyle w:val="Compact"/>
            </w:pPr>
            <w:r>
              <w:t xml:space="preserve">-0.177%</w:t>
            </w:r>
          </w:p>
        </w:tc>
        <w:tc>
          <w:tcPr>
            <w:tcW w:type="pct" w:w="1000"/>
          </w:tcPr>
          <w:p>
            <w:pPr>
              <w:pStyle w:val="Compact"/>
            </w:pPr>
            <w:r>
              <w:t xml:space="preserve">-25596.2%</w:t>
            </w:r>
          </w:p>
        </w:tc>
        <w:tc>
          <w:tcPr>
            <w:tcW w:type="pct" w:w="1000"/>
          </w:tcPr>
          <w:p>
            <w:pPr>
              <w:pStyle w:val="Compact"/>
            </w:pPr>
            <w:r>
              <w:t xml:space="preserve">0.42</w:t>
            </w:r>
          </w:p>
        </w:tc>
      </w:tr>
      <w:tr>
        <w:trPr>
          <w:trHeight w:hRule="atLeast" w:val="397"/>
        </w:trPr>
        <w:tc>
          <w:tcPr>
            <w:tcW w:type="pct" w:w="1000"/>
          </w:tcPr>
          <w:p>
            <w:pPr>
              <w:pStyle w:val="Compact"/>
            </w:pPr>
            <w:r>
              <w:t xml:space="preserve">0.614</w:t>
            </w:r>
          </w:p>
        </w:tc>
        <w:tc>
          <w:tcPr>
            <w:tcW w:type="pct" w:w="1000"/>
          </w:tcPr>
          <w:p>
            <w:pPr>
              <w:pStyle w:val="Compact"/>
            </w:pPr>
            <w:r>
              <w:t xml:space="preserve">37,589</w:t>
            </w:r>
          </w:p>
        </w:tc>
        <w:tc>
          <w:tcPr>
            <w:tcW w:type="pct" w:w="1000"/>
          </w:tcPr>
          <w:p>
            <w:pPr>
              <w:pStyle w:val="Compact"/>
            </w:pPr>
            <w:r>
              <w:t xml:space="preserve">-0.168%</w:t>
            </w:r>
          </w:p>
        </w:tc>
        <w:tc>
          <w:tcPr>
            <w:tcW w:type="pct" w:w="1000"/>
          </w:tcPr>
          <w:p>
            <w:pPr>
              <w:pStyle w:val="Compact"/>
            </w:pPr>
            <w:r>
              <w:t xml:space="preserve">-6322.5%</w:t>
            </w:r>
          </w:p>
        </w:tc>
        <w:tc>
          <w:tcPr>
            <w:tcW w:type="pct" w:w="1000"/>
          </w:tcPr>
          <w:p>
            <w:pPr>
              <w:pStyle w:val="Compact"/>
            </w:pPr>
            <w:r>
              <w:t xml:space="preserve">0.43</w:t>
            </w:r>
          </w:p>
        </w:tc>
      </w:tr>
      <w:tr>
        <w:trPr>
          <w:trHeight w:hRule="atLeast" w:val="397"/>
        </w:trPr>
        <w:tc>
          <w:tcPr>
            <w:tcW w:type="pct" w:w="1000"/>
          </w:tcPr>
          <w:p>
            <w:pPr>
              <w:pStyle w:val="Compact"/>
            </w:pPr>
            <w:r>
              <w:t xml:space="preserve">0.655</w:t>
            </w:r>
          </w:p>
        </w:tc>
        <w:tc>
          <w:tcPr>
            <w:tcW w:type="pct" w:w="1000"/>
          </w:tcPr>
          <w:p>
            <w:pPr>
              <w:pStyle w:val="Compact"/>
            </w:pPr>
            <w:r>
              <w:t xml:space="preserve">8,841</w:t>
            </w:r>
          </w:p>
        </w:tc>
        <w:tc>
          <w:tcPr>
            <w:tcW w:type="pct" w:w="1000"/>
          </w:tcPr>
          <w:p>
            <w:pPr>
              <w:pStyle w:val="Compact"/>
            </w:pPr>
            <w:r>
              <w:t xml:space="preserve">-0.172%</w:t>
            </w:r>
          </w:p>
        </w:tc>
        <w:tc>
          <w:tcPr>
            <w:tcW w:type="pct" w:w="1000"/>
          </w:tcPr>
          <w:p>
            <w:pPr>
              <w:pStyle w:val="Compact"/>
            </w:pPr>
            <w:r>
              <w:t xml:space="preserve">-1516.4%</w:t>
            </w:r>
          </w:p>
        </w:tc>
        <w:tc>
          <w:tcPr>
            <w:tcW w:type="pct" w:w="1000"/>
          </w:tcPr>
          <w:p>
            <w:pPr>
              <w:pStyle w:val="Compact"/>
            </w:pPr>
            <w:r>
              <w:t xml:space="preserve">0.43</w:t>
            </w:r>
          </w:p>
        </w:tc>
      </w:tr>
      <w:tr>
        <w:trPr>
          <w:trHeight w:hRule="atLeast" w:val="397"/>
        </w:trPr>
        <w:tc>
          <w:tcPr>
            <w:tcW w:type="pct" w:w="1000"/>
          </w:tcPr>
          <w:p>
            <w:pPr>
              <w:pStyle w:val="Compact"/>
            </w:pPr>
            <w:r>
              <w:t xml:space="preserve">0.695</w:t>
            </w:r>
          </w:p>
        </w:tc>
        <w:tc>
          <w:tcPr>
            <w:tcW w:type="pct" w:w="1000"/>
          </w:tcPr>
          <w:p>
            <w:pPr>
              <w:pStyle w:val="Compact"/>
            </w:pPr>
            <w:r>
              <w:t xml:space="preserve">1,760</w:t>
            </w:r>
          </w:p>
        </w:tc>
        <w:tc>
          <w:tcPr>
            <w:tcW w:type="pct" w:w="1000"/>
          </w:tcPr>
          <w:p>
            <w:pPr>
              <w:pStyle w:val="Compact"/>
            </w:pPr>
            <w:r>
              <w:t xml:space="preserve">-0.175%</w:t>
            </w:r>
          </w:p>
        </w:tc>
        <w:tc>
          <w:tcPr>
            <w:tcW w:type="pct" w:w="1000"/>
          </w:tcPr>
          <w:p>
            <w:pPr>
              <w:pStyle w:val="Compact"/>
            </w:pPr>
            <w:r>
              <w:t xml:space="preserve">-307.3%</w:t>
            </w:r>
          </w:p>
        </w:tc>
        <w:tc>
          <w:tcPr>
            <w:tcW w:type="pct" w:w="1000"/>
          </w:tcPr>
          <w:p>
            <w:pPr>
              <w:pStyle w:val="Compact"/>
            </w:pPr>
            <w:r>
              <w:t xml:space="preserve">0.43</w:t>
            </w:r>
          </w:p>
        </w:tc>
      </w:tr>
      <w:tr>
        <w:trPr>
          <w:trHeight w:hRule="atLeast" w:val="397"/>
        </w:trPr>
        <w:tc>
          <w:tcPr>
            <w:tcW w:type="pct" w:w="1000"/>
          </w:tcPr>
          <w:p>
            <w:pPr>
              <w:pStyle w:val="Compact"/>
            </w:pPr>
            <w:r>
              <w:t xml:space="preserve">0.736</w:t>
            </w:r>
          </w:p>
        </w:tc>
        <w:tc>
          <w:tcPr>
            <w:tcW w:type="pct" w:w="1000"/>
          </w:tcPr>
          <w:p>
            <w:pPr>
              <w:pStyle w:val="Compact"/>
            </w:pPr>
            <w:r>
              <w:t xml:space="preserve">252</w:t>
            </w:r>
          </w:p>
        </w:tc>
        <w:tc>
          <w:tcPr>
            <w:tcW w:type="pct" w:w="1000"/>
          </w:tcPr>
          <w:p>
            <w:pPr>
              <w:pStyle w:val="Compact"/>
            </w:pPr>
            <w:r>
              <w:t xml:space="preserve">-0.118%</w:t>
            </w:r>
          </w:p>
        </w:tc>
        <w:tc>
          <w:tcPr>
            <w:tcW w:type="pct" w:w="1000"/>
          </w:tcPr>
          <w:p>
            <w:pPr>
              <w:pStyle w:val="Compact"/>
            </w:pPr>
            <w:r>
              <w:t xml:space="preserve">-29.8%</w:t>
            </w:r>
          </w:p>
        </w:tc>
        <w:tc>
          <w:tcPr>
            <w:tcW w:type="pct" w:w="1000"/>
          </w:tcPr>
          <w:p>
            <w:pPr>
              <w:pStyle w:val="Compact"/>
            </w:pPr>
            <w:r>
              <w:t xml:space="preserve">0.46</w:t>
            </w:r>
          </w:p>
        </w:tc>
      </w:tr>
      <w:tr>
        <w:trPr>
          <w:trHeight w:hRule="atLeast" w:val="397"/>
        </w:trPr>
        <w:tc>
          <w:tcPr>
            <w:tcW w:type="pct" w:w="1000"/>
          </w:tcPr>
          <w:p>
            <w:pPr>
              <w:pStyle w:val="Compact"/>
            </w:pPr>
            <w:r>
              <w:t xml:space="preserve">0.777</w:t>
            </w:r>
          </w:p>
        </w:tc>
        <w:tc>
          <w:tcPr>
            <w:tcW w:type="pct" w:w="1000"/>
          </w:tcPr>
          <w:p>
            <w:pPr>
              <w:pStyle w:val="Compact"/>
            </w:pPr>
            <w:r>
              <w:t xml:space="preserve">16</w:t>
            </w:r>
          </w:p>
        </w:tc>
        <w:tc>
          <w:tcPr>
            <w:tcW w:type="pct" w:w="1000"/>
          </w:tcPr>
          <w:p>
            <w:pPr>
              <w:pStyle w:val="Compact"/>
            </w:pPr>
            <w:r>
              <w:t xml:space="preserve">-0.146%</w:t>
            </w:r>
          </w:p>
        </w:tc>
        <w:tc>
          <w:tcPr>
            <w:tcW w:type="pct" w:w="1000"/>
          </w:tcPr>
          <w:p>
            <w:pPr>
              <w:pStyle w:val="Compact"/>
            </w:pPr>
            <w:r>
              <w:t xml:space="preserve">-2.3%</w:t>
            </w:r>
          </w:p>
        </w:tc>
        <w:tc>
          <w:tcPr>
            <w:tcW w:type="pct" w:w="1000"/>
          </w:tcPr>
          <w:p>
            <w:pPr>
              <w:pStyle w:val="Compact"/>
            </w:pPr>
            <w:r>
              <w:t xml:space="preserve">0.44</w:t>
            </w:r>
          </w:p>
        </w:tc>
      </w:tr>
      <w:tr>
        <w:trPr>
          <w:trHeight w:hRule="atLeast" w:val="397"/>
        </w:trPr>
        <w:tc>
          <w:tcPr>
            <w:tcW w:type="pct" w:w="1000"/>
          </w:tcPr>
          <w:p>
            <w:pPr>
              <w:pStyle w:val="Compact"/>
            </w:pPr>
            <w:r>
              <w:t xml:space="preserve">0.818</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0.859</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r>
        <w:trPr>
          <w:trHeight w:hRule="atLeast" w:val="397"/>
        </w:trPr>
        <w:tc>
          <w:tcPr>
            <w:tcW w:type="pct" w:w="1000"/>
          </w:tcPr>
          <w:p>
            <w:pPr>
              <w:pStyle w:val="Compact"/>
            </w:pPr>
            <w:r>
              <w:t xml:space="preserve">0.900</w:t>
            </w:r>
          </w:p>
        </w:tc>
        <w:tc>
          <w:tcPr>
            <w:tcW w:type="pct" w:w="1000"/>
          </w:tcPr>
          <w:p>
            <w:pPr>
              <w:pStyle w:val="Compact"/>
            </w:pPr>
            <w:r>
              <w:t xml:space="preserve">0</w:t>
            </w:r>
          </w:p>
        </w:tc>
        <w:tc>
          <w:tcPr>
            <w:tcW w:type="pct" w:w="1000"/>
          </w:tcPr>
          <w:p>
            <w:pPr>
              <w:pStyle w:val="Compact"/>
            </w:pPr>
            <w:r>
              <w:t xml:space="preserve">-</w:t>
            </w:r>
          </w:p>
        </w:tc>
        <w:tc>
          <w:tcPr>
            <w:tcW w:type="pct" w:w="1000"/>
          </w:tcPr>
          <w:p>
            <w:pPr>
              <w:pStyle w:val="Compact"/>
            </w:pPr>
            <w:r>
              <w:t xml:space="preserve">-</w:t>
            </w:r>
          </w:p>
        </w:tc>
        <w:tc>
          <w:tcPr>
            <w:tcW w:type="pct" w:w="1000"/>
          </w:tcPr>
          <w:p>
            <w:pPr>
              <w:pStyle w:val="Compact"/>
            </w:pPr>
            <w:r>
              <w:t xml:space="preserve">-</w:t>
            </w:r>
          </w:p>
        </w:tc>
      </w:tr>
    </w:tbl>
    <w:p>
      <w:pPr>
        <w:pStyle w:val="BodyText"/>
      </w:pPr>
      <w:r>
        <w:rPr>
          <w:b/>
          <w:bCs/>
        </w:rPr>
        <w:t xml:space="preserve">Selectivity reading:</w:t>
      </w:r>
      <w:r>
        <w:t xml:space="preserve"> </w:t>
      </w:r>
      <w:r>
        <w:t xml:space="preserve">after-cost return per trade rises but stays NEGATIVE at every threshold (-0.204% -&gt; best -0.118% on 252 trades), and the trade count collapses toward the top. The model RANKS well but the frame still loses to fees at every operating point – selectivity does not rescue it. The lever is a coarser decision frame, new information, or cross-sectional framing, NOT a higher threshold and NOT a model retrain on selectivity.</w:t>
      </w:r>
    </w:p>
    <w:bookmarkEnd w:id="193"/>
    <w:bookmarkEnd w:id="194"/>
    <w:p>
      <w:pPr>
        <w:pStyle w:val="BodyText"/>
      </w:pPr>
      <w:r>
        <w:t xml:space="preserve"> </w:t>
      </w:r>
    </w:p>
    <w:p>
      <w:pPr>
        <w:pStyle w:val="SourceCode"/>
      </w:pPr>
      <w:r>
        <w:rPr>
          <w:rStyle w:val="VerbatimChar"/>
        </w:rPr>
        <w:t xml:space="preserve">[1h] OOS selectivity on 80,000 of 458,539 rows (reusing loaded frame); threshold on train, scored once...</w:t>
      </w:r>
      <w:r>
        <w:br/>
      </w:r>
      <w:r>
        <w:rPr>
          <w:rStyle w:val="VerbatimChar"/>
        </w:rPr>
        <w:t xml:space="preserve">[4h] OOS selectivity on 80,000 of 3,939,629 rows (loaded from disk); threshold on train, scored once...</w:t>
      </w:r>
      <w:r>
        <w:br/>
      </w:r>
      <w:r>
        <w:rPr>
          <w:rStyle w:val="VerbatimChar"/>
        </w:rPr>
        <w:t xml:space="preserve">[5m] OOS selectivity on 80,000 of 5,529,861 rows (loaded from disk); threshold on train, scored once...</w:t>
      </w:r>
    </w:p>
    <w:tbl>
      <w:tblPr>
        <w:tblStyle w:val="Table"/>
        <w:jc w:val="center"/>
        <w:tblLayout w:type="fixed"/>
        <w:tblLook w:firstRow="1" w:lastRow="0" w:firstColumn="0" w:lastColumn="0" w:noHBand="0" w:noVBand="0" w:val="0020"/>
        <w:tblW w:type="pct" w:w="5000"/>
        <w:tblCellMar>
          <w:left w:w="43" w:type="dxa"/>
          <w:right w:w="43" w:type="dxa"/>
        </w:tblCellMar>
      </w:tblPr>
      <w:tblGrid>
        <w:gridCol w:w="792"/>
        <w:gridCol w:w="792"/>
        <w:gridCol w:w="792"/>
        <w:gridCol w:w="792"/>
        <w:gridCol w:w="792"/>
        <w:gridCol w:w="792"/>
        <w:gridCol w:w="792"/>
        <w:gridCol w:w="792"/>
        <w:gridCol w:w="792"/>
        <w:gridCol w:w="792"/>
      </w:tblGrid>
      <w:tr>
        <w:trPr>
          <w:trHeight w:hRule="atLeast" w:val="567"/>
          <w:tblHeader w:val="on"/>
        </w:trPr>
        <w:tc>
          <w:tcPr>
            <w:tcW w:type="pct" w:w="500"/>
          </w:tcPr>
          <w:p>
            <w:pPr>
              <w:pStyle w:val="Compact"/>
            </w:pPr>
          </w:p>
        </w:tc>
        <w:tc>
          <w:tcPr>
            <w:tcW w:type="pct" w:w="500"/>
          </w:tcPr>
          <w:p>
            <w:pPr>
              <w:pStyle w:val="Compact"/>
            </w:pPr>
            <w:r>
              <w:rPr>
                <w:b/>
                <w:sz w:val="14"/>
              </w:rPr>
              <w:t xml:space="preserve">Frame</w:t>
            </w:r>
          </w:p>
        </w:tc>
        <w:tc>
          <w:tcPr>
            <w:tcW w:type="pct" w:w="500"/>
          </w:tcPr>
          <w:p>
            <w:pPr>
              <w:pStyle w:val="Compact"/>
            </w:pPr>
            <w:r>
              <w:rPr>
                <w:b/>
                <w:sz w:val="14"/>
              </w:rPr>
              <w:t xml:space="preserve">threshold (train)</w:t>
            </w:r>
          </w:p>
        </w:tc>
        <w:tc>
          <w:tcPr>
            <w:tcW w:type="pct" w:w="500"/>
          </w:tcPr>
          <w:p>
            <w:pPr>
              <w:pStyle w:val="Compact"/>
            </w:pPr>
            <w:r>
              <w:rPr>
                <w:b/>
                <w:sz w:val="14"/>
              </w:rPr>
              <w:t xml:space="preserve">OOS trades</w:t>
            </w:r>
          </w:p>
        </w:tc>
        <w:tc>
          <w:tcPr>
            <w:tcW w:type="pct" w:w="500"/>
          </w:tcPr>
          <w:p>
            <w:pPr>
              <w:pStyle w:val="Compact"/>
            </w:pPr>
            <w:r>
              <w:rPr>
                <w:b/>
                <w:sz w:val="14"/>
              </w:rPr>
              <w:t xml:space="preserve">OOS after-cost/trade</w:t>
            </w:r>
          </w:p>
        </w:tc>
        <w:tc>
          <w:tcPr>
            <w:tcW w:type="pct" w:w="500"/>
          </w:tcPr>
          <w:p>
            <w:pPr>
              <w:pStyle w:val="Compact"/>
            </w:pPr>
            <w:r>
              <w:rPr>
                <w:b/>
                <w:sz w:val="14"/>
              </w:rPr>
              <w:t xml:space="preserve">OOS total after-cost</w:t>
            </w:r>
          </w:p>
        </w:tc>
        <w:tc>
          <w:tcPr>
            <w:tcW w:type="pct" w:w="500"/>
          </w:tcPr>
          <w:p>
            <w:pPr>
              <w:pStyle w:val="Compact"/>
            </w:pPr>
            <w:r>
              <w:rPr>
                <w:b/>
                <w:sz w:val="14"/>
              </w:rPr>
              <w:t xml:space="preserve">OOS win</w:t>
            </w:r>
          </w:p>
        </w:tc>
        <w:tc>
          <w:tcPr>
            <w:tcW w:type="pct" w:w="500"/>
          </w:tcPr>
          <w:p>
            <w:pPr>
              <w:pStyle w:val="Compact"/>
            </w:pPr>
            <w:r>
              <w:rPr>
                <w:b/>
                <w:sz w:val="14"/>
              </w:rPr>
              <w:t xml:space="preserve">OOS prec/base</w:t>
            </w:r>
          </w:p>
        </w:tc>
        <w:tc>
          <w:tcPr>
            <w:tcW w:type="pct" w:w="500"/>
          </w:tcPr>
          <w:p>
            <w:pPr>
              <w:pStyle w:val="Compact"/>
            </w:pPr>
            <w:r>
              <w:rPr>
                <w:b/>
                <w:sz w:val="14"/>
              </w:rPr>
              <w:t xml:space="preserve">blind ends</w:t>
            </w:r>
          </w:p>
        </w:tc>
        <w:tc>
          <w:tcPr>
            <w:tcW w:type="pct" w:w="500"/>
          </w:tcPr>
          <w:p>
            <w:pPr>
              <w:pStyle w:val="Compact"/>
            </w:pPr>
            <w:r>
              <w:rPr>
                <w:b/>
                <w:sz w:val="14"/>
              </w:rPr>
              <w:t xml:space="preserve">verdict</w:t>
            </w:r>
          </w:p>
        </w:tc>
      </w:tr>
      <w:tr>
        <w:trPr>
          <w:trHeight w:hRule="atLeast" w:val="397"/>
        </w:trPr>
        <w:tc>
          <w:tcPr>
            <w:tcW w:type="pct" w:w="500"/>
          </w:tcPr>
          <w:p>
            <w:pPr>
              <w:pStyle w:val="Compact"/>
            </w:pPr>
            <w:r>
              <w:rPr>
                <w:sz w:val="14"/>
              </w:rPr>
              <w:t xml:space="preserve">0</w:t>
            </w:r>
          </w:p>
        </w:tc>
        <w:tc>
          <w:tcPr>
            <w:tcW w:type="pct" w:w="500"/>
          </w:tcPr>
          <w:p>
            <w:pPr>
              <w:pStyle w:val="Compact"/>
            </w:pPr>
            <w:r>
              <w:rPr>
                <w:sz w:val="14"/>
              </w:rPr>
              <w:t xml:space="preserve">1h</w:t>
            </w:r>
          </w:p>
        </w:tc>
        <w:tc>
          <w:tcPr>
            <w:tcW w:type="pct" w:w="500"/>
          </w:tcPr>
          <w:p>
            <w:pPr>
              <w:pStyle w:val="Compact"/>
            </w:pPr>
            <w:r>
              <w:rPr>
                <w:sz w:val="14"/>
              </w:rPr>
              <w:t xml:space="preserve">0.525</w:t>
            </w:r>
          </w:p>
        </w:tc>
        <w:tc>
          <w:tcPr>
            <w:tcW w:type="pct" w:w="500"/>
          </w:tcPr>
          <w:p>
            <w:pPr>
              <w:pStyle w:val="Compact"/>
            </w:pPr>
            <w:r>
              <w:rPr>
                <w:sz w:val="14"/>
              </w:rPr>
              <w:t xml:space="preserve">4,229</w:t>
            </w:r>
          </w:p>
        </w:tc>
        <w:tc>
          <w:tcPr>
            <w:tcW w:type="pct" w:w="500"/>
          </w:tcPr>
          <w:p>
            <w:pPr>
              <w:pStyle w:val="Compact"/>
            </w:pPr>
            <w:r>
              <w:rPr>
                <w:sz w:val="14"/>
              </w:rPr>
              <w:t xml:space="preserve">-0.347%</w:t>
            </w:r>
          </w:p>
        </w:tc>
        <w:tc>
          <w:tcPr>
            <w:tcW w:type="pct" w:w="500"/>
          </w:tcPr>
          <w:p>
            <w:pPr>
              <w:pStyle w:val="Compact"/>
            </w:pPr>
            <w:r>
              <w:rPr>
                <w:sz w:val="14"/>
              </w:rPr>
              <w:t xml:space="preserve">-1466.2%</w:t>
            </w:r>
          </w:p>
        </w:tc>
        <w:tc>
          <w:tcPr>
            <w:tcW w:type="pct" w:w="500"/>
          </w:tcPr>
          <w:p>
            <w:pPr>
              <w:pStyle w:val="Compact"/>
            </w:pPr>
            <w:r>
              <w:rPr>
                <w:sz w:val="14"/>
              </w:rPr>
              <w:t xml:space="preserve">0.31</w:t>
            </w:r>
          </w:p>
        </w:tc>
        <w:tc>
          <w:tcPr>
            <w:tcW w:type="pct" w:w="500"/>
          </w:tcPr>
          <w:p>
            <w:pPr>
              <w:pStyle w:val="Compact"/>
            </w:pPr>
            <w:r>
              <w:rPr>
                <w:sz w:val="14"/>
              </w:rPr>
              <w:t xml:space="preserve">0.304/0.298</w:t>
            </w:r>
          </w:p>
        </w:tc>
        <w:tc>
          <w:tcPr>
            <w:tcW w:type="pct" w:w="500"/>
          </w:tcPr>
          <w:p>
            <w:pPr>
              <w:pStyle w:val="Compact"/>
            </w:pPr>
            <w:r>
              <w:rPr>
                <w:sz w:val="14"/>
              </w:rPr>
              <w:t xml:space="preserve">2025-06-18</w:t>
            </w:r>
          </w:p>
        </w:tc>
        <w:tc>
          <w:tcPr>
            <w:tcW w:type="pct" w:w="500"/>
          </w:tcPr>
          <w:p>
            <w:pPr>
              <w:pStyle w:val="Compact"/>
            </w:pPr>
            <w:r>
              <w:rPr>
                <w:sz w:val="14"/>
              </w:rPr>
              <w:t xml:space="preserve">NO-GO (loses to fees out of sample)</w:t>
            </w:r>
          </w:p>
        </w:tc>
      </w:tr>
      <w:tr>
        <w:trPr>
          <w:trHeight w:hRule="atLeast" w:val="397"/>
        </w:trPr>
        <w:tc>
          <w:tcPr>
            <w:tcW w:type="pct" w:w="500"/>
          </w:tcPr>
          <w:p>
            <w:pPr>
              <w:pStyle w:val="Compact"/>
            </w:pPr>
            <w:r>
              <w:rPr>
                <w:sz w:val="14"/>
              </w:rPr>
              <w:t xml:space="preserve">1</w:t>
            </w:r>
          </w:p>
        </w:tc>
        <w:tc>
          <w:tcPr>
            <w:tcW w:type="pct" w:w="500"/>
          </w:tcPr>
          <w:p>
            <w:pPr>
              <w:pStyle w:val="Compact"/>
            </w:pPr>
            <w:r>
              <w:rPr>
                <w:sz w:val="14"/>
              </w:rPr>
              <w:t xml:space="preserve">4h</w:t>
            </w:r>
          </w:p>
        </w:tc>
        <w:tc>
          <w:tcPr>
            <w:tcW w:type="pct" w:w="500"/>
          </w:tcPr>
          <w:p>
            <w:pPr>
              <w:pStyle w:val="Compact"/>
            </w:pPr>
            <w:r>
              <w:rPr>
                <w:sz w:val="14"/>
              </w:rPr>
              <w:t xml:space="preserve">0.500</w:t>
            </w:r>
          </w:p>
        </w:tc>
        <w:tc>
          <w:tcPr>
            <w:tcW w:type="pct" w:w="500"/>
          </w:tcPr>
          <w:p>
            <w:pPr>
              <w:pStyle w:val="Compact"/>
            </w:pPr>
            <w:r>
              <w:rPr>
                <w:sz w:val="14"/>
              </w:rPr>
              <w:t xml:space="preserve">6,509</w:t>
            </w:r>
          </w:p>
        </w:tc>
        <w:tc>
          <w:tcPr>
            <w:tcW w:type="pct" w:w="500"/>
          </w:tcPr>
          <w:p>
            <w:pPr>
              <w:pStyle w:val="Compact"/>
            </w:pPr>
            <w:r>
              <w:rPr>
                <w:sz w:val="14"/>
              </w:rPr>
              <w:t xml:space="preserve">-0.310%</w:t>
            </w:r>
          </w:p>
        </w:tc>
        <w:tc>
          <w:tcPr>
            <w:tcW w:type="pct" w:w="500"/>
          </w:tcPr>
          <w:p>
            <w:pPr>
              <w:pStyle w:val="Compact"/>
            </w:pPr>
            <w:r>
              <w:rPr>
                <w:sz w:val="14"/>
              </w:rPr>
              <w:t xml:space="preserve">-2016.1%</w:t>
            </w:r>
          </w:p>
        </w:tc>
        <w:tc>
          <w:tcPr>
            <w:tcW w:type="pct" w:w="500"/>
          </w:tcPr>
          <w:p>
            <w:pPr>
              <w:pStyle w:val="Compact"/>
            </w:pPr>
            <w:r>
              <w:rPr>
                <w:sz w:val="14"/>
              </w:rPr>
              <w:t xml:space="preserve">0.35</w:t>
            </w:r>
          </w:p>
        </w:tc>
        <w:tc>
          <w:tcPr>
            <w:tcW w:type="pct" w:w="500"/>
          </w:tcPr>
          <w:p>
            <w:pPr>
              <w:pStyle w:val="Compact"/>
            </w:pPr>
            <w:r>
              <w:rPr>
                <w:sz w:val="14"/>
              </w:rPr>
              <w:t xml:space="preserve">0.282/0.254</w:t>
            </w:r>
          </w:p>
        </w:tc>
        <w:tc>
          <w:tcPr>
            <w:tcW w:type="pct" w:w="500"/>
          </w:tcPr>
          <w:p>
            <w:pPr>
              <w:pStyle w:val="Compact"/>
            </w:pPr>
            <w:r>
              <w:rPr>
                <w:sz w:val="14"/>
              </w:rPr>
              <w:t xml:space="preserve">2025-06-21</w:t>
            </w:r>
          </w:p>
        </w:tc>
        <w:tc>
          <w:tcPr>
            <w:tcW w:type="pct" w:w="500"/>
          </w:tcPr>
          <w:p>
            <w:pPr>
              <w:pStyle w:val="Compact"/>
            </w:pPr>
            <w:r>
              <w:rPr>
                <w:sz w:val="14"/>
              </w:rPr>
              <w:t xml:space="preserve">NO-GO (loses to fees out of sample)</w:t>
            </w:r>
          </w:p>
        </w:tc>
      </w:tr>
      <w:tr>
        <w:trPr>
          <w:trHeight w:hRule="atLeast" w:val="397"/>
        </w:trPr>
        <w:tc>
          <w:tcPr>
            <w:tcW w:type="pct" w:w="500"/>
          </w:tcPr>
          <w:p>
            <w:pPr>
              <w:pStyle w:val="Compact"/>
            </w:pPr>
            <w:r>
              <w:rPr>
                <w:sz w:val="14"/>
              </w:rPr>
              <w:t xml:space="preserve">2</w:t>
            </w:r>
          </w:p>
        </w:tc>
        <w:tc>
          <w:tcPr>
            <w:tcW w:type="pct" w:w="500"/>
          </w:tcPr>
          <w:p>
            <w:pPr>
              <w:pStyle w:val="Compact"/>
            </w:pPr>
            <w:r>
              <w:rPr>
                <w:sz w:val="14"/>
              </w:rPr>
              <w:t xml:space="preserve">5m</w:t>
            </w:r>
          </w:p>
        </w:tc>
        <w:tc>
          <w:tcPr>
            <w:tcW w:type="pct" w:w="500"/>
          </w:tcPr>
          <w:p>
            <w:pPr>
              <w:pStyle w:val="Compact"/>
            </w:pPr>
            <w:r>
              <w:rPr>
                <w:sz w:val="14"/>
              </w:rPr>
              <w:t xml:space="preserve">0.550</w:t>
            </w:r>
          </w:p>
        </w:tc>
        <w:tc>
          <w:tcPr>
            <w:tcW w:type="pct" w:w="500"/>
          </w:tcPr>
          <w:p>
            <w:pPr>
              <w:pStyle w:val="Compact"/>
            </w:pPr>
            <w:r>
              <w:rPr>
                <w:sz w:val="14"/>
              </w:rPr>
              <w:t xml:space="preserve">2,551</w:t>
            </w:r>
          </w:p>
        </w:tc>
        <w:tc>
          <w:tcPr>
            <w:tcW w:type="pct" w:w="500"/>
          </w:tcPr>
          <w:p>
            <w:pPr>
              <w:pStyle w:val="Compact"/>
            </w:pPr>
            <w:r>
              <w:rPr>
                <w:sz w:val="14"/>
              </w:rPr>
              <w:t xml:space="preserve">-0.198%</w:t>
            </w:r>
          </w:p>
        </w:tc>
        <w:tc>
          <w:tcPr>
            <w:tcW w:type="pct" w:w="500"/>
          </w:tcPr>
          <w:p>
            <w:pPr>
              <w:pStyle w:val="Compact"/>
            </w:pPr>
            <w:r>
              <w:rPr>
                <w:sz w:val="14"/>
              </w:rPr>
              <w:t xml:space="preserve">-505.4%</w:t>
            </w:r>
          </w:p>
        </w:tc>
        <w:tc>
          <w:tcPr>
            <w:tcW w:type="pct" w:w="500"/>
          </w:tcPr>
          <w:p>
            <w:pPr>
              <w:pStyle w:val="Compact"/>
            </w:pPr>
            <w:r>
              <w:rPr>
                <w:sz w:val="14"/>
              </w:rPr>
              <w:t xml:space="preserve">0.33</w:t>
            </w:r>
          </w:p>
        </w:tc>
        <w:tc>
          <w:tcPr>
            <w:tcW w:type="pct" w:w="500"/>
          </w:tcPr>
          <w:p>
            <w:pPr>
              <w:pStyle w:val="Compact"/>
            </w:pPr>
            <w:r>
              <w:rPr>
                <w:sz w:val="14"/>
              </w:rPr>
              <w:t xml:space="preserve">0.414/0.393</w:t>
            </w:r>
          </w:p>
        </w:tc>
        <w:tc>
          <w:tcPr>
            <w:tcW w:type="pct" w:w="500"/>
          </w:tcPr>
          <w:p>
            <w:pPr>
              <w:pStyle w:val="Compact"/>
            </w:pPr>
            <w:r>
              <w:rPr>
                <w:sz w:val="14"/>
              </w:rPr>
              <w:t xml:space="preserve">2025-06-24</w:t>
            </w:r>
          </w:p>
        </w:tc>
        <w:tc>
          <w:tcPr>
            <w:tcW w:type="pct" w:w="500"/>
          </w:tcPr>
          <w:p>
            <w:pPr>
              <w:pStyle w:val="Compact"/>
            </w:pPr>
            <w:r>
              <w:rPr>
                <w:sz w:val="14"/>
              </w:rPr>
              <w:t xml:space="preserve">NO-GO (loses to fees out of sample)</w:t>
            </w:r>
          </w:p>
        </w:tc>
      </w:tr>
    </w:tbl>
    <w:bookmarkEnd w:id="195"/>
    <w:bookmarkStart w:id="205" w:name="regime-conditioning"/>
    <w:p>
      <w:pPr>
        <w:pStyle w:val="Heading3"/>
      </w:pPr>
      <w:r>
        <w:t xml:space="preserve">3.13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pPr>
        <w:pStyle w:val="SourceCode"/>
      </w:pPr>
      <w:r>
        <w:rPr>
          <w:rStyle w:val="VerbatimChar"/>
        </w:rPr>
        <w:t xml:space="preserve">RECOMPUTE off -- showing the latest persisted records (3 of 10):</w:t>
      </w:r>
    </w:p>
    <w:bookmarkStart w:id="198" w:name="Xe0b3e02f5a0b0279cade957bc2f0bc9d26ee87c"/>
    <w:p>
      <w:pPr>
        <w:pStyle w:val="Heading4"/>
      </w:pPr>
      <w:r>
        <w:t xml:space="preserve">Regime conditioning ablation (2026-09-07)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5"/>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5"/>
        </w:numPr>
      </w:pPr>
      <w:r>
        <w:t xml:space="preserve">features: baseline 90, conditioned 100</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0.549, picks 0.273/base 0.254</w:t>
            </w:r>
          </w:p>
        </w:tc>
        <w:tc>
          <w:tcPr>
            <w:tcW w:type="pct" w:w="833"/>
          </w:tcPr>
          <w:p>
            <w:pPr>
              <w:pStyle w:val="Compact"/>
            </w:pPr>
            <w:r>
              <w:rPr>
                <w:sz w:val="16"/>
              </w:rPr>
              <w:t xml:space="preserve">-0.382%</w:t>
            </w:r>
          </w:p>
        </w:tc>
        <w:tc>
          <w:tcPr>
            <w:tcW w:type="pct" w:w="833"/>
          </w:tcPr>
          <w:p>
            <w:pPr>
              <w:pStyle w:val="Compact"/>
            </w:pPr>
            <w:r>
              <w:rPr>
                <w:sz w:val="16"/>
              </w:rPr>
              <w:t xml:space="preserve">-0.202%</w:t>
            </w:r>
          </w:p>
        </w:tc>
        <w:tc>
          <w:tcPr>
            <w:tcW w:type="pct" w:w="833"/>
          </w:tcPr>
          <w:p>
            <w:pPr>
              <w:pStyle w:val="Compact"/>
            </w:pPr>
            <w:r>
              <w:rPr>
                <w:sz w:val="16"/>
              </w:rPr>
              <w:t xml:space="preserve">-0.316%</w:t>
            </w:r>
          </w:p>
        </w:tc>
        <w:tc>
          <w:tcPr>
            <w:tcW w:type="pct" w:w="833"/>
          </w:tcPr>
          <w:p>
            <w:pPr>
              <w:pStyle w:val="Compact"/>
            </w:pPr>
            <w:r>
              <w:rPr>
                <w:sz w:val="16"/>
              </w:rPr>
              <w:t xml:space="preserve">0/3</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0.555, picks 0.282/base 0.254</w:t>
            </w:r>
          </w:p>
        </w:tc>
        <w:tc>
          <w:tcPr>
            <w:tcW w:type="pct" w:w="833"/>
          </w:tcPr>
          <w:p>
            <w:pPr>
              <w:pStyle w:val="Compact"/>
            </w:pPr>
            <w:r>
              <w:rPr>
                <w:sz w:val="16"/>
              </w:rPr>
              <w:t xml:space="preserve">-0.235%</w:t>
            </w:r>
          </w:p>
        </w:tc>
        <w:tc>
          <w:tcPr>
            <w:tcW w:type="pct" w:w="833"/>
          </w:tcPr>
          <w:p>
            <w:pPr>
              <w:pStyle w:val="Compact"/>
            </w:pPr>
            <w:r>
              <w:rPr>
                <w:sz w:val="16"/>
              </w:rPr>
              <w:t xml:space="preserve">-0.240%</w:t>
            </w:r>
          </w:p>
        </w:tc>
        <w:tc>
          <w:tcPr>
            <w:tcW w:type="pct" w:w="833"/>
          </w:tcPr>
          <w:p>
            <w:pPr>
              <w:pStyle w:val="Compact"/>
            </w:pPr>
            <w:r>
              <w:rPr>
                <w:sz w:val="16"/>
              </w:rPr>
              <w:t xml:space="preserve">-0.399%</w:t>
            </w:r>
          </w:p>
        </w:tc>
        <w:tc>
          <w:tcPr>
            <w:tcW w:type="pct" w:w="833"/>
          </w:tcPr>
          <w:p>
            <w:pPr>
              <w:pStyle w:val="Compact"/>
            </w:pPr>
            <w:r>
              <w:rPr>
                <w:sz w:val="16"/>
              </w:rPr>
              <w:t xml:space="preserve">0/3</w:t>
            </w:r>
          </w:p>
        </w:tc>
      </w:tr>
    </w:tbl>
    <w:p>
      <w:pPr>
        <w:pStyle w:val="BodyText"/>
      </w:pPr>
      <w:r>
        <w:rPr>
          <w:b/>
          <w:bCs/>
        </w:rPr>
        <w:t xml:space="preserve">Effect of conditioning</w:t>
      </w:r>
      <w:r>
        <w:t xml:space="preserve"> </w:t>
      </w:r>
      <w:r>
        <w:t xml:space="preserve">(two separate questions): cross-era STABILITY does not improve (worst-era -0.083pp, era-mean -0.038pp, eras-positive +0); after-cost EDGE improves (+0.147pp/trade). The point of Part 2 is the first: a model that generalizes across regimes rather than memorizing one. Both remain subject to the after-fee GO/NO-GO bar.</w:t>
      </w:r>
    </w:p>
    <w:bookmarkStart w:id="196" w:name="per-era-after-cost-conditioned-model"/>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2022 collapse</w:t>
            </w:r>
          </w:p>
        </w:tc>
        <w:tc>
          <w:tcPr>
            <w:tcW w:type="pct" w:w="1250"/>
          </w:tcPr>
          <w:p>
            <w:pPr>
              <w:pStyle w:val="Compact"/>
            </w:pPr>
            <w:r>
              <w:t xml:space="preserve">2,069</w:t>
            </w:r>
          </w:p>
        </w:tc>
        <w:tc>
          <w:tcPr>
            <w:tcW w:type="pct" w:w="1250"/>
          </w:tcPr>
          <w:p>
            <w:pPr>
              <w:pStyle w:val="Compact"/>
            </w:pPr>
            <w:r>
              <w:t xml:space="preserve">-0.399%</w:t>
            </w:r>
          </w:p>
        </w:tc>
        <w:tc>
          <w:tcPr>
            <w:tcW w:type="pct" w:w="1250"/>
          </w:tcPr>
          <w:p>
            <w:pPr>
              <w:pStyle w:val="Compact"/>
            </w:pPr>
            <w:r>
              <w:t xml:space="preserve">0.32</w:t>
            </w:r>
          </w:p>
        </w:tc>
      </w:tr>
      <w:tr>
        <w:trPr>
          <w:trHeight w:hRule="atLeast" w:val="397"/>
        </w:trPr>
        <w:tc>
          <w:tcPr>
            <w:tcW w:type="pct" w:w="1250"/>
          </w:tcPr>
          <w:p>
            <w:pPr>
              <w:pStyle w:val="Compact"/>
            </w:pPr>
            <w:r>
              <w:t xml:space="preserve">2023-24 recovery</w:t>
            </w:r>
          </w:p>
        </w:tc>
        <w:tc>
          <w:tcPr>
            <w:tcW w:type="pct" w:w="1250"/>
          </w:tcPr>
          <w:p>
            <w:pPr>
              <w:pStyle w:val="Compact"/>
            </w:pPr>
            <w:r>
              <w:t xml:space="preserve">3,503</w:t>
            </w:r>
          </w:p>
        </w:tc>
        <w:tc>
          <w:tcPr>
            <w:tcW w:type="pct" w:w="1250"/>
          </w:tcPr>
          <w:p>
            <w:pPr>
              <w:pStyle w:val="Compact"/>
            </w:pPr>
            <w:r>
              <w:t xml:space="preserve">-0.126%</w:t>
            </w:r>
          </w:p>
        </w:tc>
        <w:tc>
          <w:tcPr>
            <w:tcW w:type="pct" w:w="1250"/>
          </w:tcPr>
          <w:p>
            <w:pPr>
              <w:pStyle w:val="Compact"/>
            </w:pPr>
            <w:r>
              <w:t xml:space="preserve">0.37</w:t>
            </w:r>
          </w:p>
        </w:tc>
      </w:tr>
      <w:tr>
        <w:trPr>
          <w:trHeight w:hRule="atLeast" w:val="397"/>
        </w:trPr>
        <w:tc>
          <w:tcPr>
            <w:tcW w:type="pct" w:w="1250"/>
          </w:tcPr>
          <w:p>
            <w:pPr>
              <w:pStyle w:val="Compact"/>
            </w:pPr>
            <w:r>
              <w:t xml:space="preserve">2025-26 recent</w:t>
            </w:r>
          </w:p>
        </w:tc>
        <w:tc>
          <w:tcPr>
            <w:tcW w:type="pct" w:w="1250"/>
          </w:tcPr>
          <w:p>
            <w:pPr>
              <w:pStyle w:val="Compact"/>
            </w:pPr>
            <w:r>
              <w:t xml:space="preserve">3,579</w:t>
            </w:r>
          </w:p>
        </w:tc>
        <w:tc>
          <w:tcPr>
            <w:tcW w:type="pct" w:w="1250"/>
          </w:tcPr>
          <w:p>
            <w:pPr>
              <w:pStyle w:val="Compact"/>
            </w:pPr>
            <w:r>
              <w:t xml:space="preserve">-0.195%</w:t>
            </w:r>
          </w:p>
        </w:tc>
        <w:tc>
          <w:tcPr>
            <w:tcW w:type="pct" w:w="1250"/>
          </w:tcPr>
          <w:p>
            <w:pPr>
              <w:pStyle w:val="Compact"/>
            </w:pPr>
            <w:r>
              <w:t xml:space="preserve">0.35</w:t>
            </w:r>
          </w:p>
        </w:tc>
      </w:tr>
    </w:tbl>
    <w:bookmarkEnd w:id="196"/>
    <w:bookmarkStart w:id="197" w:name="X7cf032d7ddf3b5237570e46077f529a3264e270"/>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0.4793 | 0.4793 |</w:t>
      </w:r>
      <w:r>
        <w:t xml:space="preserve"> </w:t>
      </w:r>
      <w:r>
        <w:t xml:space="preserve">| RMSEratio (Full / CV) | 0.902 | 0.893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06"/>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97"/>
    <w:bookmarkEnd w:id="198"/>
    <w:bookmarkStart w:id="201" w:name="X46e8dde2868e9c7510647de3cbdf6c252a88ea9"/>
    <w:p>
      <w:pPr>
        <w:pStyle w:val="Heading4"/>
      </w:pPr>
      <w:r>
        <w:t xml:space="preserve">Regime conditioning ablation (2026-09-08) – 1d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7"/>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7"/>
        </w:numPr>
      </w:pPr>
      <w:r>
        <w:t xml:space="preserve">features: baseline 94, conditioned 104</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0.521, picks 0.173/base 0.147</w:t>
            </w:r>
          </w:p>
        </w:tc>
        <w:tc>
          <w:tcPr>
            <w:tcW w:type="pct" w:w="833"/>
          </w:tcPr>
          <w:p>
            <w:pPr>
              <w:pStyle w:val="Compact"/>
            </w:pPr>
            <w:r>
              <w:rPr>
                <w:sz w:val="16"/>
              </w:rPr>
              <w:t xml:space="preserve">-1.072%</w:t>
            </w:r>
          </w:p>
        </w:tc>
        <w:tc>
          <w:tcPr>
            <w:tcW w:type="pct" w:w="833"/>
          </w:tcPr>
          <w:p>
            <w:pPr>
              <w:pStyle w:val="Compact"/>
            </w:pPr>
            <w:r>
              <w:rPr>
                <w:sz w:val="16"/>
              </w:rPr>
              <w:t xml:space="preserve">+1.527%</w:t>
            </w:r>
          </w:p>
        </w:tc>
        <w:tc>
          <w:tcPr>
            <w:tcW w:type="pct" w:w="833"/>
          </w:tcPr>
          <w:p>
            <w:pPr>
              <w:pStyle w:val="Compact"/>
            </w:pPr>
            <w:r>
              <w:rPr>
                <w:sz w:val="16"/>
              </w:rPr>
              <w:t xml:space="preserve">-3.839%</w:t>
            </w:r>
          </w:p>
        </w:tc>
        <w:tc>
          <w:tcPr>
            <w:tcW w:type="pct" w:w="833"/>
          </w:tcPr>
          <w:p>
            <w:pPr>
              <w:pStyle w:val="Compact"/>
            </w:pPr>
            <w:r>
              <w:rPr>
                <w:sz w:val="16"/>
              </w:rPr>
              <w:t xml:space="preserve">2/4</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0.525, picks 0.171/base 0.147</w:t>
            </w:r>
          </w:p>
        </w:tc>
        <w:tc>
          <w:tcPr>
            <w:tcW w:type="pct" w:w="833"/>
          </w:tcPr>
          <w:p>
            <w:pPr>
              <w:pStyle w:val="Compact"/>
            </w:pPr>
            <w:r>
              <w:rPr>
                <w:sz w:val="16"/>
              </w:rPr>
              <w:t xml:space="preserve">-1.220%</w:t>
            </w:r>
          </w:p>
        </w:tc>
        <w:tc>
          <w:tcPr>
            <w:tcW w:type="pct" w:w="833"/>
          </w:tcPr>
          <w:p>
            <w:pPr>
              <w:pStyle w:val="Compact"/>
            </w:pPr>
            <w:r>
              <w:rPr>
                <w:sz w:val="16"/>
              </w:rPr>
              <w:t xml:space="preserve">+1.876%</w:t>
            </w:r>
          </w:p>
        </w:tc>
        <w:tc>
          <w:tcPr>
            <w:tcW w:type="pct" w:w="833"/>
          </w:tcPr>
          <w:p>
            <w:pPr>
              <w:pStyle w:val="Compact"/>
            </w:pPr>
            <w:r>
              <w:rPr>
                <w:sz w:val="16"/>
              </w:rPr>
              <w:t xml:space="preserve">-2.373%</w:t>
            </w:r>
          </w:p>
        </w:tc>
        <w:tc>
          <w:tcPr>
            <w:tcW w:type="pct" w:w="833"/>
          </w:tcPr>
          <w:p>
            <w:pPr>
              <w:pStyle w:val="Compact"/>
            </w:pPr>
            <w:r>
              <w:rPr>
                <w:sz w:val="16"/>
              </w:rPr>
              <w:t xml:space="preserve">3/4</w:t>
            </w:r>
          </w:p>
        </w:tc>
      </w:tr>
    </w:tbl>
    <w:p>
      <w:pPr>
        <w:pStyle w:val="BodyText"/>
      </w:pPr>
      <w:r>
        <w:rPr>
          <w:b/>
          <w:bCs/>
        </w:rPr>
        <w:t xml:space="preserve">Effect of conditioning</w:t>
      </w:r>
      <w:r>
        <w:t xml:space="preserve"> </w:t>
      </w:r>
      <w:r>
        <w:t xml:space="preserve">(two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bookmarkStart w:id="199" w:name="per-era-after-cost-conditioned-model-1"/>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70</w:t>
            </w:r>
          </w:p>
        </w:tc>
        <w:tc>
          <w:tcPr>
            <w:tcW w:type="pct" w:w="1250"/>
          </w:tcPr>
          <w:p>
            <w:pPr>
              <w:pStyle w:val="Compact"/>
            </w:pPr>
            <w:r>
              <w:t xml:space="preserve">+8.923%</w:t>
            </w:r>
          </w:p>
        </w:tc>
        <w:tc>
          <w:tcPr>
            <w:tcW w:type="pct" w:w="1250"/>
          </w:tcPr>
          <w:p>
            <w:pPr>
              <w:pStyle w:val="Compact"/>
            </w:pPr>
            <w:r>
              <w:t xml:space="preserve">0.57</w:t>
            </w:r>
          </w:p>
        </w:tc>
      </w:tr>
      <w:tr>
        <w:trPr>
          <w:trHeight w:hRule="atLeast" w:val="397"/>
        </w:trPr>
        <w:tc>
          <w:tcPr>
            <w:tcW w:type="pct" w:w="1250"/>
          </w:tcPr>
          <w:p>
            <w:pPr>
              <w:pStyle w:val="Compact"/>
            </w:pPr>
            <w:r>
              <w:t xml:space="preserve">2022 collapse</w:t>
            </w:r>
          </w:p>
        </w:tc>
        <w:tc>
          <w:tcPr>
            <w:tcW w:type="pct" w:w="1250"/>
          </w:tcPr>
          <w:p>
            <w:pPr>
              <w:pStyle w:val="Compact"/>
            </w:pPr>
            <w:r>
              <w:t xml:space="preserve">604</w:t>
            </w:r>
          </w:p>
        </w:tc>
        <w:tc>
          <w:tcPr>
            <w:tcW w:type="pct" w:w="1250"/>
          </w:tcPr>
          <w:p>
            <w:pPr>
              <w:pStyle w:val="Compact"/>
            </w:pPr>
            <w:r>
              <w:t xml:space="preserve">-2.373%</w:t>
            </w:r>
          </w:p>
        </w:tc>
        <w:tc>
          <w:tcPr>
            <w:tcW w:type="pct" w:w="1250"/>
          </w:tcPr>
          <w:p>
            <w:pPr>
              <w:pStyle w:val="Compact"/>
            </w:pPr>
            <w:r>
              <w:t xml:space="preserve">0.21</w:t>
            </w:r>
          </w:p>
        </w:tc>
      </w:tr>
      <w:tr>
        <w:trPr>
          <w:trHeight w:hRule="atLeast" w:val="397"/>
        </w:trPr>
        <w:tc>
          <w:tcPr>
            <w:tcW w:type="pct" w:w="1250"/>
          </w:tcPr>
          <w:p>
            <w:pPr>
              <w:pStyle w:val="Compact"/>
            </w:pPr>
            <w:r>
              <w:t xml:space="preserve">2023-24 recovery</w:t>
            </w:r>
          </w:p>
        </w:tc>
        <w:tc>
          <w:tcPr>
            <w:tcW w:type="pct" w:w="1250"/>
          </w:tcPr>
          <w:p>
            <w:pPr>
              <w:pStyle w:val="Compact"/>
            </w:pPr>
            <w:r>
              <w:t xml:space="preserve">370</w:t>
            </w:r>
          </w:p>
        </w:tc>
        <w:tc>
          <w:tcPr>
            <w:tcW w:type="pct" w:w="1250"/>
          </w:tcPr>
          <w:p>
            <w:pPr>
              <w:pStyle w:val="Compact"/>
            </w:pPr>
            <w:r>
              <w:t xml:space="preserve">+0.613%</w:t>
            </w:r>
          </w:p>
        </w:tc>
        <w:tc>
          <w:tcPr>
            <w:tcW w:type="pct" w:w="1250"/>
          </w:tcPr>
          <w:p>
            <w:pPr>
              <w:pStyle w:val="Compact"/>
            </w:pPr>
            <w:r>
              <w:t xml:space="preserve">0.35</w:t>
            </w:r>
          </w:p>
        </w:tc>
      </w:tr>
      <w:tr>
        <w:trPr>
          <w:trHeight w:hRule="atLeast" w:val="397"/>
        </w:trPr>
        <w:tc>
          <w:tcPr>
            <w:tcW w:type="pct" w:w="1250"/>
          </w:tcPr>
          <w:p>
            <w:pPr>
              <w:pStyle w:val="Compact"/>
            </w:pPr>
            <w:r>
              <w:t xml:space="preserve">2025-26 recent</w:t>
            </w:r>
          </w:p>
        </w:tc>
        <w:tc>
          <w:tcPr>
            <w:tcW w:type="pct" w:w="1250"/>
          </w:tcPr>
          <w:p>
            <w:pPr>
              <w:pStyle w:val="Compact"/>
            </w:pPr>
            <w:r>
              <w:t xml:space="preserve">597</w:t>
            </w:r>
          </w:p>
        </w:tc>
        <w:tc>
          <w:tcPr>
            <w:tcW w:type="pct" w:w="1250"/>
          </w:tcPr>
          <w:p>
            <w:pPr>
              <w:pStyle w:val="Compact"/>
            </w:pPr>
            <w:r>
              <w:t xml:space="preserve">+0.342%</w:t>
            </w:r>
          </w:p>
        </w:tc>
        <w:tc>
          <w:tcPr>
            <w:tcW w:type="pct" w:w="1250"/>
          </w:tcPr>
          <w:p>
            <w:pPr>
              <w:pStyle w:val="Compact"/>
            </w:pPr>
            <w:r>
              <w:t xml:space="preserve">0.30</w:t>
            </w:r>
          </w:p>
        </w:tc>
      </w:tr>
    </w:tbl>
    <w:bookmarkEnd w:id="199"/>
    <w:bookmarkStart w:id="200" w:name="X579182bdaa821499615c72a0fdee6cc18d954ab"/>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0.5210 | 0.5252 |</w:t>
      </w:r>
      <w:r>
        <w:t xml:space="preserve"> </w:t>
      </w:r>
      <w:r>
        <w:t xml:space="preserve">| held-out RMSE (sqrt Brier) | 0.4743 | 0.4665 |</w:t>
      </w:r>
      <w:r>
        <w:t xml:space="preserve"> </w:t>
      </w:r>
      <w:r>
        <w:t xml:space="preserve">| held-out MAE | 0.4256 | 0.4212 |</w:t>
      </w:r>
      <w:r>
        <w:t xml:space="preserve"> </w:t>
      </w:r>
      <w:r>
        <w:t xml:space="preserve">| Brier score | 0.2250 | 0.2176 |</w:t>
      </w:r>
      <w:r>
        <w:t xml:space="preserve"> </w:t>
      </w:r>
      <w:r>
        <w:t xml:space="preserve">| Full RMSE (in-sample) | 0.3171 | 0.3084 |</w:t>
      </w:r>
      <w:r>
        <w:t xml:space="preserve"> </w:t>
      </w:r>
      <w:r>
        <w:t xml:space="preserve">| CV RMSE (time-series OOF) | 0.4482 | 0.4475 |</w:t>
      </w:r>
      <w:r>
        <w:t xml:space="preserve"> </w:t>
      </w:r>
      <w:r>
        <w:t xml:space="preserve">| RMSEratio (CV / Full) | 1.413 | 1.451 |</w:t>
      </w:r>
    </w:p>
    <w:p>
      <w:pPr>
        <w:pStyle w:val="BodyText"/>
      </w:pPr>
      <w:r>
        <w:rPr>
          <w:b/>
          <w:bCs/>
        </w:rPr>
        <w:t xml:space="preserve">Resampling robustness</w:t>
      </w:r>
      <w:r>
        <w:t xml:space="preserve"> </w:t>
      </w:r>
      <w:r>
        <w:t xml:space="preserve">– 374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-99.74% | -99.98% | -99.75% | -96.25% |</w:t>
      </w:r>
      <w:r>
        <w:t xml:space="preserve"> </w:t>
      </w:r>
      <w:r>
        <w:t xml:space="preserve">| max drawdown | -99.93% | -99.98% | -99.82% | - |</w:t>
      </w:r>
      <w:r>
        <w:t xml:space="preserve"> </w:t>
      </w:r>
      <w:r>
        <w:t xml:space="preserve">| Sharpe | -2.70 | -4.65 | -2.72 | - |</w:t>
      </w:r>
    </w:p>
    <w:p>
      <w:pPr>
        <w:pStyle w:val="Compact"/>
        <w:numPr>
          <w:ilvl w:val="0"/>
          <w:numId w:val="1008"/>
        </w:numPr>
      </w:pPr>
      <w:r>
        <w:t xml:space="preserve">p(loss)</w:t>
      </w:r>
      <w:r>
        <w:t xml:space="preserve"> </w:t>
      </w:r>
      <w:r>
        <w:rPr>
          <w:b/>
          <w:bCs/>
        </w:rPr>
        <w:t xml:space="preserve">100.0%</w:t>
      </w:r>
      <w:r>
        <w:t xml:space="preserve">, sign-flip p-value</w:t>
      </w:r>
      <w:r>
        <w:t xml:space="preserve"> </w:t>
      </w:r>
      <w:r>
        <w:rPr>
          <w:b/>
          <w:bCs/>
        </w:rPr>
        <w:t xml:space="preserve">0.9963</w:t>
      </w:r>
      <w:r>
        <w:t xml:space="preserve"> </w:t>
      </w:r>
      <w:r>
        <w:t xml:space="preserve">-&gt;</w:t>
      </w:r>
      <w:r>
        <w:t xml:space="preserve"> </w:t>
      </w:r>
      <w:r>
        <w:rPr>
          <w:b/>
          <w:bCs/>
        </w:rPr>
        <w:t xml:space="preserve">FRAGILE</w:t>
      </w:r>
    </w:p>
    <w:bookmarkEnd w:id="200"/>
    <w:bookmarkEnd w:id="201"/>
    <w:bookmarkStart w:id="204" w:name="Xaca0439f68c5c187b9feb70184cba88e9d26ed9"/>
    <w:p>
      <w:pPr>
        <w:pStyle w:val="Heading4"/>
      </w:pPr>
      <w:r>
        <w:t xml:space="preserve">Regime conditioning ablation (2026-09-08)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9"/>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9"/>
        </w:numPr>
      </w:pPr>
      <w:r>
        <w:t xml:space="preserve">features: baseline 90, conditioned 100</w:t>
      </w:r>
    </w:p>
    <w:tbl>
      <w:tblPr>
        <w:tblStyle w:val="Table"/>
        <w:jc w:val="center"/>
        <w:tblLayout w:type="fixed"/>
        <w:tblLook w:firstRow="1" w:lastRow="0" w:firstColumn="0" w:lastColumn="0" w:noHBand="0" w:noVBand="0" w:val="0020"/>
        <w:tblW w:type="pct" w:w="5000"/>
        <w:tblCellMar>
          <w:left w:w="43" w:type="dxa"/>
          <w:right w:w="43" w:type="dxa"/>
        </w:tblCellMar>
      </w:tblPr>
      <w:tblGrid>
        <w:gridCol w:w="1320"/>
        <w:gridCol w:w="1320"/>
        <w:gridCol w:w="1320"/>
        <w:gridCol w:w="1320"/>
        <w:gridCol w:w="1320"/>
        <w:gridCol w:w="1320"/>
      </w:tblGrid>
      <w:tr>
        <w:trPr>
          <w:trHeight w:hRule="atLeast" w:val="567"/>
          <w:tblHeader w:val="on"/>
        </w:trPr>
        <w:tc>
          <w:tcPr>
            <w:tcW w:type="pct" w:w="833"/>
          </w:tcPr>
          <w:p>
            <w:pPr>
              <w:pStyle w:val="Compact"/>
            </w:pPr>
            <w:r>
              <w:rPr>
                <w:b/>
                <w:sz w:val="16"/>
              </w:rPr>
              <w:t xml:space="preserve">model</w:t>
            </w:r>
          </w:p>
        </w:tc>
        <w:tc>
          <w:tcPr>
            <w:tcW w:type="pct" w:w="833"/>
          </w:tcPr>
          <w:p>
            <w:pPr>
              <w:pStyle w:val="Compact"/>
            </w:pPr>
            <w:r>
              <w:rPr>
                <w:b/>
                <w:sz w:val="16"/>
              </w:rPr>
              <w:t xml:space="preserve">held-out</w:t>
            </w:r>
          </w:p>
        </w:tc>
        <w:tc>
          <w:tcPr>
            <w:tcW w:type="pct" w:w="833"/>
          </w:tcPr>
          <w:p>
            <w:pPr>
              <w:pStyle w:val="Compact"/>
            </w:pPr>
            <w:r>
              <w:rPr>
                <w:b/>
                <w:sz w:val="16"/>
              </w:rPr>
              <w:t xml:space="preserve">after-cost/trade</w:t>
            </w:r>
          </w:p>
        </w:tc>
        <w:tc>
          <w:tcPr>
            <w:tcW w:type="pct" w:w="833"/>
          </w:tcPr>
          <w:p>
            <w:pPr>
              <w:pStyle w:val="Compact"/>
            </w:pPr>
            <w:r>
              <w:rPr>
                <w:b/>
                <w:sz w:val="16"/>
              </w:rPr>
              <w:t xml:space="preserve">era mean</w:t>
            </w:r>
          </w:p>
        </w:tc>
        <w:tc>
          <w:tcPr>
            <w:tcW w:type="pct" w:w="833"/>
          </w:tcPr>
          <w:p>
            <w:pPr>
              <w:pStyle w:val="Compact"/>
            </w:pPr>
            <w:r>
              <w:rPr>
                <w:b/>
                <w:sz w:val="16"/>
              </w:rPr>
              <w:t xml:space="preserve">era worst</w:t>
            </w:r>
          </w:p>
        </w:tc>
        <w:tc>
          <w:tcPr>
            <w:tcW w:type="pct" w:w="833"/>
          </w:tcPr>
          <w:p>
            <w:pPr>
              <w:pStyle w:val="Compact"/>
            </w:pPr>
            <w:r>
              <w:rPr>
                <w:b/>
                <w:sz w:val="16"/>
              </w:rPr>
              <w:t xml:space="preserve">eras positive</w:t>
            </w:r>
          </w:p>
        </w:tc>
      </w:tr>
      <w:tr>
        <w:trPr>
          <w:trHeight w:hRule="atLeast" w:val="397"/>
        </w:trPr>
        <w:tc>
          <w:tcPr>
            <w:tcW w:type="pct" w:w="833"/>
          </w:tcPr>
          <w:p>
            <w:pPr>
              <w:pStyle w:val="Compact"/>
            </w:pPr>
            <w:r>
              <w:rPr>
                <w:sz w:val="16"/>
              </w:rPr>
              <w:t xml:space="preserve">baseline (no regime)</w:t>
            </w:r>
          </w:p>
        </w:tc>
        <w:tc>
          <w:tcPr>
            <w:tcW w:type="pct" w:w="833"/>
          </w:tcPr>
          <w:p>
            <w:pPr>
              <w:pStyle w:val="Compact"/>
            </w:pPr>
            <w:r>
              <w:rPr>
                <w:sz w:val="16"/>
              </w:rPr>
              <w:t xml:space="preserve">AUC 0.549, picks 0.273/base 0.254</w:t>
            </w:r>
          </w:p>
        </w:tc>
        <w:tc>
          <w:tcPr>
            <w:tcW w:type="pct" w:w="833"/>
          </w:tcPr>
          <w:p>
            <w:pPr>
              <w:pStyle w:val="Compact"/>
            </w:pPr>
            <w:r>
              <w:rPr>
                <w:sz w:val="16"/>
              </w:rPr>
              <w:t xml:space="preserve">-0.382%</w:t>
            </w:r>
          </w:p>
        </w:tc>
        <w:tc>
          <w:tcPr>
            <w:tcW w:type="pct" w:w="833"/>
          </w:tcPr>
          <w:p>
            <w:pPr>
              <w:pStyle w:val="Compact"/>
            </w:pPr>
            <w:r>
              <w:rPr>
                <w:sz w:val="16"/>
              </w:rPr>
              <w:t xml:space="preserve">-0.112%</w:t>
            </w:r>
          </w:p>
        </w:tc>
        <w:tc>
          <w:tcPr>
            <w:tcW w:type="pct" w:w="833"/>
          </w:tcPr>
          <w:p>
            <w:pPr>
              <w:pStyle w:val="Compact"/>
            </w:pPr>
            <w:r>
              <w:rPr>
                <w:sz w:val="16"/>
              </w:rPr>
              <w:t xml:space="preserve">-0.378%</w:t>
            </w:r>
          </w:p>
        </w:tc>
        <w:tc>
          <w:tcPr>
            <w:tcW w:type="pct" w:w="833"/>
          </w:tcPr>
          <w:p>
            <w:pPr>
              <w:pStyle w:val="Compact"/>
            </w:pPr>
            <w:r>
              <w:rPr>
                <w:sz w:val="16"/>
              </w:rPr>
              <w:t xml:space="preserve">1/4</w:t>
            </w:r>
          </w:p>
        </w:tc>
      </w:tr>
      <w:tr>
        <w:trPr>
          <w:trHeight w:hRule="atLeast" w:val="397"/>
        </w:trPr>
        <w:tc>
          <w:tcPr>
            <w:tcW w:type="pct" w:w="833"/>
          </w:tcPr>
          <w:p>
            <w:pPr>
              <w:pStyle w:val="Compact"/>
            </w:pPr>
            <w:r>
              <w:rPr>
                <w:sz w:val="16"/>
              </w:rPr>
              <w:t xml:space="preserve">conditioned (+f_rg_)</w:t>
            </w:r>
          </w:p>
        </w:tc>
        <w:tc>
          <w:tcPr>
            <w:tcW w:type="pct" w:w="833"/>
          </w:tcPr>
          <w:p>
            <w:pPr>
              <w:pStyle w:val="Compact"/>
            </w:pPr>
            <w:r>
              <w:rPr>
                <w:sz w:val="16"/>
              </w:rPr>
              <w:t xml:space="preserve">AUC 0.555, picks 0.282/base 0.254</w:t>
            </w:r>
          </w:p>
        </w:tc>
        <w:tc>
          <w:tcPr>
            <w:tcW w:type="pct" w:w="833"/>
          </w:tcPr>
          <w:p>
            <w:pPr>
              <w:pStyle w:val="Compact"/>
            </w:pPr>
            <w:r>
              <w:rPr>
                <w:sz w:val="16"/>
              </w:rPr>
              <w:t xml:space="preserve">-0.235%</w:t>
            </w:r>
          </w:p>
        </w:tc>
        <w:tc>
          <w:tcPr>
            <w:tcW w:type="pct" w:w="833"/>
          </w:tcPr>
          <w:p>
            <w:pPr>
              <w:pStyle w:val="Compact"/>
            </w:pPr>
            <w:r>
              <w:rPr>
                <w:sz w:val="16"/>
              </w:rPr>
              <w:t xml:space="preserve">-0.040%</w:t>
            </w:r>
          </w:p>
        </w:tc>
        <w:tc>
          <w:tcPr>
            <w:tcW w:type="pct" w:w="833"/>
          </w:tcPr>
          <w:p>
            <w:pPr>
              <w:pStyle w:val="Compact"/>
            </w:pPr>
            <w:r>
              <w:rPr>
                <w:sz w:val="16"/>
              </w:rPr>
              <w:t xml:space="preserve">-0.369%</w:t>
            </w:r>
          </w:p>
        </w:tc>
        <w:tc>
          <w:tcPr>
            <w:tcW w:type="pct" w:w="833"/>
          </w:tcPr>
          <w:p>
            <w:pPr>
              <w:pStyle w:val="Compact"/>
            </w:pPr>
            <w:r>
              <w:rPr>
                <w:sz w:val="16"/>
              </w:rPr>
              <w:t xml:space="preserve">1/4</w:t>
            </w:r>
          </w:p>
        </w:tc>
      </w:tr>
    </w:tbl>
    <w:p>
      <w:pPr>
        <w:pStyle w:val="BodyText"/>
      </w:pPr>
      <w:r>
        <w:rPr>
          <w:b/>
          <w:bCs/>
        </w:rPr>
        <w:t xml:space="preserve">Effect of conditioning</w:t>
      </w:r>
      <w:r>
        <w:t xml:space="preserve"> </w:t>
      </w:r>
      <w:r>
        <w:t xml:space="preserve">(two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bookmarkStart w:id="202" w:name="per-era-after-cost-conditioned-model-2"/>
    <w:p>
      <w:pPr>
        <w:pStyle w:val="Heading5"/>
      </w:pPr>
      <w:r>
        <w:t xml:space="preserve">Per-era after-cost (conditioned model)</w:t>
      </w:r>
    </w:p>
    <w:tbl>
      <w:tblPr>
        <w:tblStyle w:val="Table"/>
        <w:jc w:val="center"/>
        <w:tblLayout w:type="fixed"/>
        <w:tblLook w:firstRow="1" w:lastRow="0" w:firstColumn="0" w:lastColumn="0" w:noHBand="0" w:noVBand="0" w:val="0020"/>
        <w:tblW w:type="pct" w:w="5000"/>
      </w:tblPr>
      <w:tblGrid>
        <w:gridCol w:w="1980"/>
        <w:gridCol w:w="1980"/>
        <w:gridCol w:w="1980"/>
        <w:gridCol w:w="1980"/>
      </w:tblGrid>
      <w:tr>
        <w:trPr>
          <w:trHeight w:hRule="atLeast" w:val="567"/>
          <w:tblHeader w:val="on"/>
        </w:trPr>
        <w:tc>
          <w:tcPr>
            <w:tcW w:type="pct" w:w="1250"/>
          </w:tcPr>
          <w:p>
            <w:pPr>
              <w:pStyle w:val="Compact"/>
            </w:pPr>
            <w:r>
              <w:rPr>
                <w:b/>
              </w:rPr>
              <w:t xml:space="preserve">era</w:t>
            </w:r>
          </w:p>
        </w:tc>
        <w:tc>
          <w:tcPr>
            <w:tcW w:type="pct" w:w="1250"/>
          </w:tcPr>
          <w:p>
            <w:pPr>
              <w:pStyle w:val="Compact"/>
            </w:pPr>
            <w:r>
              <w:rPr>
                <w:b/>
              </w:rPr>
              <w:t xml:space="preserve">trades</w:t>
            </w:r>
          </w:p>
        </w:tc>
        <w:tc>
          <w:tcPr>
            <w:tcW w:type="pct" w:w="1250"/>
          </w:tcPr>
          <w:p>
            <w:pPr>
              <w:pStyle w:val="Compact"/>
            </w:pPr>
            <w:r>
              <w:rPr>
                <w:b/>
              </w:rPr>
              <w:t xml:space="preserve">after-cost/trade</w:t>
            </w:r>
          </w:p>
        </w:tc>
        <w:tc>
          <w:tcPr>
            <w:tcW w:type="pct" w:w="1250"/>
          </w:tcPr>
          <w:p>
            <w:pPr>
              <w:pStyle w:val="Compact"/>
            </w:pPr>
            <w:r>
              <w:rPr>
                <w:b/>
              </w:rPr>
              <w:t xml:space="preserve">win</w:t>
            </w:r>
          </w:p>
        </w:tc>
      </w:tr>
      <w:tr>
        <w:trPr>
          <w:trHeight w:hRule="atLeast" w:val="397"/>
        </w:trPr>
        <w:tc>
          <w:tcPr>
            <w:tcW w:type="pct" w:w="1250"/>
          </w:tcPr>
          <w:p>
            <w:pPr>
              <w:pStyle w:val="Compact"/>
            </w:pPr>
            <w:r>
              <w:t xml:space="preserve">2017 launch run-up</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2018 bear</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2019-20 base</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2020-21 bull</w:t>
            </w:r>
          </w:p>
        </w:tc>
        <w:tc>
          <w:tcPr>
            <w:tcW w:type="pct" w:w="1250"/>
          </w:tcPr>
          <w:p>
            <w:pPr>
              <w:pStyle w:val="Compact"/>
            </w:pPr>
            <w:r>
              <w:t xml:space="preserve">0</w:t>
            </w:r>
          </w:p>
        </w:tc>
        <w:tc>
          <w:tcPr>
            <w:tcW w:type="pct" w:w="1250"/>
          </w:tcPr>
          <w:p>
            <w:pPr>
              <w:pStyle w:val="Compact"/>
            </w:pPr>
            <w:r>
              <w:t xml:space="preserve">-</w:t>
            </w:r>
          </w:p>
        </w:tc>
        <w:tc>
          <w:tcPr>
            <w:tcW w:type="pct" w:w="1250"/>
          </w:tcPr>
          <w:p>
            <w:pPr>
              <w:pStyle w:val="Compact"/>
            </w:pPr>
            <w:r>
              <w:t xml:space="preserve">-</w:t>
            </w:r>
          </w:p>
        </w:tc>
      </w:tr>
      <w:tr>
        <w:trPr>
          <w:trHeight w:hRule="atLeast" w:val="397"/>
        </w:trPr>
        <w:tc>
          <w:tcPr>
            <w:tcW w:type="pct" w:w="1250"/>
          </w:tcPr>
          <w:p>
            <w:pPr>
              <w:pStyle w:val="Compact"/>
            </w:pPr>
            <w:r>
              <w:t xml:space="preserve">2021 top + chop</w:t>
            </w:r>
          </w:p>
        </w:tc>
        <w:tc>
          <w:tcPr>
            <w:tcW w:type="pct" w:w="1250"/>
          </w:tcPr>
          <w:p>
            <w:pPr>
              <w:pStyle w:val="Compact"/>
            </w:pPr>
            <w:r>
              <w:t xml:space="preserve">760</w:t>
            </w:r>
          </w:p>
        </w:tc>
        <w:tc>
          <w:tcPr>
            <w:tcW w:type="pct" w:w="1250"/>
          </w:tcPr>
          <w:p>
            <w:pPr>
              <w:pStyle w:val="Compact"/>
            </w:pPr>
            <w:r>
              <w:t xml:space="preserve">+0.536%</w:t>
            </w:r>
          </w:p>
        </w:tc>
        <w:tc>
          <w:tcPr>
            <w:tcW w:type="pct" w:w="1250"/>
          </w:tcPr>
          <w:p>
            <w:pPr>
              <w:pStyle w:val="Compact"/>
            </w:pPr>
            <w:r>
              <w:t xml:space="preserve">0.45</w:t>
            </w:r>
          </w:p>
        </w:tc>
      </w:tr>
      <w:tr>
        <w:trPr>
          <w:trHeight w:hRule="atLeast" w:val="397"/>
        </w:trPr>
        <w:tc>
          <w:tcPr>
            <w:tcW w:type="pct" w:w="1250"/>
          </w:tcPr>
          <w:p>
            <w:pPr>
              <w:pStyle w:val="Compact"/>
            </w:pPr>
            <w:r>
              <w:t xml:space="preserve">2022 collapse</w:t>
            </w:r>
          </w:p>
        </w:tc>
        <w:tc>
          <w:tcPr>
            <w:tcW w:type="pct" w:w="1250"/>
          </w:tcPr>
          <w:p>
            <w:pPr>
              <w:pStyle w:val="Compact"/>
            </w:pPr>
            <w:r>
              <w:t xml:space="preserve">2,650</w:t>
            </w:r>
          </w:p>
        </w:tc>
        <w:tc>
          <w:tcPr>
            <w:tcW w:type="pct" w:w="1250"/>
          </w:tcPr>
          <w:p>
            <w:pPr>
              <w:pStyle w:val="Compact"/>
            </w:pPr>
            <w:r>
              <w:t xml:space="preserve">-0.151%</w:t>
            </w:r>
          </w:p>
        </w:tc>
        <w:tc>
          <w:tcPr>
            <w:tcW w:type="pct" w:w="1250"/>
          </w:tcPr>
          <w:p>
            <w:pPr>
              <w:pStyle w:val="Compact"/>
            </w:pPr>
            <w:r>
              <w:t xml:space="preserve">0.36</w:t>
            </w:r>
          </w:p>
        </w:tc>
      </w:tr>
      <w:tr>
        <w:trPr>
          <w:trHeight w:hRule="atLeast" w:val="397"/>
        </w:trPr>
        <w:tc>
          <w:tcPr>
            <w:tcW w:type="pct" w:w="1250"/>
          </w:tcPr>
          <w:p>
            <w:pPr>
              <w:pStyle w:val="Compact"/>
            </w:pPr>
            <w:r>
              <w:t xml:space="preserve">2023-24 recovery</w:t>
            </w:r>
          </w:p>
        </w:tc>
        <w:tc>
          <w:tcPr>
            <w:tcW w:type="pct" w:w="1250"/>
          </w:tcPr>
          <w:p>
            <w:pPr>
              <w:pStyle w:val="Compact"/>
            </w:pPr>
            <w:r>
              <w:t xml:space="preserve">3,378</w:t>
            </w:r>
          </w:p>
        </w:tc>
        <w:tc>
          <w:tcPr>
            <w:tcW w:type="pct" w:w="1250"/>
          </w:tcPr>
          <w:p>
            <w:pPr>
              <w:pStyle w:val="Compact"/>
            </w:pPr>
            <w:r>
              <w:t xml:space="preserve">-0.175%</w:t>
            </w:r>
          </w:p>
        </w:tc>
        <w:tc>
          <w:tcPr>
            <w:tcW w:type="pct" w:w="1250"/>
          </w:tcPr>
          <w:p>
            <w:pPr>
              <w:pStyle w:val="Compact"/>
            </w:pPr>
            <w:r>
              <w:t xml:space="preserve">0.36</w:t>
            </w:r>
          </w:p>
        </w:tc>
      </w:tr>
      <w:tr>
        <w:trPr>
          <w:trHeight w:hRule="atLeast" w:val="397"/>
        </w:trPr>
        <w:tc>
          <w:tcPr>
            <w:tcW w:type="pct" w:w="1250"/>
          </w:tcPr>
          <w:p>
            <w:pPr>
              <w:pStyle w:val="Compact"/>
            </w:pPr>
            <w:r>
              <w:t xml:space="preserve">2025-26 recent</w:t>
            </w:r>
          </w:p>
        </w:tc>
        <w:tc>
          <w:tcPr>
            <w:tcW w:type="pct" w:w="1250"/>
          </w:tcPr>
          <w:p>
            <w:pPr>
              <w:pStyle w:val="Compact"/>
            </w:pPr>
            <w:r>
              <w:t xml:space="preserve">3,592</w:t>
            </w:r>
          </w:p>
        </w:tc>
        <w:tc>
          <w:tcPr>
            <w:tcW w:type="pct" w:w="1250"/>
          </w:tcPr>
          <w:p>
            <w:pPr>
              <w:pStyle w:val="Compact"/>
            </w:pPr>
            <w:r>
              <w:t xml:space="preserve">-0.369%</w:t>
            </w:r>
          </w:p>
        </w:tc>
        <w:tc>
          <w:tcPr>
            <w:tcW w:type="pct" w:w="1250"/>
          </w:tcPr>
          <w:p>
            <w:pPr>
              <w:pStyle w:val="Compact"/>
            </w:pPr>
            <w:r>
              <w:t xml:space="preserve">0.33</w:t>
            </w:r>
          </w:p>
        </w:tc>
      </w:tr>
    </w:tbl>
    <w:bookmarkEnd w:id="202"/>
    <w:bookmarkStart w:id="203" w:name="Xbfd7dd3180d83dae578d32c290fc8cb2ec63973"/>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0.4805 | 0.4800 |</w:t>
      </w:r>
      <w:r>
        <w:t xml:space="preserve"> </w:t>
      </w:r>
      <w:r>
        <w:t xml:space="preserve">| RMSEratio (CV / Full) | 1.112 | 1.122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10"/>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203"/>
    <w:bookmarkEnd w:id="204"/>
    <w:bookmarkEnd w:id="205"/>
    <w:bookmarkStart w:id="208" w:name="edge-levers"/>
    <w:p>
      <w:pPr>
        <w:pStyle w:val="Heading3"/>
      </w:pPr>
      <w:r>
        <w:t xml:space="preserve">3.14 Edge Levers</w:t>
      </w:r>
    </w:p>
    <w:p>
      <w:pPr>
        <w:pStyle w:val="FirstParagraph"/>
      </w:pPr>
      <w:r>
        <w:t xml:space="preserve">Added 2026-08-17. Every 4h gate variant lands 5 to 12 basis points short of zero, which locates the</w:t>
      </w:r>
      <w:r>
        <w:t xml:space="preserve"> </w:t>
      </w:r>
      <w:r>
        <w:t xml:space="preserve">problem in the trading frequency, not the filter: each round trip pays the fee, and at 4h cadence the</w:t>
      </w:r>
      <w:r>
        <w:t xml:space="preserve"> </w:t>
      </w:r>
      <w:r>
        <w:t xml:space="preserve">edge cannot cover the toll count. Four levers attack that gap; all are built, and this section renders</w:t>
      </w:r>
      <w:r>
        <w:t xml:space="preserve"> </w:t>
      </w:r>
      <w:r>
        <w:t xml:space="preserve">their records.</w:t>
      </w:r>
    </w:p>
    <w:p>
      <w:pPr>
        <w:pStyle w:val="Compact"/>
        <w:numPr>
          <w:ilvl w:val="0"/>
          <w:numId w:val="1011"/>
        </w:numPr>
      </w:pPr>
      <w:r>
        <w:t xml:space="preserve">Coarser frame. The survivorship-complete daily archive (669 pairs,</w:t>
      </w:r>
      <w:r>
        <w:t xml:space="preserve"> </w:t>
      </w:r>
      <w:r>
        <w:rPr>
          <w:rStyle w:val="VerbatimChar"/>
        </w:rPr>
        <w:t xml:space="preserve">03-inputs/binance-data/klines/</w:t>
      </w:r>
      <w:r>
        <w:t xml:space="preserve">)</w:t>
      </w:r>
      <w:r>
        <w:t xml:space="preserve"> </w:t>
      </w:r>
      <w:r>
        <w:t xml:space="preserve">feeds</w:t>
      </w:r>
      <w:r>
        <w:t xml:space="preserve"> </w:t>
      </w:r>
      <w:r>
        <w:rPr>
          <w:rStyle w:val="VerbatimChar"/>
        </w:rPr>
        <w:t xml:space="preserve">dataset_1d_allmarket</w:t>
      </w:r>
      <w:r>
        <w:t xml:space="preserve">; the baseline build chains straight into the same edge matrix</w:t>
      </w:r>
      <w:r>
        <w:t xml:space="preserve"> </w:t>
      </w:r>
      <w:r>
        <w:t xml:space="preserve">(</w:t>
      </w:r>
      <w:r>
        <w:rPr>
          <w:rStyle w:val="VerbatimChar"/>
        </w:rPr>
        <w:t xml:space="preserve">03-inputs/cross_sectional_regime.py --interval 1d</w:t>
      </w:r>
      <w:r>
        <w:t xml:space="preserve">) under both gates and both cost scenarios. Daily</w:t>
      </w:r>
      <w:r>
        <w:t xml:space="preserve"> </w:t>
      </w:r>
      <w:r>
        <w:t xml:space="preserve">bars pay roughly a sixth of the tolls for a similar directional read.</w:t>
      </w:r>
    </w:p>
    <w:p>
      <w:pPr>
        <w:pStyle w:val="Compact"/>
        <w:numPr>
          <w:ilvl w:val="0"/>
          <w:numId w:val="1011"/>
        </w:numPr>
      </w:pPr>
      <w:r>
        <w:t xml:space="preserve">Fee engineering.</w:t>
      </w:r>
      <w:r>
        <w:t xml:space="preserve"> </w:t>
      </w:r>
      <w:r>
        <w:rPr>
          <w:rStyle w:val="VerbatimChar"/>
        </w:rPr>
        <w:t xml:space="preserve">ACHIEVABLE_COST_PCT = 0.15</w:t>
      </w:r>
      <w:r>
        <w:t xml:space="preserve"> </w:t>
      </w:r>
      <w:r>
        <w:t xml:space="preserve">(maker entry, BNB discount both sides) sits beside</w:t>
      </w:r>
      <w:r>
        <w:t xml:space="preserve"> </w:t>
      </w:r>
      <w:r>
        <w:t xml:space="preserve">the conservative 0.20 default;</w:t>
      </w:r>
      <w:r>
        <w:t xml:space="preserve"> </w:t>
      </w:r>
      <w:r>
        <w:rPr>
          <w:rStyle w:val="VerbatimChar"/>
        </w:rPr>
        <w:t xml:space="preserve">trade_binance.fee_status()</w:t>
      </w:r>
      <w:r>
        <w:t xml:space="preserve"> </w:t>
      </w:r>
      <w:r>
        <w:t xml:space="preserve">measures the account’s real rates each</w:t>
      </w:r>
      <w:r>
        <w:t xml:space="preserve"> </w:t>
      </w:r>
      <w:r>
        <w:t xml:space="preserve">run rather than assuming them, and the paper book charges the engineered rate.</w:t>
      </w:r>
    </w:p>
    <w:p>
      <w:pPr>
        <w:pStyle w:val="Compact"/>
        <w:numPr>
          <w:ilvl w:val="0"/>
          <w:numId w:val="1011"/>
        </w:numPr>
      </w:pPr>
      <w:r>
        <w:t xml:space="preserve">Narrow book.</w:t>
      </w:r>
      <w:r>
        <w:t xml:space="preserve"> </w:t>
      </w:r>
      <w:r>
        <w:rPr>
          <w:rStyle w:val="VerbatimChar"/>
        </w:rPr>
        <w:t xml:space="preserve">03-inputs/edge_attribution.py</w:t>
      </w:r>
      <w:r>
        <w:t xml:space="preserve"> </w:t>
      </w:r>
      <w:r>
        <w:t xml:space="preserve">shows a minority of coins carry all the out-of-sample</w:t>
      </w:r>
      <w:r>
        <w:t xml:space="preserve"> </w:t>
      </w:r>
      <w:r>
        <w:t xml:space="preserve">gated profit (23 of 59 positive, the top five carrying 30pp) while SOL, XRP, and PEPE reliably bleed.</w:t>
      </w:r>
      <w:r>
        <w:t xml:space="preserve"> </w:t>
      </w:r>
      <w:r>
        <w:rPr>
          <w:rStyle w:val="VerbatimChar"/>
        </w:rPr>
        <w:t xml:space="preserve">03-inputs/narrow_book.py</w:t>
      </w:r>
      <w:r>
        <w:t xml:space="preserve"> </w:t>
      </w:r>
      <w:r>
        <w:t xml:space="preserve">writes the evidence-based whitelist and the execution layer enforces it.</w:t>
      </w:r>
    </w:p>
    <w:p>
      <w:pPr>
        <w:pStyle w:val="Compact"/>
        <w:numPr>
          <w:ilvl w:val="0"/>
          <w:numId w:val="1011"/>
        </w:numPr>
      </w:pPr>
      <w:r>
        <w:t xml:space="preserve">Microstructure features. The opt-in</w:t>
      </w:r>
      <w:r>
        <w:t xml:space="preserve"> </w:t>
      </w:r>
      <w:r>
        <w:rPr>
          <w:rStyle w:val="VerbatimChar"/>
        </w:rPr>
        <w:t xml:space="preserve">f_ms_</w:t>
      </w:r>
      <w:r>
        <w:t xml:space="preserve"> </w:t>
      </w:r>
      <w:r>
        <w:t xml:space="preserve">block (</w:t>
      </w:r>
      <w:r>
        <w:rPr>
          <w:rStyle w:val="VerbatimChar"/>
        </w:rPr>
        <w:t xml:space="preserve">--microstructure</w:t>
      </w:r>
      <w:r>
        <w:t xml:space="preserve">, 1d frame only) gives the</w:t>
      </w:r>
      <w:r>
        <w:t xml:space="preserve"> </w:t>
      </w:r>
      <w:r>
        <w:t xml:space="preserve">daily bar hourly eyes: taker-buy flow imbalance and its 7-day mean, up-hour versus down-hour volume,</w:t>
      </w:r>
      <w:r>
        <w:t xml:space="preserve"> </w:t>
      </w:r>
      <w:r>
        <w:t xml:space="preserve">volume concentration, close position in the day’s range, realized-versus-range volatility, and</w:t>
      </w:r>
      <w:r>
        <w:t xml:space="preserve"> </w:t>
      </w:r>
      <w:r>
        <w:t xml:space="preserve">3-sigma hourly jump counts. Causal, scale-invariant, validated on synthetic data; it is built only</w:t>
      </w:r>
      <w:r>
        <w:t xml:space="preserve"> </w:t>
      </w:r>
      <w:r>
        <w:t xml:space="preserve">after the baseline daily edge matrix is read, so the baseline stays clean.</w:t>
      </w:r>
    </w:p>
    <w:p>
      <w:pPr>
        <w:pStyle w:val="FirstParagraph"/>
      </w:pPr>
      <w:r>
        <w:t xml:space="preserve">The gates themselves are part of the story: the funding-crowding gate (perpetual funding is mechanically</w:t>
      </w:r>
      <w:r>
        <w:t xml:space="preserve"> </w:t>
      </w:r>
      <w:r>
        <w:t xml:space="preserve">forced positioning information, not derivable from spot price;</w:t>
      </w:r>
      <w:r>
        <w:t xml:space="preserve"> </w:t>
      </w:r>
      <w:r>
        <w:rPr>
          <w:rStyle w:val="VerbatimChar"/>
        </w:rPr>
        <w:t xml:space="preserve">03-inputs/funding_features.py</w:t>
      </w:r>
      <w:r>
        <w:t xml:space="preserve">) is open 47</w:t>
      </w:r>
      <w:r>
        <w:t xml:space="preserve"> </w:t>
      </w:r>
      <w:r>
        <w:t xml:space="preserve">percent of bars against the breadth gate’s 24, at a cost of only two basis points per trade on the</w:t>
      </w:r>
      <w:r>
        <w:t xml:space="preserve"> </w:t>
      </w:r>
      <w:r>
        <w:t xml:space="preserve">deciding cell. Neither clears zero at 4h; the records below carry the exact numbers.</w:t>
      </w:r>
    </w:p>
    <w:bookmarkStart w:id="206" w:name="gate-btcfunding-standard-cost-0.20"/>
    <w:p>
      <w:pPr>
        <w:pStyle w:val="Heading5"/>
      </w:pPr>
      <w:r>
        <w:t xml:space="preserve">Gate btc+funding, standard cost 0.20</w:t>
      </w:r>
    </w:p>
    <w:p>
      <w:pPr>
        <w:pStyle w:val="FirstParagraph"/>
      </w:pPr>
      <w:r>
        <w:t xml:space="preserve">loading dataset_4h_allmarket.parquet …</w:t>
      </w:r>
      <w:r>
        <w:t xml:space="preserve"> </w:t>
      </w:r>
      <w:r>
        <w:t xml:space="preserve">frame=4h (4h bars) OOS cut=2025-06-21 20:00:00 gate=btc+funding (btc col f_btc_mom_168) cost=0.2% min_rows=800 candidates=47</w:t>
      </w:r>
    </w:p>
    <w:p>
      <w:pPr>
        <w:pStyle w:val="BodyText"/>
      </w:pPr>
      <w:r>
        <w:t xml:space="preserve">REGIME-GATED CROSS-SECTIONAL EDGE, 4h frame, gate=btc+funding, after 0.20% cost. Deciding cell: te_on_top.</w:t>
      </w:r>
      <w:r>
        <w:t xml:space="preserve"> </w:t>
      </w:r>
      <w:r>
        <w:t xml:space="preserve">| signal | gate_open | tr_on_top | tr_on_mkt | te_on_top | te_on_mkt | te_on_n | te_off_top | te_off_mkt |</w:t>
      </w:r>
      <w:r>
        <w:t xml:space="preserve"> </w:t>
      </w:r>
      <w:r>
        <w:t xml:space="preserve">| — | — | — | — | — | — | — | — | — |</w:t>
      </w:r>
      <w:r>
        <w:t xml:space="preserve"> </w:t>
      </w:r>
      <w:r>
        <w:t xml:space="preserve">| f_d1_st_up | 0.47 | -0.313 | -0.31 | -0.117 | -0.317 | 1820 | -0.165 | -0.438 |</w:t>
      </w:r>
      <w:r>
        <w:t xml:space="preserve"> </w:t>
      </w:r>
      <w:r>
        <w:t xml:space="preserve">| f_wc_rsi | 0.47 | -0.294 | -0.31 | -0.121 | -0.317 | 2965 | -0.409 | -0.438 |</w:t>
      </w:r>
      <w:r>
        <w:t xml:space="preserve"> </w:t>
      </w:r>
      <w:r>
        <w:t xml:space="preserve">| f_hr_mom_72 | 0.47 | -0.338 | -0.31 | -0.147 | -0.317 | 2965 | -0.291 | -0.438 |</w:t>
      </w:r>
      <w:r>
        <w:t xml:space="preserve"> </w:t>
      </w:r>
      <w:r>
        <w:t xml:space="preserve">| f_ta_pta_cmo | 0.47 | -0.274 | -0.31 | -0.153 | -0.317 | 2965 | -0.394 | -0.438 |</w:t>
      </w:r>
      <w:r>
        <w:t xml:space="preserve"> </w:t>
      </w:r>
      <w:r>
        <w:t xml:space="preserve">| f_hr_rsi | 0.47 | -0.274 | -0.31 | -0.153 | -0.317 | 2965 | -0.394 | -0.438 |</w:t>
      </w:r>
      <w:r>
        <w:t xml:space="preserve"> </w:t>
      </w:r>
      <w:r>
        <w:t xml:space="preserve">| f_d1_rsi | 0.47 | -0.300 | -0.31 | -0.160 | -0.317 | 2965 | -0.437 | -0.438 |</w:t>
      </w:r>
      <w:r>
        <w:t xml:space="preserve"> </w:t>
      </w:r>
      <w:r>
        <w:t xml:space="preserve">| f_wc_mom_60 | 0.47 | -0.307 | -0.31 | -0.182 | -0.317 | 2965 | -0.386 | -0.438 |</w:t>
      </w:r>
      <w:r>
        <w:t xml:space="preserve"> </w:t>
      </w:r>
      <w:r>
        <w:t xml:space="preserve">| f_d1_mom_10 | 0.47 | -0.319 | -0.31 | -0.202 | -0.317 | 2965 | -0.368 | -0.438 |</w:t>
      </w:r>
      <w:r>
        <w:t xml:space="preserve"> </w:t>
      </w:r>
      <w:r>
        <w:t xml:space="preserve">| f_mst_dir | 0.47 | -0.441 | -0.31 | -0.203 | -0.317 | 1719 | -0.410 | -0.438 |</w:t>
      </w:r>
      <w:r>
        <w:t xml:space="preserve"> </w:t>
      </w:r>
      <w:r>
        <w:t xml:space="preserve">| f_x_composite | 0.47 | -0.324 | -0.31 | -0.204 | -0.317 | 3007 | -0.409 | -0.438 |</w:t>
      </w:r>
      <w:r>
        <w:t xml:space="preserve"> </w:t>
      </w:r>
      <w:r>
        <w:t xml:space="preserve">| f_ta_pta_vortex_diff | 0.47 | -0.274 | -0.31 | -0.219 | -0.317 | 2965 | -0.386 | -0.438 |</w:t>
      </w:r>
      <w:r>
        <w:t xml:space="preserve"> </w:t>
      </w:r>
      <w:r>
        <w:t xml:space="preserve">| f_hr_mom_24 | 0.47 | -0.291 | -0.31 | -0.227 | -0.317 | 2965 | -0.406 | -0.438 |</w:t>
      </w:r>
    </w:p>
    <w:p>
      <w:pPr>
        <w:pStyle w:val="BodyText"/>
      </w:pPr>
      <w:r>
        <w:rPr>
          <w:i/>
          <w:iCs/>
        </w:rPr>
        <w:t xml:space="preserve">20 rows in the record, 12 shown.</w:t>
      </w:r>
    </w:p>
    <w:p>
      <w:pPr>
        <w:pStyle w:val="BodyText"/>
      </w:pPr>
      <w:r>
        <w:t xml:space="preserve">BEST: f_d1_st_up gate open 47% of bars</w:t>
      </w:r>
      <w:r>
        <w:t xml:space="preserve"> </w:t>
      </w:r>
      <w:r>
        <w:t xml:space="preserve">TEST gate-on : top-third -0.117%/trade (gated market -0.317%)</w:t>
      </w:r>
      <w:r>
        <w:t xml:space="preserve"> </w:t>
      </w:r>
      <w:r>
        <w:t xml:space="preserve">TEST gate-off: top-third -0.165%/trade (market -0.438%)</w:t>
      </w:r>
      <w:r>
        <w:t xml:space="preserve"> </w:t>
      </w:r>
      <w:r>
        <w:t xml:space="preserve">TRAIN gate-on : top-third -0.313%/trade</w:t>
      </w:r>
      <w:r>
        <w:t xml:space="preserve"> </w:t>
      </w:r>
      <w:r>
        <w:t xml:space="preserve">=&gt; NOT CLEARED with this gate/cost. Try a stricter gate, the achievable-cost</w:t>
      </w:r>
      <w:r>
        <w:t xml:space="preserve"> </w:t>
      </w:r>
      <w:r>
        <w:t xml:space="preserve">scenario (–cost), or the coarser frame.</w:t>
      </w:r>
    </w:p>
    <w:bookmarkEnd w:id="206"/>
    <w:bookmarkStart w:id="207" w:name="gate-btcfunding-achievable-cost-0.15"/>
    <w:p>
      <w:pPr>
        <w:pStyle w:val="Heading5"/>
      </w:pPr>
      <w:r>
        <w:t xml:space="preserve">Gate btc+funding, achievable cost 0.15</w:t>
      </w:r>
    </w:p>
    <w:p>
      <w:pPr>
        <w:pStyle w:val="FirstParagraph"/>
      </w:pPr>
      <w:r>
        <w:t xml:space="preserve">loading dataset_4h_allmarket.parquet …</w:t>
      </w:r>
      <w:r>
        <w:t xml:space="preserve"> </w:t>
      </w:r>
      <w:r>
        <w:t xml:space="preserve">frame=4h (4h bars) OOS cut=2025-06-21 20:00:00 gate=btc+funding (btc col f_btc_mom_168) cost=0.15% min_rows=800 candidates=47</w:t>
      </w:r>
    </w:p>
    <w:p>
      <w:pPr>
        <w:pStyle w:val="BodyText"/>
      </w:pPr>
      <w:r>
        <w:t xml:space="preserve">REGIME-GATED CROSS-SECTIONAL EDGE, 4h frame, gate=btc+funding, after 0.15% cost. Deciding cell: te_on_top.</w:t>
      </w:r>
      <w:r>
        <w:t xml:space="preserve"> </w:t>
      </w:r>
      <w:r>
        <w:t xml:space="preserve">| signal | gate_open | tr_on_top | tr_on_mkt | te_on_top | te_on_mkt | te_on_n | te_off_top | te_off_mkt |</w:t>
      </w:r>
      <w:r>
        <w:t xml:space="preserve"> </w:t>
      </w:r>
      <w:r>
        <w:t xml:space="preserve">| — | — | — | — | — | — | — | — | — |</w:t>
      </w:r>
      <w:r>
        <w:t xml:space="preserve"> </w:t>
      </w:r>
      <w:r>
        <w:t xml:space="preserve">| f_d1_st_up | 0.47 | -0.263 | -0.26 | -0.067 | -0.267 | 1820 | -0.115 | -0.388 |</w:t>
      </w:r>
      <w:r>
        <w:t xml:space="preserve"> </w:t>
      </w:r>
      <w:r>
        <w:t xml:space="preserve">| f_wc_rsi | 0.47 | -0.244 | -0.26 | -0.071 | -0.267 | 2965 | -0.359 | -0.388 |</w:t>
      </w:r>
      <w:r>
        <w:t xml:space="preserve"> </w:t>
      </w:r>
      <w:r>
        <w:t xml:space="preserve">| f_hr_mom_72 | 0.47 | -0.288 | -0.26 | -0.097 | -0.267 | 2965 | -0.241 | -0.388 |</w:t>
      </w:r>
      <w:r>
        <w:t xml:space="preserve"> </w:t>
      </w:r>
      <w:r>
        <w:t xml:space="preserve">| f_ta_pta_cmo | 0.47 | -0.224 | -0.26 | -0.103 | -0.267 | 2965 | -0.344 | -0.388 |</w:t>
      </w:r>
      <w:r>
        <w:t xml:space="preserve"> </w:t>
      </w:r>
      <w:r>
        <w:t xml:space="preserve">| f_hr_rsi | 0.47 | -0.224 | -0.26 | -0.103 | -0.267 | 2965 | -0.344 | -0.388 |</w:t>
      </w:r>
      <w:r>
        <w:t xml:space="preserve"> </w:t>
      </w:r>
      <w:r>
        <w:t xml:space="preserve">| f_d1_rsi | 0.47 | -0.250 | -0.26 | -0.110 | -0.267 | 2965 | -0.387 | -0.388 |</w:t>
      </w:r>
      <w:r>
        <w:t xml:space="preserve"> </w:t>
      </w:r>
      <w:r>
        <w:t xml:space="preserve">| f_wc_mom_60 | 0.47 | -0.257 | -0.26 | -0.132 | -0.267 | 2965 | -0.336 | -0.388 |</w:t>
      </w:r>
      <w:r>
        <w:t xml:space="preserve"> </w:t>
      </w:r>
      <w:r>
        <w:t xml:space="preserve">| f_d1_mom_10 | 0.47 | -0.269 | -0.26 | -0.152 | -0.267 | 2965 | -0.318 | -0.388 |</w:t>
      </w:r>
      <w:r>
        <w:t xml:space="preserve"> </w:t>
      </w:r>
      <w:r>
        <w:t xml:space="preserve">| f_mst_dir | 0.47 | -0.391 | -0.26 | -0.153 | -0.267 | 1719 | -0.360 | -0.388 |</w:t>
      </w:r>
      <w:r>
        <w:t xml:space="preserve"> </w:t>
      </w:r>
      <w:r>
        <w:t xml:space="preserve">| f_x_composite | 0.47 | -0.274 | -0.26 | -0.154 | -0.267 | 3007 | -0.359 | -0.388 |</w:t>
      </w:r>
      <w:r>
        <w:t xml:space="preserve"> </w:t>
      </w:r>
      <w:r>
        <w:t xml:space="preserve">| f_ta_pta_vortex_diff | 0.47 | -0.224 | -0.26 | -0.169 | -0.267 | 2965 | -0.336 | -0.388 |</w:t>
      </w:r>
      <w:r>
        <w:t xml:space="preserve"> </w:t>
      </w:r>
      <w:r>
        <w:t xml:space="preserve">| f_hr_mom_24 | 0.47 | -0.241 | -0.26 | -0.177 | -0.267 | 2965 | -0.356 | -0.388 |</w:t>
      </w:r>
    </w:p>
    <w:p>
      <w:pPr>
        <w:pStyle w:val="BodyText"/>
      </w:pPr>
      <w:r>
        <w:rPr>
          <w:i/>
          <w:iCs/>
        </w:rPr>
        <w:t xml:space="preserve">20 rows in the record, 12 shown.</w:t>
      </w:r>
    </w:p>
    <w:p>
      <w:pPr>
        <w:pStyle w:val="BodyText"/>
      </w:pPr>
      <w:r>
        <w:t xml:space="preserve">BEST: f_d1_st_up gate open 47% of bars</w:t>
      </w:r>
      <w:r>
        <w:t xml:space="preserve"> </w:t>
      </w:r>
      <w:r>
        <w:t xml:space="preserve">TEST gate-on : top-third -0.067%/trade (gated market -0.267%)</w:t>
      </w:r>
      <w:r>
        <w:t xml:space="preserve"> </w:t>
      </w:r>
      <w:r>
        <w:t xml:space="preserve">TEST gate-off: top-third -0.115%/trade (market -0.388%)</w:t>
      </w:r>
      <w:r>
        <w:t xml:space="preserve"> </w:t>
      </w:r>
      <w:r>
        <w:t xml:space="preserve">TRAIN gate-on : top-third -0.263%/trade</w:t>
      </w:r>
      <w:r>
        <w:t xml:space="preserve"> </w:t>
      </w:r>
      <w:r>
        <w:t xml:space="preserve">=&gt; NOT CLEARED with this gate/cost. Try a stricter gate, the achievable-cost</w:t>
      </w:r>
      <w:r>
        <w:t xml:space="preserve"> </w:t>
      </w:r>
      <w:r>
        <w:t xml:space="preserve">scenario (–cost), or the coarser frame.</w:t>
      </w:r>
    </w:p>
    <w:bookmarkEnd w:id="207"/>
    <w:p>
      <w:pPr>
        <w:pStyle w:val="BodyText"/>
      </w:pPr>
      <w:r>
        <w:t xml:space="preserve">=== FULL EQUITY BUILD take 2 Tue 18 Aug 2026 05:09:23 UTC</w:t>
      </w:r>
      <w:r>
        <w:t xml:space="preserve"> </w:t>
      </w:r>
      <w:r>
        <w:t xml:space="preserve">built 2547 equities (46 skipped), 4996861 rows, 96 features, base rate 0.253</w:t>
      </w:r>
      <w:r>
        <w:t xml:space="preserve"> </w:t>
      </w:r>
      <w:r>
        <w:t xml:space="preserve">wrote /Volumes/PortableSSD/Github/day-trader/inputs/alpaca-data/dataset_eq1d_allmarket.parquet</w:t>
      </w:r>
      <w:r>
        <w:t xml:space="preserve"> </w:t>
      </w:r>
      <w:r>
        <w:t xml:space="preserve">=== EDGE MATRIX spy+breadth cost 0.05 Tue 18 Aug 2026 05:13:13 UTC</w:t>
      </w:r>
      <w:r>
        <w:t xml:space="preserve"> </w:t>
      </w:r>
      <w:r>
        <w:t xml:space="preserve">equities 1d OOS cut=2025-07-20 00:00:00 gate=spy+breadth (SPY col f_btc_mom_24) cost=0.05% top 10% at 50-name floor candidates=48</w:t>
      </w:r>
    </w:p>
    <w:p>
      <w:pPr>
        <w:pStyle w:val="BodyText"/>
      </w:pPr>
      <w:r>
        <w:t xml:space="preserve">EQUITY CROSS-SECTIONAL EDGE, 1d, gate=spy+breadth, after 0.05%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f_hr_ema_fast_mid | 0.68 | 0.033 | 0.177 | 0.837 | 0.322 | 19864 | 0.679 |</w:t>
      </w:r>
      <w:r>
        <w:t xml:space="preserve"> </w:t>
      </w:r>
      <w:r>
        <w:t xml:space="preserve">| f_st_ema200_dist | 0.68 | 0.112 | 0.177 | 0.824 | 0.322 | 19864 | 0.668 |</w:t>
      </w:r>
      <w:r>
        <w:t xml:space="preserve"> </w:t>
      </w:r>
      <w:r>
        <w:t xml:space="preserve">| f_btc_rel_mom_24 | 0.68 | 0.045 | 0.177 | 0.812 | 0.322 | 19864 | 0.724 |</w:t>
      </w:r>
      <w:r>
        <w:t xml:space="preserve"> </w:t>
      </w:r>
      <w:r>
        <w:t xml:space="preserve">| f_hr_mom_24 | 0.68 | 0.045 | 0.177 | 0.812 | 0.322 | 19864 | 0.724 |</w:t>
      </w:r>
      <w:r>
        <w:t xml:space="preserve"> </w:t>
      </w:r>
      <w:r>
        <w:t xml:space="preserve">| f_wc_mom_20 | 0.68 | 0.080 | 0.177 | 0.798 | 0.322 | 19864 | 0.709 |</w:t>
      </w:r>
      <w:r>
        <w:t xml:space="preserve"> </w:t>
      </w:r>
      <w:r>
        <w:t xml:space="preserve">| f_wc_ema_fast_mid | 0.68 | 0.073 | 0.177 | 0.780 | 0.322 | 19864 | 0.417 |</w:t>
      </w:r>
      <w:r>
        <w:t xml:space="preserve"> </w:t>
      </w:r>
      <w:r>
        <w:t xml:space="preserve">| f_w1_ema_fast_slow | 0.68 | 0.181 | 0.177 | 0.753 | 0.322 | 19864 | 0.614 |</w:t>
      </w:r>
      <w:r>
        <w:t xml:space="preserve"> </w:t>
      </w:r>
      <w:r>
        <w:t xml:space="preserve">| f_ta_pta_trix | 0.68 | 0.073 | 0.177 | 0.752 | 0.322 | 19864 | 0.407 |</w:t>
      </w:r>
      <w:r>
        <w:t xml:space="preserve"> </w:t>
      </w:r>
      <w:r>
        <w:t xml:space="preserve">| f_mst_dist | 0.68 | 0.067 | 0.177 | 0.744 | 0.322 | 19864 | 1.092 |</w:t>
      </w:r>
      <w:r>
        <w:t xml:space="preserve"> </w:t>
      </w:r>
      <w:r>
        <w:t xml:space="preserve">| f_hr_mom_72 | 0.68 | 0.177 | 0.177 | 0.738 | 0.322 | 19864 | 0.554 |</w:t>
      </w:r>
      <w:r>
        <w:t xml:space="preserve"> </w:t>
      </w:r>
      <w:r>
        <w:t xml:space="preserve">| f_btc_rel_mom_168 | 0.68 | 0.169 | 0.177 | 0.737 | 0.322 | 19864 | 0.591 |</w:t>
      </w:r>
      <w:r>
        <w:t xml:space="preserve"> </w:t>
      </w:r>
      <w:r>
        <w:t xml:space="preserve">| f_hr_mom_168 | 0.68 | 0.169 | 0.177 | 0.737 | 0.322 | 19864 | 0.591 |</w:t>
      </w:r>
    </w:p>
    <w:p>
      <w:pPr>
        <w:pStyle w:val="BodyText"/>
      </w:pPr>
      <w:r>
        <w:rPr>
          <w:i/>
          <w:iCs/>
        </w:rPr>
        <w:t xml:space="preserve">20 rows in the record, 12 shown.</w:t>
      </w:r>
    </w:p>
    <w:p>
      <w:pPr>
        <w:pStyle w:val="BodyText"/>
      </w:pPr>
      <w:r>
        <w:t xml:space="preserve">BEST: f_hr_ema_fast_mid gate open 68%</w:t>
      </w:r>
      <w:r>
        <w:t xml:space="preserve"> </w:t>
      </w:r>
      <w:r>
        <w:t xml:space="preserve">TEST gate-on : top-decile +0.837%/trade (gated market +0.322%)</w:t>
      </w:r>
      <w:r>
        <w:t xml:space="preserve"> </w:t>
      </w:r>
      <w:r>
        <w:t xml:space="preserve">TRAIN gate-on : top-decile +0.033%/trade</w:t>
      </w:r>
      <w:r>
        <w:t xml:space="preserve"> </w:t>
      </w:r>
      <w:r>
        <w:t xml:space="preserve">=&gt; CANDIDATE: clears after cost, train/test consistent. Next: the walk-forward</w:t>
      </w:r>
      <w:r>
        <w:t xml:space="preserve"> </w:t>
      </w:r>
      <w:r>
        <w:t xml:space="preserve">kill harness (60% fold pass, tradeable width, attribution breadth).</w:t>
      </w:r>
      <w:r>
        <w:t xml:space="preserve"> </w:t>
      </w:r>
      <w:r>
        <w:t xml:space="preserve">=== EDGE MATRIX spy+breadth cost 0.10 (stress)</w:t>
      </w:r>
      <w:r>
        <w:t xml:space="preserve"> </w:t>
      </w:r>
      <w:r>
        <w:t xml:space="preserve">equities 1d OOS cut=2025-07-20 00:00:00 gate=spy+breadth (SPY col f_btc_mom_24) cost=0.1% top 10% at 50-name floor candidates=48</w:t>
      </w:r>
    </w:p>
    <w:p>
      <w:pPr>
        <w:pStyle w:val="BodyText"/>
      </w:pPr>
      <w:r>
        <w:t xml:space="preserve">EQUITY CROSS-SECTIONAL EDGE, 1d, gate=spy+breadth, after 0.10%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f_hr_ema_fast_mid | 0.68 | -0.017 | 0.127 | 0.787 | 0.272 | 19864 | 0.629 |</w:t>
      </w:r>
      <w:r>
        <w:t xml:space="preserve"> </w:t>
      </w:r>
      <w:r>
        <w:t xml:space="preserve">| f_st_ema200_dist | 0.68 | 0.062 | 0.127 | 0.774 | 0.272 | 19864 | 0.618 |</w:t>
      </w:r>
      <w:r>
        <w:t xml:space="preserve"> </w:t>
      </w:r>
      <w:r>
        <w:t xml:space="preserve">| f_btc_rel_mom_24 | 0.68 | -0.005 | 0.127 | 0.762 | 0.272 | 19864 | 0.674 |</w:t>
      </w:r>
      <w:r>
        <w:t xml:space="preserve"> </w:t>
      </w:r>
      <w:r>
        <w:t xml:space="preserve">| f_hr_mom_24 | 0.68 | -0.005 | 0.127 | 0.762 | 0.272 | 19864 | 0.674 |</w:t>
      </w:r>
      <w:r>
        <w:t xml:space="preserve"> </w:t>
      </w:r>
      <w:r>
        <w:t xml:space="preserve">| f_wc_mom_20 | 0.68 | 0.030 | 0.127 | 0.748 | 0.272 | 19864 | 0.659 |</w:t>
      </w:r>
      <w:r>
        <w:t xml:space="preserve"> </w:t>
      </w:r>
      <w:r>
        <w:t xml:space="preserve">| f_wc_ema_fast_mid | 0.68 | 0.023 | 0.127 | 0.730 | 0.272 | 19864 | 0.367 |</w:t>
      </w:r>
      <w:r>
        <w:t xml:space="preserve"> </w:t>
      </w:r>
      <w:r>
        <w:t xml:space="preserve">| f_w1_ema_fast_slow | 0.68 | 0.131 | 0.127 | 0.703 | 0.272 | 19864 | 0.564 |</w:t>
      </w:r>
      <w:r>
        <w:t xml:space="preserve"> </w:t>
      </w:r>
      <w:r>
        <w:t xml:space="preserve">| f_ta_pta_trix | 0.68 | 0.023 | 0.127 | 0.702 | 0.272 | 19864 | 0.357 |</w:t>
      </w:r>
      <w:r>
        <w:t xml:space="preserve"> </w:t>
      </w:r>
      <w:r>
        <w:t xml:space="preserve">| f_mst_dist | 0.68 | 0.017 | 0.127 | 0.694 | 0.272 | 19864 | 1.042 |</w:t>
      </w:r>
      <w:r>
        <w:t xml:space="preserve"> </w:t>
      </w:r>
      <w:r>
        <w:t xml:space="preserve">| f_hr_mom_72 | 0.68 | 0.127 | 0.127 | 0.688 | 0.272 | 19864 | 0.504 |</w:t>
      </w:r>
      <w:r>
        <w:t xml:space="preserve"> </w:t>
      </w:r>
      <w:r>
        <w:t xml:space="preserve">| f_btc_rel_mom_168 | 0.68 | 0.119 | 0.127 | 0.687 | 0.272 | 19864 | 0.541 |</w:t>
      </w:r>
      <w:r>
        <w:t xml:space="preserve"> </w:t>
      </w:r>
      <w:r>
        <w:t xml:space="preserve">| f_hr_mom_168 | 0.68 | 0.119 | 0.127 | 0.687 | 0.272 | 19864 | 0.541 |</w:t>
      </w:r>
    </w:p>
    <w:p>
      <w:pPr>
        <w:pStyle w:val="BodyText"/>
      </w:pPr>
      <w:r>
        <w:rPr>
          <w:i/>
          <w:iCs/>
        </w:rPr>
        <w:t xml:space="preserve">20 rows in the record, 12 shown.</w:t>
      </w:r>
    </w:p>
    <w:p>
      <w:pPr>
        <w:pStyle w:val="BodyText"/>
      </w:pPr>
      <w:r>
        <w:t xml:space="preserve">BEST: f_hr_ema_fast_mid gate open 68%</w:t>
      </w:r>
      <w:r>
        <w:t xml:space="preserve"> </w:t>
      </w:r>
      <w:r>
        <w:t xml:space="preserve">TEST gate-on : top-decile +0.787%/trade (gated market +0.272%)</w:t>
      </w:r>
      <w:r>
        <w:t xml:space="preserve"> </w:t>
      </w:r>
      <w:r>
        <w:t xml:space="preserve">TRAIN gate-on : top-decile -0.017%/trade</w:t>
      </w:r>
      <w:r>
        <w:t xml:space="preserve"> </w:t>
      </w:r>
      <w:r>
        <w:t xml:space="preserve">=&gt; FRAGILE: clears on TEST only; treat as unproven.</w:t>
      </w:r>
      <w:r>
        <w:t xml:space="preserve"> </w:t>
      </w:r>
      <w:r>
        <w:t xml:space="preserve">=== EDGE MATRIX ungated cost 0.05 (reference)</w:t>
      </w:r>
      <w:r>
        <w:t xml:space="preserve"> </w:t>
      </w:r>
      <w:r>
        <w:t xml:space="preserve">equities 1d OOS cut=2025-07-20 00:00:00 gate=none (SPY col f_btc_mom_24) cost=0.05% top 10% at 50-name floor candidates=48</w:t>
      </w:r>
    </w:p>
    <w:p>
      <w:pPr>
        <w:pStyle w:val="BodyText"/>
      </w:pPr>
      <w:r>
        <w:t xml:space="preserve">EQUITY CROSS-SECTIONAL EDGE, 1d, gate=none, after 0.05% cost. Deciding cell: te_on_top.</w:t>
      </w:r>
      <w:r>
        <w:t xml:space="preserve"> </w:t>
      </w:r>
      <w:r>
        <w:t xml:space="preserve">| signal | gate_open | tr_on_top | tr_on_mkt | te_on_top | te_on_mkt | te_on_n | te_off_top |</w:t>
      </w:r>
      <w:r>
        <w:t xml:space="preserve"> </w:t>
      </w:r>
      <w:r>
        <w:t xml:space="preserve">| — | — | — | — | — | — | — | — |</w:t>
      </w:r>
      <w:r>
        <w:t xml:space="preserve"> </w:t>
      </w:r>
      <w:r>
        <w:t xml:space="preserve">| f_mst_dist | 1.0 | 0.272 | 0.372 | 0.854 | 0.461 | 29040 | NaN |</w:t>
      </w:r>
      <w:r>
        <w:t xml:space="preserve"> </w:t>
      </w:r>
      <w:r>
        <w:t xml:space="preserve">| f_hr_ema_fast_mid | 1.0 | 0.245 | 0.372 | 0.787 | 0.461 | 29040 | NaN |</w:t>
      </w:r>
      <w:r>
        <w:t xml:space="preserve"> </w:t>
      </w:r>
      <w:r>
        <w:t xml:space="preserve">| f_btc_rel_mom_24 | 1.0 | 0.241 | 0.372 | 0.784 | 0.461 | 29040 | NaN |</w:t>
      </w:r>
      <w:r>
        <w:t xml:space="preserve"> </w:t>
      </w:r>
      <w:r>
        <w:t xml:space="preserve">| f_hr_mom_24 | 1.0 | 0.241 | 0.372 | 0.784 | 0.461 | 29040 | NaN |</w:t>
      </w:r>
      <w:r>
        <w:t xml:space="preserve"> </w:t>
      </w:r>
      <w:r>
        <w:t xml:space="preserve">| f_st_ema200_dist | 1.0 | 0.247 | 0.372 | 0.775 | 0.461 | 29040 | NaN |</w:t>
      </w:r>
      <w:r>
        <w:t xml:space="preserve"> </w:t>
      </w:r>
      <w:r>
        <w:t xml:space="preserve">| f_wc_mom_20 | 1.0 | 0.264 | 0.372 | 0.770 | 0.461 | 29040 | NaN |</w:t>
      </w:r>
      <w:r>
        <w:t xml:space="preserve"> </w:t>
      </w:r>
      <w:r>
        <w:t xml:space="preserve">| f_st_dist_1 | 1.0 | 0.334 | 0.372 | 0.746 | 0.461 | 29040 | NaN |</w:t>
      </w:r>
      <w:r>
        <w:t xml:space="preserve"> </w:t>
      </w:r>
      <w:r>
        <w:t xml:space="preserve">| f_mst_mult | 1.0 | 0.321 | 0.372 | 0.723 | 0.461 | 29055 | NaN |</w:t>
      </w:r>
      <w:r>
        <w:t xml:space="preserve"> </w:t>
      </w:r>
      <w:r>
        <w:t xml:space="preserve">| f_mst_ker_rank | 1.0 | 0.327 | 0.372 | 0.720 | 0.461 | 29050 | NaN |</w:t>
      </w:r>
      <w:r>
        <w:t xml:space="preserve"> </w:t>
      </w:r>
      <w:r>
        <w:t xml:space="preserve">| f_w1_ema_fast_slow | 1.0 | 0.253 | 0.372 | 0.709 | 0.461 | 29040 | NaN |</w:t>
      </w:r>
      <w:r>
        <w:t xml:space="preserve"> </w:t>
      </w:r>
      <w:r>
        <w:t xml:space="preserve">| f_btc_beta_168 | 1.0 | 0.521 | 0.372 | 0.707 | 0.461 | 29040 | NaN |</w:t>
      </w:r>
      <w:r>
        <w:t xml:space="preserve"> </w:t>
      </w:r>
      <w:r>
        <w:t xml:space="preserve">| f_hr_mom_168 | 1.0 | 0.343 | 0.372 | 0.691 | 0.461 | 29040 | NaN |</w:t>
      </w:r>
    </w:p>
    <w:p>
      <w:pPr>
        <w:pStyle w:val="BodyText"/>
      </w:pPr>
      <w:r>
        <w:rPr>
          <w:i/>
          <w:iCs/>
        </w:rPr>
        <w:t xml:space="preserve">20 rows in the record, 12 shown.</w:t>
      </w:r>
    </w:p>
    <w:p>
      <w:pPr>
        <w:pStyle w:val="BodyText"/>
      </w:pPr>
      <w:r>
        <w:t xml:space="preserve">BEST: f_mst_dist gate open 100%</w:t>
      </w:r>
      <w:r>
        <w:t xml:space="preserve"> </w:t>
      </w:r>
      <w:r>
        <w:t xml:space="preserve">TEST gate-on : top-decile +0.854%/trade (gated market +0.461%)</w:t>
      </w:r>
      <w:r>
        <w:t xml:space="preserve"> </w:t>
      </w:r>
      <w:r>
        <w:t xml:space="preserve">TRAIN gate-on : top-decile +0.272%/trade</w:t>
      </w:r>
      <w:r>
        <w:t xml:space="preserve"> </w:t>
      </w:r>
      <w:r>
        <w:t xml:space="preserve">=&gt; CANDIDATE: clears after cost, train/test consistent. Next: the walk-forward</w:t>
      </w:r>
      <w:r>
        <w:t xml:space="preserve"> </w:t>
      </w:r>
      <w:r>
        <w:t xml:space="preserve">kill harness (60% fold pass, tradeable width, attribution breadth).</w:t>
      </w:r>
      <w:r>
        <w:t xml:space="preserve"> </w:t>
      </w:r>
      <w:r>
        <w:t xml:space="preserve">=== DONE Tue 18 Aug 2026 05:17:40 UTC</w:t>
      </w:r>
    </w:p>
    <w:p>
      <w:pPr>
        <w:pStyle w:val="SourceCode"/>
      </w:pPr>
      <w:r>
        <w:rPr>
          <w:rStyle w:val="VerbatimChar"/>
        </w:rPr>
        <w:t xml:space="preserve">narrow book not yet generated: .venv/bin/python 03-inputs/narrow_book.py</w:t>
      </w:r>
    </w:p>
    <w:bookmarkEnd w:id="208"/>
    <w:bookmarkEnd w:id="209"/>
    <w:bookmarkStart w:id="214" w:name="shared-method"/>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Start w:id="210" w:name="multi-frame-loop"/>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210"/>
    <w:bookmarkStart w:id="211" w:name="after-fee-scoreboard"/>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04-outputs/AA-evals/</w:t>
      </w:r>
      <w:r>
        <w:t xml:space="preserve">, so results across the notebooks are commensurable and no in-sample number can override the out-of-sample verdict.</w:t>
      </w:r>
    </w:p>
    <w:bookmarkEnd w:id="211"/>
    <w:bookmarkStart w:id="212" w:name="embargoed-splits"/>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212"/>
    <w:bookmarkStart w:id="213" w:name="reproducibility"/>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213"/>
    <w:bookmarkEnd w:id="214"/>
    <w:bookmarkStart w:id="221" w:name="findings"/>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Start w:id="215" w:name="current-state"/>
    <w:p>
      <w:pPr>
        <w:pStyle w:val="Heading3"/>
      </w:pPr>
      <w:r>
        <w:t xml:space="preserve">5.1 Current State</w:t>
      </w:r>
    </w:p>
    <w:p>
      <w:pPr>
        <w:pStyle w:val="FirstParagraph"/>
      </w:pPr>
      <w:r>
        <w:t xml:space="preserve">Every crypto frame is rejected, and the diagnosis changed on 7 September 2026. Transaction cost had been treated as the binding constraint. The edge diagnostics run that day computed expectancy gross of cost, and both surviving frames were negative. On four-hour bars the model’s acted trades returned -0.182 per cent gross, against -0.118 per cent for a one-bar persistence baseline, so the model underperformed the naive benchmark. On daily bars gross expectancy was -1.150 per cent. Both records record the same verdict: no pre-cost edge exists, so the constraint is the feature set and the architecture rather than the cost.</w:t>
      </w:r>
    </w:p>
    <w:p>
      <w:pPr>
        <w:pStyle w:val="BodyText"/>
      </w:pPr>
      <w:r>
        <w:t xml:space="preserve">The remaining results are unchanged. On the one-hour frame the label sweeps, the seven-model comparison and the Monte Carlo robustness gate are all rejected at an AUC near 0.50, and the default barrier carries negative unconditional expectancy, a base rate of 0.313 against a breakeven of 0.333. The four-hour frame reaches AUC 0.549, and higher-timeframe context raises it further without clearing the cost. The five-minute frame carries positive gross expectancy but the realised move is smaller than the 0.20 per cent round trip. None of this is attributable to leakage: the label alignment, scaling, feature construction and split code were audited line by line and are clean.</w:t>
      </w:r>
    </w:p>
    <w:bookmarkEnd w:id="215"/>
    <w:bookmarkStart w:id="216" w:name="what-tuning-showed"/>
    <w:p>
      <w:pPr>
        <w:pStyle w:val="Heading3"/>
      </w:pPr>
      <w:r>
        <w:t xml:space="preserve">5.2 What Tuning Showed</w:t>
      </w:r>
    </w:p>
    <w:p>
      <w:pPr>
        <w:pStyle w:val="FirstParagraph"/>
      </w:pPr>
      <w:r>
        <w:t xml:space="preserve">The hyperparameter sweep was run once, on 6 September 2026. It does not move the result.</w:t>
      </w:r>
    </w:p>
    <w:p>
      <w:pPr>
        <w:pStyle w:val="BodyText"/>
      </w:pPr>
      <w:r>
        <w:t xml:space="preserve">Nine hyperparameter combinations were scored on the four-hour trend-life target over three walk-forward folds. All nine failed the overfit criterion. The minimum RMSE ratio in the grid was 1.272 against a rejection threshold of 1.1, and the maximum was 2.339. Across the grid the training RMSE fell from 18.994 to 10.772 bars while the cross-validated RMSE rose from 24.159 to 25.526, the signature of increasing variance without a gain in generalisation. The combination with the lowest cross-validated error also had the highest training error, a learning rate of 0.03 at depth 4.</w:t>
      </w:r>
    </w:p>
    <w:p>
      <w:pPr>
        <w:pStyle w:val="BodyText"/>
      </w:pPr>
      <w:r>
        <w:t xml:space="preserve">The second result is the more consequential. Within any single configuration the three folds span 3.6 to 4.2 bars. Across the entire grid, best to worst configuration, the span is 1.366 bars. Fold-to-fold variance therefore exceeds configuration-to-configuration variance by roughly a factor of three, so a configuration leaderboard read without its fold dispersion ranks sampling noise.</w:t>
      </w:r>
    </w:p>
    <w:p>
      <w:pPr>
        <w:pStyle w:val="BodyText"/>
      </w:pPr>
      <w:r>
        <w:t xml:space="preserve">Two defects in model selection were identified and corrected on 8 September. Selection minimised cross-validated error without reference to the overfit ratio, which returned a model at 1.840 against a rejection threshold of 1.1 and then scored the held-out year with it. Separately, the tuner computed no training error, so no overfit ratio existed for a tuning grid and the criterion could not be applied. Both now apply the threshold before reading the ranking, and both report explicitly when no configuration passes.</w:t>
      </w:r>
    </w:p>
    <w:p>
      <w:pPr>
        <w:pStyle w:val="BodyText"/>
      </w:pPr>
      <w:r>
        <w:t xml:space="preserve">A separate comparison bounds the return to a richer architecture. Ninety engineered features scored 24.213 bars RMSE on the same target; the raw twenty-four most recent returns, with no feature construction, scored 24.247. The two representations differ by 0.034 bars, so they carry equivalent information and a sequence model has no residual gap to exploit on this target.</w:t>
      </w:r>
    </w:p>
    <w:bookmarkEnd w:id="216"/>
    <w:bookmarkStart w:id="217" w:name="which-features"/>
    <w:p>
      <w:pPr>
        <w:pStyle w:val="Heading3"/>
      </w:pPr>
      <w:r>
        <w:t xml:space="preserve">5.3 Which Features</w:t>
      </w:r>
    </w:p>
    <w:p>
      <w:pPr>
        <w:pStyle w:val="FirstParagraph"/>
      </w:pPr>
      <w:r>
        <w:t xml:space="preserve">The record is</w:t>
      </w:r>
      <w:r>
        <w:t xml:space="preserve"> </w:t>
      </w:r>
      <w:r>
        <w:rPr>
          <w:rStyle w:val="VerbatimChar"/>
        </w:rPr>
        <w:t xml:space="preserve">04-outputs/AA-evals/2026-09-08/feature-report-20260908.md</w:t>
      </w:r>
      <w:r>
        <w:t xml:space="preserve">, computed on 40,000 four-hour training observations to 21 June 2025, ninety features, base rate 0.262. All estimates are from the training split; the held-out year was not opened. Three statistics are reported. Univariate AUC measures the feature’s own discrimination. Sign stability is the proportion of five walk-forward folds in which the univariate AUC falls on the same side of 0.5 as it does over the full window. Permutation importance is the increase in Brier score when that column alone is randomly permuted, which identifies features that are uninformative marginally but contribute conditionally.</w:t>
      </w:r>
    </w:p>
    <w:p>
      <w:pPr>
        <w:pStyle w:val="BodyText"/>
      </w:pPr>
      <w:r>
        <w:t xml:space="preserve">Relative strength dominates own-price features. The highest-ranked family is relative strength against bitcoin,</w:t>
      </w:r>
      <w:r>
        <w:t xml:space="preserve"> </w:t>
      </w:r>
      <w:r>
        <w:rPr>
          <w:rStyle w:val="VerbatimChar"/>
        </w:rPr>
        <w:t xml:space="preserve">f_btc_</w:t>
      </w:r>
      <w:r>
        <w:t xml:space="preserve">, at a mean permutation importance of 0.0069, roughly three times the next family. Four of the ten highest-importance columns belong to it, led by</w:t>
      </w:r>
      <w:r>
        <w:t xml:space="preserve"> </w:t>
      </w:r>
      <w:r>
        <w:rPr>
          <w:rStyle w:val="VerbatimChar"/>
        </w:rPr>
        <w:t xml:space="preserve">f_btc_mom_168</w:t>
      </w:r>
      <w:r>
        <w:t xml:space="preserve">, the 168-hour relative move, at 0.0181, more than twice any other single feature. It is the only family not derived from the asset’s own price series. This corroborates the cross-sectional result from an independent direction, as a property of the fitted model rather than of a backtest.</w:t>
      </w:r>
    </w:p>
    <w:p>
      <w:pPr>
        <w:pStyle w:val="BodyText"/>
      </w:pPr>
      <w:r>
        <w:t xml:space="preserve">The classical indicator blocks are the most stable. The</w:t>
      </w:r>
      <w:r>
        <w:t xml:space="preserve"> </w:t>
      </w:r>
      <w:r>
        <w:rPr>
          <w:rStyle w:val="VerbatimChar"/>
        </w:rPr>
        <w:t xml:space="preserve">f_ta_pta_</w:t>
      </w:r>
      <w:r>
        <w:t xml:space="preserve"> </w:t>
      </w:r>
      <w:r>
        <w:t xml:space="preserve">block preserved sign in five folds of five for every feature and carries the largest mean univariate AUC deviation of any family at 0.0486. The in-house block follows at 0.0444 with 0.90 sign stability. Neither is large enough to trade in isolation, but both are stable across folds.</w:t>
      </w:r>
    </w:p>
    <w:p>
      <w:pPr>
        <w:pStyle w:val="BodyText"/>
      </w:pPr>
      <w:r>
        <w:t xml:space="preserve">The candlestick patterns carry no information. Eight of the ten zero-importance columns are candlestick patterns from the TA-Lib block.</w:t>
      </w:r>
      <w:r>
        <w:t xml:space="preserve"> </w:t>
      </w:r>
      <w:r>
        <w:rPr>
          <w:rStyle w:val="VerbatimChar"/>
        </w:rPr>
        <w:t xml:space="preserve">f_tl_cdl_three_black</w:t>
      </w:r>
      <w:r>
        <w:t xml:space="preserve"> </w:t>
      </w:r>
      <w:r>
        <w:t xml:space="preserve">has a univariate AUC of exactly 0.500 and preserves sign in one fold of three. Permuting any of the sixteen zero-importance columns changes the Brier score by less than 1e-5. The fifteen-feature TA-Lib family ranks second from bottom on mean permutation importance.</w:t>
      </w:r>
    </w:p>
    <w:p>
      <w:pPr>
        <w:pStyle w:val="BodyText"/>
      </w:pPr>
      <w:r>
        <w:t xml:space="preserve">The adaptive Supertrend does not survive multivariate conditioning.</w:t>
      </w:r>
      <w:r>
        <w:t xml:space="preserve"> </w:t>
      </w:r>
      <w:r>
        <w:rPr>
          <w:rStyle w:val="VerbatimChar"/>
        </w:rPr>
        <w:t xml:space="preserve">f_mst_</w:t>
      </w:r>
      <w:r>
        <w:t xml:space="preserve"> </w:t>
      </w:r>
      <w:r>
        <w:t xml:space="preserve">was recorded in June 2026 as the most robust cross-sectional signal in the search. On these statistics it has the lowest sign stability of any family at 0.60 and ranks second from bottom on permutation importance at 0.0004. Its flip indicator,</w:t>
      </w:r>
      <w:r>
        <w:t xml:space="preserve"> </w:t>
      </w:r>
      <w:r>
        <w:rPr>
          <w:rStyle w:val="VerbatimChar"/>
        </w:rPr>
        <w:t xml:space="preserve">f_mst_flip</w:t>
      </w:r>
      <w:r>
        <w:t xml:space="preserve">, is among the zero-importance columns. This does not overturn the cross-sectional result, which was estimated under a different design, but the signal does not retain weight when the model has ninety alternative columns available.</w:t>
      </w:r>
    </w:p>
    <w:p>
      <w:pPr>
        <w:pStyle w:val="BodyText"/>
      </w:pPr>
      <w:r>
        <w:t xml:space="preserve">Fourteen of ninety features preserved sign in fewer than three folds of five. These are regime-specific rather than persistent, and they supply the variance that a hyperparameter sweep converts into memorisation. Taken with 5.2 this accounts for the sweep result: with roughly a sixth of the feature set reversing sign between folds, additional model capacity fits noise.</w:t>
      </w:r>
    </w:p>
    <w:bookmarkEnd w:id="217"/>
    <w:bookmarkStart w:id="218" w:name="the-lead"/>
    <w:p>
      <w:pPr>
        <w:pStyle w:val="Heading3"/>
      </w:pPr>
      <w:r>
        <w:t xml:space="preserve">5.4 The Lead</w:t>
      </w:r>
    </w:p>
    <w:p>
      <w:pPr>
        <w:pStyle w:val="FirstParagraph"/>
      </w:pPr>
      <w:r>
        <w:t xml:space="preserve">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pPr>
        <w:pStyle w:val="BodyText"/>
      </w:pPr>
      <w:r>
        <w:t xml:space="preserve">Two things were never tried on it. Holding longer, so the fee is paid fewer times, and running the same ranking on shares, where the market drifts up rather than down. The second of those is section 5.5.</w:t>
      </w:r>
    </w:p>
    <w:bookmarkEnd w:id="218"/>
    <w:bookmarkStart w:id="219" w:name="the-equity-result"/>
    <w:p>
      <w:pPr>
        <w:pStyle w:val="Heading3"/>
      </w:pPr>
      <w:r>
        <w:t xml:space="preserve">5.5 The Equity Result</w:t>
      </w:r>
    </w:p>
    <w:p>
      <w:pPr>
        <w:pStyle w:val="FirstParagraph"/>
      </w:pPr>
      <w:r>
        <w:t xml:space="preserve">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pPr>
        <w:pStyle w:val="BodyText"/>
      </w:pPr>
      <w:r>
        <w:t xml:space="preserve">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pPr>
        <w:pStyle w:val="BodyText"/>
      </w:pPr>
      <w:r>
        <w:t xml:space="preserve">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bookmarkEnd w:id="219"/>
    <w:bookmarkStart w:id="220" w:name="next-steps"/>
    <w:p>
      <w:pPr>
        <w:pStyle w:val="Heading3"/>
      </w:pPr>
      <w:r>
        <w:t xml:space="preserve">5.6 Next Steps</w:t>
      </w:r>
    </w:p>
    <w:p>
      <w:pPr>
        <w:pStyle w:val="FirstParagraph"/>
      </w:pPr>
      <w:r>
        <w:t xml:space="preserve">The order follows from 5.2 and 5.3 rather than from the earlier lever list.</w:t>
      </w:r>
    </w:p>
    <w:p>
      <w:pPr>
        <w:pStyle w:val="BodyText"/>
      </w:pPr>
      <w:r>
        <w:t xml:space="preserve">First, stop tuning the crypto model. Nine settings moved the held-out error by 1.366 bars while the fold changed it by nearly four, and both surviving frames lose before fees. There is nothing in the settings to find.</w:t>
      </w:r>
    </w:p>
    <w:p>
      <w:pPr>
        <w:pStyle w:val="BodyText"/>
      </w:pPr>
      <w:r>
        <w:t xml:space="preserve">Second, cut the inputs that carry nothing. Sixteen features the model does not read, fifteen TA-Lib columns worth 0.0003 between them, and fourteen features that change sign between folds. A smaller, steadier input set is the one change 5.2 and 5.3 both point at.</w:t>
      </w:r>
    </w:p>
    <w:p>
      <w:pPr>
        <w:pStyle w:val="BodyText"/>
      </w:pPr>
      <w:r>
        <w:t xml:space="preserve">Third, calibrate. Every model in the zoo trains with</w:t>
      </w:r>
      <w:r>
        <w:t xml:space="preserve"> </w:t>
      </w:r>
      <w:r>
        <w:rPr>
          <w:rStyle w:val="VerbatimChar"/>
        </w:rPr>
        <w:t xml:space="preserve">class_weight="balanced"</w:t>
      </w:r>
      <w:r>
        <w:t xml:space="preserve">,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pPr>
        <w:pStyle w:val="BodyText"/>
      </w:pPr>
      <w:r>
        <w:t xml:space="preserve">Fourth, run the ranking on shares. It is the untried half of 5.4 and it sits on the one market where the baseline is positive.</w:t>
      </w:r>
    </w:p>
    <w:p>
      <w:pPr>
        <w:pStyle w:val="BodyText"/>
      </w:pPr>
      <w:r>
        <w:t xml:space="preserve">The live switch stays off throughout. None of this changes real exposure.</w:t>
      </w:r>
    </w:p>
    <w:bookmarkEnd w:id="220"/>
    <w:bookmarkEnd w:id="221"/>
    <w:bookmarkStart w:id="229" w:name="appendices"/>
    <w:p>
      <w:pPr>
        <w:pStyle w:val="Heading2"/>
      </w:pPr>
      <w:r>
        <w:t xml:space="preserve">Appendices</w:t>
      </w:r>
    </w:p>
    <w:bookmarkStart w:id="222" w:name="a.-file-map"/>
    <w:p>
      <w:pPr>
        <w:pStyle w:val="Heading3"/>
      </w:pPr>
      <w:r>
        <w:t xml:space="preserve">A. File Map</w:t>
      </w:r>
    </w:p>
    <w:p>
      <w:pPr>
        <w:pStyle w:val="FirstParagraph"/>
      </w:pPr>
      <w:r>
        <w:t xml:space="preserve">Which module powers which section.</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Module</w:t>
            </w:r>
          </w:p>
        </w:tc>
        <w:tc>
          <w:tcPr>
            <w:tcW w:type="pct" w:w="2500"/>
          </w:tcPr>
          <w:p>
            <w:pPr>
              <w:pStyle w:val="Compact"/>
            </w:pPr>
            <w:r>
              <w:rPr>
                <w:b/>
              </w:rPr>
              <w:t xml:space="preserve">Powers</w:t>
            </w:r>
          </w:p>
        </w:tc>
      </w:tr>
      <w:tr>
        <w:trPr>
          <w:trHeight w:hRule="atLeast" w:val="397"/>
        </w:trPr>
        <w:tc>
          <w:tcPr>
            <w:tcW w:type="pct" w:w="2500"/>
          </w:tcPr>
          <w:p>
            <w:pPr>
              <w:pStyle w:val="Compact"/>
            </w:pPr>
            <w:r>
              <w:rPr>
                <w:rStyle w:val="VerbatimChar"/>
              </w:rPr>
              <w:t xml:space="preserve">03-inputs/build_dataset_1h.py</w:t>
            </w:r>
          </w:p>
        </w:tc>
        <w:tc>
          <w:tcPr>
            <w:tcW w:type="pct" w:w="2500"/>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rPr>
          <w:trHeight w:hRule="atLeast" w:val="397"/>
        </w:trPr>
        <w:tc>
          <w:tcPr>
            <w:tcW w:type="pct" w:w="2500"/>
          </w:tcPr>
          <w:p>
            <w:pPr>
              <w:pStyle w:val="Compact"/>
            </w:pPr>
            <w:r>
              <w:rPr>
                <w:rStyle w:val="VerbatimChar"/>
              </w:rPr>
              <w:t xml:space="preserve">03-inputs/acquire_vision.py</w:t>
            </w:r>
          </w:p>
        </w:tc>
        <w:tc>
          <w:tcPr>
            <w:tcW w:type="pct" w:w="2500"/>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rPr>
          <w:trHeight w:hRule="atLeast" w:val="397"/>
        </w:trPr>
        <w:tc>
          <w:tcPr>
            <w:tcW w:type="pct" w:w="2500"/>
          </w:tcPr>
          <w:p>
            <w:pPr>
              <w:pStyle w:val="Compact"/>
            </w:pPr>
            <w:r>
              <w:rPr>
                <w:rStyle w:val="VerbatimChar"/>
              </w:rPr>
              <w:t xml:space="preserve">03-inputs/profile_panel.py</w:t>
            </w:r>
          </w:p>
        </w:tc>
        <w:tc>
          <w:tcPr>
            <w:tcW w:type="pct" w:w="2500"/>
          </w:tcPr>
          <w:p>
            <w:pPr>
              <w:pStyle w:val="Compact"/>
            </w:pPr>
            <w:r>
              <w:t xml:space="preserve">Stage B, coverage, gap, and liquidity profiling and the point-in-time universe (3.5, and the Part 1 and 2 universe)</w:t>
            </w:r>
          </w:p>
        </w:tc>
      </w:tr>
      <w:tr>
        <w:trPr>
          <w:trHeight w:hRule="atLeast" w:val="397"/>
        </w:trPr>
        <w:tc>
          <w:tcPr>
            <w:tcW w:type="pct" w:w="2500"/>
          </w:tcPr>
          <w:p>
            <w:pPr>
              <w:pStyle w:val="Compact"/>
            </w:pPr>
            <w:r>
              <w:rPr>
                <w:rStyle w:val="VerbatimChar"/>
              </w:rPr>
              <w:t xml:space="preserve">03-inputs/wf_splitter.py</w:t>
            </w:r>
          </w:p>
        </w:tc>
        <w:tc>
          <w:tcPr>
            <w:tcW w:type="pct" w:w="2500"/>
          </w:tcPr>
          <w:p>
            <w:pPr>
              <w:pStyle w:val="Compact"/>
            </w:pPr>
            <w:r>
              <w:t xml:space="preserve">Stage C, the forward-chained walk-forward splitter (3.5)</w:t>
            </w:r>
          </w:p>
        </w:tc>
      </w:tr>
      <w:tr>
        <w:trPr>
          <w:trHeight w:hRule="atLeast" w:val="397"/>
        </w:trPr>
        <w:tc>
          <w:tcPr>
            <w:tcW w:type="pct" w:w="2500"/>
          </w:tcPr>
          <w:p>
            <w:pPr>
              <w:pStyle w:val="Compact"/>
            </w:pPr>
            <w:r>
              <w:rPr>
                <w:rStyle w:val="VerbatimChar"/>
              </w:rPr>
              <w:t xml:space="preserve">03-inputs/train_model_1h.py</w:t>
            </w:r>
          </w:p>
        </w:tc>
        <w:tc>
          <w:tcPr>
            <w:tcW w:type="pct" w:w="2500"/>
          </w:tcPr>
          <w:p>
            <w:pPr>
              <w:pStyle w:val="Compact"/>
            </w:pPr>
            <w:r>
              <w:t xml:space="preserve">the train and test split, the loader, and the shared evaluation (3.7)</w:t>
            </w:r>
          </w:p>
        </w:tc>
      </w:tr>
      <w:tr>
        <w:trPr>
          <w:trHeight w:hRule="atLeast" w:val="397"/>
        </w:trPr>
        <w:tc>
          <w:tcPr>
            <w:tcW w:type="pct" w:w="2500"/>
          </w:tcPr>
          <w:p>
            <w:pPr>
              <w:pStyle w:val="Compact"/>
            </w:pPr>
            <w:r>
              <w:rPr>
                <w:rStyle w:val="VerbatimChar"/>
              </w:rPr>
              <w:t xml:space="preserve">03-inputs/train_model.py</w:t>
            </w:r>
          </w:p>
        </w:tc>
        <w:tc>
          <w:tcPr>
            <w:tcW w:type="pct" w:w="2500"/>
          </w:tcPr>
          <w:p>
            <w:pPr>
              <w:pStyle w:val="Compact"/>
            </w:pPr>
            <w:r>
              <w:t xml:space="preserve">the shared cost and confidence constants and the eval helper</w:t>
            </w:r>
          </w:p>
        </w:tc>
      </w:tr>
      <w:tr>
        <w:trPr>
          <w:trHeight w:hRule="atLeast" w:val="397"/>
        </w:trPr>
        <w:tc>
          <w:tcPr>
            <w:tcW w:type="pct" w:w="2500"/>
          </w:tcPr>
          <w:p>
            <w:pPr>
              <w:pStyle w:val="Compact"/>
            </w:pPr>
            <w:r>
              <w:rPr>
                <w:rStyle w:val="VerbatimChar"/>
              </w:rPr>
              <w:t xml:space="preserve">03-inputs/variable_selection.py</w:t>
            </w:r>
          </w:p>
        </w:tc>
        <w:tc>
          <w:tcPr>
            <w:tcW w:type="pct" w:w="2500"/>
          </w:tcPr>
          <w:p>
            <w:pPr>
              <w:pStyle w:val="Compact"/>
            </w:pPr>
            <w:r>
              <w:t xml:space="preserve">feature selection on the training window (3.6)</w:t>
            </w:r>
          </w:p>
        </w:tc>
      </w:tr>
      <w:tr>
        <w:trPr>
          <w:trHeight w:hRule="atLeast" w:val="397"/>
        </w:trPr>
        <w:tc>
          <w:tcPr>
            <w:tcW w:type="pct" w:w="2500"/>
          </w:tcPr>
          <w:p>
            <w:pPr>
              <w:pStyle w:val="Compact"/>
            </w:pPr>
            <w:r>
              <w:rPr>
                <w:rStyle w:val="VerbatimChar"/>
              </w:rPr>
              <w:t xml:space="preserve">03-inputs/feature_report.py</w:t>
            </w:r>
          </w:p>
        </w:tc>
        <w:tc>
          <w:tcPr>
            <w:tcW w:type="pct" w:w="2500"/>
          </w:tcPr>
          <w:p>
            <w:pPr>
              <w:pStyle w:val="Compact"/>
            </w:pPr>
            <w:r>
              <w:t xml:space="preserve">which inputs carry signal, alone, across folds and in company (3.6, 5.3)</w:t>
            </w:r>
          </w:p>
        </w:tc>
      </w:tr>
      <w:tr>
        <w:trPr>
          <w:trHeight w:hRule="atLeast" w:val="397"/>
        </w:trPr>
        <w:tc>
          <w:tcPr>
            <w:tcW w:type="pct" w:w="2500"/>
          </w:tcPr>
          <w:p>
            <w:pPr>
              <w:pStyle w:val="Compact"/>
            </w:pPr>
            <w:r>
              <w:rPr>
                <w:rStyle w:val="VerbatimChar"/>
              </w:rPr>
              <w:t xml:space="preserve">03-inputs/model_assessment_1h.py</w:t>
            </w:r>
          </w:p>
        </w:tc>
        <w:tc>
          <w:tcPr>
            <w:tcW w:type="pct" w:w="2500"/>
          </w:tcPr>
          <w:p>
            <w:pPr>
              <w:pStyle w:val="Compact"/>
            </w:pPr>
            <w:r>
              <w:t xml:space="preserve">the caret-style scorecard, the model zoo, and the tuner (3.8, 3.9)</w:t>
            </w:r>
          </w:p>
        </w:tc>
      </w:tr>
      <w:tr>
        <w:trPr>
          <w:trHeight w:hRule="atLeast" w:val="397"/>
        </w:trPr>
        <w:tc>
          <w:tcPr>
            <w:tcW w:type="pct" w:w="2500"/>
          </w:tcPr>
          <w:p>
            <w:pPr>
              <w:pStyle w:val="Compact"/>
            </w:pPr>
            <w:r>
              <w:rPr>
                <w:rStyle w:val="VerbatimChar"/>
              </w:rPr>
              <w:t xml:space="preserve">03-inputs/calibration.py</w:t>
            </w:r>
          </w:p>
        </w:tc>
        <w:tc>
          <w:tcPr>
            <w:tcW w:type="pct" w:w="2500"/>
          </w:tcPr>
          <w:p>
            <w:pPr>
              <w:pStyle w:val="Compact"/>
            </w:pPr>
            <w:r>
              <w:t xml:space="preserve">reliability, calibration error, Brier decomposition, Platt and isotonic mapping (3.10)</w:t>
            </w:r>
          </w:p>
        </w:tc>
      </w:tr>
      <w:tr>
        <w:trPr>
          <w:trHeight w:hRule="atLeast" w:val="397"/>
        </w:trPr>
        <w:tc>
          <w:tcPr>
            <w:tcW w:type="pct" w:w="2500"/>
          </w:tcPr>
          <w:p>
            <w:pPr>
              <w:pStyle w:val="Compact"/>
            </w:pPr>
            <w:r>
              <w:rPr>
                <w:rStyle w:val="VerbatimChar"/>
              </w:rPr>
              <w:t xml:space="preserve">03-inputs/sweep_label_1h.py</w:t>
            </w:r>
          </w:p>
        </w:tc>
        <w:tc>
          <w:tcPr>
            <w:tcW w:type="pct" w:w="2500"/>
          </w:tcPr>
          <w:p>
            <w:pPr>
              <w:pStyle w:val="Compact"/>
            </w:pPr>
            <w:r>
              <w:t xml:space="preserve">the label-geometry sweep (3.8)</w:t>
            </w:r>
          </w:p>
        </w:tc>
      </w:tr>
      <w:tr>
        <w:trPr>
          <w:trHeight w:hRule="atLeast" w:val="397"/>
        </w:trPr>
        <w:tc>
          <w:tcPr>
            <w:tcW w:type="pct" w:w="2500"/>
          </w:tcPr>
          <w:p>
            <w:pPr>
              <w:pStyle w:val="Compact"/>
            </w:pPr>
            <w:r>
              <w:rPr>
                <w:rStyle w:val="VerbatimChar"/>
              </w:rPr>
              <w:t xml:space="preserve">03-inputs/monte_carlo_1h.py</w:t>
            </w:r>
          </w:p>
        </w:tc>
        <w:tc>
          <w:tcPr>
            <w:tcW w:type="pct" w:w="2500"/>
          </w:tcPr>
          <w:p>
            <w:pPr>
              <w:pStyle w:val="Compact"/>
            </w:pPr>
            <w:r>
              <w:t xml:space="preserve">the Monte Carlo robustness gate (3.11)</w:t>
            </w:r>
          </w:p>
        </w:tc>
      </w:tr>
      <w:tr>
        <w:trPr>
          <w:trHeight w:hRule="atLeast" w:val="397"/>
        </w:trPr>
        <w:tc>
          <w:tcPr>
            <w:tcW w:type="pct" w:w="2500"/>
          </w:tcPr>
          <w:p>
            <w:pPr>
              <w:pStyle w:val="Compact"/>
            </w:pPr>
            <w:r>
              <w:rPr>
                <w:rStyle w:val="VerbatimChar"/>
              </w:rPr>
              <w:t xml:space="preserve">03-inputs/edge_diagnostics.py</w:t>
            </w:r>
          </w:p>
        </w:tc>
        <w:tc>
          <w:tcPr>
            <w:tcW w:type="pct" w:w="2500"/>
          </w:tcPr>
          <w:p>
            <w:pPr>
              <w:pStyle w:val="Compact"/>
            </w:pPr>
            <w:r>
              <w:t xml:space="preserve">the Q1, Q5, and Q6 diagnostics and the out-of-sample selectivity test (3.12)</w:t>
            </w:r>
          </w:p>
        </w:tc>
      </w:tr>
      <w:tr>
        <w:trPr>
          <w:trHeight w:hRule="atLeast" w:val="397"/>
        </w:trPr>
        <w:tc>
          <w:tcPr>
            <w:tcW w:type="pct" w:w="2500"/>
          </w:tcPr>
          <w:p>
            <w:pPr>
              <w:pStyle w:val="Compact"/>
            </w:pPr>
            <w:r>
              <w:rPr>
                <w:rStyle w:val="VerbatimChar"/>
              </w:rPr>
              <w:t xml:space="preserve">03-inputs/regime_conditioning.py</w:t>
            </w:r>
          </w:p>
        </w:tc>
        <w:tc>
          <w:tcPr>
            <w:tcW w:type="pct" w:w="2500"/>
          </w:tcPr>
          <w:p>
            <w:pPr>
              <w:pStyle w:val="Compact"/>
            </w:pPr>
            <w:r>
              <w:t xml:space="preserve">the regime-conditioning ablation (3.13)</w:t>
            </w:r>
          </w:p>
        </w:tc>
      </w:tr>
      <w:tr>
        <w:trPr>
          <w:trHeight w:hRule="atLeast" w:val="397"/>
        </w:trPr>
        <w:tc>
          <w:tcPr>
            <w:tcW w:type="pct" w:w="2500"/>
          </w:tcPr>
          <w:p>
            <w:pPr>
              <w:pStyle w:val="Compact"/>
            </w:pPr>
            <w:r>
              <w:rPr>
                <w:rStyle w:val="VerbatimChar"/>
              </w:rPr>
              <w:t xml:space="preserve">03-inputs/cross_sectional_4h.py</w:t>
            </w:r>
          </w:p>
        </w:tc>
        <w:tc>
          <w:tcPr>
            <w:tcW w:type="pct" w:w="2500"/>
          </w:tcPr>
          <w:p>
            <w:pPr>
              <w:pStyle w:val="Compact"/>
            </w:pPr>
            <w:r>
              <w:t xml:space="preserve">cross-sectional tercile ranking (1.2, 5.2)</w:t>
            </w:r>
          </w:p>
        </w:tc>
      </w:tr>
      <w:tr>
        <w:trPr>
          <w:trHeight w:hRule="atLeast" w:val="397"/>
        </w:trPr>
        <w:tc>
          <w:tcPr>
            <w:tcW w:type="pct" w:w="2500"/>
          </w:tcPr>
          <w:p>
            <w:pPr>
              <w:pStyle w:val="Compact"/>
            </w:pPr>
            <w:r>
              <w:rPr>
                <w:rStyle w:val="VerbatimChar"/>
              </w:rPr>
              <w:t xml:space="preserve">03-inputs/exit_geometry_1h.py</w:t>
            </w:r>
          </w:p>
        </w:tc>
        <w:tc>
          <w:tcPr>
            <w:tcW w:type="pct" w:w="2500"/>
          </w:tcPr>
          <w:p>
            <w:pPr>
              <w:pStyle w:val="Compact"/>
            </w:pPr>
            <w:r>
              <w:t xml:space="preserve">the exit-geometry sweep (2.4, 3.3)</w:t>
            </w:r>
          </w:p>
        </w:tc>
      </w:tr>
      <w:tr>
        <w:trPr>
          <w:trHeight w:hRule="atLeast" w:val="397"/>
        </w:trPr>
        <w:tc>
          <w:tcPr>
            <w:tcW w:type="pct" w:w="2500"/>
          </w:tcPr>
          <w:p>
            <w:pPr>
              <w:pStyle w:val="Compact"/>
            </w:pPr>
            <w:r>
              <w:rPr>
                <w:rStyle w:val="VerbatimChar"/>
              </w:rPr>
              <w:t xml:space="preserve">03-inputs/exit_geometry_viz.py</w:t>
            </w:r>
          </w:p>
        </w:tc>
        <w:tc>
          <w:tcPr>
            <w:tcW w:type="pct" w:w="2500"/>
          </w:tcPr>
          <w:p>
            <w:pPr>
              <w:pStyle w:val="Compact"/>
            </w:pPr>
            <w:r>
              <w:t xml:space="preserve">the shared exit and entry-context visualization (1.6, 2.x, 3.3)</w:t>
            </w:r>
          </w:p>
        </w:tc>
      </w:tr>
      <w:tr>
        <w:trPr>
          <w:trHeight w:hRule="atLeast" w:val="397"/>
        </w:trPr>
        <w:tc>
          <w:tcPr>
            <w:tcW w:type="pct" w:w="2500"/>
          </w:tcPr>
          <w:p>
            <w:pPr>
              <w:pStyle w:val="Compact"/>
            </w:pPr>
            <w:r>
              <w:rPr>
                <w:rStyle w:val="VerbatimChar"/>
              </w:rPr>
              <w:t xml:space="preserve">03-inputs/baseline_supertrend_1h.py</w:t>
            </w:r>
          </w:p>
        </w:tc>
        <w:tc>
          <w:tcPr>
            <w:tcW w:type="pct" w:w="2500"/>
          </w:tcPr>
          <w:p>
            <w:pPr>
              <w:pStyle w:val="Compact"/>
            </w:pPr>
            <w:r>
              <w:t xml:space="preserve">the triple-Supertrend after-fee baseline (1.x, 3.11)</w:t>
            </w:r>
          </w:p>
        </w:tc>
      </w:tr>
      <w:tr>
        <w:trPr>
          <w:trHeight w:hRule="atLeast" w:val="397"/>
        </w:trPr>
        <w:tc>
          <w:tcPr>
            <w:tcW w:type="pct" w:w="2500"/>
          </w:tcPr>
          <w:p>
            <w:pPr>
              <w:pStyle w:val="Compact"/>
            </w:pPr>
            <w:r>
              <w:rPr>
                <w:rStyle w:val="VerbatimChar"/>
              </w:rPr>
              <w:t xml:space="preserve">03-inputs/walkforward.py</w:t>
            </w:r>
          </w:p>
        </w:tc>
        <w:tc>
          <w:tcPr>
            <w:tcW w:type="pct" w:w="2500"/>
          </w:tcPr>
          <w:p>
            <w:pPr>
              <w:pStyle w:val="Compact"/>
            </w:pPr>
            <w:r>
              <w:t xml:space="preserve">the MACD signal-line cross-up entry experiment (1.3)</w:t>
            </w:r>
          </w:p>
        </w:tc>
      </w:tr>
      <w:tr>
        <w:trPr>
          <w:trHeight w:hRule="atLeast" w:val="397"/>
        </w:trPr>
        <w:tc>
          <w:tcPr>
            <w:tcW w:type="pct" w:w="2500"/>
          </w:tcPr>
          <w:p>
            <w:pPr>
              <w:pStyle w:val="Compact"/>
            </w:pPr>
            <w:r>
              <w:rPr>
                <w:rStyle w:val="VerbatimChar"/>
              </w:rPr>
              <w:t xml:space="preserve">03-inputs/entry_sharpening_4h.py</w:t>
            </w:r>
          </w:p>
        </w:tc>
        <w:tc>
          <w:tcPr>
            <w:tcW w:type="pct" w:w="2500"/>
          </w:tcPr>
          <w:p>
            <w:pPr>
              <w:pStyle w:val="Compact"/>
            </w:pPr>
            <w:r>
              <w:t xml:space="preserve">the entry-sharpening tests (3.4)</w:t>
            </w:r>
          </w:p>
        </w:tc>
      </w:tr>
      <w:tr>
        <w:trPr>
          <w:trHeight w:hRule="atLeast" w:val="397"/>
        </w:trPr>
        <w:tc>
          <w:tcPr>
            <w:tcW w:type="pct" w:w="2500"/>
          </w:tcPr>
          <w:p>
            <w:pPr>
              <w:pStyle w:val="Compact"/>
            </w:pPr>
            <w:r>
              <w:rPr>
                <w:rStyle w:val="VerbatimChar"/>
              </w:rPr>
              <w:t xml:space="preserve">03-inputs/binance-data/flow_data.py</w:t>
            </w:r>
          </w:p>
        </w:tc>
        <w:tc>
          <w:tcPr>
            <w:tcW w:type="pct" w:w="2500"/>
          </w:tcPr>
          <w:p>
            <w:pPr>
              <w:pStyle w:val="Compact"/>
            </w:pPr>
            <w:r>
              <w:t xml:space="preserve">the trade-flow imbalance data</w:t>
            </w:r>
          </w:p>
        </w:tc>
      </w:tr>
      <w:tr>
        <w:trPr>
          <w:trHeight w:hRule="atLeast" w:val="397"/>
        </w:trPr>
        <w:tc>
          <w:tcPr>
            <w:tcW w:type="pct" w:w="2500"/>
          </w:tcPr>
          <w:p>
            <w:pPr>
              <w:pStyle w:val="Compact"/>
            </w:pPr>
            <w:r>
              <w:rPr>
                <w:rStyle w:val="VerbatimChar"/>
              </w:rPr>
              <w:t xml:space="preserve">03-inputs/config.py</w:t>
            </w:r>
          </w:p>
        </w:tc>
        <w:tc>
          <w:tcPr>
            <w:tcW w:type="pct" w:w="2500"/>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rPr>
          <w:trHeight w:hRule="atLeast" w:val="397"/>
        </w:trPr>
        <w:tc>
          <w:tcPr>
            <w:tcW w:type="pct" w:w="2500"/>
          </w:tcPr>
          <w:p>
            <w:pPr>
              <w:pStyle w:val="Compact"/>
            </w:pPr>
            <w:r>
              <w:rPr>
                <w:rStyle w:val="VerbatimChar"/>
              </w:rPr>
              <w:t xml:space="preserve">03-inputs/cross_sectional_regime.py</w:t>
            </w:r>
          </w:p>
        </w:tc>
        <w:tc>
          <w:tcPr>
            <w:tcW w:type="pct" w:w="2500"/>
          </w:tcPr>
          <w:p>
            <w:pPr>
              <w:pStyle w:val="Compact"/>
            </w:pPr>
            <w:r>
              <w:t xml:space="preserve">the regime-gated cross-sectional edge matrix (3.14, 5.1)</w:t>
            </w:r>
          </w:p>
        </w:tc>
      </w:tr>
      <w:tr>
        <w:trPr>
          <w:trHeight w:hRule="atLeast" w:val="397"/>
        </w:trPr>
        <w:tc>
          <w:tcPr>
            <w:tcW w:type="pct" w:w="2500"/>
          </w:tcPr>
          <w:p>
            <w:pPr>
              <w:pStyle w:val="Compact"/>
            </w:pPr>
            <w:r>
              <w:rPr>
                <w:rStyle w:val="VerbatimChar"/>
              </w:rPr>
              <w:t xml:space="preserve">03-inputs/edge_attribution.py</w:t>
            </w:r>
          </w:p>
        </w:tc>
        <w:tc>
          <w:tcPr>
            <w:tcW w:type="pct" w:w="2500"/>
          </w:tcPr>
          <w:p>
            <w:pPr>
              <w:pStyle w:val="Compact"/>
            </w:pPr>
            <w:r>
              <w:t xml:space="preserve">per-coin attribution of the gated edge (3.14)</w:t>
            </w:r>
          </w:p>
        </w:tc>
      </w:tr>
      <w:tr>
        <w:trPr>
          <w:trHeight w:hRule="atLeast" w:val="397"/>
        </w:trPr>
        <w:tc>
          <w:tcPr>
            <w:tcW w:type="pct" w:w="2500"/>
          </w:tcPr>
          <w:p>
            <w:pPr>
              <w:pStyle w:val="Compact"/>
            </w:pPr>
            <w:r>
              <w:rPr>
                <w:rStyle w:val="VerbatimChar"/>
              </w:rPr>
              <w:t xml:space="preserve">03-inputs/narrow_book.py</w:t>
            </w:r>
          </w:p>
        </w:tc>
        <w:tc>
          <w:tcPr>
            <w:tcW w:type="pct" w:w="2500"/>
          </w:tcPr>
          <w:p>
            <w:pPr>
              <w:pStyle w:val="Compact"/>
            </w:pPr>
            <w:r>
              <w:t xml:space="preserve">the evidence-based tradeable whitelist (3.14)</w:t>
            </w:r>
          </w:p>
        </w:tc>
      </w:tr>
      <w:tr>
        <w:trPr>
          <w:trHeight w:hRule="atLeast" w:val="397"/>
        </w:trPr>
        <w:tc>
          <w:tcPr>
            <w:tcW w:type="pct" w:w="2500"/>
          </w:tcPr>
          <w:p>
            <w:pPr>
              <w:pStyle w:val="Compact"/>
            </w:pPr>
            <w:r>
              <w:rPr>
                <w:rStyle w:val="VerbatimChar"/>
              </w:rPr>
              <w:t xml:space="preserve">03-inputs/candidate_screen.py</w:t>
            </w:r>
          </w:p>
        </w:tc>
        <w:tc>
          <w:tcPr>
            <w:tcW w:type="pct" w:w="2500"/>
          </w:tcPr>
          <w:p>
            <w:pPr>
              <w:pStyle w:val="Compact"/>
            </w:pPr>
            <w:r>
              <w:t xml:space="preserve">the live fee-adjusted range screen (3.14)</w:t>
            </w:r>
          </w:p>
        </w:tc>
      </w:tr>
      <w:tr>
        <w:trPr>
          <w:trHeight w:hRule="atLeast" w:val="397"/>
        </w:trPr>
        <w:tc>
          <w:tcPr>
            <w:tcW w:type="pct" w:w="2500"/>
          </w:tcPr>
          <w:p>
            <w:pPr>
              <w:pStyle w:val="Compact"/>
            </w:pPr>
            <w:r>
              <w:rPr>
                <w:rStyle w:val="VerbatimChar"/>
              </w:rPr>
              <w:t xml:space="preserve">03-inputs/fetch_funding.py</w:t>
            </w:r>
            <w:r>
              <w:t xml:space="preserve">,</w:t>
            </w:r>
            <w:r>
              <w:t xml:space="preserve"> </w:t>
            </w:r>
            <w:r>
              <w:rPr>
                <w:rStyle w:val="VerbatimChar"/>
              </w:rPr>
              <w:t xml:space="preserve">03-inputs/funding_features.py</w:t>
            </w:r>
          </w:p>
        </w:tc>
        <w:tc>
          <w:tcPr>
            <w:tcW w:type="pct" w:w="2500"/>
          </w:tcPr>
          <w:p>
            <w:pPr>
              <w:pStyle w:val="Compact"/>
            </w:pPr>
            <w:r>
              <w:t xml:space="preserve">the funding archive and the</w:t>
            </w:r>
            <w:r>
              <w:t xml:space="preserve"> </w:t>
            </w:r>
            <w:r>
              <w:rPr>
                <w:rStyle w:val="VerbatimChar"/>
              </w:rPr>
              <w:t xml:space="preserve">f_fund_</w:t>
            </w:r>
            <w:r>
              <w:t xml:space="preserve"> </w:t>
            </w:r>
            <w:r>
              <w:t xml:space="preserve">crowding gate (3.14)</w:t>
            </w:r>
          </w:p>
        </w:tc>
      </w:tr>
      <w:tr>
        <w:trPr>
          <w:trHeight w:hRule="atLeast" w:val="397"/>
        </w:trPr>
        <w:tc>
          <w:tcPr>
            <w:tcW w:type="pct" w:w="2500"/>
          </w:tcPr>
          <w:p>
            <w:pPr>
              <w:pStyle w:val="Compact"/>
            </w:pPr>
            <w:r>
              <w:rPr>
                <w:rStyle w:val="VerbatimChar"/>
              </w:rPr>
              <w:t xml:space="preserve">03-inputs/portfolio_backtest.py</w:t>
            </w:r>
          </w:p>
        </w:tc>
        <w:tc>
          <w:tcPr>
            <w:tcW w:type="pct" w:w="2500"/>
          </w:tcPr>
          <w:p>
            <w:pPr>
              <w:pStyle w:val="Compact"/>
            </w:pPr>
            <w:r>
              <w:t xml:space="preserve">the gated composite portfolio backtest (3.14)</w:t>
            </w:r>
          </w:p>
        </w:tc>
      </w:tr>
      <w:tr>
        <w:trPr>
          <w:trHeight w:hRule="atLeast" w:val="397"/>
        </w:trPr>
        <w:tc>
          <w:tcPr>
            <w:tcW w:type="pct" w:w="2500"/>
          </w:tcPr>
          <w:p>
            <w:pPr>
              <w:pStyle w:val="Compact"/>
            </w:pPr>
            <w:r>
              <w:rPr>
                <w:rStyle w:val="VerbatimChar"/>
              </w:rPr>
              <w:t xml:space="preserve">03-inputs/trade_binance.py</w:t>
            </w:r>
          </w:p>
        </w:tc>
        <w:tc>
          <w:tcPr>
            <w:tcW w:type="pct" w:w="2500"/>
          </w:tcPr>
          <w:p>
            <w:pPr>
              <w:pStyle w:val="Compact"/>
            </w:pPr>
            <w:r>
              <w:t xml:space="preserve">guarded execution: maker entries, measured fees, the narrow-book filter</w:t>
            </w:r>
          </w:p>
        </w:tc>
      </w:tr>
      <w:tr>
        <w:trPr>
          <w:trHeight w:hRule="atLeast" w:val="397"/>
        </w:trPr>
        <w:tc>
          <w:tcPr>
            <w:tcW w:type="pct" w:w="2500"/>
          </w:tcPr>
          <w:p>
            <w:pPr>
              <w:pStyle w:val="Compact"/>
            </w:pPr>
            <w:r>
              <w:rPr>
                <w:rStyle w:val="VerbatimChar"/>
              </w:rPr>
              <w:t xml:space="preserve">03-inputs/paper_trade.py</w:t>
            </w:r>
          </w:p>
        </w:tc>
        <w:tc>
          <w:tcPr>
            <w:tcW w:type="pct" w:w="2500"/>
          </w:tcPr>
          <w:p>
            <w:pPr>
              <w:pStyle w:val="Compact"/>
            </w:pPr>
            <w:r>
              <w:t xml:space="preserve">the paper book: hard rules enforced, engineered fee rate (D.2)</w:t>
            </w:r>
          </w:p>
        </w:tc>
      </w:tr>
    </w:tbl>
    <w:bookmarkEnd w:id="222"/>
    <w:bookmarkStart w:id="223" w:name="b.-glossary"/>
    <w:p>
      <w:pPr>
        <w:pStyle w:val="Heading3"/>
      </w:pPr>
      <w:r>
        <w:t xml:space="preserve">B. Glossary</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Term</w:t>
            </w:r>
          </w:p>
        </w:tc>
        <w:tc>
          <w:tcPr>
            <w:tcW w:type="pct" w:w="2500"/>
          </w:tcPr>
          <w:p>
            <w:pPr>
              <w:pStyle w:val="Compact"/>
            </w:pPr>
            <w:r>
              <w:rPr>
                <w:b/>
              </w:rPr>
              <w:t xml:space="preserve">Meaning</w:t>
            </w:r>
          </w:p>
        </w:tc>
      </w:tr>
      <w:tr>
        <w:trPr>
          <w:trHeight w:hRule="atLeast" w:val="397"/>
        </w:trPr>
        <w:tc>
          <w:tcPr>
            <w:tcW w:type="pct" w:w="2500"/>
          </w:tcPr>
          <w:p>
            <w:pPr>
              <w:pStyle w:val="Compact"/>
            </w:pPr>
            <w:r>
              <w:t xml:space="preserve">Label</w:t>
            </w:r>
          </w:p>
        </w:tc>
        <w:tc>
          <w:tcPr>
            <w:tcW w:type="pct" w:w="2500"/>
          </w:tcPr>
          <w:p>
            <w:pPr>
              <w:pStyle w:val="Compact"/>
            </w:pPr>
            <w:r>
              <w:t xml:space="preserve">the supervised target: did a coin’s trade hit the profit barrier before the stop within the horizon</w:t>
            </w:r>
          </w:p>
        </w:tc>
      </w:tr>
      <w:tr>
        <w:trPr>
          <w:trHeight w:hRule="atLeast" w:val="397"/>
        </w:trPr>
        <w:tc>
          <w:tcPr>
            <w:tcW w:type="pct" w:w="2500"/>
          </w:tcPr>
          <w:p>
            <w:pPr>
              <w:pStyle w:val="Compact"/>
            </w:pPr>
            <w:r>
              <w:t xml:space="preserve">Triple barrier</w:t>
            </w:r>
          </w:p>
        </w:tc>
        <w:tc>
          <w:tcPr>
            <w:tcW w:type="pct" w:w="2500"/>
          </w:tcPr>
          <w:p>
            <w:pPr>
              <w:pStyle w:val="Compact"/>
            </w:pPr>
            <w:r>
              <w:t xml:space="preserve">a label set by an upper (take-profit), a lower (stop), and a time barrier, here ATR-scaled</w:t>
            </w:r>
          </w:p>
        </w:tc>
      </w:tr>
      <w:tr>
        <w:trPr>
          <w:trHeight w:hRule="atLeast" w:val="397"/>
        </w:trPr>
        <w:tc>
          <w:tcPr>
            <w:tcW w:type="pct" w:w="2500"/>
          </w:tcPr>
          <w:p>
            <w:pPr>
              <w:pStyle w:val="Compact"/>
            </w:pPr>
            <w:r>
              <w:t xml:space="preserve">ATR</w:t>
            </w:r>
          </w:p>
        </w:tc>
        <w:tc>
          <w:tcPr>
            <w:tcW w:type="pct" w:w="2500"/>
          </w:tcPr>
          <w:p>
            <w:pPr>
              <w:pStyle w:val="Compact"/>
            </w:pPr>
            <w:r>
              <w:t xml:space="preserve">average true range, a coin’s typical bar-to-bar move, used to scale stops and the volatility band</w:t>
            </w:r>
          </w:p>
        </w:tc>
      </w:tr>
      <w:tr>
        <w:trPr>
          <w:trHeight w:hRule="atLeast" w:val="397"/>
        </w:trPr>
        <w:tc>
          <w:tcPr>
            <w:tcW w:type="pct" w:w="2500"/>
          </w:tcPr>
          <w:p>
            <w:pPr>
              <w:pStyle w:val="Compact"/>
            </w:pPr>
            <w:r>
              <w:t xml:space="preserve">Supertrend</w:t>
            </w:r>
          </w:p>
        </w:tc>
        <w:tc>
          <w:tcPr>
            <w:tcW w:type="pct" w:w="2500"/>
          </w:tcPr>
          <w:p>
            <w:pPr>
              <w:pStyle w:val="Compact"/>
            </w:pPr>
            <w:r>
              <w:t xml:space="preserve">an ATR-channel trailing stop; three of them behind an EMA-200 gate form the aligned baseline</w:t>
            </w:r>
          </w:p>
        </w:tc>
      </w:tr>
      <w:tr>
        <w:trPr>
          <w:trHeight w:hRule="atLeast" w:val="397"/>
        </w:trPr>
        <w:tc>
          <w:tcPr>
            <w:tcW w:type="pct" w:w="2500"/>
          </w:tcPr>
          <w:p>
            <w:pPr>
              <w:pStyle w:val="Compact"/>
            </w:pPr>
            <w:r>
              <w:t xml:space="preserve">Kelly</w:t>
            </w:r>
          </w:p>
        </w:tc>
        <w:tc>
          <w:tcPr>
            <w:tcW w:type="pct" w:w="2500"/>
          </w:tcPr>
          <w:p>
            <w:pPr>
              <w:pStyle w:val="Compact"/>
            </w:pPr>
            <w:r>
              <w:t xml:space="preserve">growth-optimal position size given an edge; the book sizes at half-Kelly to buffer estimation error</w:t>
            </w:r>
          </w:p>
        </w:tc>
      </w:tr>
      <w:tr>
        <w:trPr>
          <w:trHeight w:hRule="atLeast" w:val="397"/>
        </w:trPr>
        <w:tc>
          <w:tcPr>
            <w:tcW w:type="pct" w:w="2500"/>
          </w:tcPr>
          <w:p>
            <w:pPr>
              <w:pStyle w:val="Compact"/>
            </w:pPr>
            <w:r>
              <w:t xml:space="preserve">Base rate</w:t>
            </w:r>
          </w:p>
        </w:tc>
        <w:tc>
          <w:tcPr>
            <w:tcW w:type="pct" w:w="2500"/>
          </w:tcPr>
          <w:p>
            <w:pPr>
              <w:pStyle w:val="Compact"/>
            </w:pPr>
            <w:r>
              <w:t xml:space="preserve">the unconditional share of positive labels, the coin-flip a model must beat</w:t>
            </w:r>
          </w:p>
        </w:tc>
      </w:tr>
      <w:tr>
        <w:trPr>
          <w:trHeight w:hRule="atLeast" w:val="397"/>
        </w:trPr>
        <w:tc>
          <w:tcPr>
            <w:tcW w:type="pct" w:w="2500"/>
          </w:tcPr>
          <w:p>
            <w:pPr>
              <w:pStyle w:val="Compact"/>
            </w:pPr>
            <w:r>
              <w:t xml:space="preserve">Breakeven</w:t>
            </w:r>
          </w:p>
        </w:tc>
        <w:tc>
          <w:tcPr>
            <w:tcW w:type="pct" w:w="2500"/>
          </w:tcPr>
          <w:p>
            <w:pPr>
              <w:pStyle w:val="Compact"/>
            </w:pPr>
            <w:r>
              <w:t xml:space="preserve">the win rate at which a fixed-payoff trade nets zero after fees</w:t>
            </w:r>
          </w:p>
        </w:tc>
      </w:tr>
      <w:tr>
        <w:trPr>
          <w:trHeight w:hRule="atLeast" w:val="397"/>
        </w:trPr>
        <w:tc>
          <w:tcPr>
            <w:tcW w:type="pct" w:w="2500"/>
          </w:tcPr>
          <w:p>
            <w:pPr>
              <w:pStyle w:val="Compact"/>
            </w:pPr>
            <w:r>
              <w:t xml:space="preserve">Embargo</w:t>
            </w:r>
          </w:p>
        </w:tc>
        <w:tc>
          <w:tcPr>
            <w:tcW w:type="pct" w:w="2500"/>
          </w:tcPr>
          <w:p>
            <w:pPr>
              <w:pStyle w:val="Compact"/>
            </w:pPr>
            <w:r>
              <w:t xml:space="preserve">a gap around the train and test cut so no label straddles it and leaks</w:t>
            </w:r>
          </w:p>
        </w:tc>
      </w:tr>
      <w:tr>
        <w:trPr>
          <w:trHeight w:hRule="atLeast" w:val="397"/>
        </w:trPr>
        <w:tc>
          <w:tcPr>
            <w:tcW w:type="pct" w:w="2500"/>
          </w:tcPr>
          <w:p>
            <w:pPr>
              <w:pStyle w:val="Compact"/>
            </w:pPr>
            <w:r>
              <w:t xml:space="preserve">RMSEratio</w:t>
            </w:r>
          </w:p>
        </w:tc>
        <w:tc>
          <w:tcPr>
            <w:tcW w:type="pct" w:w="2500"/>
          </w:tcPr>
          <w:p>
            <w:pPr>
              <w:pStyle w:val="Compact"/>
            </w:pPr>
            <w:r>
              <w:t xml:space="preserve">Full RMSE over cross-validated RMSE; near 1 generalizes, well below 1 overfits</w:t>
            </w:r>
          </w:p>
        </w:tc>
      </w:tr>
      <w:tr>
        <w:trPr>
          <w:trHeight w:hRule="atLeast" w:val="397"/>
        </w:trPr>
        <w:tc>
          <w:tcPr>
            <w:tcW w:type="pct" w:w="2500"/>
          </w:tcPr>
          <w:p>
            <w:pPr>
              <w:pStyle w:val="Compact"/>
            </w:pPr>
            <w:r>
              <w:t xml:space="preserve">PPO</w:t>
            </w:r>
          </w:p>
        </w:tc>
        <w:tc>
          <w:tcPr>
            <w:tcW w:type="pct" w:w="2500"/>
          </w:tcPr>
          <w:p>
            <w:pPr>
              <w:pStyle w:val="Compact"/>
            </w:pPr>
            <w:r>
              <w:t xml:space="preserve">the percentage price oscillator, a scale-free MACD used as a feature</w:t>
            </w:r>
          </w:p>
        </w:tc>
      </w:tr>
      <w:tr>
        <w:trPr>
          <w:trHeight w:hRule="atLeast" w:val="397"/>
        </w:trPr>
        <w:tc>
          <w:tcPr>
            <w:tcW w:type="pct" w:w="2500"/>
          </w:tcPr>
          <w:p>
            <w:pPr>
              <w:pStyle w:val="Compact"/>
            </w:pPr>
            <w:r>
              <w:t xml:space="preserve">Cross-sectional</w:t>
            </w:r>
          </w:p>
        </w:tc>
        <w:tc>
          <w:tcPr>
            <w:tcW w:type="pct" w:w="2500"/>
          </w:tcPr>
          <w:p>
            <w:pPr>
              <w:pStyle w:val="Compact"/>
            </w:pPr>
            <w:r>
              <w:t xml:space="preserve">ranking coins against each other each bar, versus predicting each in isolation</w:t>
            </w:r>
          </w:p>
        </w:tc>
      </w:tr>
      <w:tr>
        <w:trPr>
          <w:trHeight w:hRule="atLeast" w:val="397"/>
        </w:trPr>
        <w:tc>
          <w:tcPr>
            <w:tcW w:type="pct" w:w="2500"/>
          </w:tcPr>
          <w:p>
            <w:pPr>
              <w:pStyle w:val="Compact"/>
            </w:pPr>
            <w:r>
              <w:t xml:space="preserve">Regime state</w:t>
            </w:r>
          </w:p>
        </w:tc>
        <w:tc>
          <w:tcPr>
            <w:tcW w:type="pct" w:w="2500"/>
          </w:tcPr>
          <w:p>
            <w:pPr>
              <w:pStyle w:val="Compact"/>
            </w:pPr>
            <w:r>
              <w:t xml:space="preserve">observable market context (volatility, trend efficiency, BTC regime) the model conditions on</w:t>
            </w:r>
          </w:p>
        </w:tc>
      </w:tr>
      <w:tr>
        <w:trPr>
          <w:trHeight w:hRule="atLeast" w:val="397"/>
        </w:trPr>
        <w:tc>
          <w:tcPr>
            <w:tcW w:type="pct" w:w="2500"/>
          </w:tcPr>
          <w:p>
            <w:pPr>
              <w:pStyle w:val="Compact"/>
            </w:pPr>
            <w:r>
              <w:t xml:space="preserve">Corwin-Schultz</w:t>
            </w:r>
          </w:p>
        </w:tc>
        <w:tc>
          <w:tcPr>
            <w:tcW w:type="pct" w:w="2500"/>
          </w:tcPr>
          <w:p>
            <w:pPr>
              <w:pStyle w:val="Compact"/>
            </w:pPr>
            <w:r>
              <w:t xml:space="preserve">a high-low estimator of the bid-ask spread, used where the archives carry no order book</w:t>
            </w:r>
          </w:p>
        </w:tc>
      </w:tr>
      <w:tr>
        <w:trPr>
          <w:trHeight w:hRule="atLeast" w:val="397"/>
        </w:trPr>
        <w:tc>
          <w:tcPr>
            <w:tcW w:type="pct" w:w="2500"/>
          </w:tcPr>
          <w:p>
            <w:pPr>
              <w:pStyle w:val="Compact"/>
            </w:pPr>
            <w:r>
              <w:t xml:space="preserve">Survivorship-complete</w:t>
            </w:r>
          </w:p>
        </w:tc>
        <w:tc>
          <w:tcPr>
            <w:tcW w:type="pct" w:w="2500"/>
          </w:tcPr>
          <w:p>
            <w:pPr>
              <w:pStyle w:val="Compact"/>
            </w:pPr>
            <w:r>
              <w:t xml:space="preserve">a universe that includes every coin ever listed, delisted ones included</w:t>
            </w:r>
          </w:p>
        </w:tc>
      </w:tr>
      <w:tr>
        <w:trPr>
          <w:trHeight w:hRule="atLeast" w:val="397"/>
        </w:trPr>
        <w:tc>
          <w:tcPr>
            <w:tcW w:type="pct" w:w="2500"/>
          </w:tcPr>
          <w:p>
            <w:pPr>
              <w:pStyle w:val="Compact"/>
            </w:pPr>
            <w:r>
              <w:t xml:space="preserve">Point-in-time</w:t>
            </w:r>
          </w:p>
        </w:tc>
        <w:tc>
          <w:tcPr>
            <w:tcW w:type="pct" w:w="2500"/>
          </w:tcPr>
          <w:p>
            <w:pPr>
              <w:pStyle w:val="Compact"/>
            </w:pPr>
            <w:r>
              <w:t xml:space="preserve">a screen replayed as of each bar, so a row is kept only if it would have passed then</w:t>
            </w:r>
          </w:p>
        </w:tc>
      </w:tr>
      <w:tr>
        <w:trPr>
          <w:trHeight w:hRule="atLeast" w:val="397"/>
        </w:trPr>
        <w:tc>
          <w:tcPr>
            <w:tcW w:type="pct" w:w="2500"/>
          </w:tcPr>
          <w:p>
            <w:pPr>
              <w:pStyle w:val="Compact"/>
            </w:pPr>
            <w:r>
              <w:t xml:space="preserve">Walk-forward</w:t>
            </w:r>
          </w:p>
        </w:tc>
        <w:tc>
          <w:tcPr>
            <w:tcW w:type="pct" w:w="2500"/>
          </w:tcPr>
          <w:p>
            <w:pPr>
              <w:pStyle w:val="Compact"/>
            </w:pPr>
            <w:r>
              <w:t xml:space="preserve">forward-chained train-then-test folds that respect time order</w:t>
            </w:r>
          </w:p>
        </w:tc>
      </w:tr>
      <w:tr>
        <w:trPr>
          <w:trHeight w:hRule="atLeast" w:val="397"/>
        </w:trPr>
        <w:tc>
          <w:tcPr>
            <w:tcW w:type="pct" w:w="2500"/>
          </w:tcPr>
          <w:p>
            <w:pPr>
              <w:pStyle w:val="Compact"/>
            </w:pPr>
            <w:r>
              <w:t xml:space="preserve">GO / NO-GO</w:t>
            </w:r>
          </w:p>
        </w:tc>
        <w:tc>
          <w:tcPr>
            <w:tcW w:type="pct" w:w="2500"/>
          </w:tcPr>
          <w:p>
            <w:pPr>
              <w:pStyle w:val="Compact"/>
            </w:pPr>
            <w:r>
              <w:t xml:space="preserve">the after-fee out-of-sample verdict that gates everything</w:t>
            </w:r>
          </w:p>
        </w:tc>
      </w:tr>
    </w:tbl>
    <w:bookmarkEnd w:id="223"/>
    <w:bookmarkStart w:id="224"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jc w:val="center"/>
        <w:tblLayout w:type="fixed"/>
        <w:tblLook w:firstRow="1" w:lastRow="0" w:firstColumn="0" w:lastColumn="0" w:noHBand="0" w:noVBand="0" w:val="0020"/>
        <w:tblW w:type="pct" w:w="5000"/>
      </w:tblPr>
      <w:tblGrid>
        <w:gridCol w:w="3960"/>
        <w:gridCol w:w="3960"/>
      </w:tblGrid>
      <w:tr>
        <w:trPr>
          <w:trHeight w:hRule="atLeast" w:val="567"/>
          <w:tblHeader w:val="on"/>
        </w:trPr>
        <w:tc>
          <w:tcPr>
            <w:tcW w:type="pct" w:w="2500"/>
          </w:tcPr>
          <w:p>
            <w:pPr>
              <w:pStyle w:val="Compact"/>
            </w:pPr>
            <w:r>
              <w:rPr>
                <w:b/>
              </w:rPr>
              <w:t xml:space="preserve">Variable</w:t>
            </w:r>
          </w:p>
        </w:tc>
        <w:tc>
          <w:tcPr>
            <w:tcW w:type="pct" w:w="2500"/>
          </w:tcPr>
          <w:p>
            <w:pPr>
              <w:pStyle w:val="Compact"/>
            </w:pPr>
            <w:r>
              <w:rPr>
                <w:b/>
              </w:rPr>
              <w:t xml:space="preserve">Purpose</w:t>
            </w:r>
          </w:p>
        </w:tc>
      </w:tr>
      <w:tr>
        <w:trPr>
          <w:trHeight w:hRule="atLeast" w:val="397"/>
        </w:trPr>
        <w:tc>
          <w:tcPr>
            <w:tcW w:type="pct" w:w="2500"/>
          </w:tcPr>
          <w:p>
            <w:pPr>
              <w:pStyle w:val="Compact"/>
            </w:pPr>
            <w:r>
              <w:rPr>
                <w:rStyle w:val="VerbatimChar"/>
              </w:rPr>
              <w:t xml:space="preserve">BINANCE_API_KEY</w:t>
            </w:r>
            <w:r>
              <w:t xml:space="preserve">,</w:t>
            </w:r>
            <w:r>
              <w:t xml:space="preserve"> </w:t>
            </w:r>
            <w:r>
              <w:rPr>
                <w:rStyle w:val="VerbatimChar"/>
              </w:rPr>
              <w:t xml:space="preserve">BINANCE_API_SECRET</w:t>
            </w:r>
          </w:p>
        </w:tc>
        <w:tc>
          <w:tcPr>
            <w:tcW w:type="pct" w:w="2500"/>
          </w:tcPr>
          <w:p>
            <w:pPr>
              <w:pStyle w:val="Compact"/>
            </w:pPr>
            <w:r>
              <w:t xml:space="preserve">Binance access</w:t>
            </w:r>
          </w:p>
        </w:tc>
      </w:tr>
      <w:tr>
        <w:trPr>
          <w:trHeight w:hRule="atLeast" w:val="397"/>
        </w:trPr>
        <w:tc>
          <w:tcPr>
            <w:tcW w:type="pct" w:w="2500"/>
          </w:tcPr>
          <w:p>
            <w:pPr>
              <w:pStyle w:val="Compact"/>
            </w:pPr>
            <w:r>
              <w:rPr>
                <w:rStyle w:val="VerbatimChar"/>
              </w:rPr>
              <w:t xml:space="preserve">BINANCE_TESTNET</w:t>
            </w:r>
          </w:p>
        </w:tc>
        <w:tc>
          <w:tcPr>
            <w:tcW w:type="pct" w:w="2500"/>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rPr>
          <w:trHeight w:hRule="atLeast" w:val="397"/>
        </w:trPr>
        <w:tc>
          <w:tcPr>
            <w:tcW w:type="pct" w:w="2500"/>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tcW w:type="pct" w:w="2500"/>
          </w:tcPr>
          <w:p>
            <w:pPr>
              <w:pStyle w:val="Compact"/>
            </w:pPr>
            <w:r>
              <w:t xml:space="preserve">Alpaca, the later-stage equities venue</w:t>
            </w:r>
          </w:p>
        </w:tc>
      </w:tr>
      <w:tr>
        <w:trPr>
          <w:trHeight w:hRule="atLeast" w:val="397"/>
        </w:trPr>
        <w:tc>
          <w:tcPr>
            <w:tcW w:type="pct" w:w="2500"/>
          </w:tcPr>
          <w:p>
            <w:pPr>
              <w:pStyle w:val="Compact"/>
            </w:pPr>
            <w:r>
              <w:rPr>
                <w:rStyle w:val="VerbatimChar"/>
              </w:rPr>
              <w:t xml:space="preserve">LIVE_TRADING</w:t>
            </w:r>
          </w:p>
        </w:tc>
        <w:tc>
          <w:tcPr>
            <w:tcW w:type="pct" w:w="2500"/>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224"/>
    <w:bookmarkStart w:id="228"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225" w:name="d.1-committee-research"/>
    <w:p>
      <w:pPr>
        <w:pStyle w:val="Heading4"/>
      </w:pPr>
      <w:r>
        <w:t xml:space="preserve">D.1 Committee Research</w:t>
      </w:r>
    </w:p>
    <w:p>
      <w:pPr>
        <w:pStyle w:val="FirstParagraph"/>
      </w:pPr>
      <w:r>
        <w:t xml:space="preserve">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bookmarkEnd w:id="225"/>
    <w:bookmarkStart w:id="226" w:name="d.2-paper-trading"/>
    <w:p>
      <w:pPr>
        <w:pStyle w:val="Heading4"/>
      </w:pPr>
      <w:r>
        <w:t xml:space="preserve">D.2 Paper Trading</w:t>
      </w:r>
    </w:p>
    <w:p>
      <w:pPr>
        <w:pStyle w:val="FirstParagraph"/>
      </w:pPr>
      <w:r>
        <w:t xml:space="preserve">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226"/>
    <w:bookmarkStart w:id="227" w:name="d.3-live-readiness"/>
    <w:p>
      <w:pPr>
        <w:pStyle w:val="Heading4"/>
      </w:pPr>
      <w:r>
        <w:t xml:space="preserve">D.3 Live Readiness</w:t>
      </w:r>
    </w:p>
    <w:p>
      <w:pPr>
        <w:pStyle w:val="FirstParagraph"/>
      </w:pPr>
      <w:r>
        <w:t xml:space="preserve">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227"/>
    <w:bookmarkEnd w:id="228"/>
    <w:bookmarkEnd w:id="229"/>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1.xml"/><Relationship Id="rId21" Type="http://schemas.openxmlformats.org/officeDocument/2006/relationships/image" Target="media/rId21.png"/><Relationship Id="rId176" Type="http://schemas.openxmlformats.org/officeDocument/2006/relationships/image" Target="media/rId176.png"/><Relationship Id="rId183" Type="http://schemas.openxmlformats.org/officeDocument/2006/relationships/image" Target="media/rId183.png"/><Relationship Id="rId190" Type="http://schemas.openxmlformats.org/officeDocument/2006/relationships/image" Target="media/rId190.png"/><Relationship Id="rId37" Type="http://schemas.openxmlformats.org/officeDocument/2006/relationships/image" Target="media/rId37.png"/><Relationship Id="rId40" Type="http://schemas.openxmlformats.org/officeDocument/2006/relationships/image" Target="media/rId40.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99" Type="http://schemas.openxmlformats.org/officeDocument/2006/relationships/image" Target="media/rId99.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02" Type="http://schemas.openxmlformats.org/officeDocument/2006/relationships/image" Target="media/rId102.png"/><Relationship Id="rId105" Type="http://schemas.openxmlformats.org/officeDocument/2006/relationships/image" Target="media/rId105.png"/><Relationship Id="rId108" Type="http://schemas.openxmlformats.org/officeDocument/2006/relationships/image" Target="media/rId108.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66" Type="http://schemas.openxmlformats.org/officeDocument/2006/relationships/image" Target="media/rId166.png"/><Relationship Id="rId169" Type="http://schemas.openxmlformats.org/officeDocument/2006/relationships/image" Target="media/rId169.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dcterms:created xsi:type="dcterms:W3CDTF">2026-09-08T15:46:35Z</dcterms:created>
  <dcterms:modified xsi:type="dcterms:W3CDTF">2026-09-08T15:46:35Z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