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2026-08-17</w:t>
            </w:r>
          </w:p>
        </w:tc>
        <w:tc>
          <w:tcPr>
            <w:tcW w:type="dxa" w:w="785"/>
          </w:tcPr>
          <w:p>
            <w:r>
              <w:rPr>
                <w:sz w:val="16"/>
              </w:rPr>
              <w:t>label sweep</w:t>
            </w:r>
          </w:p>
        </w:tc>
        <w:tc>
          <w:tcPr>
            <w:tcW w:type="dxa" w:w="785"/>
          </w:tcPr>
          <w:p>
            <w:r>
              <w:rPr>
                <w:sz w:val="16"/>
              </w:rPr>
              <w:t>2,616r / 57f | best +3.0/-1.0ATR 20b</w:t>
            </w:r>
          </w:p>
        </w:tc>
        <w:tc>
          <w:tcPr>
            <w:tcW w:type="dxa" w:w="785"/>
          </w:tcPr>
          <w:p>
            <w:r>
              <w:rPr>
                <w:sz w:val="16"/>
              </w:rPr>
              <w:t>LightGBM</w:t>
            </w:r>
          </w:p>
        </w:tc>
        <w:tc>
          <w:tcPr>
            <w:tcW w:type="dxa" w:w="785"/>
          </w:tcPr>
          <w:p>
            <w:r>
              <w:rPr>
                <w:sz w:val="16"/>
              </w:rPr>
              <w:t>0.551</w:t>
            </w:r>
          </w:p>
        </w:tc>
        <w:tc>
          <w:tcPr>
            <w:tcW w:type="dxa" w:w="785"/>
          </w:tcPr>
          <w:p>
            <w:r>
              <w:rPr>
                <w:sz w:val="16"/>
              </w:rPr>
              <w:t>0.191</w:t>
            </w:r>
          </w:p>
        </w:tc>
        <w:tc>
          <w:tcPr>
            <w:tcW w:type="dxa" w:w="785"/>
          </w:tcPr>
          <w:p>
            <w:r>
              <w:rPr>
                <w:sz w:val="16"/>
              </w:rPr>
              <w:t>0.144</w:t>
            </w:r>
          </w:p>
        </w:tc>
        <w:tc>
          <w:tcPr>
            <w:tcW w:type="dxa" w:w="785"/>
          </w:tcPr>
          <w:p>
            <w:r>
              <w:rPr>
                <w:sz w:val="16"/>
              </w:rPr>
              <w:t>+32.6%</w:t>
            </w:r>
          </w:p>
        </w:tc>
        <w:tc>
          <w:tcPr>
            <w:tcW w:type="dxa" w:w="785"/>
          </w:tcPr>
          <w:p>
            <w:r>
              <w:rPr>
                <w:sz w:val="16"/>
              </w:rPr>
              <w:t>-0.13%</w:t>
            </w:r>
          </w:p>
        </w:tc>
        <w:tc>
          <w:tcPr>
            <w:tcW w:type="dxa" w:w="785"/>
          </w:tcPr>
          <w:p>
            <w:r>
              <w:rPr>
                <w:sz w:val="16"/>
              </w:rPr>
              <w:t>383</w:t>
            </w:r>
          </w:p>
        </w:tc>
        <w:tc>
          <w:tcPr>
            <w:tcW w:type="dxa" w:w="785"/>
          </w:tcPr>
          <w:p>
            <w:r>
              <w:rPr>
                <w:sz w:val="16"/>
              </w:rPr>
              <w:t>NO-GO</w:t>
            </w:r>
          </w:p>
        </w:tc>
      </w:tr>
      <w:tr>
        <w:tc>
          <w:tcPr>
            <w:tcW w:type="dxa" w:w="785"/>
          </w:tcPr>
          <w:p>
            <w:r>
              <w:rPr>
                <w:sz w:val="16"/>
              </w:rPr>
              <w:t>2026-07-03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2026-07-01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2026-07-01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2026-06-30</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2026-06-29</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