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21.png" ContentType="image/png"/>
  <Override PartName="/word/media/rId130.png" ContentType="image/png"/>
  <Override PartName="/word/media/rId134.png" ContentType="image/png"/>
  <Override PartName="/word/media/rId143.png" ContentType="image/png"/>
  <Override PartName="/word/media/rId147.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2.688025e-02</w:t>
      </w:r>
      <w:r>
        <w:br/>
      </w:r>
      <w:r>
        <w:rPr>
          <w:rStyle w:val="CommentTok"/>
        </w:rPr>
        <w:t xml:space="preserve">#&gt; 2  2 3.801327e-04</w:t>
      </w:r>
      <w:r>
        <w:br/>
      </w:r>
      <w:r>
        <w:rPr>
          <w:rStyle w:val="CommentTok"/>
        </w:rPr>
        <w:t xml:space="preserve">#&gt; 3  3 0.000000e+00</w:t>
      </w:r>
      <w:r>
        <w:br/>
      </w:r>
      <w:r>
        <w:rPr>
          <w:rStyle w:val="CommentTok"/>
        </w:rPr>
        <w:t xml:space="preserve">#&gt; 4  4 9.503318e-05</w:t>
      </w:r>
      <w:r>
        <w:br/>
      </w:r>
      <w:r>
        <w:rPr>
          <w:rStyle w:val="CommentTok"/>
        </w:rPr>
        <w:t xml:space="preserve">#&gt; 5  5 0.000000e+00</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28" w:name="uncertainty"/>
    <w:p>
      <w:pPr>
        <w:pStyle w:val="Heading1"/>
      </w:pPr>
      <w:r>
        <w:t xml:space="preserve">7. Uncertainty</w:t>
      </w:r>
    </w:p>
    <w:bookmarkStart w:id="118" w:name="why-uncertainty"/>
    <w:p>
      <w:pPr>
        <w:pStyle w:val="Heading2"/>
      </w:pPr>
      <w:r>
        <w:t xml:space="preserve">7.1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18"/>
    <w:bookmarkStart w:id="119" w:name="a-carbon-estimate"/>
    <w:p>
      <w:pPr>
        <w:pStyle w:val="Heading2"/>
      </w:pPr>
      <w:r>
        <w:t xml:space="preserve">7.2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19"/>
    <w:bookmarkStart w:id="120" w:name="sampling-error"/>
    <w:p>
      <w:pPr>
        <w:pStyle w:val="Heading2"/>
      </w:pPr>
      <w:r>
        <w:t xml:space="preserve">7.3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20"/>
    <w:bookmarkStart w:id="124" w:name="monte-carlo-propagation"/>
    <w:p>
      <w:pPr>
        <w:pStyle w:val="Heading2"/>
      </w:pPr>
      <w:r>
        <w:t xml:space="preserve">7.4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07-uncertainty_files/figure-docx/unnamed-chunk-4-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bookmarkStart w:id="125" w:name="conservative-estimates"/>
    <w:p>
      <w:pPr>
        <w:pStyle w:val="Heading2"/>
      </w:pPr>
      <w:r>
        <w:t xml:space="preserve">7.5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25"/>
    <w:bookmarkStart w:id="126" w:name="keystone-area-adjusted-accuracy"/>
    <w:p>
      <w:pPr>
        <w:pStyle w:val="Heading2"/>
      </w:pPr>
      <w:r>
        <w:t xml:space="preserve">7.6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26"/>
    <w:bookmarkStart w:id="127" w:name="exercises-6"/>
    <w:p>
      <w:pPr>
        <w:pStyle w:val="Heading2"/>
      </w:pPr>
      <w:r>
        <w:t xml:space="preserve">7.7 Exercises</w:t>
      </w:r>
    </w:p>
    <w:p>
      <w:pPr>
        <w:pStyle w:val="Compact"/>
        <w:numPr>
          <w:ilvl w:val="0"/>
          <w:numId w:val="1008"/>
        </w:numPr>
      </w:pPr>
      <w:r>
        <w:t xml:space="preserve">Recompute the sampling confidence interval using a 4-by-6 quadrat grid instead of 8-by-12. Does the mean change? Does the standard error? Explain the difference.</w:t>
      </w:r>
    </w:p>
    <w:p>
      <w:pPr>
        <w:pStyle w:val="Compact"/>
        <w:numPr>
          <w:ilvl w:val="0"/>
          <w:numId w:val="1008"/>
        </w:numPr>
      </w:pPr>
      <w:r>
        <w:t xml:space="preserve">In the Monte Carlo, double the uncertainty on the carbon fraction (sd 0.04) and rerun. How much does the uncertainty percentage grow, and would it now trigger a 15% deduction?</w:t>
      </w:r>
    </w:p>
    <w:p>
      <w:pPr>
        <w:pStyle w:val="Compact"/>
        <w:numPr>
          <w:ilvl w:val="0"/>
          <w:numId w:val="1008"/>
        </w:numPr>
      </w:pPr>
      <w:r>
        <w:t xml:space="preserve">Report the conservative (lower-bound) carbon density and express the forgone credit as a percentage of the mean. In one sentence, state the incentive this creates.</w:t>
      </w:r>
    </w:p>
    <w:p>
      <w:pPr>
        <w:pStyle w:val="Compact"/>
        <w:numPr>
          <w:ilvl w:val="0"/>
          <w:numId w:val="1008"/>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27"/>
    <w:bookmarkEnd w:id="128"/>
    <w:bookmarkStart w:id="141" w:name="time-series"/>
    <w:p>
      <w:pPr>
        <w:pStyle w:val="Heading1"/>
      </w:pPr>
      <w:r>
        <w:t xml:space="preserve">8. Time Series</w:t>
      </w:r>
    </w:p>
    <w:bookmarkStart w:id="129" w:name="data-cubes"/>
    <w:p>
      <w:pPr>
        <w:pStyle w:val="Heading2"/>
      </w:pPr>
      <w:r>
        <w:t xml:space="preserve">8.1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 We build a nine-year annual index cube over the plot, with a slow decline and a fire in 2021 that clears a block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747100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4306300</w:t>
      </w:r>
      <w:r>
        <w:br/>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w:t>
      </w:r>
      <w:r>
        <w:rPr>
          <w:rStyle w:val="FloatTok"/>
        </w:rPr>
        <w:t xml:space="preserve">0.80</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0.015</w:t>
      </w:r>
      <w:r>
        <w:rPr>
          <w:rStyle w:val="NormalTok"/>
        </w:rPr>
        <w:t xml:space="preserve">)   </w:t>
      </w:r>
      <w:r>
        <w:rPr>
          <w:rStyle w:val="CommentTok"/>
        </w:rPr>
        <w:t xml:space="preserve"># gentle decline</w:t>
      </w:r>
      <w:r>
        <w:br/>
      </w:r>
      <w:r>
        <w:rPr>
          <w:rStyle w:val="NormalTok"/>
        </w:rPr>
        <w:t xml:space="preserve">  </w:t>
      </w:r>
      <w:r>
        <w:rPr>
          <w:rStyle w:val="ControlFlowTok"/>
        </w:rPr>
        <w:t xml:space="preserve">if</w:t>
      </w:r>
      <w:r>
        <w:rPr>
          <w:rStyle w:val="NormalTok"/>
        </w:rPr>
        <w:t xml:space="preserve"> (years[k] </w:t>
      </w:r>
      <w:r>
        <w:rPr>
          <w:rStyle w:val="SpecialCharTok"/>
        </w:rPr>
        <w:t xml:space="preserve">&gt;=</w:t>
      </w:r>
      <w:r>
        <w:rPr>
          <w:rStyle w:val="NormalTok"/>
        </w:rPr>
        <w:t xml:space="preserve"> </w:t>
      </w:r>
      <w:r>
        <w:rPr>
          <w:rStyle w:val="DecValTok"/>
        </w:rPr>
        <w:t xml:space="preserve">2021</w:t>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  </w:t>
      </w:r>
      <w:r>
        <w:rPr>
          <w:rStyle w:val="CommentTok"/>
        </w:rPr>
        <w:t xml:space="preserve"># fire + no recovery</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129"/>
    <w:bookmarkStart w:id="133" w:name="temporal-reduction"/>
    <w:p>
      <w:pPr>
        <w:pStyle w:val="Heading2"/>
      </w:pPr>
      <w:r>
        <w:t xml:space="preserve">8.2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131" name="Picture"/>
            <a:graphic>
              <a:graphicData uri="http://schemas.openxmlformats.org/drawingml/2006/picture">
                <pic:pic>
                  <pic:nvPicPr>
                    <pic:cNvPr descr="08-time-series_files/figure-docx/unnamed-chunk-2-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so the burned block lights up.</w:t>
      </w:r>
    </w:p>
    <w:bookmarkEnd w:id="133"/>
    <w:bookmarkStart w:id="137" w:name="trends"/>
    <w:p>
      <w:pPr>
        <w:pStyle w:val="Heading2"/>
      </w:pPr>
      <w:r>
        <w:t xml:space="preserve">8.3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135" name="Picture"/>
            <a:graphic>
              <a:graphicData uri="http://schemas.openxmlformats.org/drawingml/2006/picture">
                <pic:pic>
                  <pic:nvPicPr>
                    <pic:cNvPr descr="08-time-series_files/figure-docx/unnamed-chunk-3-1.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137"/>
    <w:bookmarkStart w:id="138" w:name="detecting-the-event"/>
    <w:p>
      <w:pPr>
        <w:pStyle w:val="Heading2"/>
      </w:pPr>
      <w:r>
        <w:t xml:space="preserve">8.4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0</w:t>
      </w:r>
    </w:p>
    <w:bookmarkEnd w:id="138"/>
    <w:bookmarkStart w:id="139" w:name="keystone-ipcc-tier-1-fire-emissions"/>
    <w:p>
      <w:pPr>
        <w:pStyle w:val="Heading2"/>
      </w:pPr>
      <w:r>
        <w:t xml:space="preserve">8.5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0          0</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0     0     0</w:t>
      </w:r>
    </w:p>
    <w:bookmarkEnd w:id="139"/>
    <w:bookmarkStart w:id="140" w:name="exercises-7"/>
    <w:p>
      <w:pPr>
        <w:pStyle w:val="Heading2"/>
      </w:pPr>
      <w:r>
        <w:t xml:space="preserve">8.6 Exercises</w:t>
      </w:r>
    </w:p>
    <w:p>
      <w:pPr>
        <w:pStyle w:val="Compact"/>
        <w:numPr>
          <w:ilvl w:val="0"/>
          <w:numId w:val="1009"/>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09"/>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09"/>
        </w:numPr>
      </w:pPr>
      <w:r>
        <w:t xml:space="preserve">Recompute burned area with a −0.2 threshold on the 2021 difference. How does the emission estimate move, and which term in the IPCC equation is it multiplying?</w:t>
      </w:r>
    </w:p>
    <w:p>
      <w:pPr>
        <w:pStyle w:val="Compact"/>
        <w:numPr>
          <w:ilvl w:val="0"/>
          <w:numId w:val="1009"/>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140"/>
    <w:bookmarkEnd w:id="141"/>
    <w:bookmarkStart w:id="158" w:name="spatial-patterns"/>
    <w:p>
      <w:pPr>
        <w:pStyle w:val="Heading1"/>
      </w:pPr>
      <w:r>
        <w:t xml:space="preserve">9. Spatial Patterns</w:t>
      </w:r>
    </w:p>
    <w:bookmarkStart w:id="142" w:name="point-patterns"/>
    <w:p>
      <w:pPr>
        <w:pStyle w:val="Heading2"/>
      </w:pPr>
      <w:r>
        <w:t xml:space="preserve">9.1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142"/>
    <w:bookmarkStart w:id="146" w:name="spatial-randomness"/>
    <w:p>
      <w:pPr>
        <w:pStyle w:val="Heading2"/>
      </w:pPr>
      <w:r>
        <w:t xml:space="preserve">9.2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144" name="Picture"/>
            <a:graphic>
              <a:graphicData uri="http://schemas.openxmlformats.org/drawingml/2006/picture">
                <pic:pic>
                  <pic:nvPicPr>
                    <pic:cNvPr descr="09-spatial-patterns_files/figure-docx/unnamed-chunk-2-1.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bookmarkEnd w:id="146"/>
    <w:bookmarkStart w:id="150" w:name="intensity"/>
    <w:p>
      <w:pPr>
        <w:pStyle w:val="Heading2"/>
      </w:pPr>
      <w:r>
        <w:t xml:space="preserve">9.3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148" name="Picture"/>
            <a:graphic>
              <a:graphicData uri="http://schemas.openxmlformats.org/drawingml/2006/picture">
                <pic:pic>
                  <pic:nvPicPr>
                    <pic:cNvPr descr="09-spatial-patterns_files/figure-docx/unnamed-chunk-3-1.png" id="149" name="Picture"/>
                    <pic:cNvPicPr>
                      <a:picLocks noChangeArrowheads="1" noChangeAspect="1"/>
                    </pic:cNvPicPr>
                  </pic:nvPicPr>
                  <pic:blipFill>
                    <a:blip r:embed="rId14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50"/>
    <w:bookmarkStart w:id="151" w:name="nearest-neighbour"/>
    <w:p>
      <w:pPr>
        <w:pStyle w:val="Heading2"/>
      </w:pPr>
      <w:r>
        <w:t xml:space="preserve">9.4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151"/>
    <w:bookmarkStart w:id="155" w:name="ripleys-k"/>
    <w:p>
      <w:pPr>
        <w:pStyle w:val="Heading2"/>
      </w:pPr>
      <w:r>
        <w:t xml:space="preserve">9.5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153" name="Picture"/>
            <a:graphic>
              <a:graphicData uri="http://schemas.openxmlformats.org/drawingml/2006/picture">
                <pic:pic>
                  <pic:nvPicPr>
                    <pic:cNvPr descr="09-spatial-patterns_files/figure-docx/unnamed-chunk-5-1.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55"/>
    <w:bookmarkStart w:id="156" w:name="keystone-seedlings"/>
    <w:p>
      <w:pPr>
        <w:pStyle w:val="Heading2"/>
      </w:pPr>
      <w:r>
        <w:t xml:space="preserve">9.6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56"/>
    <w:bookmarkStart w:id="157" w:name="exercises-8"/>
    <w:p>
      <w:pPr>
        <w:pStyle w:val="Heading2"/>
      </w:pPr>
      <w:r>
        <w:t xml:space="preserve">9.7 Exercises</w:t>
      </w:r>
    </w:p>
    <w:p>
      <w:pPr>
        <w:pStyle w:val="Compact"/>
        <w:numPr>
          <w:ilvl w:val="0"/>
          <w:numId w:val="1010"/>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0"/>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0"/>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0"/>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157"/>
    <w:bookmarkEnd w:id="158"/>
    <w:bookmarkStart w:id="164" w:name="automation-protocols-and-registries"/>
    <w:p>
      <w:pPr>
        <w:pStyle w:val="Heading1"/>
      </w:pPr>
      <w:r>
        <w:t xml:space="preserve">Appendix A — Automation, Protocols and Registries</w:t>
      </w:r>
    </w:p>
    <w:bookmarkStart w:id="159"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159"/>
    <w:bookmarkStart w:id="160"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160"/>
    <w:bookmarkStart w:id="161"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161"/>
    <w:bookmarkStart w:id="162"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162"/>
    <w:bookmarkStart w:id="163"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163"/>
    <w:bookmarkEnd w:id="164"/>
    <w:bookmarkStart w:id="181" w:name="references"/>
    <w:p>
      <w:pPr>
        <w:pStyle w:val="Heading1"/>
      </w:pPr>
      <w:r>
        <w:t xml:space="preserve">Appendix B — References</w:t>
      </w:r>
    </w:p>
    <w:bookmarkStart w:id="180" w:name="refs"/>
    <w:bookmarkStart w:id="165"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165"/>
    <w:bookmarkStart w:id="167"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166">
        <w:r>
          <w:rPr>
            <w:rStyle w:val="Hyperlink"/>
          </w:rPr>
          <w:t xml:space="preserve">https://CRAN.R-project.org/package=terra</w:t>
        </w:r>
      </w:hyperlink>
    </w:p>
    <w:bookmarkEnd w:id="167"/>
    <w:bookmarkStart w:id="168"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168"/>
    <w:bookmarkStart w:id="170"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169">
        <w:r>
          <w:rPr>
            <w:rStyle w:val="Hyperlink"/>
          </w:rPr>
          <w:t xml:space="preserve">https://doi.org/10.1093/forestscience/49.1.12</w:t>
        </w:r>
      </w:hyperlink>
    </w:p>
    <w:bookmarkEnd w:id="170"/>
    <w:bookmarkStart w:id="171"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171"/>
    <w:bookmarkStart w:id="173"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72">
        <w:r>
          <w:rPr>
            <w:rStyle w:val="Hyperlink"/>
          </w:rPr>
          <w:t xml:space="preserve">https://doi.org/10.1016/j.foreco.2026.123985</w:t>
        </w:r>
      </w:hyperlink>
    </w:p>
    <w:bookmarkEnd w:id="173"/>
    <w:bookmarkStart w:id="17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174">
        <w:r>
          <w:rPr>
            <w:rStyle w:val="Hyperlink"/>
          </w:rPr>
          <w:t xml:space="preserve">https://doi.org/10.1016/j.rse.2014.02.015</w:t>
        </w:r>
      </w:hyperlink>
    </w:p>
    <w:bookmarkEnd w:id="175"/>
    <w:bookmarkStart w:id="17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176">
        <w:r>
          <w:rPr>
            <w:rStyle w:val="Hyperlink"/>
          </w:rPr>
          <w:t xml:space="preserve">https://doi.org/10.32614/RJ-2018-009</w:t>
        </w:r>
      </w:hyperlink>
    </w:p>
    <w:bookmarkEnd w:id="177"/>
    <w:bookmarkStart w:id="17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178">
        <w:r>
          <w:rPr>
            <w:rStyle w:val="Hyperlink"/>
          </w:rPr>
          <w:t xml:space="preserve">https://doi.org/10.1201/9780429459016</w:t>
        </w:r>
      </w:hyperlink>
    </w:p>
    <w:bookmarkEnd w:id="179"/>
    <w:bookmarkEnd w:id="180"/>
    <w:bookmarkEnd w:id="181"/>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hyperlink" Id="rId166" Target="https://CRAN.R-project.org/package=terra" TargetMode="External" /><Relationship Type="http://schemas.openxmlformats.org/officeDocument/2006/relationships/hyperlink" Id="rId172" Target="https://doi.org/10.1016/j.foreco.2026.123985" TargetMode="External" /><Relationship Type="http://schemas.openxmlformats.org/officeDocument/2006/relationships/hyperlink" Id="rId174" Target="https://doi.org/10.1016/j.rse.2014.02.015" TargetMode="External" /><Relationship Type="http://schemas.openxmlformats.org/officeDocument/2006/relationships/hyperlink" Id="rId169" Target="https://doi.org/10.1093/forestscience/49.1.12" TargetMode="External" /><Relationship Type="http://schemas.openxmlformats.org/officeDocument/2006/relationships/hyperlink" Id="rId178" Target="https://doi.org/10.1201/9780429459016" TargetMode="External" /><Relationship Type="http://schemas.openxmlformats.org/officeDocument/2006/relationships/hyperlink" Id="rId176" Target="https://doi.org/10.32614/RJ-2018-009" TargetMode="External" /><Relationship Type="http://schemas.openxmlformats.org/officeDocument/2006/relationships/hyperlink" Id="rId182"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166" Target="https://CRAN.R-project.org/package=terra" TargetMode="External" /><Relationship Type="http://schemas.openxmlformats.org/officeDocument/2006/relationships/hyperlink" Id="rId172" Target="https://doi.org/10.1016/j.foreco.2026.123985" TargetMode="External" /><Relationship Type="http://schemas.openxmlformats.org/officeDocument/2006/relationships/hyperlink" Id="rId174" Target="https://doi.org/10.1016/j.rse.2014.02.015" TargetMode="External" /><Relationship Type="http://schemas.openxmlformats.org/officeDocument/2006/relationships/hyperlink" Id="rId169" Target="https://doi.org/10.1093/forestscience/49.1.12" TargetMode="External" /><Relationship Type="http://schemas.openxmlformats.org/officeDocument/2006/relationships/hyperlink" Id="rId178" Target="https://doi.org/10.1201/9780429459016" TargetMode="External" /><Relationship Type="http://schemas.openxmlformats.org/officeDocument/2006/relationships/hyperlink" Id="rId176" Target="https://doi.org/10.32614/RJ-2018-009" TargetMode="External" /><Relationship Type="http://schemas.openxmlformats.org/officeDocument/2006/relationships/hyperlink" Id="rId182"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2026-07-30T16:19:38Z</dcterms:created>
  <dcterms:modified xsi:type="dcterms:W3CDTF">2026-07-30T16:19:38Z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