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23.png" ContentType="image/png"/>
  <Override PartName="/word/media/rId129.png" ContentType="image/png"/>
  <Override PartName="/word/media/rId152.png" ContentType="image/png"/>
  <Override PartName="/word/media/rId156.png" ContentType="image/png"/>
  <Override PartName="/word/media/rId136.png" ContentType="image/png"/>
  <Override PartName="/word/media/rId139.png" ContentType="image/png"/>
  <Override PartName="/word/media/rId142.png" ContentType="image/png"/>
  <Override PartName="/word/media/rId146.png" ContentType="image/png"/>
  <Override PartName="/word/media/rId165.png" ContentType="image/png"/>
  <Override PartName="/word/media/rId169.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0.0002081305</w:t>
      </w:r>
      <w:r>
        <w:br/>
      </w:r>
      <w:r>
        <w:rPr>
          <w:rStyle w:val="CommentTok"/>
        </w:rPr>
        <w:t xml:space="preserve">#&gt; 2  2 0.0001767146</w:t>
      </w:r>
      <w:r>
        <w:br/>
      </w:r>
      <w:r>
        <w:rPr>
          <w:rStyle w:val="CommentTok"/>
        </w:rPr>
        <w:t xml:space="preserve">#&gt; 3  3 0.0002269801</w:t>
      </w:r>
      <w:r>
        <w:br/>
      </w:r>
      <w:r>
        <w:rPr>
          <w:rStyle w:val="CommentTok"/>
        </w:rPr>
        <w:t xml:space="preserve">#&gt; 4  4 0.0000000000</w:t>
      </w:r>
      <w:r>
        <w:br/>
      </w:r>
      <w:r>
        <w:rPr>
          <w:rStyle w:val="CommentTok"/>
        </w:rPr>
        <w:t xml:space="preserve">#&gt; 5  5 0.0000000000</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34" w:name="uncertainty"/>
    <w:p>
      <w:pPr>
        <w:pStyle w:val="Heading1"/>
      </w:pPr>
      <w:r>
        <w:t xml:space="preserve">7. Uncertainty</w:t>
      </w:r>
    </w:p>
    <w:bookmarkStart w:id="118" w:name="why-uncertainty"/>
    <w:p>
      <w:pPr>
        <w:pStyle w:val="Heading2"/>
      </w:pPr>
      <w:r>
        <w:t xml:space="preserve">7.1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18"/>
    <w:bookmarkStart w:id="119" w:name="a-carbon-estimate"/>
    <w:p>
      <w:pPr>
        <w:pStyle w:val="Heading2"/>
      </w:pPr>
      <w:r>
        <w:t xml:space="preserve">7.2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19"/>
    <w:bookmarkStart w:id="120" w:name="sampling-error"/>
    <w:p>
      <w:pPr>
        <w:pStyle w:val="Heading2"/>
      </w:pPr>
      <w:r>
        <w:t xml:space="preserve">7.3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20"/>
    <w:bookmarkStart w:id="121" w:name="measuring-error"/>
    <w:p>
      <w:pPr>
        <w:pStyle w:val="Heading2"/>
      </w:pPr>
      <w:r>
        <w:t xml:space="preserve">7.4 Measuring error</w:t>
      </w:r>
    </w:p>
    <w:p>
      <w:pPr>
        <w:pStyle w:val="FirstParagraph"/>
      </w:pPr>
      <w:r>
        <w:t xml:space="preserve">Sampling error assumed the per-tree biomass was right and asked only how well the plot represents the stand. The other half of the problem is the model itself, and to quantify that you need trees whose biomass was actually measured rather than predicted. The</w:t>
      </w:r>
      <w:r>
        <w:t xml:space="preserve"> </w:t>
      </w:r>
      <w:r>
        <w:rPr>
          <w:rStyle w:val="VerbatimChar"/>
        </w:rPr>
        <w:t xml:space="preserve">tree_measurements</w:t>
      </w:r>
      <w:r>
        <w:t xml:space="preserve"> </w:t>
      </w:r>
      <w:r>
        <w:t xml:space="preserve">file holds 6,681 harvested trees across six coastal species, each with diameter, height and observed aboveground biomass, so predictions can be checked against truth.</w:t>
      </w:r>
    </w:p>
    <w:p>
      <w:pPr>
        <w:pStyle w:val="BodyText"/>
      </w:pPr>
      <w:r>
        <w:t xml:space="preserve">No single number describes an error well, and the common metrics answer genuinely different questions. Written on the residual</w:t>
      </w:r>
      <w:r>
        <w:t xml:space="preserve"> </w:t>
      </w:r>
      <m:oMath>
        <m:sSub>
          <m:e>
            <m:r>
              <m:t>e</m:t>
            </m:r>
          </m:e>
          <m:sub>
            <m:r>
              <m:t>i</m:t>
            </m:r>
          </m:sub>
        </m:sSub>
        <m:r>
          <m:rPr>
            <m:sty m:val="p"/>
          </m:rPr>
          <m:t>=</m:t>
        </m:r>
        <m:sSub>
          <m:e>
            <m:acc>
              <m:accPr>
                <m:chr m:val="̂"/>
              </m:accPr>
              <m:e>
                <m:r>
                  <m:t>y</m:t>
                </m:r>
              </m:e>
            </m:acc>
          </m:e>
          <m:sub>
            <m:r>
              <m:t>i</m:t>
            </m:r>
          </m:sub>
        </m:sSub>
        <m:r>
          <m:rPr>
            <m:sty m:val="p"/>
          </m:rPr>
          <m:t>−</m:t>
        </m:r>
        <m:sSub>
          <m:e>
            <m:r>
              <m:t>y</m:t>
            </m:r>
          </m:e>
          <m:sub>
            <m:r>
              <m:t>i</m:t>
            </m:r>
          </m:sub>
        </m:sSub>
      </m:oMath>
      <w:r>
        <w:t xml:space="preserve">:</w:t>
      </w:r>
    </w:p>
    <w:p>
      <w:pPr>
        <w:pStyle w:val="BodyText"/>
      </w:pPr>
      <m:oMathPara>
        <m:oMathParaPr>
          <m:jc m:val="center"/>
        </m:oMathParaPr>
        <m:oMath>
          <m:r>
            <m:rPr>
              <m:nor/>
              <m:sty m:val="p"/>
            </m:rPr>
            <m:t>bias</m:t>
          </m:r>
          <m:r>
            <m:rPr>
              <m:sty m:val="p"/>
            </m:rPr>
            <m:t>=</m:t>
          </m:r>
          <m:f>
            <m:fPr>
              <m:type m:val="bar"/>
            </m:fPr>
            <m:num>
              <m:r>
                <m:t>1</m:t>
              </m:r>
            </m:num>
            <m:den>
              <m:r>
                <m:t>n</m:t>
              </m:r>
            </m:den>
          </m:f>
          <m:r>
            <m:rPr>
              <m:sty m:val="p"/>
            </m:rPr>
            <m:t>∑</m:t>
          </m:r>
          <m:sSub>
            <m:e>
              <m:r>
                <m:t>e</m:t>
              </m:r>
            </m:e>
            <m:sub>
              <m:r>
                <m:t>i</m:t>
              </m:r>
            </m:sub>
          </m:sSub>
          <m:r>
            <m:t>  </m:t>
          </m:r>
          <m:r>
            <m:rPr>
              <m:nor/>
              <m:sty m:val="p"/>
            </m:rPr>
            <m:t>MAE</m:t>
          </m:r>
          <m:r>
            <m:rPr>
              <m:sty m:val="p"/>
            </m:rPr>
            <m:t>=</m:t>
          </m:r>
          <m:f>
            <m:fPr>
              <m:type m:val="bar"/>
            </m:fPr>
            <m:num>
              <m:r>
                <m:t>1</m:t>
              </m:r>
            </m:num>
            <m:den>
              <m:r>
                <m:t>n</m:t>
              </m:r>
            </m:den>
          </m:f>
          <m:r>
            <m:rPr>
              <m:sty m:val="p"/>
            </m:rPr>
            <m:t>∑</m:t>
          </m:r>
          <m:d>
            <m:dPr>
              <m:begChr m:val="|"/>
              <m:sepChr m:val=""/>
              <m:endChr m:val="|"/>
              <m:grow/>
            </m:dPr>
            <m:e>
              <m:sSub>
                <m:e>
                  <m:r>
                    <m:t>e</m:t>
                  </m:r>
                </m:e>
                <m:sub>
                  <m:r>
                    <m:t>i</m:t>
                  </m:r>
                </m:sub>
              </m:sSub>
            </m:e>
          </m:d>
          <m:r>
            <m:t>  </m:t>
          </m:r>
          <m:r>
            <m:rPr>
              <m:nor/>
              <m:sty m:val="p"/>
            </m:rPr>
            <m:t>MSE</m:t>
          </m:r>
          <m:r>
            <m:rPr>
              <m:sty m:val="p"/>
            </m:rPr>
            <m:t>=</m:t>
          </m:r>
          <m:f>
            <m:fPr>
              <m:type m:val="bar"/>
            </m:fPr>
            <m:num>
              <m:r>
                <m:t>1</m:t>
              </m:r>
            </m:num>
            <m:den>
              <m:r>
                <m:t>n</m:t>
              </m:r>
            </m:den>
          </m:f>
          <m:r>
            <m:rPr>
              <m:sty m:val="p"/>
            </m:rPr>
            <m:t>∑</m:t>
          </m:r>
          <m:sSubSup>
            <m:e>
              <m:r>
                <m:t>e</m:t>
              </m:r>
            </m:e>
            <m:sub>
              <m:r>
                <m:t>i</m:t>
              </m:r>
            </m:sub>
            <m:sup>
              <m:r>
                <m:t>2</m:t>
              </m:r>
            </m:sup>
          </m:sSubSup>
          <m:r>
            <m:t>  </m:t>
          </m:r>
          <m:r>
            <m:rPr>
              <m:nor/>
              <m:sty m:val="p"/>
            </m:rPr>
            <m:t>RMSE</m:t>
          </m:r>
          <m:r>
            <m:rPr>
              <m:sty m:val="p"/>
            </m:rPr>
            <m:t>=</m:t>
          </m:r>
          <m:rad>
            <m:radPr>
              <m:degHide m:val="on"/>
            </m:radPr>
            <m:deg/>
            <m:e>
              <m:r>
                <m:rPr>
                  <m:nor/>
                  <m:sty m:val="p"/>
                </m:rPr>
                <m:t>MSE</m:t>
              </m:r>
            </m:e>
          </m:rad>
        </m:oMath>
      </m:oMathPara>
    </w:p>
    <w:p>
      <w:pPr>
        <w:pStyle w:val="FirstParagraph"/>
      </w:pPr>
      <m:oMathPara>
        <m:oMathParaPr>
          <m:jc m:val="center"/>
        </m:oMathParaPr>
        <m:oMath>
          <m:r>
            <m:rPr>
              <m:nor/>
              <m:sty m:val="p"/>
            </m:rPr>
            <m:t>MAPE</m:t>
          </m:r>
          <m:r>
            <m:rPr>
              <m:sty m:val="p"/>
            </m:rPr>
            <m:t>=</m:t>
          </m:r>
          <m:f>
            <m:fPr>
              <m:type m:val="bar"/>
            </m:fPr>
            <m:num>
              <m:r>
                <m:t>100</m:t>
              </m:r>
            </m:num>
            <m:den>
              <m:r>
                <m:t>n</m:t>
              </m:r>
            </m:den>
          </m:f>
          <m:r>
            <m:rPr>
              <m:sty m:val="p"/>
            </m:rPr>
            <m:t>∑</m:t>
          </m:r>
          <m:d>
            <m:dPr>
              <m:begChr m:val="|"/>
              <m:sepChr m:val=""/>
              <m:endChr m:val="|"/>
              <m:grow/>
            </m:dPr>
            <m:e>
              <m:f>
                <m:fPr>
                  <m:type m:val="bar"/>
                </m:fPr>
                <m:num>
                  <m:sSub>
                    <m:e>
                      <m:r>
                        <m:t>e</m:t>
                      </m:r>
                    </m:e>
                    <m:sub>
                      <m:r>
                        <m:t>i</m:t>
                      </m:r>
                    </m:sub>
                  </m:sSub>
                </m:num>
                <m:den>
                  <m:sSub>
                    <m:e>
                      <m:r>
                        <m:t>y</m:t>
                      </m:r>
                    </m:e>
                    <m:sub>
                      <m:r>
                        <m:t>i</m:t>
                      </m:r>
                    </m:sub>
                  </m:sSub>
                </m:den>
              </m:f>
            </m:e>
          </m:d>
          <m:r>
            <m:t>  </m:t>
          </m:r>
          <m:sSup>
            <m:e>
              <m:r>
                <m:t>R</m:t>
              </m:r>
            </m:e>
            <m:sup>
              <m:r>
                <m:t>2</m:t>
              </m:r>
            </m:sup>
          </m:sSup>
          <m:r>
            <m:rPr>
              <m:sty m:val="p"/>
            </m:rPr>
            <m:t>=</m:t>
          </m:r>
          <m:r>
            <m:t>1</m:t>
          </m:r>
          <m:r>
            <m:rPr>
              <m:sty m:val="p"/>
            </m:rPr>
            <m:t>−</m:t>
          </m:r>
          <m:f>
            <m:fPr>
              <m:type m:val="bar"/>
            </m:fPr>
            <m:num>
              <m:r>
                <m:rPr>
                  <m:sty m:val="p"/>
                </m:rPr>
                <m:t>∑</m:t>
              </m:r>
              <m:sSubSup>
                <m:e>
                  <m:r>
                    <m:t>e</m:t>
                  </m:r>
                </m:e>
                <m:sub>
                  <m:r>
                    <m:t>i</m:t>
                  </m:r>
                </m:sub>
                <m:sup>
                  <m:r>
                    <m:t>2</m:t>
                  </m:r>
                </m:sup>
              </m:sSubSup>
            </m:num>
            <m:den>
              <m:r>
                <m:rPr>
                  <m:sty m:val="p"/>
                </m:rPr>
                <m:t>∑</m:t>
              </m:r>
              <m:sSup>
                <m:e>
                  <m:d>
                    <m:dPr>
                      <m:begChr m:val="("/>
                      <m:sepChr m:val=""/>
                      <m:end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Bias is signed and measures systematic error: it can be near zero while every individual prediction is badly wrong, because overestimates cancel underestimates. MAE is the typical error magnitude in the units of the data. MSE squares the residuals, so it is dominated by the largest ones, and RMSE is its square root, returned to the original units and therefore directly readable. Whether you prefer MAE or RMSE is a statement about how much you care about occasional large errors relative to many small ones, and in biomass work you should care a great deal, because a handful of large trees carry most of the carbon. Relative RMSE, the RMSE as a percentage of the observed mean, is what makes results comparable across species and datasets, and it is the quantity the crediting standards consume.</w:t>
      </w:r>
    </w:p>
    <w:p>
      <w:pPr>
        <w:pStyle w:val="BodyText"/>
      </w:pPr>
      <w:r>
        <w:t xml:space="preserve">Two definitions of</w:t>
      </w:r>
      <w:r>
        <w:t xml:space="preserve"> </w:t>
      </w:r>
      <m:oMath>
        <m:sSup>
          <m:e>
            <m:r>
              <m:t>R</m:t>
            </m:r>
          </m:e>
          <m:sup>
            <m:r>
              <m:t>2</m:t>
            </m:r>
          </m:sup>
        </m:sSup>
      </m:oMath>
      <w:r>
        <w:t xml:space="preserve"> </w:t>
      </w:r>
      <w:r>
        <w:t xml:space="preserve">circulate. The one above, one minus the residual sum of squares over the total, is the proportion of variance explained and can go negative for a bad model. The alternative, the squared correlation between observed and predicted, cannot go negative and will flatter a model with a systematic offset. This book uses the first throughout.</w:t>
      </w:r>
    </w:p>
    <w:p>
      <w:pPr>
        <w:pStyle w:val="SourceCode"/>
      </w:pP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"data/tree_measurements.csv"</w:t>
      </w:r>
      <w:r>
        <w:rPr>
          <w:rStyle w:val="NormalTok"/>
        </w:rPr>
        <w:t xml:space="preserve">)</w:t>
      </w:r>
      <w:r>
        <w:br/>
      </w:r>
      <w:r>
        <w:br/>
      </w:r>
      <w:r>
        <w:rPr>
          <w:rStyle w:val="NormalTok"/>
        </w:rPr>
        <w:t xml:space="preserve">metrics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e </w:t>
      </w:r>
      <w:r>
        <w:rPr>
          <w:rStyle w:val="OtherTok"/>
        </w:rPr>
        <w:t xml:space="preserve">&lt;-</w:t>
      </w:r>
      <w:r>
        <w:rPr>
          <w:rStyle w:val="NormalTok"/>
        </w:rPr>
        <w:t xml:space="preserve"> prd </w:t>
      </w:r>
      <w:r>
        <w:rPr>
          <w:rStyle w:val="SpecialCharTok"/>
        </w:rPr>
        <w:t xml:space="preserve">-</w:t>
      </w:r>
      <w:r>
        <w:rPr>
          <w:rStyle w:val="NormalTok"/>
        </w:rPr>
        <w:t xml:space="preserve"> obs</w:t>
      </w:r>
      <w:r>
        <w:br/>
      </w:r>
      <w:r>
        <w:rPr>
          <w:rStyle w:val="NormalTok"/>
        </w:rPr>
        <w:t xml:space="preserve">  </w:t>
      </w:r>
      <w:r>
        <w:rPr>
          <w:rStyle w:val="FunctionTok"/>
        </w:rPr>
        <w:t xml:space="preserve">c</w:t>
      </w:r>
      <w:r>
        <w:rPr>
          <w:rStyle w:val="NormalTok"/>
        </w:rPr>
        <w:t xml:space="preserve">(</w:t>
      </w:r>
      <w:r>
        <w:rPr>
          <w:rStyle w:val="AttributeTok"/>
        </w:rPr>
        <w:t xml:space="preserve">bias     =</w:t>
      </w:r>
      <w:r>
        <w:rPr>
          <w:rStyle w:val="NormalTok"/>
        </w:rPr>
        <w:t xml:space="preserve"> </w:t>
      </w:r>
      <w:r>
        <w:rPr>
          <w:rStyle w:val="FunctionTok"/>
        </w:rPr>
        <w:t xml:space="preserve">mean</w:t>
      </w:r>
      <w:r>
        <w:rPr>
          <w:rStyle w:val="NormalTok"/>
        </w:rPr>
        <w:t xml:space="preserve">(e),</w:t>
      </w:r>
      <w:r>
        <w:br/>
      </w:r>
      <w:r>
        <w:rPr>
          <w:rStyle w:val="NormalTok"/>
        </w:rPr>
        <w:t xml:space="preserve">    </w:t>
      </w:r>
      <w:r>
        <w:rPr>
          <w:rStyle w:val="AttributeTok"/>
        </w:rPr>
        <w:t xml:space="preserve">rel_bias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rel_rmse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mape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SpecialCharTok"/>
        </w:rPr>
        <w:t xml:space="preserve">/</w:t>
      </w:r>
      <w:r>
        <w:rPr>
          <w:rStyle w:val="NormalTok"/>
        </w:rPr>
        <w:t xml:space="preserve"> obs)),</w:t>
      </w:r>
      <w:r>
        <w:br/>
      </w:r>
      <w:r>
        <w:rPr>
          <w:rStyle w:val="NormalTok"/>
        </w:rPr>
        <w:t xml:space="preserve">    </w:t>
      </w:r>
      <w:r>
        <w:rPr>
          <w:rStyle w:val="AttributeTok"/>
        </w:rPr>
        <w:t xml:space="preserve">r2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((obs </w:t>
      </w:r>
      <w:r>
        <w:rPr>
          <w:rStyle w:val="SpecialCharTok"/>
        </w:rPr>
        <w:t xml:space="preserve">-</w:t>
      </w:r>
      <w:r>
        <w:rPr>
          <w:rStyle w:val="NormalTok"/>
        </w:rPr>
        <w:t xml:space="preserve"> </w:t>
      </w:r>
      <w:r>
        <w:rPr>
          <w:rStyle w:val="FunctionTok"/>
        </w:rPr>
        <w:t xml:space="preserve">mean</w:t>
      </w:r>
      <w:r>
        <w:rPr>
          <w:rStyle w:val="NormalTok"/>
        </w:rPr>
        <w:t xml:space="preserve">(obs))</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Fit the standard log-log allometry. Fitting on logs stabilises the variance, but exponentiating the prediction returns the median rather than the mean and biases the result low, so the fit carries the Baskerville correction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w:t>
      </w:r>
      <w:r>
        <w:br/>
      </w:r>
      <w:r>
        <w:rPr>
          <w:rStyle w:val="NormalTok"/>
        </w:rPr>
        <w:t xml:space="preserve">cf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(fit)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 correction</w:t>
      </w:r>
      <w:r>
        <w:br/>
      </w:r>
      <w:r>
        <w:rPr>
          <w:rStyle w:val="NormalTok"/>
        </w:rPr>
        <w:t xml:space="preserve">pred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SpecialCharTok"/>
        </w:rPr>
        <w:t xml:space="preserve">*</w:t>
      </w:r>
      <w:r>
        <w:rPr>
          <w:rStyle w:val="NormalTok"/>
        </w:rPr>
        <w:t xml:space="preserve"> cf</w:t>
      </w:r>
      <w:r>
        <w:br/>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1.959    0.271   68.948  160.516   22.216   10.358    0.983</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DecValTok"/>
        </w:rPr>
        <w:t xml:space="preserve">3</w:t>
      </w:r>
      <w:r>
        <w:rPr>
          <w:rStyle w:val="NormalTok"/>
        </w:rPr>
        <w:t xml:space="preserve">)   </w:t>
      </w:r>
      <w:r>
        <w:rPr>
          <w:rStyle w:val="CommentTok"/>
        </w:rPr>
        <w:t xml:space="preserve"># uncorrected</w:t>
      </w:r>
      <w:r>
        <w:br/>
      </w:r>
      <w:r>
        <w:rPr>
          <w:rStyle w:val="CommentTok"/>
        </w:rPr>
        <w:t xml:space="preserve">#&gt;     bias rel_bias      mae     rmse rel_rmse     mape       r2 </w:t>
      </w:r>
      <w:r>
        <w:br/>
      </w:r>
      <w:r>
        <w:rPr>
          <w:rStyle w:val="CommentTok"/>
        </w:rPr>
        <w:t xml:space="preserve">#&gt;   -3.429   -0.475   69.633  160.938   22.274   10.387    0.983</w:t>
      </w:r>
    </w:p>
    <w:p>
      <w:pPr>
        <w:pStyle w:val="FirstParagraph"/>
      </w:pPr>
      <w:r>
        <w:t xml:space="preserve">The correction moves the relative bias from about</w:t>
      </w:r>
      <w:r>
        <w:t xml:space="preserve"> </w:t>
      </w:r>
      <m:oMath>
        <m:r>
          <m:rPr>
            <m:sty m:val="p"/>
          </m:rPr>
          <m:t>−</m:t>
        </m:r>
        <m:r>
          <m:t>0.5</m:t>
        </m:r>
      </m:oMath>
      <w:r>
        <w:t xml:space="preserve"> </w:t>
      </w:r>
      <w:r>
        <w:t xml:space="preserve">per cent to</w:t>
      </w:r>
      <w:r>
        <w:t xml:space="preserve"> </w:t>
      </w:r>
      <m:oMath>
        <m:r>
          <m:rPr>
            <m:sty m:val="p"/>
          </m:rPr>
          <m:t>+</m:t>
        </m:r>
        <m:r>
          <m:t>0.3</m:t>
        </m:r>
      </m:oMath>
      <w:r>
        <w:t xml:space="preserve"> </w:t>
      </w:r>
      <w:r>
        <w:t xml:space="preserve">per cent. That is small here and much larger in datasets with more residual scatter, and it is free, so there is no reason to omit it.</w:t>
      </w:r>
    </w:p>
    <w:p>
      <w:pPr>
        <w:pStyle w:val="BodyText"/>
      </w:pPr>
      <w:r>
        <w:t xml:space="preserve">Now the reason to compute more than one metric. Split the same predictions by diameter class:</w:t>
      </w:r>
    </w:p>
    <w:p>
      <w:pPr>
        <w:pStyle w:val="SourceCode"/>
      </w:pPr>
      <w:r>
        <w:rPr>
          <w:rStyle w:val="NormalTok"/>
        </w:rPr>
        <w:t xml:space="preserve">tm</w:t>
      </w:r>
      <w:r>
        <w:rPr>
          <w:rStyle w:val="SpecialCharTok"/>
        </w:rPr>
        <w:t xml:space="preserve">$</w:t>
      </w:r>
      <w:r>
        <w:rPr>
          <w:rStyle w:val="NormalTok"/>
        </w:rPr>
        <w:t xml:space="preserve">cls </w:t>
      </w:r>
      <w:r>
        <w:rPr>
          <w:rStyle w:val="OtherTok"/>
        </w:rPr>
        <w:t xml:space="preserve">&lt;-</w:t>
      </w:r>
      <w:r>
        <w:rPr>
          <w:rStyle w:val="NormalTok"/>
        </w:rPr>
        <w:t xml:space="preserve"> </w:t>
      </w:r>
      <w:r>
        <w:rPr>
          <w:rStyle w:val="FunctionTok"/>
        </w:rPr>
        <w:t xml:space="preserve">cut</w:t>
      </w:r>
      <w:r>
        <w:rPr>
          <w:rStyle w:val="NormalTok"/>
        </w:rPr>
        <w:t xml:space="preserve">(tm</w:t>
      </w:r>
      <w:r>
        <w:rPr>
          <w:rStyle w:val="SpecialCharTok"/>
        </w:rPr>
        <w:t xml:space="preserve">$</w:t>
      </w:r>
      <w:r>
        <w:rPr>
          <w:rStyle w:val="NormalTok"/>
        </w:rPr>
        <w:t xml:space="preserve">dbh_cm,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metrics</w:t>
      </w:r>
      <w:r>
        <w:rPr>
          <w:rStyle w:val="NormalTok"/>
        </w:rPr>
        <w:t xml:space="preserve">(tm</w:t>
      </w:r>
      <w:r>
        <w:rPr>
          <w:rStyle w:val="SpecialCharTok"/>
        </w:rPr>
        <w:t xml:space="preserve">$</w:t>
      </w:r>
      <w:r>
        <w:rPr>
          <w:rStyle w:val="NormalTok"/>
        </w:rPr>
        <w:t xml:space="preserve">agb_kg[i], pred[i]))), </w:t>
      </w:r>
      <w:r>
        <w:rPr>
          <w:rStyle w:val="DecValTok"/>
        </w:rPr>
        <w:t xml:space="preserve">2</w:t>
      </w:r>
      <w:r>
        <w:rPr>
          <w:rStyle w:val="NormalTok"/>
        </w:rPr>
        <w:t xml:space="preserve">)</w:t>
      </w:r>
      <w:r>
        <w:br/>
      </w:r>
      <w:r>
        <w:rPr>
          <w:rStyle w:val="CommentTok"/>
        </w:rPr>
        <w:t xml:space="preserve">#&gt;        bias rel_bias    mae   rmse rel_rmse  mape   r2</w:t>
      </w:r>
      <w:r>
        <w:br/>
      </w:r>
      <w:r>
        <w:rPr>
          <w:rStyle w:val="CommentTok"/>
        </w:rPr>
        <w:t xml:space="preserve">#&gt; &lt;20   -0.44    -0.25  17.67  22.51    12.89 10.68 0.91</w:t>
      </w:r>
      <w:r>
        <w:br/>
      </w:r>
      <w:r>
        <w:rPr>
          <w:rStyle w:val="CommentTok"/>
        </w:rPr>
        <w:t xml:space="preserve">#&gt; 20-40 -0.81    -0.13  59.13  75.80    12.53 10.26 0.91</w:t>
      </w:r>
      <w:r>
        <w:br/>
      </w:r>
      <w:r>
        <w:rPr>
          <w:rStyle w:val="CommentTok"/>
        </w:rPr>
        <w:t xml:space="preserve">#&gt; &gt;40   18.33     0.67 252.24 409.16    15.02  9.78 0.97</w:t>
      </w:r>
    </w:p>
    <w:p>
      <w:pPr>
        <w:pStyle w:val="FirstParagraph"/>
      </w:pPr>
      <w:r>
        <w:t xml:space="preserve">MAPE is almost flat across the three classes, near ten per cent everywhere, while RMSE climbs from about 23 kg to over 400. Both are correct. The model is proportionally about as good on a large tree as on a small one, and in absolute terms it is eighteen times worse, which is what matters when those large trees hold most of the stand’s carbon. A report quoting only the percentage error conceals where the tonnes actually go.</w:t>
      </w:r>
    </w:p>
    <w:p>
      <w:pPr>
        <w:pStyle w:val="BodyText"/>
      </w:pPr>
      <w:r>
        <w:t xml:space="preserve">MAPE carries a specific hazard worth stating plainly: it divides by the observation, so it explodes as</w:t>
      </w:r>
      <w:r>
        <w:t xml:space="preserve"> </w:t>
      </w:r>
      <m:oMath>
        <m:sSub>
          <m:e>
            <m:r>
              <m:t>y</m:t>
            </m:r>
          </m:e>
          <m:sub>
            <m:r>
              <m:t>i</m:t>
            </m:r>
          </m:sub>
        </m:sSub>
      </m:oMath>
      <w:r>
        <w:t xml:space="preserve"> </w:t>
      </w:r>
      <w:r>
        <w:t xml:space="preserve">approaches zero and is undefined at zero. It is safe here because every harvested tree has substantial biomass. Applied to a variable that legitimately reaches zero, such as annual forest loss in a quiet year, it is meaningless, and that is the usual reason it is absent from carbon work.</w:t>
      </w:r>
    </w:p>
    <w:p>
      <w:pPr>
        <w:pStyle w:val="BodyText"/>
      </w:pPr>
      <w:r>
        <w:t xml:space="preserve">Finally, the single most effective way to reduce model error is usually not a cleverer equation but a narrower one:</w:t>
      </w:r>
    </w:p>
    <w:p>
      <w:pPr>
        <w:pStyle w:val="SourceCode"/>
      </w:pPr>
      <w:r>
        <w:rPr>
          <w:rStyle w:val="NormalTok"/>
        </w:rPr>
        <w:t xml:space="preserve">pred_sp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unique</w:t>
      </w:r>
      <w:r>
        <w:rPr>
          <w:rStyle w:val="NormalTok"/>
        </w:rPr>
        <w:t xml:space="preserve">(tm</w:t>
      </w:r>
      <w:r>
        <w:rPr>
          <w:rStyle w:val="SpecialCharTok"/>
        </w:rPr>
        <w:t xml:space="preserve">$</w:t>
      </w:r>
      <w:r>
        <w:rPr>
          <w:rStyle w:val="NormalTok"/>
        </w:rPr>
        <w:t xml:space="preserve">species)) {</w:t>
      </w:r>
      <w:r>
        <w:br/>
      </w:r>
      <w:r>
        <w:rPr>
          <w:rStyle w:val="NormalTok"/>
        </w:rPr>
        <w:t xml:space="preserve">  i </w:t>
      </w:r>
      <w:r>
        <w:rPr>
          <w:rStyle w:val="OtherTok"/>
        </w:rPr>
        <w:t xml:space="preserve">&lt;-</w:t>
      </w:r>
      <w:r>
        <w:rPr>
          <w:rStyle w:val="NormalTok"/>
        </w:rPr>
        <w:t xml:space="preserve"> tm</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tm[i, ])</w:t>
      </w:r>
      <w:r>
        <w:br/>
      </w:r>
      <w:r>
        <w:rPr>
          <w:rStyle w:val="NormalTok"/>
        </w:rPr>
        <w:t xml:space="preserve">  pred_sp[i]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0.166    0.023   36.341   81.161   11.233    5.069    0.996</w:t>
      </w:r>
    </w:p>
    <w:p>
      <w:pPr>
        <w:pStyle w:val="FirstParagraph"/>
      </w:pPr>
      <w:r>
        <w:t xml:space="preserve">Fitting one equation per species halves the relative RMSE, from about 22 per cent to about 11. Under the crediting arithmetic below, that difference is worth real money, and it required no new field data, only refusing to pool species that scale differently.</w:t>
      </w:r>
    </w:p>
    <w:bookmarkEnd w:id="121"/>
    <w:bookmarkStart w:id="122" w:name="cross-validation"/>
    <w:p>
      <w:pPr>
        <w:pStyle w:val="Heading2"/>
      </w:pPr>
      <w:r>
        <w:t xml:space="preserve">7.5 Cross-validation</w:t>
      </w:r>
    </w:p>
    <w:p>
      <w:pPr>
        <w:pStyle w:val="FirstParagraph"/>
      </w:pPr>
      <w:r>
        <w:t xml:space="preserve">Every number in the previous section is optimistic, because the model was scored on the same trees that determined its coefficients. Out-of-sample error is what a prediction on a new tree will actually cost, and cross-validation estimates it by repeatedly holding data back</w:t>
      </w:r>
      <w:r>
        <w:t xml:space="preserve"> </w:t>
      </w:r>
      <w:r>
        <w:t xml:space="preserve">(Hastie et al., 2009)</w:t>
      </w:r>
      <w:r>
        <w:t xml:space="preserve">.</w:t>
      </w:r>
    </w:p>
    <w:p>
      <w:pPr>
        <w:pStyle w:val="BodyText"/>
      </w:pPr>
      <w:r>
        <w:t xml:space="preserve">The standard device is</w:t>
      </w:r>
      <w:r>
        <w:t xml:space="preserve"> </w:t>
      </w:r>
      <m:oMath>
        <m:r>
          <m:t>k</m:t>
        </m:r>
      </m:oMath>
      <w:r>
        <w:t xml:space="preserve">-fold: split the data into</w:t>
      </w:r>
      <w:r>
        <w:t xml:space="preserve"> </w:t>
      </w:r>
      <m:oMath>
        <m:r>
          <m:t>k</m:t>
        </m:r>
      </m:oMath>
      <w:r>
        <w:t xml:space="preserve"> </w:t>
      </w:r>
      <w:r>
        <w:t xml:space="preserve">parts, fit on</w:t>
      </w:r>
      <w:r>
        <w:t xml:space="preserve"> </w:t>
      </w:r>
      <m:oMath>
        <m:r>
          <m:t>k</m:t>
        </m:r>
        <m:r>
          <m:rPr>
            <m:sty m:val="p"/>
          </m:rPr>
          <m:t>−</m:t>
        </m:r>
        <m:r>
          <m:t>1</m:t>
        </m:r>
      </m:oMath>
      <w:r>
        <w:t xml:space="preserve"> </w:t>
      </w:r>
      <w:r>
        <w:t xml:space="preserve">and predict the one held out, rotating until every observation has been predicted by a model that never saw it.</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DecValTok"/>
        </w:rPr>
        <w:t xml:space="preserve">10</w:t>
      </w:r>
      <w:r>
        <w:br/>
      </w:r>
      <w:r>
        <w:rPr>
          <w:rStyle w:val="NormalTok"/>
        </w:rPr>
        <w:t xml:space="preserve">fold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k, </w:t>
      </w:r>
      <w:r>
        <w:rPr>
          <w:rStyle w:val="AttributeTok"/>
        </w:rPr>
        <w:t xml:space="preserve">length.out =</w:t>
      </w:r>
      <w:r>
        <w:rPr>
          <w:rStyle w:val="NormalTok"/>
        </w:rPr>
        <w:t xml:space="preserve"> </w:t>
      </w:r>
      <w:r>
        <w:rPr>
          <w:rStyle w:val="FunctionTok"/>
        </w:rPr>
        <w:t xml:space="preserve">nrow</w:t>
      </w:r>
      <w:r>
        <w:rPr>
          <w:rStyle w:val="NormalTok"/>
        </w:rPr>
        <w:t xml:space="preserve">(tm)))</w:t>
      </w:r>
      <w:r>
        <w:br/>
      </w:r>
      <w:r>
        <w:rPr>
          <w:rStyle w:val="NormalTok"/>
        </w:rPr>
        <w:t xml:space="preserve">p_cv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k)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tm[fold </w:t>
      </w:r>
      <w:r>
        <w:rPr>
          <w:rStyle w:val="SpecialCharTok"/>
        </w:rPr>
        <w:t xml:space="preserve">!=</w:t>
      </w:r>
      <w:r>
        <w:rPr>
          <w:rStyle w:val="NormalTok"/>
        </w:rPr>
        <w:t xml:space="preserve"> i, ])</w:t>
      </w:r>
      <w:r>
        <w:br/>
      </w:r>
      <w:r>
        <w:rPr>
          <w:rStyle w:val="NormalTok"/>
        </w:rPr>
        <w:t xml:space="preserve">  p_cv[fold </w:t>
      </w:r>
      <w:r>
        <w:rPr>
          <w:rStyle w:val="SpecialCharTok"/>
        </w:rPr>
        <w:t xml:space="preserve">==</w:t>
      </w:r>
      <w:r>
        <w:rPr>
          <w:rStyle w:val="NormalTok"/>
        </w:rPr>
        <w:t xml:space="preserve"> 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tm[fold </w:t>
      </w:r>
      <w:r>
        <w:rPr>
          <w:rStyle w:val="SpecialCharTok"/>
        </w:rPr>
        <w:t xml:space="preserve">==</w:t>
      </w:r>
      <w:r>
        <w:rPr>
          <w:rStyle w:val="NormalTok"/>
        </w:rPr>
        <w:t xml:space="preserve"> 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p_cv),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1.944    0.269   69.050  161.257   22.318   10.362    0.982</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"rmse"</w:t>
      </w:r>
      <w:r>
        <w:rPr>
          <w:rStyle w:val="NormalTok"/>
        </w:rPr>
        <w:t xml:space="preserve">] </w:t>
      </w:r>
      <w:r>
        <w:rPr>
          <w:rStyle w:val="SpecialCharTok"/>
        </w:rPr>
        <w:t xml:space="preserve">/</w:t>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 p_cv)[</w:t>
      </w:r>
      <w:r>
        <w:rPr>
          <w:rStyle w:val="StringTok"/>
        </w:rPr>
        <w:t xml:space="preserve">"rmse"</w:t>
      </w:r>
      <w:r>
        <w:rPr>
          <w:rStyle w:val="NormalTok"/>
        </w:rPr>
        <w:t xml:space="preserve">], </w:t>
      </w:r>
      <w:r>
        <w:rPr>
          <w:rStyle w:val="DecValTok"/>
        </w:rPr>
        <w:t xml:space="preserve">4</w:t>
      </w:r>
      <w:r>
        <w:rPr>
          <w:rStyle w:val="NormalTok"/>
        </w:rPr>
        <w:t xml:space="preserve">)</w:t>
      </w:r>
      <w:r>
        <w:br/>
      </w:r>
      <w:r>
        <w:rPr>
          <w:rStyle w:val="CommentTok"/>
        </w:rPr>
        <w:t xml:space="preserve">#&gt;   rmse </w:t>
      </w:r>
      <w:r>
        <w:br/>
      </w:r>
      <w:r>
        <w:rPr>
          <w:rStyle w:val="CommentTok"/>
        </w:rPr>
        <w:t xml:space="preserve">#&gt; 0.9954</w:t>
      </w:r>
    </w:p>
    <w:p>
      <w:pPr>
        <w:pStyle w:val="FirstParagraph"/>
      </w:pPr>
      <w:r>
        <w:t xml:space="preserve">The cross-validated error is essentially identical to the in-sample error, a ratio of 0.995. This is the honest result and it is worth dwelling on, because the reflex that cross-validation always exposes a worse number is wrong. Two parameters fitted to 6,681 observations cannot overfit; there is nothing to discover. Optimism is a function of model flexibility relative to sample size, not a tax on having been evaluated.</w:t>
      </w:r>
    </w:p>
    <w:p>
      <w:pPr>
        <w:pStyle w:val="BodyText"/>
      </w:pPr>
      <w:r>
        <w:t xml:space="preserve">Where it does bite is where forest data usually sits: a small sample and a model free enough to chase it. Take twenty-five trees and fit polynomials of rising degree, scoring each both in-sample and by leave-one-out:</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s </w:t>
      </w:r>
      <w:r>
        <w:rPr>
          <w:rStyle w:val="OtherTok"/>
        </w:rPr>
        <w:t xml:space="preserve">&lt;-</w:t>
      </w:r>
      <w:r>
        <w:rPr>
          <w:rStyle w:val="NormalTok"/>
        </w:rPr>
        <w:t xml:space="preserve"> tm[</w:t>
      </w:r>
      <w:r>
        <w:rPr>
          <w:rStyle w:val="FunctionTok"/>
        </w:rPr>
        <w:t xml:space="preserve">sample</w:t>
      </w:r>
      <w:r>
        <w:rPr>
          <w:rStyle w:val="NormalTok"/>
        </w:rPr>
        <w:t xml:space="preserve">(</w:t>
      </w:r>
      <w:r>
        <w:rPr>
          <w:rStyle w:val="FunctionTok"/>
        </w:rPr>
        <w:t xml:space="preserve">nrow</w:t>
      </w:r>
      <w:r>
        <w:rPr>
          <w:rStyle w:val="NormalTok"/>
        </w:rPr>
        <w:t xml:space="preserve">(tm), </w:t>
      </w:r>
      <w:r>
        <w:rPr>
          <w:rStyle w:val="DecValTok"/>
        </w:rPr>
        <w:t xml:space="preserve">25</w:t>
      </w:r>
      <w:r>
        <w:rPr>
          <w:rStyle w:val="NormalTok"/>
        </w:rPr>
        <w:t xml:space="preserve">), ]</w:t>
      </w:r>
      <w:r>
        <w:br/>
      </w:r>
      <w:r>
        <w:rPr>
          <w:rStyle w:val="NormalTok"/>
        </w:rPr>
        <w:t xml:space="preserve">rmse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sqrt</w:t>
      </w:r>
      <w:r>
        <w:rPr>
          <w:rStyle w:val="NormalTok"/>
        </w:rPr>
        <w:t xml:space="preserve">(</w:t>
      </w:r>
      <w:r>
        <w:rPr>
          <w:rStyle w:val="FunctionTok"/>
        </w:rPr>
        <w:t xml:space="preserve">mean</w:t>
      </w:r>
      <w:r>
        <w:rPr>
          <w:rStyle w:val="NormalTok"/>
        </w:rPr>
        <w:t xml:space="preserve">((a </w:t>
      </w:r>
      <w:r>
        <w:rPr>
          <w:rStyle w:val="SpecialCharTok"/>
        </w:rPr>
        <w:t xml:space="preserve">-</w:t>
      </w:r>
      <w:r>
        <w:rPr>
          <w:rStyle w:val="NormalTok"/>
        </w:rPr>
        <w:t xml:space="preserve"> b)</w:t>
      </w:r>
      <w:r>
        <w:rPr>
          <w:rStyle w:val="SpecialCharTok"/>
        </w:rPr>
        <w:t xml:space="preserve">^</w:t>
      </w:r>
      <w:r>
        <w:rPr>
          <w:rStyle w:val="DecValTok"/>
        </w:rPr>
        <w:t xml:space="preserve">2</w:t>
      </w:r>
      <w:r>
        <w:rPr>
          <w:rStyle w:val="NormalTok"/>
        </w:rPr>
        <w:t xml:space="preserve">))</w:t>
      </w:r>
      <w:r>
        <w:br/>
      </w:r>
      <w:r>
        <w:br/>
      </w:r>
      <w:r>
        <w:rPr>
          <w:rStyle w:val="NormalTok"/>
        </w:rPr>
        <w:t xml:space="preserve">cv_poly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ControlFlowTok"/>
        </w:rPr>
        <w:t xml:space="preserve">function</w:t>
      </w:r>
      <w:r>
        <w:rPr>
          <w:rStyle w:val="NormalTok"/>
        </w:rPr>
        <w:t xml:space="preserve">(d) {</w:t>
      </w:r>
      <w:r>
        <w:br/>
      </w:r>
      <w:r>
        <w:rPr>
          <w:rStyle w:val="NormalTok"/>
        </w:rPr>
        <w:t xml:space="preserve">  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br/>
      </w:r>
      <w:r>
        <w:rPr>
          <w:rStyle w:val="NormalTok"/>
        </w:rPr>
        <w:t xml:space="preserve">  loo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rPr>
          <w:rStyle w:val="SpecialCharTok"/>
        </w:rPr>
        <w:t xml:space="preserve">-</w:t>
      </w:r>
      <w:r>
        <w:rPr>
          <w:rStyle w:val="NormalTok"/>
        </w:rPr>
        <w:t xml:space="preserve">i, ])</w:t>
      </w:r>
      <w:r>
        <w:br/>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s[i, ]))</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degree =</w:t>
      </w:r>
      <w:r>
        <w:rPr>
          <w:rStyle w:val="NormalTok"/>
        </w:rPr>
        <w:t xml:space="preserve"> d, </w:t>
      </w:r>
      <w:r>
        <w:rPr>
          <w:rStyle w:val="AttributeTok"/>
        </w:rPr>
        <w:t xml:space="preserve">in_sample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fitted</w:t>
      </w:r>
      <w:r>
        <w:rPr>
          <w:rStyle w:val="NormalTok"/>
        </w:rPr>
        <w:t xml:space="preserve">(f))),</w:t>
      </w:r>
      <w:r>
        <w:br/>
      </w:r>
      <w:r>
        <w:rPr>
          <w:rStyle w:val="NormalTok"/>
        </w:rPr>
        <w:t xml:space="preserve">    </w:t>
      </w:r>
      <w:r>
        <w:rPr>
          <w:rStyle w:val="AttributeTok"/>
        </w:rPr>
        <w:t xml:space="preserve">loocv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loo))</w:t>
      </w:r>
      <w:r>
        <w:br/>
      </w:r>
      <w:r>
        <w:rPr>
          <w:rStyle w:val="NormalTok"/>
        </w:rPr>
        <w:t xml:space="preserve">}))</w:t>
      </w:r>
      <w:r>
        <w:br/>
      </w:r>
      <w:r>
        <w:rPr>
          <w:rStyle w:val="FunctionTok"/>
        </w:rPr>
        <w:t xml:space="preserve">round</w:t>
      </w:r>
      <w:r>
        <w:rPr>
          <w:rStyle w:val="NormalTok"/>
        </w:rPr>
        <w:t xml:space="preserve">(cv_poly, </w:t>
      </w:r>
      <w:r>
        <w:rPr>
          <w:rStyle w:val="DecValTok"/>
        </w:rPr>
        <w:t xml:space="preserve">1</w:t>
      </w:r>
      <w:r>
        <w:rPr>
          <w:rStyle w:val="NormalTok"/>
        </w:rPr>
        <w:t xml:space="preserve">)</w:t>
      </w:r>
      <w:r>
        <w:br/>
      </w:r>
      <w:r>
        <w:rPr>
          <w:rStyle w:val="CommentTok"/>
        </w:rPr>
        <w:t xml:space="preserve">#&gt;      degree in_sample loocv</w:t>
      </w:r>
      <w:r>
        <w:br/>
      </w:r>
      <w:r>
        <w:rPr>
          <w:rStyle w:val="CommentTok"/>
        </w:rPr>
        <w:t xml:space="preserve">#&gt; [1,]      1     100.0 114.1</w:t>
      </w:r>
      <w:r>
        <w:br/>
      </w:r>
      <w:r>
        <w:rPr>
          <w:rStyle w:val="CommentTok"/>
        </w:rPr>
        <w:t xml:space="preserve">#&gt; [2,]      2      90.0 114.5</w:t>
      </w:r>
      <w:r>
        <w:br/>
      </w:r>
      <w:r>
        <w:rPr>
          <w:rStyle w:val="CommentTok"/>
        </w:rPr>
        <w:t xml:space="preserve">#&gt; [3,]      3      94.2 130.5</w:t>
      </w:r>
      <w:r>
        <w:br/>
      </w:r>
      <w:r>
        <w:rPr>
          <w:rStyle w:val="CommentTok"/>
        </w:rPr>
        <w:t xml:space="preserve">#&gt; [4,]      4      82.5 124.9</w:t>
      </w:r>
      <w:r>
        <w:br/>
      </w:r>
      <w:r>
        <w:rPr>
          <w:rStyle w:val="CommentTok"/>
        </w:rPr>
        <w:t xml:space="preserve">#&gt; [5,]      5      84.8 168.4</w:t>
      </w:r>
      <w:r>
        <w:br/>
      </w:r>
      <w:r>
        <w:rPr>
          <w:rStyle w:val="CommentTok"/>
        </w:rPr>
        <w:t xml:space="preserve">#&gt; [6,]      6      89.9 160.0</w:t>
      </w:r>
      <w:r>
        <w:br/>
      </w:r>
      <w:r>
        <w:rPr>
          <w:rStyle w:val="CommentTok"/>
        </w:rPr>
        <w:t xml:space="preserve">#&gt; [7,]      7      72.6 181.2</w:t>
      </w:r>
      <w:r>
        <w:br/>
      </w:r>
      <w:r>
        <w:rPr>
          <w:rStyle w:val="CommentTok"/>
        </w:rPr>
        <w:t xml:space="preserve">#&gt; [8,]      8     100.1 398.7</w:t>
      </w:r>
    </w:p>
    <w:p>
      <w:pPr>
        <w:pStyle w:val="FirstParagraph"/>
      </w:pPr>
      <w:r>
        <w:t xml:space="preserve">The two columns move in opposite directions. In-sample RMSE falls as the curve bends to meet the points; leave-one-out RMSE rises, and by degree eight it is more than three times the honest error of a straight line. Chosen on fit alone, the worst model looks the best. This is the entire argument for validating out of sample, and it is why the straight log-log line has survived a century of allometry.</w:t>
      </w:r>
    </w:p>
    <w:p>
      <w:pPr>
        <w:pStyle w:val="BodyText"/>
      </w:pPr>
      <w:r>
        <w:t xml:space="preserve">Which regime to use is a real choice. Leave-one-out fits</w:t>
      </w:r>
      <w:r>
        <w:t xml:space="preserve"> </w:t>
      </w:r>
      <m:oMath>
        <m:r>
          <m:t>n</m:t>
        </m:r>
      </m:oMath>
      <w:r>
        <w:t xml:space="preserve"> </w:t>
      </w:r>
      <w:r>
        <w:t xml:space="preserve">models, is nearly unbiased, but has high variance and costs</w:t>
      </w:r>
      <w:r>
        <w:t xml:space="preserve"> </w:t>
      </w:r>
      <m:oMath>
        <m:r>
          <m:t>n</m:t>
        </m:r>
      </m:oMath>
      <w:r>
        <w:t xml:space="preserve"> </w:t>
      </w:r>
      <w:r>
        <w:t xml:space="preserve">fits, which is fine at 25 trees and absurd at 6,681. Ten-fold costs ten fits and trades a little bias for much lower variance, and is the usual default. Monte Carlo cross-validation, also called repeated leave-group-out, draws a fresh random split many times, which decouples the number of repetitions from the sample size and, because every repetition gives a complete error estimate, yields a distribution rather than a point. For biomass work the split should be stratified by size class, so that a random draw cannot under-represent the large trees that dominate the total:</w:t>
      </w:r>
    </w:p>
    <w:p>
      <w:pPr>
        <w:pStyle w:val="SourceCode"/>
      </w:pPr>
      <w:r>
        <w:rPr>
          <w:rStyle w:val="FunctionTok"/>
        </w:rPr>
        <w:t xml:space="preserve">set.seed</w:t>
      </w:r>
      <w:r>
        <w:rPr>
          <w:rStyle w:val="NormalTok"/>
        </w:rPr>
        <w:t xml:space="preserve">(</w:t>
      </w:r>
      <w:r>
        <w:rPr>
          <w:rStyle w:val="DecValTok"/>
        </w:rPr>
        <w:t xml:space="preserve">8787</w:t>
      </w:r>
      <w:r>
        <w:rPr>
          <w:rStyle w:val="NormalTok"/>
        </w:rPr>
        <w:t xml:space="preserve">)</w:t>
      </w:r>
      <w:r>
        <w:br/>
      </w:r>
      <w:r>
        <w:rPr>
          <w:rStyle w:val="NormalTok"/>
        </w:rPr>
        <w:t xml:space="preserve">mc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replicate</w:t>
      </w:r>
      <w:r>
        <w:rPr>
          <w:rStyle w:val="NormalTok"/>
        </w:rPr>
        <w:t xml:space="preserve">(</w:t>
      </w:r>
      <w:r>
        <w:rPr>
          <w:rStyle w:val="DecValTok"/>
        </w:rPr>
        <w:t xml:space="preserve">100</w:t>
      </w:r>
      <w:r>
        <w:rPr>
          <w:rStyle w:val="NormalTok"/>
        </w:rPr>
        <w:t xml:space="preserve">, {</w:t>
      </w:r>
      <w:r>
        <w:br/>
      </w:r>
      <w:r>
        <w:rPr>
          <w:rStyle w:val="NormalTok"/>
        </w:rPr>
        <w:t xml:space="preserve">  tr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(i)))))</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tm[tr, ])</w:t>
      </w:r>
      <w:r>
        <w:br/>
      </w:r>
      <w:r>
        <w:rPr>
          <w:rStyle w:val="NormalTok"/>
        </w:rPr>
        <w:t xml:space="preserve">  te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tr)</w:t>
      </w:r>
      <w:r>
        <w:br/>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agb_kg[te], </w:t>
      </w:r>
      <w:r>
        <w:rPr>
          <w:rStyle w:val="FunctionTok"/>
        </w:rPr>
        <w:t xml:space="preserve">exp</w:t>
      </w:r>
      <w:r>
        <w:rPr>
          <w:rStyle w:val="NormalTok"/>
        </w:rPr>
        <w:t xml:space="preserve">(</w:t>
      </w:r>
      <w:r>
        <w:rPr>
          <w:rStyle w:val="FunctionTok"/>
        </w:rPr>
        <w:t xml:space="preserve">predict</w:t>
      </w:r>
      <w:r>
        <w:rPr>
          <w:rStyle w:val="NormalTok"/>
        </w:rPr>
        <w:t xml:space="preserve">(m, tm[te,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rbind</w:t>
      </w:r>
      <w:r>
        <w:rPr>
          <w:rStyle w:val="NormalTok"/>
        </w:rPr>
        <w:t xml:space="preserve">(</w:t>
      </w:r>
      <w:r>
        <w:rPr>
          <w:rStyle w:val="AttributeTok"/>
        </w:rPr>
        <w:t xml:space="preserve">mean =</w:t>
      </w:r>
      <w:r>
        <w:rPr>
          <w:rStyle w:val="NormalTok"/>
        </w:rPr>
        <w:t xml:space="preserve"> </w:t>
      </w:r>
      <w:r>
        <w:rPr>
          <w:rStyle w:val="FunctionTok"/>
        </w:rPr>
        <w:t xml:space="preserve">colMeans</w:t>
      </w:r>
      <w:r>
        <w:rPr>
          <w:rStyle w:val="NormalTok"/>
        </w:rPr>
        <w:t xml:space="preserve">(mc), </w:t>
      </w:r>
      <w:r>
        <w:rPr>
          <w:rStyle w:val="AttributeTok"/>
        </w:rPr>
        <w:t xml:space="preserve">sd =</w:t>
      </w:r>
      <w:r>
        <w:rPr>
          <w:rStyle w:val="NormalTok"/>
        </w:rPr>
        <w:t xml:space="preserve"> </w:t>
      </w:r>
      <w:r>
        <w:rPr>
          <w:rStyle w:val="FunctionTok"/>
        </w:rPr>
        <w:t xml:space="preserve">apply</w:t>
      </w:r>
      <w:r>
        <w:rPr>
          <w:rStyle w:val="NormalTok"/>
        </w:rPr>
        <w:t xml:space="preserve">(mc,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CommentTok"/>
        </w:rPr>
        <w:t xml:space="preserve">#&gt;       bias rel_bias    mae    rmse rel_rmse   mape    r2</w:t>
      </w:r>
      <w:r>
        <w:br/>
      </w:r>
      <w:r>
        <w:rPr>
          <w:rStyle w:val="CommentTok"/>
        </w:rPr>
        <w:t xml:space="preserve">#&gt; mean 2.488    0.344 68.913 158.667   21.912 10.351 0.982</w:t>
      </w:r>
      <w:r>
        <w:br/>
      </w:r>
      <w:r>
        <w:rPr>
          <w:rStyle w:val="CommentTok"/>
        </w:rPr>
        <w:t xml:space="preserve">#&gt; sd   4.260    0.588  3.156  18.946    2.372  0.168 0.004</w:t>
      </w:r>
      <w:r>
        <w:br/>
      </w:r>
      <w:r>
        <w:rPr>
          <w:rStyle w:val="FunctionTok"/>
        </w:rPr>
        <w:t xml:space="preserve">round</w:t>
      </w:r>
      <w:r>
        <w:rPr>
          <w:rStyle w:val="NormalTok"/>
        </w:rPr>
        <w:t xml:space="preserve">(</w:t>
      </w:r>
      <w:r>
        <w:rPr>
          <w:rStyle w:val="FunctionTok"/>
        </w:rPr>
        <w:t xml:space="preserve">quantile</w:t>
      </w:r>
      <w:r>
        <w:rPr>
          <w:rStyle w:val="NormalTok"/>
        </w:rPr>
        <w:t xml:space="preserve">(mc[, </w:t>
      </w:r>
      <w:r>
        <w:rPr>
          <w:rStyle w:val="StringTok"/>
        </w:rPr>
        <w:t xml:space="preserve">"rel_rmse"</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CommentTok"/>
        </w:rPr>
        <w:t xml:space="preserve">#&gt;  2.5% 97.5% </w:t>
      </w:r>
      <w:r>
        <w:br/>
      </w:r>
      <w:r>
        <w:rPr>
          <w:rStyle w:val="CommentTok"/>
        </w:rPr>
        <w:t xml:space="preserve">#&gt; 17.97 26.75</w:t>
      </w:r>
    </w:p>
    <w:p>
      <w:pPr>
        <w:pStyle w:val="FirstParagraph"/>
      </w:pPr>
      <w:r>
        <w:t xml:space="preserve">The mean relative RMSE agrees with the ten-fold figure, but the spread across repetitions is the extra information: the estimate is itself uncertain, and quoting it to three significant figures from a single split would overstate what is known. That distribution is the honest input to a deduction, and it is what the standards are asking for when they require an uncertainty estimate rather than a residual statistic.</w:t>
      </w:r>
    </w:p>
    <w:p>
      <w:pPr>
        <w:pStyle w:val="SourceCode"/>
      </w:pPr>
      <w:r>
        <w:rPr>
          <w:rStyle w:val="NormalTok"/>
        </w:rPr>
        <w:t xml:space="preserve">art_deduction </w:t>
      </w:r>
      <w:r>
        <w:rPr>
          <w:rStyle w:val="OtherTok"/>
        </w:rPr>
        <w:t xml:space="preserve">&lt;-</w:t>
      </w:r>
      <w:r>
        <w:rPr>
          <w:rStyle w:val="NormalTok"/>
        </w:rPr>
        <w:t xml:space="preserve"> </w:t>
      </w:r>
      <w:r>
        <w:rPr>
          <w:rStyle w:val="ControlFlowTok"/>
        </w:rPr>
        <w:t xml:space="preserve">function</w:t>
      </w:r>
      <w:r>
        <w:rPr>
          <w:rStyle w:val="NormalTok"/>
        </w:rPr>
        <w:t xml:space="preserve">(rel_rmse_pct) {</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(rel_rmse_pct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1.645006</w:t>
      </w:r>
      <w:r>
        <w:br/>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in_sample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"rel_rmse"</w:t>
      </w:r>
      <w:r>
        <w:rPr>
          <w:rStyle w:val="NormalTok"/>
        </w:rPr>
        <w:t xml:space="preserve">]),</w:t>
      </w:r>
      <w:r>
        <w:br/>
      </w:r>
      <w:r>
        <w:rPr>
          <w:rStyle w:val="NormalTok"/>
        </w:rPr>
        <w:t xml:space="preserve">        </w:t>
      </w:r>
      <w:r>
        <w:rPr>
          <w:rStyle w:val="AttributeTok"/>
        </w:rPr>
        <w:t xml:space="preserve">cross_val =</w:t>
      </w:r>
      <w:r>
        <w:rPr>
          <w:rStyle w:val="NormalTok"/>
        </w:rPr>
        <w:t xml:space="preserve"> </w:t>
      </w:r>
      <w:r>
        <w:rPr>
          <w:rStyle w:val="FunctionTok"/>
        </w:rPr>
        <w:t xml:space="preserve">art_deduction</w:t>
      </w:r>
      <w:r>
        <w:rPr>
          <w:rStyle w:val="NormalTok"/>
        </w:rPr>
        <w:t xml:space="preserve">(</w:t>
      </w:r>
      <w:r>
        <w:rPr>
          <w:rStyle w:val="FunctionTok"/>
        </w:rPr>
        <w:t xml:space="preserve">mean</w:t>
      </w:r>
      <w:r>
        <w:rPr>
          <w:rStyle w:val="NormalTok"/>
        </w:rPr>
        <w:t xml:space="preserve">(mc[, </w:t>
      </w:r>
      <w:r>
        <w:rPr>
          <w:rStyle w:val="StringTok"/>
        </w:rPr>
        <w:t xml:space="preserve">"rel_rmse"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w:t>
      </w:r>
      <w:r>
        <w:rPr>
          <w:rStyle w:val="StringTok"/>
        </w:rPr>
        <w:t xml:space="preserve">"rel_rmse"</w:t>
      </w:r>
      <w:r>
        <w:rPr>
          <w:rStyle w:val="NormalTok"/>
        </w:rPr>
        <w:t xml:space="preserve">])), </w:t>
      </w:r>
      <w:r>
        <w:rPr>
          <w:rStyle w:val="DecValTok"/>
        </w:rPr>
        <w:t xml:space="preserve">2</w:t>
      </w:r>
      <w:r>
        <w:rPr>
          <w:rStyle w:val="NormalTok"/>
        </w:rPr>
        <w:t xml:space="preserve">)</w:t>
      </w:r>
      <w:r>
        <w:br/>
      </w:r>
      <w:r>
        <w:rPr>
          <w:rStyle w:val="CommentTok"/>
        </w:rPr>
        <w:t xml:space="preserve">#&gt; in_sample.rel_rmse          cross_val   species.rel_rmse </w:t>
      </w:r>
      <w:r>
        <w:br/>
      </w:r>
      <w:r>
        <w:rPr>
          <w:rStyle w:val="CommentTok"/>
        </w:rPr>
        <w:t xml:space="preserve">#&gt;               7.08               6.99               3.58</w:t>
      </w:r>
    </w:p>
    <w:p>
      <w:pPr>
        <w:pStyle w:val="FirstParagraph"/>
      </w:pPr>
      <w:r>
        <w:t xml:space="preserve">The deduction is roughly proportional to the relative RMSE, so halving the error by fitting per species roughly halves the credits forgone. That is the loop this chapter has been building: a metric, estimated honestly out of sample, converted into a quantity of carbon that the project does not get paid for.</w:t>
      </w:r>
    </w:p>
    <w:bookmarkEnd w:id="122"/>
    <w:bookmarkStart w:id="126" w:name="monte-carlo-propagation"/>
    <w:p>
      <w:pPr>
        <w:pStyle w:val="Heading2"/>
      </w:pPr>
      <w:r>
        <w:t xml:space="preserve">7.6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24" name="Picture"/>
            <a:graphic>
              <a:graphicData uri="http://schemas.openxmlformats.org/drawingml/2006/picture">
                <pic:pic>
                  <pic:nvPicPr>
                    <pic:cNvPr descr="07-uncertainty_files/figure-docx/unnamed-chunk-12-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bookmarkStart w:id="127" w:name="conservative-estimates"/>
    <w:p>
      <w:pPr>
        <w:pStyle w:val="Heading2"/>
      </w:pPr>
      <w:r>
        <w:t xml:space="preserve">7.7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27"/>
    <w:bookmarkStart w:id="128" w:name="keystone-area-adjusted-accuracy"/>
    <w:p>
      <w:pPr>
        <w:pStyle w:val="Heading2"/>
      </w:pPr>
      <w:r>
        <w:t xml:space="preserve">7.8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28"/>
    <w:bookmarkStart w:id="132" w:name="reported-against-adjusted"/>
    <w:p>
      <w:pPr>
        <w:pStyle w:val="Heading2"/>
      </w:pPr>
      <w:r>
        <w:t xml:space="preserve">7.9 Reported against adjusted</w:t>
      </w:r>
    </w:p>
    <w:p>
      <w:pPr>
        <w:pStyle w:val="FirstParagraph"/>
      </w:pPr>
      <w:r>
        <w:t xml:space="preserve">One year in isolation understates what this correction does. A crediting period runs for a decade, the adjustment is applied every year, and the interesting quantity is the gap between what a project reports and what it can defend. We run the same estimator across an eight-year record of mapped forest loss. Each year has its own reference sample and its own error rates, and both degrade towards the present, because recent imagery has had less interpretation effort and the map is harder to validate close to the reporting date.</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2017</w:t>
      </w:r>
      <w:r>
        <w:rPr>
          <w:rStyle w:val="SpecialCharTok"/>
        </w:rPr>
        <w:t xml:space="preserve">:</w:t>
      </w:r>
      <w:r>
        <w:rPr>
          <w:rStyle w:val="DecValTok"/>
        </w:rPr>
        <w:t xml:space="preserve">2024</w:t>
      </w:r>
      <w:r>
        <w:br/>
      </w:r>
      <w:r>
        <w:rPr>
          <w:rStyle w:val="NormalTok"/>
        </w:rPr>
        <w:t xml:space="preserve">Atot   </w:t>
      </w:r>
      <w:r>
        <w:rPr>
          <w:rStyle w:val="OtherTok"/>
        </w:rPr>
        <w:t xml:space="preserve">&lt;-</w:t>
      </w:r>
      <w:r>
        <w:rPr>
          <w:rStyle w:val="NormalTok"/>
        </w:rPr>
        <w:t xml:space="preserve"> </w:t>
      </w:r>
      <w:r>
        <w:rPr>
          <w:rStyle w:val="DecValTok"/>
        </w:rPr>
        <w:t xml:space="preserve">250000</w:t>
      </w:r>
      <w:r>
        <w:rPr>
          <w:rStyle w:val="NormalTok"/>
        </w:rPr>
        <w:t xml:space="preserve">                              </w:t>
      </w:r>
      <w:r>
        <w:rPr>
          <w:rStyle w:val="CommentTok"/>
        </w:rPr>
        <w:t xml:space="preserve"># ha in the accounting area</w:t>
      </w:r>
      <w:r>
        <w:br/>
      </w:r>
      <w:r>
        <w:rPr>
          <w:rStyle w:val="NormalTok"/>
        </w:rPr>
        <w:t xml:space="preserve">mapped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1200</w:t>
      </w:r>
      <w:r>
        <w:rPr>
          <w:rStyle w:val="NormalTok"/>
        </w:rPr>
        <w:t xml:space="preserve">, </w:t>
      </w:r>
      <w:r>
        <w:rPr>
          <w:rStyle w:val="DecValTok"/>
        </w:rPr>
        <w:t xml:space="preserve">2400</w:t>
      </w:r>
      <w:r>
        <w:rPr>
          <w:rStyle w:val="NormalTok"/>
        </w:rPr>
        <w:t xml:space="preserve">, </w:t>
      </w:r>
      <w:r>
        <w:rPr>
          <w:rStyle w:val="DecValTok"/>
        </w:rPr>
        <w:t xml:space="preserve">4100</w:t>
      </w:r>
      <w:r>
        <w:rPr>
          <w:rStyle w:val="NormalTok"/>
        </w:rPr>
        <w:t xml:space="preserve">, </w:t>
      </w:r>
      <w:r>
        <w:rPr>
          <w:rStyle w:val="DecValTok"/>
        </w:rPr>
        <w:t xml:space="preserve">3300</w:t>
      </w:r>
      <w:r>
        <w:rPr>
          <w:rStyle w:val="NormalTok"/>
        </w:rPr>
        <w:t xml:space="preserve">, </w:t>
      </w:r>
      <w:r>
        <w:rPr>
          <w:rStyle w:val="DecValTok"/>
        </w:rPr>
        <w:t xml:space="preserve">3500</w:t>
      </w:r>
      <w:r>
        <w:rPr>
          <w:rStyle w:val="NormalTok"/>
        </w:rPr>
        <w:t xml:space="preserve">, </w:t>
      </w:r>
      <w:r>
        <w:rPr>
          <w:rStyle w:val="DecValTok"/>
        </w:rPr>
        <w:t xml:space="preserve">3700</w:t>
      </w:r>
      <w:r>
        <w:rPr>
          <w:rStyle w:val="NormalTok"/>
        </w:rPr>
        <w:t xml:space="preserve">, </w:t>
      </w:r>
      <w:r>
        <w:rPr>
          <w:rStyle w:val="DecValTok"/>
        </w:rPr>
        <w:t xml:space="preserve">6900</w:t>
      </w:r>
      <w:r>
        <w:rPr>
          <w:rStyle w:val="NormalTok"/>
        </w:rPr>
        <w:t xml:space="preserve">, </w:t>
      </w:r>
      <w:r>
        <w:rPr>
          <w:rStyle w:val="DecValTok"/>
        </w:rPr>
        <w:t xml:space="preserve">9200</w:t>
      </w:r>
      <w:r>
        <w:rPr>
          <w:rStyle w:val="NormalTok"/>
        </w:rPr>
        <w:t xml:space="preserve">)   </w:t>
      </w:r>
      <w:r>
        <w:rPr>
          <w:rStyle w:val="CommentTok"/>
        </w:rPr>
        <w:t xml:space="preserve"># ha mapped as loss</w:t>
      </w:r>
      <w:r>
        <w:br/>
      </w:r>
      <w:r>
        <w:br/>
      </w:r>
      <w:r>
        <w:rPr>
          <w:rStyle w:val="CommentTok"/>
        </w:rPr>
        <w:t xml:space="preserve"># reference sample sizes thin out in recent years</w:t>
      </w:r>
      <w:r>
        <w:br/>
      </w:r>
      <w:r>
        <w:rPr>
          <w:rStyle w:val="NormalTok"/>
        </w:rPr>
        <w:t xml:space="preserve">n_chg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140</w:t>
      </w:r>
      <w:r>
        <w:rPr>
          <w:rStyle w:val="NormalTok"/>
        </w:rPr>
        <w:t xml:space="preserve">, </w:t>
      </w:r>
      <w:r>
        <w:rPr>
          <w:rStyle w:val="DecValTok"/>
        </w:rPr>
        <w:t xml:space="preserve">130</w:t>
      </w:r>
      <w:r>
        <w:rPr>
          <w:rStyle w:val="NormalTok"/>
        </w:rPr>
        <w:t xml:space="preserve">,  </w:t>
      </w:r>
      <w:r>
        <w:rPr>
          <w:rStyle w:val="DecValTok"/>
        </w:rPr>
        <w:t xml:space="preserve">90</w:t>
      </w:r>
      <w:r>
        <w:rPr>
          <w:rStyle w:val="NormalTok"/>
        </w:rPr>
        <w:t xml:space="preserve">,  </w:t>
      </w:r>
      <w:r>
        <w:rPr>
          <w:rStyle w:val="DecValTok"/>
        </w:rPr>
        <w:t xml:space="preserve">60</w:t>
      </w:r>
      <w:r>
        <w:rPr>
          <w:rStyle w:val="NormalTok"/>
        </w:rPr>
        <w:t xml:space="preserve">)</w:t>
      </w:r>
      <w:r>
        <w:br/>
      </w:r>
      <w:r>
        <w:rPr>
          <w:rStyle w:val="NormalTok"/>
        </w:rPr>
        <w:t xml:space="preserve">n_stab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DecValTok"/>
        </w:rPr>
        <w:t xml:space="preserve">880</w:t>
      </w:r>
      <w:r>
        <w:rPr>
          <w:rStyle w:val="NormalTok"/>
        </w:rPr>
        <w:t xml:space="preserve">, </w:t>
      </w:r>
      <w:r>
        <w:rPr>
          <w:rStyle w:val="DecValTok"/>
        </w:rPr>
        <w:t xml:space="preserve">880</w:t>
      </w:r>
      <w:r>
        <w:rPr>
          <w:rStyle w:val="NormalTok"/>
        </w:rPr>
        <w:t xml:space="preserve">, </w:t>
      </w:r>
      <w:r>
        <w:rPr>
          <w:rStyle w:val="DecValTok"/>
        </w:rPr>
        <w:t xml:space="preserve">850</w:t>
      </w:r>
      <w:r>
        <w:rPr>
          <w:rStyle w:val="NormalTok"/>
        </w:rPr>
        <w:t xml:space="preserve">, </w:t>
      </w:r>
      <w:r>
        <w:rPr>
          <w:rStyle w:val="DecValTok"/>
        </w:rPr>
        <w:t xml:space="preserve">800</w:t>
      </w:r>
      <w:r>
        <w:rPr>
          <w:rStyle w:val="NormalTok"/>
        </w:rPr>
        <w:t xml:space="preserve">, </w:t>
      </w:r>
      <w:r>
        <w:rPr>
          <w:rStyle w:val="DecValTok"/>
        </w:rPr>
        <w:t xml:space="preserve">520</w:t>
      </w:r>
      <w:r>
        <w:rPr>
          <w:rStyle w:val="NormalTok"/>
        </w:rPr>
        <w:t xml:space="preserve">, </w:t>
      </w:r>
      <w:r>
        <w:rPr>
          <w:rStyle w:val="DecValTok"/>
        </w:rPr>
        <w:t xml:space="preserve">340</w:t>
      </w:r>
      <w:r>
        <w:rPr>
          <w:rStyle w:val="NormalTok"/>
        </w:rPr>
        <w:t xml:space="preserve">)</w:t>
      </w:r>
      <w:r>
        <w:br/>
      </w:r>
      <w:r>
        <w:rPr>
          <w:rStyle w:val="CommentTok"/>
        </w:rPr>
        <w:t xml:space="preserve"># user's accuracy of the loss class, and omission from the stable stratum</w:t>
      </w:r>
      <w:r>
        <w:br/>
      </w:r>
      <w:r>
        <w:rPr>
          <w:rStyle w:val="NormalTok"/>
        </w:rPr>
        <w:t xml:space="preserve">ua_chg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0.79</w:t>
      </w:r>
      <w:r>
        <w:rPr>
          <w:rStyle w:val="NormalTok"/>
        </w:rPr>
        <w:t xml:space="preserve">, </w:t>
      </w:r>
      <w:r>
        <w:rPr>
          <w:rStyle w:val="FloatTok"/>
        </w:rPr>
        <w:t xml:space="preserve">0.80</w:t>
      </w:r>
      <w:r>
        <w:rPr>
          <w:rStyle w:val="NormalTok"/>
        </w:rPr>
        <w:t xml:space="preserve">, </w:t>
      </w:r>
      <w:r>
        <w:rPr>
          <w:rStyle w:val="FloatTok"/>
        </w:rPr>
        <w:t xml:space="preserve">0.78</w:t>
      </w:r>
      <w:r>
        <w:rPr>
          <w:rStyle w:val="NormalTok"/>
        </w:rPr>
        <w:t xml:space="preserve">, </w:t>
      </w:r>
      <w:r>
        <w:rPr>
          <w:rStyle w:val="FloatTok"/>
        </w:rPr>
        <w:t xml:space="preserve">0.80</w:t>
      </w:r>
      <w:r>
        <w:rPr>
          <w:rStyle w:val="NormalTok"/>
        </w:rPr>
        <w:t xml:space="preserve">, </w:t>
      </w:r>
      <w:r>
        <w:rPr>
          <w:rStyle w:val="FloatTok"/>
        </w:rPr>
        <w:t xml:space="preserve">0.79</w:t>
      </w:r>
      <w:r>
        <w:rPr>
          <w:rStyle w:val="NormalTok"/>
        </w:rPr>
        <w:t xml:space="preserve">, </w:t>
      </w:r>
      <w:r>
        <w:rPr>
          <w:rStyle w:val="FloatTok"/>
        </w:rPr>
        <w:t xml:space="preserve">0.77</w:t>
      </w:r>
      <w:r>
        <w:rPr>
          <w:rStyle w:val="NormalTok"/>
        </w:rPr>
        <w:t xml:space="preserve">, </w:t>
      </w:r>
      <w:r>
        <w:rPr>
          <w:rStyle w:val="FloatTok"/>
        </w:rPr>
        <w:t xml:space="preserve">0.72</w:t>
      </w:r>
      <w:r>
        <w:rPr>
          <w:rStyle w:val="NormalTok"/>
        </w:rPr>
        <w:t xml:space="preserve">, </w:t>
      </w:r>
      <w:r>
        <w:rPr>
          <w:rStyle w:val="FloatTok"/>
        </w:rPr>
        <w:t xml:space="preserve">0.68</w:t>
      </w:r>
      <w:r>
        <w:rPr>
          <w:rStyle w:val="NormalTok"/>
        </w:rPr>
        <w:t xml:space="preserve">)</w:t>
      </w:r>
      <w:r>
        <w:br/>
      </w:r>
      <w:r>
        <w:rPr>
          <w:rStyle w:val="NormalTok"/>
        </w:rPr>
        <w:t xml:space="preserve">om_stab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0.0022</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0.0026</w:t>
      </w:r>
      <w:r>
        <w:rPr>
          <w:rStyle w:val="NormalTok"/>
        </w:rPr>
        <w:t xml:space="preserve">, </w:t>
      </w:r>
      <w:r>
        <w:rPr>
          <w:rStyle w:val="FloatTok"/>
        </w:rPr>
        <w:t xml:space="preserve">0.0030</w:t>
      </w:r>
      <w:r>
        <w:rPr>
          <w:rStyle w:val="NormalTok"/>
        </w:rPr>
        <w:t xml:space="preserve">, </w:t>
      </w:r>
      <w:r>
        <w:rPr>
          <w:rStyle w:val="FloatTok"/>
        </w:rPr>
        <w:t xml:space="preserve">0.0034</w:t>
      </w:r>
      <w:r>
        <w:rPr>
          <w:rStyle w:val="NormalTok"/>
        </w:rPr>
        <w:t xml:space="preserve">)</w:t>
      </w:r>
      <w:r>
        <w:br/>
      </w:r>
      <w:r>
        <w:br/>
      </w:r>
      <w:r>
        <w:rPr>
          <w:rStyle w:val="NormalTok"/>
        </w:rPr>
        <w:t xml:space="preserve">est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W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w:t>
      </w:r>
      <w:r>
        <w:rPr>
          <w:rStyle w:val="NormalTok"/>
        </w:rPr>
        <w:t xml:space="preserve">(mapped[k], Atot </w:t>
      </w:r>
      <w:r>
        <w:rPr>
          <w:rStyle w:val="SpecialCharTok"/>
        </w:rPr>
        <w:t xml:space="preserve">-</w:t>
      </w:r>
      <w:r>
        <w:rPr>
          <w:rStyle w:val="NormalTok"/>
        </w:rPr>
        <w:t xml:space="preserve"> mapped[k]) </w:t>
      </w:r>
      <w:r>
        <w:rPr>
          <w:rStyle w:val="SpecialCharTok"/>
        </w:rPr>
        <w:t xml:space="preserve">/</w:t>
      </w:r>
      <w:r>
        <w:rPr>
          <w:rStyle w:val="NormalTok"/>
        </w:rPr>
        <w:t xml:space="preserve"> Atot)</w:t>
      </w:r>
      <w:r>
        <w:br/>
      </w:r>
      <w:r>
        <w:rPr>
          <w:rStyle w:val="NormalTok"/>
        </w:rPr>
        <w:t xml:space="preserve">  p </w:t>
      </w:r>
      <w:r>
        <w:rPr>
          <w:rStyle w:val="OtherTok"/>
        </w:rPr>
        <w:t xml:space="preserve">&lt;-</w:t>
      </w:r>
      <w:r>
        <w:rPr>
          <w:rStyle w:val="NormalTok"/>
        </w:rPr>
        <w:t xml:space="preserve"> W[</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rPr>
          <w:rStyle w:val="NormalTok"/>
        </w:rPr>
        <w:t xml:space="preserve"> om_stab[k]</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(n_chg[k]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(n_stab[k]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adjusted =</w:t>
      </w:r>
      <w:r>
        <w:rPr>
          <w:rStyle w:val="NormalTok"/>
        </w:rPr>
        <w:t xml:space="preserve"> Atot </w:t>
      </w:r>
      <w:r>
        <w:rPr>
          <w:rStyle w:val="SpecialCharTok"/>
        </w:rPr>
        <w:t xml:space="preserve">*</w:t>
      </w:r>
      <w:r>
        <w:rPr>
          <w:rStyle w:val="NormalTok"/>
        </w:rPr>
        <w:t xml:space="preserve"> p, </w:t>
      </w:r>
      <w:r>
        <w:rPr>
          <w:rStyle w:val="AttributeTok"/>
        </w:rPr>
        <w:t xml:space="preserve">ci =</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Atot </w:t>
      </w:r>
      <w:r>
        <w:rPr>
          <w:rStyle w:val="SpecialCharTok"/>
        </w:rPr>
        <w:t xml:space="preserve">*</w:t>
      </w:r>
      <w:r>
        <w:rPr>
          <w:rStyle w:val="NormalTok"/>
        </w:rPr>
        <w:t xml:space="preserve"> se)</w:t>
      </w:r>
      <w:r>
        <w:br/>
      </w:r>
      <w:r>
        <w:rPr>
          <w:rStyle w:val="NormalTok"/>
        </w:rPr>
        <w:t xml:space="preserve">}))</w:t>
      </w:r>
      <w:r>
        <w:br/>
      </w:r>
      <w:r>
        <w:br/>
      </w:r>
      <w:r>
        <w:rPr>
          <w:rStyle w:val="NormalTok"/>
        </w:rPr>
        <w:t xml:space="preserve">adj </w:t>
      </w:r>
      <w:r>
        <w:rPr>
          <w:rStyle w:val="OtherTok"/>
        </w:rPr>
        <w:t xml:space="preserve">&lt;-</w:t>
      </w:r>
      <w:r>
        <w:rPr>
          <w:rStyle w:val="NormalTok"/>
        </w:rPr>
        <w:t xml:space="preserve"> est[, </w:t>
      </w:r>
      <w:r>
        <w:rPr>
          <w:rStyle w:val="StringTok"/>
        </w:rPr>
        <w:t xml:space="preserve">"adjusted"</w:t>
      </w:r>
      <w:r>
        <w:rPr>
          <w:rStyle w:val="NormalTok"/>
        </w:rPr>
        <w:t xml:space="preserve">]; ci </w:t>
      </w:r>
      <w:r>
        <w:rPr>
          <w:rStyle w:val="OtherTok"/>
        </w:rPr>
        <w:t xml:space="preserve">&lt;-</w:t>
      </w:r>
      <w:r>
        <w:rPr>
          <w:rStyle w:val="NormalTok"/>
        </w:rPr>
        <w:t xml:space="preserve"> est[, </w:t>
      </w:r>
      <w:r>
        <w:rPr>
          <w:rStyle w:val="StringTok"/>
        </w:rPr>
        <w:t xml:space="preserve">"ci"</w:t>
      </w:r>
      <w:r>
        <w:rPr>
          <w:rStyle w:val="NormalTok"/>
        </w:rPr>
        <w:t xml:space="preserve">]</w:t>
      </w:r>
      <w:r>
        <w:br/>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AttributeTok"/>
        </w:rPr>
        <w:t xml:space="preserve">mapped =</w:t>
      </w:r>
      <w:r>
        <w:rPr>
          <w:rStyle w:val="NormalTok"/>
        </w:rPr>
        <w:t xml:space="preserve"> mapped, </w:t>
      </w:r>
      <w:r>
        <w:rPr>
          <w:rStyle w:val="AttributeTok"/>
        </w:rPr>
        <w:t xml:space="preserve">adjusted =</w:t>
      </w:r>
      <w:r>
        <w:rPr>
          <w:rStyle w:val="NormalTok"/>
        </w:rPr>
        <w:t xml:space="preserve"> </w:t>
      </w:r>
      <w:r>
        <w:rPr>
          <w:rStyle w:val="FunctionTok"/>
        </w:rPr>
        <w:t xml:space="preserve">round</w:t>
      </w:r>
      <w:r>
        <w:rPr>
          <w:rStyle w:val="NormalTok"/>
        </w:rPr>
        <w:t xml:space="preserve">(adj),</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 </w:t>
      </w:r>
      <w:r>
        <w:rPr>
          <w:rStyle w:val="AttributeTok"/>
        </w:rPr>
        <w:t xml:space="preserve">upper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bias_pct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(mapped </w:t>
      </w:r>
      <w:r>
        <w:rPr>
          <w:rStyle w:val="SpecialCharTok"/>
        </w:rPr>
        <w:t xml:space="preserve">-</w:t>
      </w:r>
      <w:r>
        <w:rPr>
          <w:rStyle w:val="NormalTok"/>
        </w:rPr>
        <w:t xml:space="preserve"> adj) </w:t>
      </w:r>
      <w:r>
        <w:rPr>
          <w:rStyle w:val="SpecialCharTok"/>
        </w:rPr>
        <w:t xml:space="preserve">/</w:t>
      </w:r>
      <w:r>
        <w:rPr>
          <w:rStyle w:val="NormalTok"/>
        </w:rPr>
        <w:t xml:space="preserve"> adj, </w:t>
      </w:r>
      <w:r>
        <w:rPr>
          <w:rStyle w:val="DecValTok"/>
        </w:rPr>
        <w:t xml:space="preserve">1</w:t>
      </w:r>
      <w:r>
        <w:rPr>
          <w:rStyle w:val="NormalTok"/>
        </w:rPr>
        <w:t xml:space="preserve">))</w:t>
      </w:r>
      <w:r>
        <w:br/>
      </w:r>
      <w:r>
        <w:rPr>
          <w:rStyle w:val="CommentTok"/>
        </w:rPr>
        <w:t xml:space="preserve">#&gt;   year mapped adjusted lower upper bias_pct</w:t>
      </w:r>
      <w:r>
        <w:br/>
      </w:r>
      <w:r>
        <w:rPr>
          <w:rStyle w:val="CommentTok"/>
        </w:rPr>
        <w:t xml:space="preserve">#&gt; 1 2017   1200     1495   729  2261    -19.8</w:t>
      </w:r>
      <w:r>
        <w:br/>
      </w:r>
      <w:r>
        <w:rPr>
          <w:rStyle w:val="CommentTok"/>
        </w:rPr>
        <w:t xml:space="preserve">#&gt; 2 2018   2400     2465  1691  3239     -2.6</w:t>
      </w:r>
      <w:r>
        <w:br/>
      </w:r>
      <w:r>
        <w:rPr>
          <w:rStyle w:val="CommentTok"/>
        </w:rPr>
        <w:t xml:space="preserve">#&gt; 3 2019   4100     3837  2966  4709      6.8</w:t>
      </w:r>
      <w:r>
        <w:br/>
      </w:r>
      <w:r>
        <w:rPr>
          <w:rStyle w:val="CommentTok"/>
        </w:rPr>
        <w:t xml:space="preserve">#&gt; 4 2020   3300     3183  2390  3976      3.7</w:t>
      </w:r>
      <w:r>
        <w:br/>
      </w:r>
      <w:r>
        <w:rPr>
          <w:rStyle w:val="CommentTok"/>
        </w:rPr>
        <w:t xml:space="preserve">#&gt; 5 2021   3500     3406  2529  4283      2.8</w:t>
      </w:r>
      <w:r>
        <w:br/>
      </w:r>
      <w:r>
        <w:rPr>
          <w:rStyle w:val="CommentTok"/>
        </w:rPr>
        <w:t xml:space="preserve">#&gt; 6 2022   3700     3489  2579  4400      6.0</w:t>
      </w:r>
      <w:r>
        <w:br/>
      </w:r>
      <w:r>
        <w:rPr>
          <w:rStyle w:val="CommentTok"/>
        </w:rPr>
        <w:t xml:space="preserve">#&gt; 7 2023   6900     5697  4385  7010     21.1</w:t>
      </w:r>
      <w:r>
        <w:br/>
      </w:r>
      <w:r>
        <w:rPr>
          <w:rStyle w:val="CommentTok"/>
        </w:rPr>
        <w:t xml:space="preserve">#&gt; 8 2024   9200     7075  5224  8926     30.0</w:t>
      </w:r>
    </w:p>
    <w:p>
      <w:pPr>
        <w:pStyle w:val="FirstParagraph"/>
      </w:pPr>
      <w:r>
        <w:t xml:space="preserve">Plotting the two series together with the interval around the adjusted estimate is the single most useful figure a monitoring report can carry:</w:t>
      </w:r>
    </w:p>
    <w:p>
      <w:pPr>
        <w:pStyle w:val="SourceCode"/>
      </w:pPr>
      <w:r>
        <w:rPr>
          <w:rStyle w:val="FunctionTok"/>
        </w:rPr>
        <w:t xml:space="preserve">plot</w:t>
      </w:r>
      <w:r>
        <w:rPr>
          <w:rStyle w:val="NormalTok"/>
        </w:rPr>
        <w:t xml:space="preserve">(years, mapped,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(adj </w:t>
      </w:r>
      <w:r>
        <w:rPr>
          <w:rStyle w:val="SpecialCharTok"/>
        </w:rPr>
        <w:t xml:space="preserve">+</w:t>
      </w:r>
      <w:r>
        <w:rPr>
          <w:rStyle w:val="NormalTok"/>
        </w:rPr>
        <w:t xml:space="preserve"> ci)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"forest loss (ha)"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"Mapped against area-adjusted loss"</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(years, </w:t>
      </w:r>
      <w:r>
        <w:rPr>
          <w:rStyle w:val="FunctionTok"/>
        </w:rPr>
        <w:t xml:space="preserve">rev</w:t>
      </w:r>
      <w:r>
        <w:rPr>
          <w:rStyle w:val="NormalTok"/>
        </w:rPr>
        <w:t xml:space="preserve">(years)), </w:t>
      </w:r>
      <w:r>
        <w:rPr>
          <w:rStyle w:val="FunctionTok"/>
        </w:rPr>
        <w:t xml:space="preserve">c</w:t>
      </w:r>
      <w:r>
        <w:rPr>
          <w:rStyle w:val="NormalTok"/>
        </w:rPr>
        <w:t xml:space="preserve">(adj </w:t>
      </w:r>
      <w:r>
        <w:rPr>
          <w:rStyle w:val="SpecialCharTok"/>
        </w:rPr>
        <w:t xml:space="preserve">-</w:t>
      </w:r>
      <w:r>
        <w:rPr>
          <w:rStyle w:val="NormalTok"/>
        </w:rPr>
        <w:t xml:space="preserve"> ci, </w:t>
      </w:r>
      <w:r>
        <w:rPr>
          <w:rStyle w:val="FunctionTok"/>
        </w:rPr>
        <w:t xml:space="preserve">rev</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0.28</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(years, adj, </w:t>
      </w:r>
      <w:r>
        <w:rPr>
          <w:rStyle w:val="AttributeTok"/>
        </w:rPr>
        <w:t xml:space="preserve">col =</w:t>
      </w:r>
      <w:r>
        <w:rPr>
          <w:rStyle w:val="NormalTok"/>
        </w:rPr>
        <w:t xml:space="preserve"> </w:t>
      </w:r>
      <w:r>
        <w:rPr>
          <w:rStyle w:val="StringTok"/>
        </w:rPr>
        <w:t xml:space="preserve">"#a8481f"</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(years, mapped,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"mapped (reported)"</w:t>
      </w:r>
      <w:r>
        <w:rPr>
          <w:rStyle w:val="NormalTok"/>
        </w:rPr>
        <w:t xml:space="preserve">, </w:t>
      </w:r>
      <w:r>
        <w:rPr>
          <w:rStyle w:val="StringTok"/>
        </w:rPr>
        <w:t xml:space="preserve">"area-adjusted"</w:t>
      </w:r>
      <w:r>
        <w:rPr>
          <w:rStyle w:val="NormalTok"/>
        </w:rPr>
        <w:t xml:space="preserve">, </w:t>
      </w:r>
      <w:r>
        <w:rPr>
          <w:rStyle w:val="StringTok"/>
        </w:rPr>
        <w:t xml:space="preserve">"95% interval"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"#a8481f"</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2.2</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30" name="Picture"/>
            <a:graphic>
              <a:graphicData uri="http://schemas.openxmlformats.org/drawingml/2006/picture">
                <pic:pic>
                  <pic:nvPicPr>
                    <pic:cNvPr descr="07-uncertainty_files/figure-docx/unnamed-chunk-16-1.png" id="131" name="Picture"/>
                    <pic:cNvPicPr>
                      <a:picLocks noChangeArrowheads="1" noChangeAspect="1"/>
                    </pic:cNvPicPr>
                  </pic:nvPicPr>
                  <pic:blipFill>
                    <a:blip r:embed="rId12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Read the two lines against each other. Early in the record the adjustment pushes the estimate</w:t>
      </w:r>
      <w:r>
        <w:t xml:space="preserve"> </w:t>
      </w:r>
      <w:r>
        <w:rPr>
          <w:i/>
          <w:iCs/>
        </w:rPr>
        <w:t xml:space="preserve">up</w:t>
      </w:r>
      <w:r>
        <w:t xml:space="preserve">: the mapped loss area is small, so omitted change scattered through the vast stable stratum outweighs anything the map over-called, and the defensible figure exceeds the reported one. Late in the record the sign reverses. As the map’s user accuracy falls from 0.79 to 0.68, commission error dominates, and the reported figure overstates what the reference data support by thirty per cent in the final year.</w:t>
      </w:r>
    </w:p>
    <w:p>
      <w:pPr>
        <w:pStyle w:val="BodyText"/>
      </w:pPr>
      <w:r>
        <w:t xml:space="preserve">The direction of the correction is therefore not something you can guess, and the common assumption that adjustment always shrinks a claim is wrong. It depends on the balance between what the map missed and what it invented, weighted by stratum area, and only a reference sample can tell you which way it falls.</w:t>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mapped_total   =</w:t>
      </w:r>
      <w:r>
        <w:rPr>
          <w:rStyle w:val="NormalTok"/>
        </w:rPr>
        <w:t xml:space="preserve"> </w:t>
      </w:r>
      <w:r>
        <w:rPr>
          <w:rStyle w:val="FunctionTok"/>
        </w:rPr>
        <w:t xml:space="preserve">sum</w:t>
      </w:r>
      <w:r>
        <w:rPr>
          <w:rStyle w:val="NormalTok"/>
        </w:rPr>
        <w:t xml:space="preserve">(mapped),</w:t>
      </w:r>
      <w:r>
        <w:br/>
      </w:r>
      <w:r>
        <w:rPr>
          <w:rStyle w:val="NormalTok"/>
        </w:rPr>
        <w:t xml:space="preserve">        </w:t>
      </w:r>
      <w:r>
        <w:rPr>
          <w:rStyle w:val="AttributeTok"/>
        </w:rPr>
        <w:t xml:space="preserve">adjusted_total =</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overstatement_pct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(mapped)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conservative_total =</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(ci)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DecValTok"/>
        </w:rPr>
        <w:t xml:space="preserve">1</w:t>
      </w:r>
      <w:r>
        <w:rPr>
          <w:rStyle w:val="NormalTok"/>
        </w:rPr>
        <w:t xml:space="preserve">)</w:t>
      </w:r>
      <w:r>
        <w:br/>
      </w:r>
      <w:r>
        <w:rPr>
          <w:rStyle w:val="CommentTok"/>
        </w:rPr>
        <w:t xml:space="preserve">#&gt;       mapped_total     adjusted_total  overstatement_pct conservative_total </w:t>
      </w:r>
      <w:r>
        <w:br/>
      </w:r>
      <w:r>
        <w:rPr>
          <w:rStyle w:val="CommentTok"/>
        </w:rPr>
        <w:t xml:space="preserve">#&gt;            34300.0            30647.5               11.9            22492.4 </w:t>
      </w:r>
      <w:r>
        <w:br/>
      </w:r>
      <w:r>
        <w:rPr>
          <w:rStyle w:val="CommentTok"/>
        </w:rPr>
        <w:t xml:space="preserve">#&gt;        forgone_pct </w:t>
      </w:r>
      <w:r>
        <w:br/>
      </w:r>
      <w:r>
        <w:rPr>
          <w:rStyle w:val="CommentTok"/>
        </w:rPr>
        <w:t xml:space="preserve">#&gt;               26.6</w:t>
      </w:r>
    </w:p>
    <w:p>
      <w:pPr>
        <w:pStyle w:val="FirstParagraph"/>
      </w:pPr>
      <w:r>
        <w:t xml:space="preserve">Over the whole period the reported total overstates the defensible total by around twelve per cent. That gap is the project’s exposure: it is the portion of the claim that would not survive a reference-based check. The conservative basis, summing the lower bounds, is lower again by about a quarter, and that second gap is the price of imprecision rather than of bias.</w:t>
      </w:r>
    </w:p>
    <w:p>
      <w:pPr>
        <w:pStyle w:val="BodyText"/>
      </w:pPr>
      <w:r>
        <w:t xml:space="preserve">Notice which of the two is easier to fix. The bias is corrected by the estimator itself, at the cost of running a reference sample, and once corrected it is gone. The interval width is set by how many reference points sit in each stratum, and it narrows only as the square root of that effort. The widening band in the last two years is not a modelling failure; it is a direct readout of thin reference data, and the only remedy is more interpretation. This is the whole argument of the chapter in one picture. Uncertainty is not a statistical afterthought appended to a result. It is a budget, it has line items, and each line has a known price.</w:t>
      </w:r>
    </w:p>
    <w:bookmarkEnd w:id="132"/>
    <w:bookmarkStart w:id="133" w:name="exercises-6"/>
    <w:p>
      <w:pPr>
        <w:pStyle w:val="Heading2"/>
      </w:pPr>
      <w:r>
        <w:t xml:space="preserve">7.10 Exercises</w:t>
      </w:r>
    </w:p>
    <w:p>
      <w:pPr>
        <w:pStyle w:val="Compact"/>
        <w:numPr>
          <w:ilvl w:val="0"/>
          <w:numId w:val="1008"/>
        </w:numPr>
      </w:pPr>
      <w:r>
        <w:t xml:space="preserve">Recompute the sampling confidence interval using a 4-by-6 quadrat grid instead of 8-by-12. Does the mean change? Does the standard error? Explain the difference.</w:t>
      </w:r>
    </w:p>
    <w:p>
      <w:pPr>
        <w:pStyle w:val="Compact"/>
        <w:numPr>
          <w:ilvl w:val="0"/>
          <w:numId w:val="1008"/>
        </w:numPr>
      </w:pPr>
      <w:r>
        <w:t xml:space="preserve">In the Monte Carlo, double the uncertainty on the carbon fraction (sd 0.04) and rerun. How much does the uncertainty percentage grow, and would it now trigger a 15% deduction?</w:t>
      </w:r>
    </w:p>
    <w:p>
      <w:pPr>
        <w:pStyle w:val="Compact"/>
        <w:numPr>
          <w:ilvl w:val="0"/>
          <w:numId w:val="1008"/>
        </w:numPr>
      </w:pPr>
      <w:r>
        <w:t xml:space="preserve">Report the conservative (lower-bound) carbon density and express the forgone credit as a percentage of the mean. In one sentence, state the incentive this creates.</w:t>
      </w:r>
    </w:p>
    <w:p>
      <w:pPr>
        <w:pStyle w:val="Compact"/>
        <w:numPr>
          <w:ilvl w:val="0"/>
          <w:numId w:val="1008"/>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33"/>
    <w:bookmarkEnd w:id="134"/>
    <w:bookmarkStart w:id="163" w:name="time-series"/>
    <w:p>
      <w:pPr>
        <w:pStyle w:val="Heading1"/>
      </w:pPr>
      <w:r>
        <w:t xml:space="preserve">8. Time Series</w:t>
      </w:r>
    </w:p>
    <w:bookmarkStart w:id="135" w:name="data-cubes"/>
    <w:p>
      <w:pPr>
        <w:pStyle w:val="Heading2"/>
      </w:pPr>
      <w:r>
        <w:t xml:space="preserve">8.1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w:t>
      </w:r>
    </w:p>
    <w:p>
      <w:pPr>
        <w:pStyle w:val="BodyText"/>
      </w:pPr>
      <w:r>
        <w:t xml:space="preserve">The word cube is meant literally. The data have three axes and you must hold all three in mind at once. Two are spatial,</w:t>
      </w:r>
      <w:r>
        <w:t xml:space="preserve"> </w:t>
      </w:r>
      <m:oMath>
        <m:r>
          <m:t>x</m:t>
        </m:r>
      </m:oMath>
      <w:r>
        <w:t xml:space="preserve"> </w:t>
      </w:r>
      <w:r>
        <w:t xml:space="preserve">and</w:t>
      </w:r>
      <w:r>
        <w:t xml:space="preserve"> </w:t>
      </w:r>
      <m:oMath>
        <m:r>
          <m:t>y</m:t>
        </m:r>
      </m:oMath>
      <w:r>
        <w:t xml:space="preserve">, the familiar grid of the earlier chapters. The third is time,</w:t>
      </w:r>
      <w:r>
        <w:t xml:space="preserve"> </w:t>
      </w:r>
      <m:oMath>
        <m:r>
          <m:t>t</m:t>
        </m:r>
      </m:oMath>
      <w:r>
        <w:t xml:space="preserve">, and it is the one that changes how everything must be handled, because unlike</w:t>
      </w:r>
      <w:r>
        <w:t xml:space="preserve"> </w:t>
      </w:r>
      <m:oMath>
        <m:r>
          <m:t>x</m:t>
        </m:r>
      </m:oMath>
      <w:r>
        <w:t xml:space="preserve"> </w:t>
      </w:r>
      <w:r>
        <w:t xml:space="preserve">and</w:t>
      </w:r>
      <w:r>
        <w:t xml:space="preserve"> </w:t>
      </w:r>
      <m:oMath>
        <m:r>
          <m:t>y</m:t>
        </m:r>
      </m:oMath>
      <w:r>
        <w:t xml:space="preserve"> </w:t>
      </w:r>
      <w:r>
        <w:t xml:space="preserve">it is not sampled on a regular grid unless you force it to be. A satellite revisits on a fixed cycle but returns a usable observation only when the sky is clear, so the raw time axis is ragged. Operational cubes carry a fourth axis as well, the spectral band, which is why real archives are four-dimensional arrays and why the software built for them,</w:t>
      </w:r>
      <w:r>
        <w:t xml:space="preserve"> </w:t>
      </w:r>
      <w:r>
        <w:rPr>
          <w:rStyle w:val="VerbatimChar"/>
        </w:rPr>
        <w:t xml:space="preserve">gdalcubes</w:t>
      </w:r>
      <w:r>
        <w:t xml:space="preserve"> </w:t>
      </w:r>
      <w:r>
        <w:t xml:space="preserve">and</w:t>
      </w:r>
      <w:r>
        <w:t xml:space="preserve"> </w:t>
      </w:r>
      <w:r>
        <w:rPr>
          <w:rStyle w:val="VerbatimChar"/>
        </w:rPr>
        <w:t xml:space="preserve">sits</w:t>
      </w:r>
      <w:r>
        <w:t xml:space="preserve"> </w:t>
      </w:r>
      <w:r>
        <w:t xml:space="preserve">in R, is organised around regularising all four at once</w:t>
      </w:r>
      <w:r>
        <w:t xml:space="preserve"> </w:t>
      </w:r>
      <w:r>
        <w:t xml:space="preserve">(Appel &amp; Pebesma, 2019; Simões et al., 2021)</w:t>
      </w:r>
      <w:r>
        <w:t xml:space="preserve">.</w:t>
      </w:r>
    </w:p>
    <w:p>
      <w:pPr>
        <w:pStyle w:val="BodyText"/>
      </w:pPr>
      <w:r>
        <w:t xml:space="preserve">We build a monthly index cube over the plot spanning nine years. It carries three things a real optical record carries: a slow downward trend, an annual seasonal swing from leaf-on to leaf-off, and observation noise. A fire clears a block in mid-2021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dates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"2016-01-15"</w:t>
      </w:r>
      <w:r>
        <w:rPr>
          <w:rStyle w:val="NormalTok"/>
        </w:rPr>
        <w:t xml:space="preserve">), </w:t>
      </w:r>
      <w:r>
        <w:rPr>
          <w:rStyle w:val="FunctionTok"/>
        </w:rPr>
        <w:t xml:space="preserve">as.Date</w:t>
      </w:r>
      <w:r>
        <w:rPr>
          <w:rStyle w:val="NormalTok"/>
        </w:rPr>
        <w:t xml:space="preserve">(</w:t>
      </w:r>
      <w:r>
        <w:rPr>
          <w:rStyle w:val="StringTok"/>
        </w:rPr>
        <w:t xml:space="preserve">"2024-12-15"</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doy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"%j"</w:t>
      </w:r>
      <w:r>
        <w:rPr>
          <w:rStyle w:val="NormalTok"/>
        </w:rPr>
        <w:t xml:space="preserve">))</w:t>
      </w:r>
      <w:r>
        <w:br/>
      </w:r>
      <w:r>
        <w:rPr>
          <w:rStyle w:val="NormalTok"/>
        </w:rPr>
        <w:t xml:space="preserve">yfrac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(doy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365</w:t>
      </w:r>
      <w:r>
        <w:br/>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747850</w:t>
      </w:r>
      <w:r>
        <w:rPr>
          <w:rStyle w:val="NormalTok"/>
        </w:rPr>
        <w:t xml:space="preserve"> </w:t>
      </w:r>
      <w:r>
        <w:rPr>
          <w:rStyle w:val="SpecialCharTok"/>
        </w:rPr>
        <w:t xml:space="preserve">&amp;</w:t>
      </w:r>
      <w:r>
        <w:br/>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4309150</w:t>
      </w:r>
      <w:r>
        <w:br/>
      </w:r>
      <w:r>
        <w:br/>
      </w:r>
      <w:r>
        <w:rPr>
          <w:rStyle w:val="CommentTok"/>
        </w:rPr>
        <w:t xml:space="preserve"># simulated: trend + seasonal cycle + noise, with a 2021 fire in the burn box</w:t>
      </w:r>
      <w:r>
        <w:br/>
      </w:r>
      <w:r>
        <w:rPr>
          <w:rStyle w:val="NormalTok"/>
        </w:rPr>
        <w:t xml:space="preserve">mcube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(dates), </w:t>
      </w:r>
      <w:r>
        <w:rPr>
          <w:rStyle w:val="ControlFlowTok"/>
        </w:rPr>
        <w:t xml:space="preserve">function</w:t>
      </w:r>
      <w:r>
        <w:rPr>
          <w:rStyle w:val="NormalTok"/>
        </w:rPr>
        <w:t xml:space="preserve">(k) {</w:t>
      </w:r>
      <w:r>
        <w:br/>
      </w:r>
      <w:r>
        <w:rPr>
          <w:rStyle w:val="NormalTok"/>
        </w:rPr>
        <w:t xml:space="preserve">  seas </w:t>
      </w:r>
      <w:r>
        <w:rPr>
          <w:rStyle w:val="OtherTok"/>
        </w:rPr>
        <w:t xml:space="preserve">&lt;-</w:t>
      </w:r>
      <w:r>
        <w:rPr>
          <w:rStyle w:val="NormalTok"/>
        </w:rPr>
        <w:t xml:space="preserve"> </w:t>
      </w:r>
      <w:r>
        <w:rPr>
          <w:rStyle w:val="FloatTok"/>
        </w:rPr>
        <w:t xml:space="preserve">0.25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loatTok"/>
        </w:rPr>
        <w:t xml:space="preserve">0.62</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(yfrac[k] </w:t>
      </w:r>
      <w:r>
        <w:rPr>
          <w:rStyle w:val="SpecialCharTok"/>
        </w:rPr>
        <w:t xml:space="preserve">-</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seas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ControlFlowTok"/>
        </w:rPr>
        <w:t xml:space="preserve">if</w:t>
      </w:r>
      <w:r>
        <w:rPr>
          <w:rStyle w:val="NormalTok"/>
        </w:rPr>
        <w:t xml:space="preserve"> (yfrac[k] </w:t>
      </w:r>
      <w:r>
        <w:rPr>
          <w:rStyle w:val="SpecialCharTok"/>
        </w:rPr>
        <w:t xml:space="preserve">&gt;=</w:t>
      </w:r>
      <w:r>
        <w:rPr>
          <w:rStyle w:val="NormalTok"/>
        </w:rPr>
        <w:t xml:space="preserve"> </w:t>
      </w:r>
      <w:r>
        <w:rPr>
          <w:rStyle w:val="FloatTok"/>
        </w:rPr>
        <w:t xml:space="preserve">2021.5</w:t>
      </w:r>
      <w:r>
        <w:rPr>
          <w:rStyle w:val="NormalTok"/>
        </w:rPr>
        <w:t xml:space="preserve">) {</w:t>
      </w:r>
      <w:r>
        <w:br/>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loatTok"/>
        </w:rPr>
        <w:t xml:space="preserve">0.06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(mcube) </w:t>
      </w:r>
      <w:r>
        <w:rPr>
          <w:rStyle w:val="OtherTok"/>
        </w:rPr>
        <w:t xml:space="preserve">&lt;-</w:t>
      </w:r>
      <w:r>
        <w:rPr>
          <w:rStyle w:val="NormalTok"/>
        </w:rPr>
        <w:t xml:space="preserve"> </w:t>
      </w:r>
      <w:r>
        <w:rPr>
          <w:rStyle w:val="FunctionTok"/>
        </w:rPr>
        <w:t xml:space="preserve">format</w:t>
      </w:r>
      <w:r>
        <w:rPr>
          <w:rStyle w:val="NormalTok"/>
        </w:rPr>
        <w:t xml:space="preserve">(dates, </w:t>
      </w:r>
      <w:r>
        <w:rPr>
          <w:rStyle w:val="StringTok"/>
        </w:rPr>
        <w:t xml:space="preserve">"%Y-%m"</w:t>
      </w:r>
      <w:r>
        <w:rPr>
          <w:rStyle w:val="NormalTok"/>
        </w:rPr>
        <w:t xml:space="preserve">)</w:t>
      </w:r>
      <w:r>
        <w:br/>
      </w:r>
      <w:r>
        <w:rPr>
          <w:rStyle w:val="NormalTok"/>
        </w:rPr>
        <w:t xml:space="preserve">terra</w:t>
      </w:r>
      <w:r>
        <w:rPr>
          <w:rStyle w:val="SpecialCharTok"/>
        </w:rPr>
        <w:t xml:space="preserve">::</w:t>
      </w:r>
      <w:r>
        <w:rPr>
          <w:rStyle w:val="FunctionTok"/>
        </w:rPr>
        <w:t xml:space="preserve">time</w:t>
      </w:r>
      <w:r>
        <w:rPr>
          <w:rStyle w:val="NormalTok"/>
        </w:rPr>
        <w:t xml:space="preserve">(mcube) </w:t>
      </w:r>
      <w:r>
        <w:rPr>
          <w:rStyle w:val="OtherTok"/>
        </w:rPr>
        <w:t xml:space="preserve">&lt;-</w:t>
      </w:r>
      <w:r>
        <w:rPr>
          <w:rStyle w:val="NormalTok"/>
        </w:rPr>
        <w:t xml:space="preserve"> dates</w:t>
      </w:r>
      <w:r>
        <w:br/>
      </w:r>
      <w:r>
        <w:rPr>
          <w:rStyle w:val="FunctionTok"/>
        </w:rPr>
        <w:t xml:space="preserve">c</w:t>
      </w:r>
      <w:r>
        <w:rPr>
          <w:rStyle w:val="NormalTok"/>
        </w:rPr>
        <w:t xml:space="preserve">(</w:t>
      </w:r>
      <w:r>
        <w:rPr>
          <w:rStyle w:val="AttributeTok"/>
        </w:rPr>
        <w:t xml:space="preserve">layers =</w:t>
      </w:r>
      <w:r>
        <w:rPr>
          <w:rStyle w:val="NormalTok"/>
        </w:rPr>
        <w:t xml:space="preserve"> </w:t>
      </w:r>
      <w:r>
        <w:rPr>
          <w:rStyle w:val="FunctionTok"/>
        </w:rPr>
        <w:t xml:space="preserve">nlyr</w:t>
      </w:r>
      <w:r>
        <w:rPr>
          <w:rStyle w:val="NormalTok"/>
        </w:rPr>
        <w:t xml:space="preserve">(mcube), </w:t>
      </w:r>
      <w:r>
        <w:rPr>
          <w:rStyle w:val="AttributeTok"/>
        </w:rPr>
        <w:t xml:space="preserve">cells =</w:t>
      </w:r>
      <w:r>
        <w:rPr>
          <w:rStyle w:val="NormalTok"/>
        </w:rPr>
        <w:t xml:space="preserve"> </w:t>
      </w:r>
      <w:r>
        <w:rPr>
          <w:rStyle w:val="FunctionTok"/>
        </w:rPr>
        <w:t xml:space="preserve">ncell</w:t>
      </w:r>
      <w:r>
        <w:rPr>
          <w:rStyle w:val="NormalTok"/>
        </w:rPr>
        <w:t xml:space="preserve">(mcube))</w:t>
      </w:r>
      <w:r>
        <w:br/>
      </w:r>
      <w:r>
        <w:rPr>
          <w:rStyle w:val="CommentTok"/>
        </w:rPr>
        <w:t xml:space="preserve">#&gt; layers  cells </w:t>
      </w:r>
      <w:r>
        <w:br/>
      </w:r>
      <w:r>
        <w:rPr>
          <w:rStyle w:val="CommentTok"/>
        </w:rPr>
        <w:t xml:space="preserve">#&gt;    108   2688</w:t>
      </w:r>
    </w:p>
    <w:bookmarkEnd w:id="135"/>
    <w:bookmarkStart w:id="145" w:name="the-two-planes"/>
    <w:p>
      <w:pPr>
        <w:pStyle w:val="Heading2"/>
      </w:pPr>
      <w:r>
        <w:t xml:space="preserve">8.2 The two planes</w:t>
      </w:r>
    </w:p>
    <w:p>
      <w:pPr>
        <w:pStyle w:val="FirstParagraph"/>
      </w:pPr>
      <w:r>
        <w:t xml:space="preserve">A cube can only be looked at one slice at a time, and there are two ways to cut it. Fix a date and you get the spatial plane: a map, every pixel at one instant, the view every earlier chapter of this book has used. Fix a pixel and you get the temporal plane: a profile, one location across every date, the view that makes change visible. Neither is complete. A map cannot tell you whether a low value is a burn scar or simply February, and a profile cannot tell you whether a decline is one pixel or the whole stand.</w:t>
      </w:r>
    </w:p>
    <w:p>
      <w:pPr>
        <w:pStyle w:val="CaptionedFigure"/>
      </w:pPr>
      <w:r>
        <w:drawing>
          <wp:inline>
            <wp:extent cx="5943600" cy="4754880"/>
            <wp:effectExtent b="0" l="0" r="0" t="0"/>
            <wp:docPr descr="Geometry of a space-time cube. Each horizontal sheet is one date. Cutting horizontally gives the spatial plane, a map; cutting vertically through a single pixel gives the temporal plane, a profile. The detail at right shows the fourth axis: every date is itself a stack of spectral bands." title="" id="137" name="Picture"/>
            <a:graphic>
              <a:graphicData uri="http://schemas.openxmlformats.org/drawingml/2006/picture">
                <pic:pic>
                  <pic:nvPicPr>
                    <pic:cNvPr descr="08-time-series_files/figure-docx/unnamed-chunk-2-1.png" id="138" name="Picture"/>
                    <pic:cNvPicPr>
                      <a:picLocks noChangeArrowheads="1" noChangeAspect="1"/>
                    </pic:cNvPicPr>
                  </pic:nvPicPr>
                  <pic:blipFill>
                    <a:blip r:embed="rId13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Geometry of a space-time cube. Each horizontal sheet is one date. Cutting horizontally gives the spatial plane, a map; cutting vertically through a single pixel gives the temporal plane, a profile. The detail at right shows the fourth axis: every date is itself a stack of spectral bands.</w:t>
      </w:r>
    </w:p>
    <w:p>
      <w:pPr>
        <w:pStyle w:val="BodyText"/>
      </w:pPr>
      <w:r>
        <w:t xml:space="preserve">Cut the cube both ways on the same data. Three dates from 2019, an undisturbed year, show the spatial plane swinging with the season while the map itself barely changes:</w:t>
      </w:r>
    </w:p>
    <w:p>
      <w:pPr>
        <w:pStyle w:val="SourceCode"/>
      </w:pPr>
      <w:r>
        <w:rPr>
          <w:rStyle w:val="FunctionTok"/>
        </w:rPr>
        <w:t xml:space="preserve">plot</w:t>
      </w:r>
      <w:r>
        <w:rPr>
          <w:rStyle w:val="NormalTok"/>
        </w:rPr>
        <w:t xml:space="preserve">(mcube[[</w:t>
      </w:r>
      <w:r>
        <w:rPr>
          <w:rStyle w:val="FunctionTok"/>
        </w:rPr>
        <w:t xml:space="preserve">c</w:t>
      </w:r>
      <w:r>
        <w:rPr>
          <w:rStyle w:val="NormalTok"/>
        </w:rPr>
        <w:t xml:space="preserve">(</w:t>
      </w:r>
      <w:r>
        <w:rPr>
          <w:rStyle w:val="StringTok"/>
        </w:rPr>
        <w:t xml:space="preserve">"2019-02"</w:t>
      </w:r>
      <w:r>
        <w:rPr>
          <w:rStyle w:val="NormalTok"/>
        </w:rPr>
        <w:t xml:space="preserve">, </w:t>
      </w:r>
      <w:r>
        <w:rPr>
          <w:rStyle w:val="StringTok"/>
        </w:rPr>
        <w:t xml:space="preserve">"2019-07"</w:t>
      </w:r>
      <w:r>
        <w:rPr>
          <w:rStyle w:val="NormalTok"/>
        </w:rPr>
        <w:t xml:space="preserve">, </w:t>
      </w:r>
      <w:r>
        <w:rPr>
          <w:rStyle w:val="StringTok"/>
        </w:rPr>
        <w:t xml:space="preserve">"2019-11"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"February 2019"</w:t>
      </w:r>
      <w:r>
        <w:rPr>
          <w:rStyle w:val="NormalTok"/>
        </w:rPr>
        <w:t xml:space="preserve">, </w:t>
      </w:r>
      <w:r>
        <w:rPr>
          <w:rStyle w:val="StringTok"/>
        </w:rPr>
        <w:t xml:space="preserve">"July 2019"</w:t>
      </w:r>
      <w:r>
        <w:rPr>
          <w:rStyle w:val="NormalTok"/>
        </w:rPr>
        <w:t xml:space="preserve">, </w:t>
      </w:r>
      <w:r>
        <w:rPr>
          <w:rStyle w:val="StringTok"/>
        </w:rPr>
        <w:t xml:space="preserve">"November 2019"</w:t>
      </w:r>
      <w:r>
        <w:rPr>
          <w:rStyle w:val="NormalTok"/>
        </w:rPr>
        <w:t xml:space="preserve">))</w:t>
      </w:r>
    </w:p>
    <w:p>
      <w:pPr>
        <w:pStyle w:val="FirstParagraph"/>
      </w:pPr>
      <w:r>
        <w:drawing>
          <wp:inline>
            <wp:extent cx="5943600" cy="4754880"/>
            <wp:effectExtent b="0" l="0" r="0" t="0"/>
            <wp:docPr descr="" title="" id="140" name="Picture"/>
            <a:graphic>
              <a:graphicData uri="http://schemas.openxmlformats.org/drawingml/2006/picture">
                <pic:pic>
                  <pic:nvPicPr>
                    <pic:cNvPr descr="08-time-series_files/figure-docx/unnamed-chunk-3-1.png" id="141" name="Picture"/>
                    <pic:cNvPicPr>
                      <a:picLocks noChangeArrowheads="1" noChangeAspect="1"/>
                    </pic:cNvPicPr>
                  </pic:nvPicPr>
                  <pic:blipFill>
                    <a:blip r:embed="rId1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same three maps differ by more than half an index unit, and nothing on the ground has changed. Now the temporal plane, two pixels drawn across all 108 dates, one inside the burn box and one outside it:</w:t>
      </w:r>
    </w:p>
    <w:p>
      <w:pPr>
        <w:pStyle w:val="SourceCode"/>
      </w:pPr>
      <w:r>
        <w:rPr>
          <w:rStyle w:val="NormalTok"/>
        </w:rPr>
        <w:t xml:space="preserve">inside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747775</w:t>
      </w:r>
      <w:r>
        <w:rPr>
          <w:rStyle w:val="NormalTok"/>
        </w:rPr>
        <w:t xml:space="preserve">, </w:t>
      </w:r>
      <w:r>
        <w:rPr>
          <w:rStyle w:val="DecValTok"/>
        </w:rPr>
        <w:t xml:space="preserve">4309075</w:t>
      </w:r>
      <w:r>
        <w:rPr>
          <w:rStyle w:val="NormalTok"/>
        </w:rPr>
        <w:t xml:space="preserve">))   </w:t>
      </w:r>
      <w:r>
        <w:rPr>
          <w:rStyle w:val="CommentTok"/>
        </w:rPr>
        <w:t xml:space="preserve"># in the 2021 burn</w:t>
      </w:r>
      <w:r>
        <w:br/>
      </w:r>
      <w:r>
        <w:rPr>
          <w:rStyle w:val="NormalTok"/>
        </w:rPr>
        <w:t xml:space="preserve">outside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747600</w:t>
      </w:r>
      <w:r>
        <w:rPr>
          <w:rStyle w:val="NormalTok"/>
        </w:rPr>
        <w:t xml:space="preserve">, </w:t>
      </w:r>
      <w:r>
        <w:rPr>
          <w:rStyle w:val="DecValTok"/>
        </w:rPr>
        <w:t xml:space="preserve">4309300</w:t>
      </w:r>
      <w:r>
        <w:rPr>
          <w:rStyle w:val="NormalTok"/>
        </w:rPr>
        <w:t xml:space="preserve">))   </w:t>
      </w:r>
      <w:r>
        <w:rPr>
          <w:rStyle w:val="CommentTok"/>
        </w:rPr>
        <w:t xml:space="preserve"># undisturbed</w:t>
      </w:r>
      <w:r>
        <w:br/>
      </w:r>
      <w:r>
        <w:br/>
      </w:r>
      <w:r>
        <w:rPr>
          <w:rStyle w:val="NormalTok"/>
        </w:rPr>
        <w:t xml:space="preserve">p_in  </w:t>
      </w:r>
      <w:r>
        <w:rPr>
          <w:rStyle w:val="OtherTok"/>
        </w:rPr>
        <w:t xml:space="preserve">&lt;-</w:t>
      </w:r>
      <w:r>
        <w:rPr>
          <w:rStyle w:val="NormalTok"/>
        </w:rPr>
        <w:t xml:space="preserve"> </w:t>
      </w:r>
      <w:r>
        <w:rPr>
          <w:rStyle w:val="FunctionTok"/>
        </w:rPr>
        <w:t xml:space="preserve">as.numeric</w:t>
      </w:r>
      <w:r>
        <w:rPr>
          <w:rStyle w:val="NormalTok"/>
        </w:rPr>
        <w:t xml:space="preserve">(mcube[inside])</w:t>
      </w:r>
      <w:r>
        <w:br/>
      </w:r>
      <w:r>
        <w:rPr>
          <w:rStyle w:val="NormalTok"/>
        </w:rPr>
        <w:t xml:space="preserve">p_out </w:t>
      </w:r>
      <w:r>
        <w:rPr>
          <w:rStyle w:val="OtherTok"/>
        </w:rPr>
        <w:t xml:space="preserve">&lt;-</w:t>
      </w:r>
      <w:r>
        <w:rPr>
          <w:rStyle w:val="NormalTok"/>
        </w:rPr>
        <w:t xml:space="preserve"> </w:t>
      </w:r>
      <w:r>
        <w:rPr>
          <w:rStyle w:val="FunctionTok"/>
        </w:rPr>
        <w:t xml:space="preserve">as.numeric</w:t>
      </w:r>
      <w:r>
        <w:rPr>
          <w:rStyle w:val="NormalTok"/>
        </w:rPr>
        <w:t xml:space="preserve">(mcube[outside])</w:t>
      </w:r>
      <w:r>
        <w:br/>
      </w:r>
      <w:r>
        <w:br/>
      </w:r>
      <w:r>
        <w:rPr>
          <w:rStyle w:val="FunctionTok"/>
        </w:rPr>
        <w:t xml:space="preserve">plot</w:t>
      </w:r>
      <w:r>
        <w:rPr>
          <w:rStyle w:val="NormalTok"/>
        </w:rPr>
        <w:t xml:space="preserve">(dates, p_out,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1.0</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"Temporal plane: two pixels"</w:t>
      </w:r>
      <w:r>
        <w:rPr>
          <w:rStyle w:val="NormalTok"/>
        </w:rPr>
        <w:t xml:space="preserve">)</w:t>
      </w:r>
      <w:r>
        <w:br/>
      </w:r>
      <w:r>
        <w:rPr>
          <w:rStyle w:val="FunctionTok"/>
        </w:rPr>
        <w:t xml:space="preserve">lines</w:t>
      </w:r>
      <w:r>
        <w:rPr>
          <w:rStyle w:val="NormalTok"/>
        </w:rPr>
        <w:t xml:space="preserve">(dates, p_in, </w:t>
      </w:r>
      <w:r>
        <w:rPr>
          <w:rStyle w:val="AttributeTok"/>
        </w:rPr>
        <w:t xml:space="preserve">col =</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c</w:t>
      </w:r>
      <w:r>
        <w:rPr>
          <w:rStyle w:val="NormalTok"/>
        </w:rPr>
        <w:t xml:space="preserve">(</w:t>
      </w:r>
      <w:r>
        <w:rPr>
          <w:rStyle w:val="StringTok"/>
        </w:rPr>
        <w:t xml:space="preserve">"undisturbed"</w:t>
      </w:r>
      <w:r>
        <w:rPr>
          <w:rStyle w:val="NormalTok"/>
        </w:rPr>
        <w:t xml:space="preserve">, </w:t>
      </w:r>
      <w:r>
        <w:rPr>
          <w:rStyle w:val="StringTok"/>
        </w:rPr>
        <w:t xml:space="preserve">"burned 2021"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43" name="Picture"/>
            <a:graphic>
              <a:graphicData uri="http://schemas.openxmlformats.org/drawingml/2006/picture">
                <pic:pic>
                  <pic:nvPicPr>
                    <pic:cNvPr descr="08-time-series_files/figure-docx/unnamed-chunk-4-1.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saw-tooth is the seasonal cycle, present in both pixels throughout. The step down in the red line during 2021 is the fire. Note how much larger the annual swing is than the trend it rides on: the disturbance is obvious because it is abrupt, but the slow decline underneath is nearly invisible against the seasonality.</w:t>
      </w:r>
    </w:p>
    <w:bookmarkEnd w:id="145"/>
    <w:bookmarkStart w:id="149" w:name="seasonality-and-randomness"/>
    <w:p>
      <w:pPr>
        <w:pStyle w:val="Heading2"/>
      </w:pPr>
      <w:r>
        <w:t xml:space="preserve">8.3 Seasonality and randomness</w:t>
      </w:r>
    </w:p>
    <w:p>
      <w:pPr>
        <w:pStyle w:val="FirstParagraph"/>
      </w:pPr>
      <w:r>
        <w:t xml:space="preserve">That last observation is the central problem of the temporal plane, and it is worth quantifying rather than asserting. A time series of this shape is conventionally treated as three additive parts: a trend, the slow directional movement; a seasonal component, the oscillation that repeats each year; and a remainder, what is left when both have been removed. Seasonal-trend decomposition by loess separates them without assuming the seasonal shape is a fixed sine</w:t>
      </w:r>
      <w:r>
        <w:t xml:space="preserve"> </w:t>
      </w:r>
      <w:r>
        <w:t xml:space="preserve">(Cleveland et al., 1990)</w:t>
      </w:r>
      <w:r>
        <w:t xml:space="preserve">. Base R implements it in</w:t>
      </w:r>
      <w:r>
        <w:t xml:space="preserve"> </w:t>
      </w:r>
      <w:r>
        <w:rPr>
          <w:rStyle w:val="VerbatimChar"/>
        </w:rPr>
        <w:t xml:space="preserve">stl()</w:t>
      </w:r>
      <w:r>
        <w:t xml:space="preserve">, which needs the profile declared as a regular series with twelve observations per cycle:</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ts</w:t>
      </w:r>
      <w:r>
        <w:rPr>
          <w:rStyle w:val="NormalTok"/>
        </w:rPr>
        <w:t xml:space="preserve">(p_out,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2016</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stl</w:t>
      </w:r>
      <w:r>
        <w:rPr>
          <w:rStyle w:val="NormalTok"/>
        </w:rPr>
        <w:t xml:space="preserve">(s, </w:t>
      </w:r>
      <w:r>
        <w:rPr>
          <w:rStyle w:val="AttributeTok"/>
        </w:rPr>
        <w:t xml:space="preserve">s.window =</w:t>
      </w:r>
      <w:r>
        <w:rPr>
          <w:rStyle w:val="NormalTok"/>
        </w:rPr>
        <w:t xml:space="preserve"> </w:t>
      </w:r>
      <w:r>
        <w:rPr>
          <w:rStyle w:val="StringTok"/>
        </w:rPr>
        <w:t xml:space="preserve">"periodic"</w:t>
      </w:r>
      <w:r>
        <w:rPr>
          <w:rStyle w:val="NormalTok"/>
        </w:rPr>
        <w:t xml:space="preserve">)</w:t>
      </w:r>
      <w:r>
        <w:br/>
      </w:r>
      <w:r>
        <w:rPr>
          <w:rStyle w:val="FunctionTok"/>
        </w:rPr>
        <w:t xml:space="preserve">plot</w:t>
      </w:r>
      <w:r>
        <w:rPr>
          <w:rStyle w:val="NormalTok"/>
        </w:rPr>
        <w:t xml:space="preserve">(dec, </w:t>
      </w:r>
      <w:r>
        <w:rPr>
          <w:rStyle w:val="AttributeTok"/>
        </w:rPr>
        <w:t xml:space="preserve">main =</w:t>
      </w:r>
      <w:r>
        <w:rPr>
          <w:rStyle w:val="NormalTok"/>
        </w:rPr>
        <w:t xml:space="preserve"> </w:t>
      </w:r>
      <w:r>
        <w:rPr>
          <w:rStyle w:val="StringTok"/>
        </w:rPr>
        <w:t xml:space="preserve">"Seasonal-trend decomposition, undisturbed pixel"</w:t>
      </w:r>
      <w:r>
        <w:rPr>
          <w:rStyle w:val="NormalTok"/>
        </w:rPr>
        <w:t xml:space="preserve">)</w:t>
      </w:r>
    </w:p>
    <w:p>
      <w:pPr>
        <w:pStyle w:val="FirstParagraph"/>
      </w:pPr>
      <w:r>
        <w:drawing>
          <wp:inline>
            <wp:extent cx="5943600" cy="4754880"/>
            <wp:effectExtent b="0" l="0" r="0" t="0"/>
            <wp:docPr descr="" title="" id="147" name="Picture"/>
            <a:graphic>
              <a:graphicData uri="http://schemas.openxmlformats.org/drawingml/2006/picture">
                <pic:pic>
                  <pic:nvPicPr>
                    <pic:cNvPr descr="08-time-series_files/figure-docx/unnamed-chunk-5-1.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three panels beneath the data are the decomposition. Partitioning the variance among them says which one governs what an analyst sees:</w:t>
      </w:r>
    </w:p>
    <w:p>
      <w:pPr>
        <w:pStyle w:val="SourceCode"/>
      </w:pPr>
      <w:r>
        <w:rPr>
          <w:rStyle w:val="NormalTok"/>
        </w:rPr>
        <w:t xml:space="preserve">v </w:t>
      </w:r>
      <w:r>
        <w:rPr>
          <w:rStyle w:val="OtherTok"/>
        </w:rPr>
        <w:t xml:space="preserve">&lt;-</w:t>
      </w:r>
      <w:r>
        <w:rPr>
          <w:rStyle w:val="NormalTok"/>
        </w:rPr>
        <w:t xml:space="preserve"> </w:t>
      </w:r>
      <w:r>
        <w:rPr>
          <w:rStyle w:val="FunctionTok"/>
        </w:rPr>
        <w:t xml:space="preserve">apply</w:t>
      </w:r>
      <w:r>
        <w:rPr>
          <w:rStyle w:val="NormalTok"/>
        </w:rPr>
        <w:t xml:space="preserve">(dec</w:t>
      </w:r>
      <w:r>
        <w:rPr>
          <w:rStyle w:val="SpecialCharTok"/>
        </w:rPr>
        <w:t xml:space="preserve">$</w:t>
      </w:r>
      <w:r>
        <w:rPr>
          <w:rStyle w:val="NormalTok"/>
        </w:rPr>
        <w:t xml:space="preserve">time.series, </w:t>
      </w:r>
      <w:r>
        <w:rPr>
          <w:rStyle w:val="DecValTok"/>
        </w:rPr>
        <w:t xml:space="preserve">2</w:t>
      </w:r>
      <w:r>
        <w:rPr>
          <w:rStyle w:val="NormalTok"/>
        </w:rPr>
        <w:t xml:space="preserve">, var)</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FunctionTok"/>
        </w:rPr>
        <w:t xml:space="preserve">sum</w:t>
      </w:r>
      <w:r>
        <w:rPr>
          <w:rStyle w:val="NormalTok"/>
        </w:rPr>
        <w:t xml:space="preserve">(v), </w:t>
      </w:r>
      <w:r>
        <w:rPr>
          <w:rStyle w:val="DecValTok"/>
        </w:rPr>
        <w:t xml:space="preserve">1</w:t>
      </w:r>
      <w:r>
        <w:rPr>
          <w:rStyle w:val="NormalTok"/>
        </w:rPr>
        <w:t xml:space="preserve">)                 </w:t>
      </w:r>
      <w:r>
        <w:rPr>
          <w:rStyle w:val="CommentTok"/>
        </w:rPr>
        <w:t xml:space="preserve"># per cent of variance</w:t>
      </w:r>
      <w:r>
        <w:br/>
      </w:r>
      <w:r>
        <w:rPr>
          <w:rStyle w:val="CommentTok"/>
        </w:rPr>
        <w:t xml:space="preserve">#&gt;  seasonal     trend remainder </w:t>
      </w:r>
      <w:r>
        <w:br/>
      </w:r>
      <w:r>
        <w:rPr>
          <w:rStyle w:val="CommentTok"/>
        </w:rPr>
        <w:t xml:space="preserve">#&gt;      97.5       1.4       1.1</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remainder_sd =</w:t>
      </w:r>
      <w:r>
        <w:rPr>
          <w:rStyle w:val="NormalTok"/>
        </w:rPr>
        <w:t xml:space="preserve"> </w:t>
      </w:r>
      <w:r>
        <w:rPr>
          <w:rStyle w:val="FunctionTok"/>
        </w:rPr>
        <w:t xml:space="preserve">sd</w:t>
      </w:r>
      <w:r>
        <w:rPr>
          <w:rStyle w:val="NormalTok"/>
        </w:rPr>
        <w:t xml:space="preserve">(dec</w:t>
      </w:r>
      <w:r>
        <w:rPr>
          <w:rStyle w:val="SpecialCharTok"/>
        </w:rPr>
        <w:t xml:space="preserve">$</w:t>
      </w:r>
      <w:r>
        <w:rPr>
          <w:rStyle w:val="NormalTok"/>
        </w:rPr>
        <w:t xml:space="preserve">time.series[, </w:t>
      </w:r>
      <w:r>
        <w:rPr>
          <w:rStyle w:val="StringTok"/>
        </w:rPr>
        <w:t xml:space="preserve">"remainder"</w:t>
      </w:r>
      <w:r>
        <w:rPr>
          <w:rStyle w:val="NormalTok"/>
        </w:rPr>
        <w:t xml:space="preserve">])), </w:t>
      </w:r>
      <w:r>
        <w:rPr>
          <w:rStyle w:val="DecValTok"/>
        </w:rPr>
        <w:t xml:space="preserve">4</w:t>
      </w:r>
      <w:r>
        <w:rPr>
          <w:rStyle w:val="NormalTok"/>
        </w:rPr>
        <w:t xml:space="preserve">)</w:t>
      </w:r>
      <w:r>
        <w:br/>
      </w:r>
      <w:r>
        <w:rPr>
          <w:rStyle w:val="CommentTok"/>
        </w:rPr>
        <w:t xml:space="preserve">#&gt; remainder_sd </w:t>
      </w:r>
      <w:r>
        <w:br/>
      </w:r>
      <w:r>
        <w:rPr>
          <w:rStyle w:val="CommentTok"/>
        </w:rPr>
        <w:t xml:space="preserve">#&gt;       0.0191</w:t>
      </w:r>
    </w:p>
    <w:p>
      <w:pPr>
        <w:pStyle w:val="FirstParagraph"/>
      </w:pPr>
      <w:r>
        <w:t xml:space="preserve">Seasonality accounts for almost all of the variance in the record. The trend, the thing carbon monitoring exists to measure, is a percent or two. The remainder is smaller still, and its standard deviation recovers the observation noise that was put into the simulation, which is the check that the decomposition is doing what it claims.</w:t>
      </w:r>
    </w:p>
    <w:p>
      <w:pPr>
        <w:pStyle w:val="BodyText"/>
      </w:pPr>
      <w:r>
        <w:t xml:space="preserve">This is the distinction the whole chapter turns on. The seasonal component is nature’s oscillation: deterministic, repeating, and therefore removable, either by decomposition or simply by always comparing like with like. The remainder is nature’s randomness together with sensor error: irreducible, and the honest floor on how precisely any single observation can be known. Confusing the two is expensive. Seasonality mistaken for randomness inflates the error bars you report and costs credits to the uncertainty deduction. Seasonality mistaken for trend invents change that never happened.</w:t>
      </w:r>
    </w:p>
    <w:bookmarkEnd w:id="149"/>
    <w:bookmarkStart w:id="150" w:name="sampling-and-aliasing"/>
    <w:p>
      <w:pPr>
        <w:pStyle w:val="Heading2"/>
      </w:pPr>
      <w:r>
        <w:t xml:space="preserve">8.4 Sampling and aliasing</w:t>
      </w:r>
    </w:p>
    <w:p>
      <w:pPr>
        <w:pStyle w:val="FirstParagraph"/>
      </w:pPr>
      <w:r>
        <w:t xml:space="preserve">The practical consequence appears the moment you reduce a monthly record to an annual one, which every monitoring programme does. If each year is represented by an observation taken at the same point in the season, the seasonal component is a constant offset and cancels out of the comparison. If the dates drift, the seasonal component leaks into the difference between years and is indistinguishable from real change. Signal processing calls this aliasing. In forest monitoring it is the reason cloud cover biases change estimates, because the dates you can see are not a random sample of the dates you wanted</w:t>
      </w:r>
      <w:r>
        <w:t xml:space="preserve"> </w:t>
      </w:r>
      <w:r>
        <w:t xml:space="preserve">(Hansen et al., 2013)</w:t>
      </w:r>
      <w:r>
        <w:t xml:space="preserve">.</w:t>
      </w:r>
    </w:p>
    <w:p>
      <w:pPr>
        <w:pStyle w:val="BodyText"/>
      </w:pPr>
      <w:r>
        <w:t xml:space="preserve">Estimate the trend both ways on the same pixel. First from a consistent July observation each year, then from one observation per year taken at whatever month happened to be clear:</w:t>
      </w:r>
    </w:p>
    <w:p>
      <w:pPr>
        <w:pStyle w:val="SourceCode"/>
      </w:pPr>
      <w:r>
        <w:rPr>
          <w:rStyle w:val="NormalTok"/>
        </w:rPr>
        <w:t xml:space="preserve">yrs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julys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fixed_slope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(p_out[julys] </w:t>
      </w:r>
      <w:r>
        <w:rPr>
          <w:rStyle w:val="SpecialCharTok"/>
        </w:rPr>
        <w:t xml:space="preserve">~</w:t>
      </w:r>
      <w:r>
        <w:rPr>
          <w:rStyle w:val="NormalTok"/>
        </w:rPr>
        <w:t xml:space="preserve"> yrs))[</w:t>
      </w:r>
      <w:r>
        <w:rPr>
          <w:rStyle w:val="DecValTok"/>
        </w:rPr>
        <w:t xml:space="preserve">2</w:t>
      </w:r>
      <w:r>
        <w:rPr>
          <w:rStyle w:val="NormalTok"/>
        </w:rPr>
        <w:t xml:space="preserve">])</w:t>
      </w:r>
      <w:r>
        <w:br/>
      </w:r>
      <w:r>
        <w:br/>
      </w: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drift_slope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idx </w:t>
      </w:r>
      <w:r>
        <w:rPr>
          <w:rStyle w:val="OtherTok"/>
        </w:rPr>
        <w:t xml:space="preserve">&lt;-</w:t>
      </w:r>
      <w:r>
        <w:rPr>
          <w:rStyle w:val="NormalTok"/>
        </w:rPr>
        <w:t xml:space="preserve"> </w:t>
      </w:r>
      <w:r>
        <w:rPr>
          <w:rStyle w:val="FunctionTok"/>
        </w:rPr>
        <w:t xml:space="preserve">sapply</w:t>
      </w:r>
      <w:r>
        <w:rPr>
          <w:rStyle w:val="NormalTok"/>
        </w:rPr>
        <w:t xml:space="preserve">(yrs, </w:t>
      </w:r>
      <w:r>
        <w:rPr>
          <w:rStyle w:val="ControlFlowTok"/>
        </w:rPr>
        <w:t xml:space="preserve">function</w:t>
      </w:r>
      <w:r>
        <w:rPr>
          <w:rStyle w:val="NormalTok"/>
        </w:rPr>
        <w:t xml:space="preserve">(y)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(p_out[idx] </w:t>
      </w:r>
      <w:r>
        <w:rPr>
          <w:rStyle w:val="SpecialCharTok"/>
        </w:rPr>
        <w:t xml:space="preserve">~</w:t>
      </w:r>
      <w:r>
        <w:rPr>
          <w:rStyle w:val="NormalTok"/>
        </w:rPr>
        <w:t xml:space="preserve"> yrs))[</w:t>
      </w:r>
      <w:r>
        <w:rPr>
          <w:rStyle w:val="DecValTok"/>
        </w:rPr>
        <w:t xml:space="preserve">2</w:t>
      </w:r>
      <w:r>
        <w:rPr>
          <w:rStyle w:val="NormalTok"/>
        </w:rPr>
        <w:t xml:space="preserve">]</w:t>
      </w:r>
      <w:r>
        <w:br/>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true          =</w:t>
      </w:r>
      <w:r>
        <w:rPr>
          <w:rStyle w:val="NormalTok"/>
        </w:rPr>
        <w:t xml:space="preserve"> </w:t>
      </w:r>
      <w:r>
        <w:rPr>
          <w:rStyle w:val="SpecialCharTok"/>
        </w:rPr>
        <w:t xml:space="preserve">-</w:t>
      </w:r>
      <w:r>
        <w:rPr>
          <w:rStyle w:val="FloatTok"/>
        </w:rPr>
        <w:t xml:space="preserve">0.008</w:t>
      </w:r>
      <w:r>
        <w:rPr>
          <w:rStyle w:val="NormalTok"/>
        </w:rPr>
        <w:t xml:space="preserve">,</w:t>
      </w:r>
      <w:r>
        <w:br/>
      </w:r>
      <w:r>
        <w:rPr>
          <w:rStyle w:val="NormalTok"/>
        </w:rPr>
        <w:t xml:space="preserve">        </w:t>
      </w:r>
      <w:r>
        <w:rPr>
          <w:rStyle w:val="AttributeTok"/>
        </w:rPr>
        <w:t xml:space="preserve">fixed_july    =</w:t>
      </w:r>
      <w:r>
        <w:rPr>
          <w:rStyle w:val="NormalTok"/>
        </w:rPr>
        <w:t xml:space="preserve"> fixed_slope,</w:t>
      </w:r>
      <w:r>
        <w:br/>
      </w:r>
      <w:r>
        <w:rPr>
          <w:rStyle w:val="NormalTok"/>
        </w:rPr>
        <w:t xml:space="preserve">        </w:t>
      </w:r>
      <w:r>
        <w:rPr>
          <w:rStyle w:val="AttributeTok"/>
        </w:rPr>
        <w:t xml:space="preserve">drift_mean    =</w:t>
      </w:r>
      <w:r>
        <w:rPr>
          <w:rStyle w:val="NormalTok"/>
        </w:rPr>
        <w:t xml:space="preserve"> </w:t>
      </w:r>
      <w:r>
        <w:rPr>
          <w:rStyle w:val="FunctionTok"/>
        </w:rPr>
        <w:t xml:space="preserve">mean</w:t>
      </w:r>
      <w:r>
        <w:rPr>
          <w:rStyle w:val="NormalTok"/>
        </w:rPr>
        <w:t xml:space="preserve">(drift_slope),</w:t>
      </w:r>
      <w:r>
        <w:br/>
      </w:r>
      <w:r>
        <w:rPr>
          <w:rStyle w:val="NormalTok"/>
        </w:rPr>
        <w:t xml:space="preserve">        </w:t>
      </w:r>
      <w:r>
        <w:rPr>
          <w:rStyle w:val="AttributeTok"/>
        </w:rPr>
        <w:t xml:space="preserve">drift_sd      =</w:t>
      </w:r>
      <w:r>
        <w:rPr>
          <w:rStyle w:val="NormalTok"/>
        </w:rPr>
        <w:t xml:space="preserve"> </w:t>
      </w:r>
      <w:r>
        <w:rPr>
          <w:rStyle w:val="FunctionTok"/>
        </w:rPr>
        <w:t xml:space="preserve">sd</w:t>
      </w:r>
      <w:r>
        <w:rPr>
          <w:rStyle w:val="NormalTok"/>
        </w:rPr>
        <w:t xml:space="preserve">(drift_slope)), </w:t>
      </w:r>
      <w:r>
        <w:rPr>
          <w:rStyle w:val="DecValTok"/>
        </w:rPr>
        <w:t xml:space="preserve">5</w:t>
      </w:r>
      <w:r>
        <w:rPr>
          <w:rStyle w:val="NormalTok"/>
        </w:rPr>
        <w:t xml:space="preserve">)</w:t>
      </w:r>
      <w:r>
        <w:br/>
      </w:r>
      <w:r>
        <w:rPr>
          <w:rStyle w:val="CommentTok"/>
        </w:rPr>
        <w:t xml:space="preserve">#&gt;       true fixed_july drift_mean   drift_sd </w:t>
      </w:r>
      <w:r>
        <w:br/>
      </w:r>
      <w:r>
        <w:rPr>
          <w:rStyle w:val="CommentTok"/>
        </w:rPr>
        <w:t xml:space="preserve">#&gt;   -0.00800   -0.00755   -0.00720    0.02265</w:t>
      </w:r>
      <w:r>
        <w:br/>
      </w:r>
      <w:r>
        <w:rPr>
          <w:rStyle w:val="FunctionTok"/>
        </w:rPr>
        <w:t xml:space="preserve">round</w:t>
      </w:r>
      <w:r>
        <w:rPr>
          <w:rStyle w:val="NormalTok"/>
        </w:rPr>
        <w:t xml:space="preserve">(</w:t>
      </w:r>
      <w:r>
        <w:rPr>
          <w:rStyle w:val="FunctionTok"/>
        </w:rPr>
        <w:t xml:space="preserve">quantile</w:t>
      </w:r>
      <w:r>
        <w:rPr>
          <w:rStyle w:val="NormalTok"/>
        </w:rPr>
        <w:t xml:space="preserve">(drift_slope,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4</w:t>
      </w:r>
      <w:r>
        <w:rPr>
          <w:rStyle w:val="NormalTok"/>
        </w:rPr>
        <w:t xml:space="preserve">)</w:t>
      </w:r>
      <w:r>
        <w:br/>
      </w:r>
      <w:r>
        <w:rPr>
          <w:rStyle w:val="CommentTok"/>
        </w:rPr>
        <w:t xml:space="preserve">#&gt;    2.5%   97.5% </w:t>
      </w:r>
      <w:r>
        <w:br/>
      </w:r>
      <w:r>
        <w:rPr>
          <w:rStyle w:val="CommentTok"/>
        </w:rPr>
        <w:t xml:space="preserve">#&gt; -0.0499  0.0365</w:t>
      </w:r>
    </w:p>
    <w:p>
      <w:pPr>
        <w:pStyle w:val="FirstParagraph"/>
      </w:pPr>
      <w:r>
        <w:t xml:space="preserve">Consistent sampling recovers the true rate of decline closely. Drifting sampling recovers it on average, because the seasonal error is centred rather than systematic, but the spread around that average is several times the size of the trend being measured. The interval spans zero comfortably in both directions: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(drift_slope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per cent of draws with the wrong sign</w:t>
      </w:r>
      <w:r>
        <w:br/>
      </w:r>
      <w:r>
        <w:rPr>
          <w:rStyle w:val="CommentTok"/>
        </w:rPr>
        <w:t xml:space="preserve">#&gt; [1] 37.9</w:t>
      </w:r>
    </w:p>
    <w:p>
      <w:pPr>
        <w:pStyle w:val="FirstParagraph"/>
      </w:pPr>
      <w:r>
        <w:t xml:space="preserve">More than a third of the time, an analyst sampling this way would report a pixel as greening when it is in fact declining. Nothing is wrong with the sensor, the algorithm, or the arithmetic. The error is entirely a consequence of sampling a periodic signal at inconsistent phase, and no amount of downstream statistics recovers what the sampling design threw away.</w:t>
      </w:r>
    </w:p>
    <w:p>
      <w:pPr>
        <w:pStyle w:val="BodyText"/>
      </w:pPr>
      <w:r>
        <w:t xml:space="preserve">This is where the chapter connects back to the previous one. Chapter 7 propagated uncertainty through an equation, taking the input distributions as given. Here the input distribution is itself a product of a design decision. Compositing to a fixed seasonal window before any comparison is not data cleaning, it is uncertainty reduction, and it is the cheapest available: it costs nothing but discipline and it removes a variance component that dwarfs the quantity being estimated.</w:t>
      </w:r>
    </w:p>
    <w:bookmarkEnd w:id="150"/>
    <w:bookmarkStart w:id="151" w:name="compositing-to-an-annual-cube"/>
    <w:p>
      <w:pPr>
        <w:pStyle w:val="Heading2"/>
      </w:pPr>
      <w:r>
        <w:t xml:space="preserve">8.5 Compositing to an annual cube</w:t>
      </w:r>
    </w:p>
    <w:p>
      <w:pPr>
        <w:pStyle w:val="FirstParagraph"/>
      </w:pPr>
      <w:r>
        <w:t xml:space="preserve">So we reduce the monthly cube to one layer per year, taking a consistent mid-summer window rather than an annual mean, which would average leaf-on against leaf-off and discard the contrast that makes disturbance visible. This is the temporal normalisation step that operational cube software performs with cloud-ranked compositing:</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sel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SpecialCharTok"/>
        </w:rPr>
        <w:t xml:space="preserve">&amp;</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%in%</w:t>
      </w:r>
      <w:r>
        <w:rPr>
          <w:rStyle w:val="NormalTok"/>
        </w:rPr>
        <w:t xml:space="preserve"> </w:t>
      </w:r>
      <w:r>
        <w:rPr>
          <w:rStyle w:val="DecValTok"/>
        </w:rPr>
        <w:t xml:space="preserve">6</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FunctionTok"/>
        </w:rPr>
        <w:t xml:space="preserve">app</w:t>
      </w:r>
      <w:r>
        <w:rPr>
          <w:rStyle w:val="NormalTok"/>
        </w:rPr>
        <w:t xml:space="preserve">(mcube[[sel]], median)</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151"/>
    <w:bookmarkStart w:id="155" w:name="temporal-reduction"/>
    <w:p>
      <w:pPr>
        <w:pStyle w:val="Heading2"/>
      </w:pPr>
      <w:r>
        <w:t xml:space="preserve">8.6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153" name="Picture"/>
            <a:graphic>
              <a:graphicData uri="http://schemas.openxmlformats.org/drawingml/2006/picture">
                <pic:pic>
                  <pic:nvPicPr>
                    <pic:cNvPr descr="08-time-series_files/figure-docx/unnamed-chunk-10-1.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once the season is controlled, so the burned block lights up.</w:t>
      </w:r>
    </w:p>
    <w:bookmarkEnd w:id="155"/>
    <w:bookmarkStart w:id="159" w:name="trends"/>
    <w:p>
      <w:pPr>
        <w:pStyle w:val="Heading2"/>
      </w:pPr>
      <w:r>
        <w:t xml:space="preserve">8.7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157" name="Picture"/>
            <a:graphic>
              <a:graphicData uri="http://schemas.openxmlformats.org/drawingml/2006/picture">
                <pic:pic>
                  <pic:nvPicPr>
                    <pic:cNvPr descr="08-time-series_files/figure-docx/unnamed-chunk-11-1.png" id="158" name="Picture"/>
                    <pic:cNvPicPr>
                      <a:picLocks noChangeArrowheads="1" noChangeAspect="1"/>
                    </pic:cNvPicPr>
                  </pic:nvPicPr>
                  <pic:blipFill>
                    <a:blip r:embed="rId15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159"/>
    <w:bookmarkStart w:id="160" w:name="detecting-the-event"/>
    <w:p>
      <w:pPr>
        <w:pStyle w:val="Heading2"/>
      </w:pPr>
      <w:r>
        <w:t xml:space="preserve">8.8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2.25</w:t>
      </w:r>
    </w:p>
    <w:bookmarkEnd w:id="160"/>
    <w:bookmarkStart w:id="161" w:name="keystone-ipcc-tier-1-fire-emissions"/>
    <w:p>
      <w:pPr>
        <w:pStyle w:val="Heading2"/>
      </w:pPr>
      <w:r>
        <w:t xml:space="preserve">8.9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2.3      190.8</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105   190   292</w:t>
      </w:r>
    </w:p>
    <w:p>
      <w:pPr>
        <w:pStyle w:val="FirstParagraph"/>
      </w:pPr>
      <w:r>
        <w:t xml:space="preserve">Note what that interval does and does not include. It propagates the uncertainty in the three emission factors while treating the burned area</w:t>
      </w:r>
      <w:r>
        <w:t xml:space="preserve"> </w:t>
      </w:r>
      <m:oMath>
        <m:r>
          <m:t>A</m:t>
        </m:r>
      </m:oMath>
      <w:r>
        <w:t xml:space="preserve"> </w:t>
      </w:r>
      <w:r>
        <w:t xml:space="preserve">as known exactly, which it is not: it came from a threshold applied to a differenced cube, and both the threshold and the dates feeding it are choices. The area-adjusted accuracy of Chapter 7 is how that term is estimated properly, and a complete Tier 2 statement would carry it into this same simulation alongside the factors.</w:t>
      </w:r>
    </w:p>
    <w:bookmarkEnd w:id="161"/>
    <w:bookmarkStart w:id="162" w:name="exercises-7"/>
    <w:p>
      <w:pPr>
        <w:pStyle w:val="Heading2"/>
      </w:pPr>
      <w:r>
        <w:t xml:space="preserve">8.10 Exercises</w:t>
      </w:r>
    </w:p>
    <w:p>
      <w:pPr>
        <w:pStyle w:val="Compact"/>
        <w:numPr>
          <w:ilvl w:val="0"/>
          <w:numId w:val="1009"/>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09"/>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09"/>
        </w:numPr>
      </w:pPr>
      <w:r>
        <w:t xml:space="preserve">Recompute burned area with a −0.2 threshold on the 2021 difference. How does the emission estimate move, and which term in the IPCC equation is it multiplying?</w:t>
      </w:r>
    </w:p>
    <w:p>
      <w:pPr>
        <w:pStyle w:val="Compact"/>
        <w:numPr>
          <w:ilvl w:val="0"/>
          <w:numId w:val="1009"/>
        </w:numPr>
      </w:pPr>
      <w:r>
        <w:t xml:space="preserve">Run</w:t>
      </w:r>
      <w:r>
        <w:t xml:space="preserve"> </w:t>
      </w:r>
      <w:r>
        <w:rPr>
          <w:rStyle w:val="VerbatimChar"/>
        </w:rPr>
        <w:t xml:space="preserve">stl()</w:t>
      </w:r>
      <w:r>
        <w:t xml:space="preserve"> </w:t>
      </w:r>
      <w:r>
        <w:t xml:space="preserve">on the burned pixel</w:t>
      </w:r>
      <w:r>
        <w:t xml:space="preserve"> </w:t>
      </w:r>
      <w:r>
        <w:rPr>
          <w:rStyle w:val="VerbatimChar"/>
        </w:rPr>
        <w:t xml:space="preserve">p_in</w:t>
      </w:r>
      <w:r>
        <w:t xml:space="preserve"> </w:t>
      </w:r>
      <w:r>
        <w:t xml:space="preserve">rather than the undisturbed one. Which component absorbs the 2021 step, and what does that tell you about applying seasonal decomposition across a disturbance?</w:t>
      </w:r>
    </w:p>
    <w:p>
      <w:pPr>
        <w:pStyle w:val="Compact"/>
        <w:numPr>
          <w:ilvl w:val="0"/>
          <w:numId w:val="1009"/>
        </w:numPr>
      </w:pPr>
      <w:r>
        <w:t xml:space="preserve">Rebuild the annual cube using an annual mean over all twelve months instead of a summer median. How do the temporal SD map and the detected burned area change, and why does averaging across the season blur the event?</w:t>
      </w:r>
    </w:p>
    <w:p>
      <w:pPr>
        <w:pStyle w:val="Compact"/>
        <w:numPr>
          <w:ilvl w:val="0"/>
          <w:numId w:val="1009"/>
        </w:numPr>
      </w:pPr>
      <w:r>
        <w:t xml:space="preserve">Repeat the drifting-date experiment restricting the sampled months to June through September, as a cloud-screened archive in a seasonal climate might allow. How much of the variance inflation survives, and what does that imply about how tight a compositing window needs to be?</w:t>
      </w:r>
    </w:p>
    <w:p>
      <w:pPr>
        <w:pStyle w:val="Compact"/>
        <w:numPr>
          <w:ilvl w:val="0"/>
          <w:numId w:val="1009"/>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162"/>
    <w:bookmarkEnd w:id="163"/>
    <w:bookmarkStart w:id="180" w:name="spatial-patterns"/>
    <w:p>
      <w:pPr>
        <w:pStyle w:val="Heading1"/>
      </w:pPr>
      <w:r>
        <w:t xml:space="preserve">9. Spatial Patterns</w:t>
      </w:r>
    </w:p>
    <w:bookmarkStart w:id="164" w:name="point-patterns"/>
    <w:p>
      <w:pPr>
        <w:pStyle w:val="Heading2"/>
      </w:pPr>
      <w:r>
        <w:t xml:space="preserve">9.1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164"/>
    <w:bookmarkStart w:id="168" w:name="spatial-randomness"/>
    <w:p>
      <w:pPr>
        <w:pStyle w:val="Heading2"/>
      </w:pPr>
      <w:r>
        <w:t xml:space="preserve">9.2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166" name="Picture"/>
            <a:graphic>
              <a:graphicData uri="http://schemas.openxmlformats.org/drawingml/2006/picture">
                <pic:pic>
                  <pic:nvPicPr>
                    <pic:cNvPr descr="09-spatial-patterns_files/figure-docx/unnamed-chunk-2-1.png" id="167" name="Picture"/>
                    <pic:cNvPicPr>
                      <a:picLocks noChangeArrowheads="1" noChangeAspect="1"/>
                    </pic:cNvPicPr>
                  </pic:nvPicPr>
                  <pic:blipFill>
                    <a:blip r:embed="rId165"/>
                    <a:stretch>
                      <a:fillRect/>
                    </a:stretch>
                  </pic:blipFill>
                  <pic:spPr bwMode="auto">
                    <a:xfrm>
                      <a:off x="0" y="0"/>
                      <a:ext cx="5943600" cy="4754880"/>
                    </a:xfrm>
                    <a:prstGeom prst="rect">
                      <a:avLst/>
                    </a:prstGeom>
                    <a:noFill/>
                    <a:ln w="9525">
                      <a:noFill/>
                      <a:headEnd/>
                      <a:tailEnd/>
                    </a:ln>
                  </pic:spPr>
                </pic:pic>
              </a:graphicData>
            </a:graphic>
          </wp:inline>
        </w:drawing>
      </w:r>
    </w:p>
    <w:bookmarkEnd w:id="168"/>
    <w:bookmarkStart w:id="172" w:name="intensity"/>
    <w:p>
      <w:pPr>
        <w:pStyle w:val="Heading2"/>
      </w:pPr>
      <w:r>
        <w:t xml:space="preserve">9.3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170" name="Picture"/>
            <a:graphic>
              <a:graphicData uri="http://schemas.openxmlformats.org/drawingml/2006/picture">
                <pic:pic>
                  <pic:nvPicPr>
                    <pic:cNvPr descr="09-spatial-patterns_files/figure-docx/unnamed-chunk-3-1.png" id="171" name="Picture"/>
                    <pic:cNvPicPr>
                      <a:picLocks noChangeArrowheads="1" noChangeAspect="1"/>
                    </pic:cNvPicPr>
                  </pic:nvPicPr>
                  <pic:blipFill>
                    <a:blip r:embed="rId1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72"/>
    <w:bookmarkStart w:id="173" w:name="nearest-neighbour"/>
    <w:p>
      <w:pPr>
        <w:pStyle w:val="Heading2"/>
      </w:pPr>
      <w:r>
        <w:t xml:space="preserve">9.4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173"/>
    <w:bookmarkStart w:id="177" w:name="ripleys-k"/>
    <w:p>
      <w:pPr>
        <w:pStyle w:val="Heading2"/>
      </w:pPr>
      <w:r>
        <w:t xml:space="preserve">9.5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175" name="Picture"/>
            <a:graphic>
              <a:graphicData uri="http://schemas.openxmlformats.org/drawingml/2006/picture">
                <pic:pic>
                  <pic:nvPicPr>
                    <pic:cNvPr descr="09-spatial-patterns_files/figure-docx/unnamed-chunk-5-1.png" id="176" name="Picture"/>
                    <pic:cNvPicPr>
                      <a:picLocks noChangeArrowheads="1" noChangeAspect="1"/>
                    </pic:cNvPicPr>
                  </pic:nvPicPr>
                  <pic:blipFill>
                    <a:blip r:embed="rId17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77"/>
    <w:bookmarkStart w:id="178" w:name="keystone-seedlings"/>
    <w:p>
      <w:pPr>
        <w:pStyle w:val="Heading2"/>
      </w:pPr>
      <w:r>
        <w:t xml:space="preserve">9.6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78"/>
    <w:bookmarkStart w:id="179" w:name="exercises-8"/>
    <w:p>
      <w:pPr>
        <w:pStyle w:val="Heading2"/>
      </w:pPr>
      <w:r>
        <w:t xml:space="preserve">9.7 Exercises</w:t>
      </w:r>
    </w:p>
    <w:p>
      <w:pPr>
        <w:pStyle w:val="Compact"/>
        <w:numPr>
          <w:ilvl w:val="0"/>
          <w:numId w:val="1010"/>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0"/>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0"/>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0"/>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179"/>
    <w:bookmarkEnd w:id="180"/>
    <w:bookmarkStart w:id="186" w:name="automation-protocols-and-registries"/>
    <w:p>
      <w:pPr>
        <w:pStyle w:val="Heading1"/>
      </w:pPr>
      <w:r>
        <w:t xml:space="preserve">Appendix A — Automation, Protocols and Registries</w:t>
      </w:r>
    </w:p>
    <w:bookmarkStart w:id="181"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181"/>
    <w:bookmarkStart w:id="182"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182"/>
    <w:bookmarkStart w:id="183"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183"/>
    <w:bookmarkStart w:id="184"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184"/>
    <w:bookmarkStart w:id="185"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185"/>
    <w:bookmarkEnd w:id="186"/>
    <w:bookmarkStart w:id="213" w:name="references"/>
    <w:p>
      <w:pPr>
        <w:pStyle w:val="Heading1"/>
      </w:pPr>
      <w:r>
        <w:t xml:space="preserve">Appendix B — References</w:t>
      </w:r>
    </w:p>
    <w:bookmarkStart w:id="212" w:name="refs"/>
    <w:bookmarkStart w:id="188" w:name="ref-appel2019gdalcubes"/>
    <w:p>
      <w:pPr>
        <w:pStyle w:val="Bibliography"/>
      </w:pPr>
      <w:r>
        <w:t xml:space="preserve">Appel, M., &amp; Pebesma, E. (2019). On-demand processing of data cubes from satellite image collections with the gdalcubes library.</w:t>
      </w:r>
      <w:r>
        <w:t xml:space="preserve"> </w:t>
      </w:r>
      <w:r>
        <w:rPr>
          <w:i/>
          <w:iCs/>
        </w:rPr>
        <w:t xml:space="preserve">Data</w:t>
      </w:r>
      <w:r>
        <w:t xml:space="preserve">,</w:t>
      </w:r>
      <w:r>
        <w:t xml:space="preserve"> </w:t>
      </w:r>
      <w:r>
        <w:rPr>
          <w:i/>
          <w:iCs/>
        </w:rPr>
        <w:t xml:space="preserve">4</w:t>
      </w:r>
      <w:r>
        <w:t xml:space="preserve">(3), 92.</w:t>
      </w:r>
      <w:r>
        <w:t xml:space="preserve"> </w:t>
      </w:r>
      <w:hyperlink r:id="rId187">
        <w:r>
          <w:rPr>
            <w:rStyle w:val="Hyperlink"/>
          </w:rPr>
          <w:t xml:space="preserve">https://doi.org/10.3390/data4030092</w:t>
        </w:r>
      </w:hyperlink>
    </w:p>
    <w:bookmarkEnd w:id="188"/>
    <w:bookmarkStart w:id="190" w:name="ref-baskerville1972"/>
    <w:p>
      <w:pPr>
        <w:pStyle w:val="Bibliography"/>
      </w:pPr>
      <w:r>
        <w:t xml:space="preserve">Baskerville, G. L.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r>
        <w:t xml:space="preserve"> </w:t>
      </w:r>
      <w:hyperlink r:id="rId189">
        <w:r>
          <w:rPr>
            <w:rStyle w:val="Hyperlink"/>
          </w:rPr>
          <w:t xml:space="preserve">https://doi.org/10.1139/x72-009</w:t>
        </w:r>
      </w:hyperlink>
    </w:p>
    <w:bookmarkEnd w:id="190"/>
    <w:bookmarkStart w:id="191"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191"/>
    <w:bookmarkStart w:id="192" w:name="ref-cleveland1990stl"/>
    <w:p>
      <w:pPr>
        <w:pStyle w:val="Bibliography"/>
      </w:pPr>
      <w:r>
        <w:t xml:space="preserve">Cleveland, R. B., Cleveland, W. S., McRae, J. E., &amp; Terpenning, I. (1990).</w:t>
      </w:r>
      <w:r>
        <w:t xml:space="preserve"> </w:t>
      </w:r>
      <w:r>
        <w:t xml:space="preserve">STL</w:t>
      </w:r>
      <w:r>
        <w:t xml:space="preserve">: A seasonal-trend decomposition procedure based on loess.</w:t>
      </w:r>
      <w:r>
        <w:t xml:space="preserve"> </w:t>
      </w:r>
      <w:r>
        <w:rPr>
          <w:i/>
          <w:iCs/>
        </w:rPr>
        <w:t xml:space="preserve">Journal of Official Statistics</w:t>
      </w:r>
      <w:r>
        <w:t xml:space="preserve">,</w:t>
      </w:r>
      <w:r>
        <w:t xml:space="preserve"> </w:t>
      </w:r>
      <w:r>
        <w:rPr>
          <w:i/>
          <w:iCs/>
        </w:rPr>
        <w:t xml:space="preserve">6</w:t>
      </w:r>
      <w:r>
        <w:t xml:space="preserve">(1), 3–73.</w:t>
      </w:r>
    </w:p>
    <w:bookmarkEnd w:id="192"/>
    <w:bookmarkStart w:id="194" w:name="ref-hansen2013forest"/>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193">
        <w:r>
          <w:rPr>
            <w:rStyle w:val="Hyperlink"/>
          </w:rPr>
          <w:t xml:space="preserve">https://doi.org/10.1126/science.1244693</w:t>
        </w:r>
      </w:hyperlink>
    </w:p>
    <w:bookmarkEnd w:id="194"/>
    <w:bookmarkStart w:id="195" w:name="ref-hastie2009esl"/>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w:t>
      </w:r>
    </w:p>
    <w:bookmarkEnd w:id="195"/>
    <w:bookmarkStart w:id="197"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196">
        <w:r>
          <w:rPr>
            <w:rStyle w:val="Hyperlink"/>
          </w:rPr>
          <w:t xml:space="preserve">https://CRAN.R-project.org/package=terra</w:t>
        </w:r>
      </w:hyperlink>
    </w:p>
    <w:bookmarkEnd w:id="197"/>
    <w:bookmarkStart w:id="198"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198"/>
    <w:bookmarkStart w:id="200"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199">
        <w:r>
          <w:rPr>
            <w:rStyle w:val="Hyperlink"/>
          </w:rPr>
          <w:t xml:space="preserve">https://doi.org/10.1093/forestscience/49.1.12</w:t>
        </w:r>
      </w:hyperlink>
    </w:p>
    <w:bookmarkEnd w:id="200"/>
    <w:bookmarkStart w:id="201"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201"/>
    <w:bookmarkStart w:id="203"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202">
        <w:r>
          <w:rPr>
            <w:rStyle w:val="Hyperlink"/>
          </w:rPr>
          <w:t xml:space="preserve">https://doi.org/10.1016/j.foreco.2026.123985</w:t>
        </w:r>
      </w:hyperlink>
    </w:p>
    <w:bookmarkEnd w:id="203"/>
    <w:bookmarkStart w:id="20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204">
        <w:r>
          <w:rPr>
            <w:rStyle w:val="Hyperlink"/>
          </w:rPr>
          <w:t xml:space="preserve">https://doi.org/10.1016/j.rse.2014.02.015</w:t>
        </w:r>
      </w:hyperlink>
    </w:p>
    <w:bookmarkEnd w:id="205"/>
    <w:bookmarkStart w:id="20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206">
        <w:r>
          <w:rPr>
            <w:rStyle w:val="Hyperlink"/>
          </w:rPr>
          <w:t xml:space="preserve">https://doi.org/10.32614/RJ-2018-009</w:t>
        </w:r>
      </w:hyperlink>
    </w:p>
    <w:bookmarkEnd w:id="207"/>
    <w:bookmarkStart w:id="20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208">
        <w:r>
          <w:rPr>
            <w:rStyle w:val="Hyperlink"/>
          </w:rPr>
          <w:t xml:space="preserve">https://doi.org/10.1201/9780429459016</w:t>
        </w:r>
      </w:hyperlink>
    </w:p>
    <w:bookmarkEnd w:id="209"/>
    <w:bookmarkStart w:id="211" w:name="ref-simoes2021sits"/>
    <w:p>
      <w:pPr>
        <w:pStyle w:val="Bibliography"/>
      </w:pPr>
      <w:r>
        <w:t xml:space="preserve">Simões,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r>
        <w:t xml:space="preserve"> </w:t>
      </w:r>
      <w:hyperlink r:id="rId210">
        <w:r>
          <w:rPr>
            <w:rStyle w:val="Hyperlink"/>
          </w:rPr>
          <w:t xml:space="preserve">https://doi.org/10.3390/rs13132428</w:t>
        </w:r>
      </w:hyperlink>
    </w:p>
    <w:bookmarkEnd w:id="211"/>
    <w:bookmarkEnd w:id="212"/>
    <w:bookmarkEnd w:id="213"/>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4" Target="media/rId174.png" /><Relationship Type="http://schemas.openxmlformats.org/officeDocument/2006/relationships/hyperlink" Id="rId196" Target="https://CRAN.R-project.org/package=terra" TargetMode="External" /><Relationship Type="http://schemas.openxmlformats.org/officeDocument/2006/relationships/hyperlink" Id="rId202" Target="https://doi.org/10.1016/j.foreco.2026.123985" TargetMode="External" /><Relationship Type="http://schemas.openxmlformats.org/officeDocument/2006/relationships/hyperlink" Id="rId204" Target="https://doi.org/10.1016/j.rse.2014.02.015" TargetMode="External" /><Relationship Type="http://schemas.openxmlformats.org/officeDocument/2006/relationships/hyperlink" Id="rId199" Target="https://doi.org/10.1093/forestscience/49.1.12" TargetMode="External" /><Relationship Type="http://schemas.openxmlformats.org/officeDocument/2006/relationships/hyperlink" Id="rId193" Target="https://doi.org/10.1126/science.1244693" TargetMode="External" /><Relationship Type="http://schemas.openxmlformats.org/officeDocument/2006/relationships/hyperlink" Id="rId189" Target="https://doi.org/10.1139/x72-009" TargetMode="External" /><Relationship Type="http://schemas.openxmlformats.org/officeDocument/2006/relationships/hyperlink" Id="rId208" Target="https://doi.org/10.1201/9780429459016" TargetMode="External" /><Relationship Type="http://schemas.openxmlformats.org/officeDocument/2006/relationships/hyperlink" Id="rId206" Target="https://doi.org/10.32614/RJ-2018-009" TargetMode="External" /><Relationship Type="http://schemas.openxmlformats.org/officeDocument/2006/relationships/hyperlink" Id="rId187" Target="https://doi.org/10.3390/data4030092" TargetMode="External" /><Relationship Type="http://schemas.openxmlformats.org/officeDocument/2006/relationships/hyperlink" Id="rId210" Target="https://doi.org/10.3390/rs13132428" TargetMode="External" /><Relationship Type="http://schemas.openxmlformats.org/officeDocument/2006/relationships/hyperlink" Id="rId214"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196" Target="https://CRAN.R-project.org/package=terra" TargetMode="External" /><Relationship Type="http://schemas.openxmlformats.org/officeDocument/2006/relationships/hyperlink" Id="rId202" Target="https://doi.org/10.1016/j.foreco.2026.123985" TargetMode="External" /><Relationship Type="http://schemas.openxmlformats.org/officeDocument/2006/relationships/hyperlink" Id="rId204" Target="https://doi.org/10.1016/j.rse.2014.02.015" TargetMode="External" /><Relationship Type="http://schemas.openxmlformats.org/officeDocument/2006/relationships/hyperlink" Id="rId199" Target="https://doi.org/10.1093/forestscience/49.1.12" TargetMode="External" /><Relationship Type="http://schemas.openxmlformats.org/officeDocument/2006/relationships/hyperlink" Id="rId193" Target="https://doi.org/10.1126/science.1244693" TargetMode="External" /><Relationship Type="http://schemas.openxmlformats.org/officeDocument/2006/relationships/hyperlink" Id="rId189" Target="https://doi.org/10.1139/x72-009" TargetMode="External" /><Relationship Type="http://schemas.openxmlformats.org/officeDocument/2006/relationships/hyperlink" Id="rId208" Target="https://doi.org/10.1201/9780429459016" TargetMode="External" /><Relationship Type="http://schemas.openxmlformats.org/officeDocument/2006/relationships/hyperlink" Id="rId206" Target="https://doi.org/10.32614/RJ-2018-009" TargetMode="External" /><Relationship Type="http://schemas.openxmlformats.org/officeDocument/2006/relationships/hyperlink" Id="rId187" Target="https://doi.org/10.3390/data4030092" TargetMode="External" /><Relationship Type="http://schemas.openxmlformats.org/officeDocument/2006/relationships/hyperlink" Id="rId210" Target="https://doi.org/10.3390/rs13132428" TargetMode="External" /><Relationship Type="http://schemas.openxmlformats.org/officeDocument/2006/relationships/hyperlink" Id="rId214"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2026-07-30T17:53:26Z</dcterms:created>
  <dcterms:modified xsi:type="dcterms:W3CDTF">2026-07-30T17:53:26Z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