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50.png" ContentType="image/png"/>
  <Override PartName="/word/media/rId156.png" ContentType="image/png"/>
  <Override PartName="/word/media/rId160.png" ContentType="image/png"/>
  <Override PartName="/word/media/rId185.png" ContentType="image/png"/>
  <Override PartName="/word/media/rId189.png" ContentType="image/png"/>
  <Override PartName="/word/media/rId169.png" ContentType="image/png"/>
  <Override PartName="/word/media/rId172.png" ContentType="image/png"/>
  <Override PartName="/word/media/rId175.png" ContentType="image/png"/>
  <Override PartName="/word/media/rId179.png" ContentType="image/png"/>
  <Override PartName="/word/media/rId198.png" ContentType="image/png"/>
  <Override PartName="/word/media/rId202.png" ContentType="image/png"/>
  <Override PartName="/word/media/rId207.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Spatial Patterns,,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6.919358e-04</w:t>
      </w:r>
      <w:r>
        <w:br/>
      </w:r>
      <w:r>
        <w:rPr>
          <w:rStyle w:val="CommentTok"/>
        </w:rPr>
        <w:t xml:space="preserve">#&gt; 2  2 9.503318e-05</w:t>
      </w:r>
      <w:r>
        <w:br/>
      </w:r>
      <w:r>
        <w:rPr>
          <w:rStyle w:val="CommentTok"/>
        </w:rPr>
        <w:t xml:space="preserve">#&gt; 3  3 0.000000e+00</w:t>
      </w:r>
      <w:r>
        <w:br/>
      </w:r>
      <w:r>
        <w:rPr>
          <w:rStyle w:val="CommentTok"/>
        </w:rPr>
        <w:t xml:space="preserve">#&gt; 4  4 2.081305e-04</w:t>
      </w:r>
      <w:r>
        <w:br/>
      </w:r>
      <w:r>
        <w:rPr>
          <w:rStyle w:val="CommentTok"/>
        </w:rPr>
        <w:t xml:space="preserve">#&gt; 5  5 0.000000e+00</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The uncertainty chapter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30" w:name="allometry-and-biomass"/>
    <w:p>
      <w:pPr>
        <w:pStyle w:val="Heading1"/>
      </w:pPr>
      <w:r>
        <w:t xml:space="preserve">7. Allometry and Biomass</w:t>
      </w:r>
    </w:p>
    <w:bookmarkStart w:id="118" w:name="you-cannot-weigh-a-forest"/>
    <w:p>
      <w:pPr>
        <w:pStyle w:val="Heading2"/>
      </w:pPr>
      <w:r>
        <w:t xml:space="preserve">7.1 You cannot weigh a forest</w:t>
      </w:r>
    </w:p>
    <w:p>
      <w:pPr>
        <w:pStyle w:val="FirstParagraph"/>
      </w:pPr>
      <w:r>
        <w:t xml:space="preserve">Every carbon number in this book rests on a step that is easy to miss. Nobody weighs a standing tree. Field crews measure diameter, sometimes height, and a statistical model converts those measurements into biomass. That model is an allometric equation, and it was fitted somewhere else, on other trees, by someone who cut them down and weighed them.</w:t>
      </w:r>
    </w:p>
    <w:p>
      <w:pPr>
        <w:pStyle w:val="BodyText"/>
      </w:pPr>
      <w:r>
        <w:t xml:space="preserve">This is the largest single source of error in most forest carbon estimates, and it is the one least visible in a project report, because the equation appears as a line of code rather than a measurement with an error bar. A verifier who checks the field data and the arithmetic but never asks where the equation came from has checked the easy part.</w:t>
      </w:r>
    </w:p>
    <w:p>
      <w:pPr>
        <w:pStyle w:val="BodyText"/>
      </w:pPr>
      <w:r>
        <w:t xml:space="preserve">The chapter is about that choice: what an allometric equation is, how to select one, what it costs to select badly, and how to carry the resulting uncertainty forward.</w:t>
      </w:r>
    </w:p>
    <w:bookmarkEnd w:id="118"/>
    <w:bookmarkStart w:id="119" w:name="the-form-of-the-equation"/>
    <w:p>
      <w:pPr>
        <w:pStyle w:val="Heading2"/>
      </w:pPr>
      <w:r>
        <w:t xml:space="preserve">7.2 The form of the equation</w:t>
      </w:r>
    </w:p>
    <w:p>
      <w:pPr>
        <w:pStyle w:val="FirstParagraph"/>
      </w:pPr>
      <w:r>
        <w:t xml:space="preserve">Tree biomass scales with diameter as a power law. A tree twice as wide is far more than twice as heavy, because mass grows roughly with the square of diameter for cross-sectional area and again with height. The canonical form is</w:t>
      </w:r>
    </w:p>
    <w:p>
      <w:pPr>
        <w:pStyle w:val="BodyText"/>
      </w:pPr>
      <m:oMathPara>
        <m:oMathParaPr>
          <m:jc m:val="center"/>
        </m:oMathParaPr>
        <m:oMath>
          <m:r>
            <m:t>A</m:t>
          </m:r>
          <m:r>
            <m:t>G</m:t>
          </m:r>
          <m:r>
            <m:t>B</m:t>
          </m:r>
          <m:r>
            <m:rPr>
              <m:sty m:val="p"/>
            </m:rPr>
            <m:t>=</m:t>
          </m:r>
          <m:r>
            <m:t>a</m:t>
          </m:r>
          <m:r>
            <m:t> </m:t>
          </m:r>
          <m:sSup>
            <m:e>
              <m:r>
                <m:t>D</m:t>
              </m:r>
            </m:e>
            <m:sup>
              <m:r>
                <m:t> </m:t>
              </m:r>
              <m:r>
                <m:t>b</m:t>
              </m:r>
            </m:sup>
          </m:sSup>
        </m:oMath>
      </m:oMathPara>
    </w:p>
    <w:p>
      <w:pPr>
        <w:pStyle w:val="FirstParagraph"/>
      </w:pPr>
      <w:r>
        <w:t xml:space="preserve">with</w:t>
      </w:r>
      <w:r>
        <w:t xml:space="preserve"> </w:t>
      </w:r>
      <m:oMath>
        <m:r>
          <m:t>D</m:t>
        </m:r>
      </m:oMath>
      <w:r>
        <w:t xml:space="preserve"> </w:t>
      </w:r>
      <w:r>
        <w:t xml:space="preserve">the diameter at breast height and</w:t>
      </w:r>
      <w:r>
        <w:t xml:space="preserve"> </w:t>
      </w:r>
      <m:oMath>
        <m:r>
          <m:t>b</m:t>
        </m:r>
      </m:oMath>
      <w:r>
        <w:t xml:space="preserve"> </w:t>
      </w:r>
      <w:r>
        <w:t xml:space="preserve">typically between 2.3 and 2.6. Taking logarithms makes it linear and, more importantly, stabilises the variance, because absolute scatter grows with tree size while proportional scatter stays roughly constant: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a</m:t>
              </m:r>
            </m:e>
          </m:d>
          <m:r>
            <m:rPr>
              <m:sty m:val="p"/>
            </m:rPr>
            <m:t>+</m:t>
          </m:r>
          <m:r>
            <m:t>b</m:t>
          </m:r>
          <m:r>
            <m:t> </m:t>
          </m:r>
          <m:r>
            <m:rPr>
              <m:sty m:val="p"/>
            </m:rPr>
            <m:t>ln</m:t>
          </m:r>
          <m:d>
            <m:dPr>
              <m:begChr m:val="("/>
              <m:sepChr m:val=""/>
              <m:endChr m:val=")"/>
              <m:grow/>
            </m:dPr>
            <m:e>
              <m:r>
                <m:t>D</m:t>
              </m:r>
            </m:e>
          </m:d>
          <m:r>
            <m:rPr>
              <m:sty m:val="p"/>
            </m:rPr>
            <m:t>+</m:t>
          </m:r>
          <m:r>
            <m:t>ε</m:t>
          </m:r>
        </m:oMath>
      </m:oMathPara>
    </w:p>
    <w:p>
      <w:pPr>
        <w:pStyle w:val="FirstParagraph"/>
      </w:pPr>
      <w:r>
        <w:t xml:space="preserve">Fitting on that scale is standard practice, but it introduces a trap. Exponentiating a prediction from log space returns the median rather than the mean of the distribution, which systematically underestimates biomass. The correction is a multiplicative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 and it is used throughout this book. The uncertainty chapter shows what it does to the error statistics.</w:t>
      </w:r>
    </w:p>
    <w:bookmarkEnd w:id="119"/>
    <w:bookmarkStart w:id="120" w:name="choosing-an-equation"/>
    <w:p>
      <w:pPr>
        <w:pStyle w:val="Heading2"/>
      </w:pPr>
      <w:r>
        <w:t xml:space="preserve">7.3 Choosing an equation</w:t>
      </w:r>
    </w:p>
    <w:p>
      <w:pPr>
        <w:pStyle w:val="FirstParagraph"/>
      </w:pPr>
      <w:r>
        <w:t xml:space="preserve">There are thousands of published equations. Choosing among them is the analyst’s judgement, and the metadata that governs the choice is more informative than the coefficients. The</w:t>
      </w:r>
      <w:r>
        <w:t xml:space="preserve"> </w:t>
      </w:r>
      <w:r>
        <w:rPr>
          <w:rStyle w:val="VerbatimChar"/>
        </w:rPr>
        <w:t xml:space="preserve">eq_tab_acer</w:t>
      </w:r>
      <w:r>
        <w:t xml:space="preserve"> </w:t>
      </w:r>
      <w:r>
        <w:t xml:space="preserve">table holds published equations for maples, with the fields a careful selection actually needs:</w:t>
      </w:r>
    </w:p>
    <w:p>
      <w:pPr>
        <w:pStyle w:val="SourceCode"/>
      </w:pPr>
      <w:r>
        <w:rPr>
          <w:rStyle w:val="NormalTok"/>
        </w:rPr>
        <w:t xml:space="preserve">eq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"data/eq_tab_acer.csv"</w:t>
      </w:r>
      <w:r>
        <w:rPr>
          <w:rStyle w:val="NormalTok"/>
        </w:rPr>
        <w:t xml:space="preserve">)</w:t>
      </w:r>
      <w:r>
        <w:br/>
      </w:r>
      <w:r>
        <w:rPr>
          <w:rStyle w:val="FunctionTok"/>
        </w:rPr>
        <w:t xml:space="preserve">c</w:t>
      </w:r>
      <w:r>
        <w:rPr>
          <w:rStyle w:val="NormalTok"/>
        </w:rPr>
        <w:t xml:space="preserve">(</w:t>
      </w:r>
      <w:r>
        <w:rPr>
          <w:rStyle w:val="AttributeTok"/>
        </w:rPr>
        <w:t xml:space="preserve">equations =</w:t>
      </w:r>
      <w:r>
        <w:rPr>
          <w:rStyle w:val="NormalTok"/>
        </w:rPr>
        <w:t xml:space="preserve"> </w:t>
      </w:r>
      <w:r>
        <w:rPr>
          <w:rStyle w:val="FunctionTok"/>
        </w:rPr>
        <w:t xml:space="preserve">nrow</w:t>
      </w:r>
      <w:r>
        <w:rPr>
          <w:rStyle w:val="NormalTok"/>
        </w:rPr>
        <w:t xml:space="preserve">(eq), </w:t>
      </w:r>
      <w:r>
        <w:rPr>
          <w:rStyle w:val="AttributeTok"/>
        </w:rPr>
        <w:t xml:space="preserve">taxa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(eq</w:t>
      </w:r>
      <w:r>
        <w:rPr>
          <w:rStyle w:val="SpecialCharTok"/>
        </w:rPr>
        <w:t xml:space="preserve">$</w:t>
      </w:r>
      <w:r>
        <w:rPr>
          <w:rStyle w:val="NormalTok"/>
        </w:rPr>
        <w:t xml:space="preserve">equation_taxa)))</w:t>
      </w:r>
      <w:r>
        <w:br/>
      </w:r>
      <w:r>
        <w:rPr>
          <w:rStyle w:val="CommentTok"/>
        </w:rPr>
        <w:t xml:space="preserve">#&gt; equations      taxa </w:t>
      </w:r>
      <w:r>
        <w:br/>
      </w:r>
      <w:r>
        <w:rPr>
          <w:rStyle w:val="CommentTok"/>
        </w:rPr>
        <w:t xml:space="preserve">#&gt;        24         9</w:t>
      </w:r>
      <w:r>
        <w:br/>
      </w:r>
      <w:r>
        <w:rPr>
          <w:rStyle w:val="FunctionTok"/>
        </w:rPr>
        <w:t xml:space="preserve">table</w:t>
      </w:r>
      <w:r>
        <w:rPr>
          <w:rStyle w:val="NormalTok"/>
        </w:rPr>
        <w:t xml:space="preserve">(eq</w:t>
      </w:r>
      <w:r>
        <w:rPr>
          <w:rStyle w:val="SpecialCharTok"/>
        </w:rPr>
        <w:t xml:space="preserve">$</w:t>
      </w:r>
      <w:r>
        <w:rPr>
          <w:rStyle w:val="NormalTok"/>
        </w:rPr>
        <w:t xml:space="preserve">allometry_specificity)</w:t>
      </w:r>
      <w:r>
        <w:br/>
      </w:r>
      <w:r>
        <w:rPr>
          <w:rStyle w:val="CommentTok"/>
        </w:rPr>
        <w:t xml:space="preserve">#&gt; </w:t>
      </w:r>
      <w:r>
        <w:br/>
      </w:r>
      <w:r>
        <w:rPr>
          <w:rStyle w:val="CommentTok"/>
        </w:rPr>
        <w:t xml:space="preserve">#&gt;   Genus Species </w:t>
      </w:r>
      <w:r>
        <w:br/>
      </w:r>
      <w:r>
        <w:rPr>
          <w:rStyle w:val="CommentTok"/>
        </w:rPr>
        <w:t xml:space="preserve">#&gt;       1      23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(eq[, </w:t>
      </w:r>
      <w:r>
        <w:rPr>
          <w:rStyle w:val="FunctionTok"/>
        </w:rPr>
        <w:t xml:space="preserve">c</w:t>
      </w:r>
      <w:r>
        <w:rPr>
          <w:rStyle w:val="NormalTok"/>
        </w:rPr>
        <w:t xml:space="preserve">(</w:t>
      </w:r>
      <w:r>
        <w:rPr>
          <w:rStyle w:val="StringTok"/>
        </w:rPr>
        <w:t xml:space="preserve">"equation_taxa"</w:t>
      </w:r>
      <w:r>
        <w:rPr>
          <w:rStyle w:val="NormalTok"/>
        </w:rPr>
        <w:t xml:space="preserve">, </w:t>
      </w:r>
      <w:r>
        <w:rPr>
          <w:rStyle w:val="StringTok"/>
        </w:rPr>
        <w:t xml:space="preserve">"equation_allometry"</w:t>
      </w:r>
      <w:r>
        <w:rPr>
          <w:rStyle w:val="NormalTok"/>
        </w:rPr>
        <w:t xml:space="preserve">,</w:t>
      </w:r>
      <w:r>
        <w:br/>
      </w:r>
      <w:r>
        <w:rPr>
          <w:rStyle w:val="NormalTok"/>
        </w:rPr>
        <w:t xml:space="preserve">                         </w:t>
      </w:r>
      <w:r>
        <w:rPr>
          <w:rStyle w:val="StringTok"/>
        </w:rPr>
        <w:t xml:space="preserve">"dbh_min_cm"</w:t>
      </w:r>
      <w:r>
        <w:rPr>
          <w:rStyle w:val="NormalTok"/>
        </w:rPr>
        <w:t xml:space="preserve">, </w:t>
      </w:r>
      <w:r>
        <w:rPr>
          <w:rStyle w:val="StringTok"/>
        </w:rPr>
        <w:t xml:space="preserve">"dbh_max_cm"</w:t>
      </w:r>
      <w:r>
        <w:rPr>
          <w:rStyle w:val="NormalTok"/>
        </w:rPr>
        <w:t xml:space="preserve">, </w:t>
      </w:r>
      <w:r>
        <w:rPr>
          <w:rStyle w:val="StringTok"/>
        </w:rPr>
        <w:t xml:space="preserve">"sample_size"</w:t>
      </w:r>
      <w:r>
        <w:rPr>
          <w:rStyle w:val="NormalTok"/>
        </w:rPr>
        <w:t xml:space="preserve">)], </w:t>
      </w:r>
      <w:r>
        <w:rPr>
          <w:rStyle w:val="DecValTok"/>
        </w:rPr>
        <w:t xml:space="preserve">5</w:t>
      </w:r>
      <w:r>
        <w:rPr>
          <w:rStyle w:val="NormalTok"/>
        </w:rPr>
        <w:t xml:space="preserve">))</w:t>
      </w:r>
    </w:p>
    <w:tbl>
      <w:tblPr>
        <w:tblStyle w:val="Table"/>
        <w:tblW w:type="pct" w:w="5000"/>
        <w:tblLayout w:type="fixed"/>
        <w:tblLook w:firstRow="1" w:lastRow="0" w:firstColumn="0" w:lastColumn="0" w:noHBand="0" w:noVBand="0" w:val="0020"/>
      </w:tblPr>
      <w:tblGrid>
        <w:gridCol w:w="1427"/>
        <w:gridCol w:w="4067"/>
        <w:gridCol w:w="784"/>
        <w:gridCol w:w="784"/>
        <w:gridCol w:w="856"/>
      </w:tblGrid>
      <w:tr>
        <w:trPr>
          <w:tblHeader w:val="on"/>
        </w:trPr>
        <w:tc>
          <w:tcPr/>
          <w:p>
            <w:pPr>
              <w:pStyle w:val="Compact"/>
              <w:jc w:val="left"/>
            </w:pPr>
            <w:r>
              <w:t xml:space="preserve">equation_taxa</w:t>
            </w:r>
          </w:p>
        </w:tc>
        <w:tc>
          <w:tcPr/>
          <w:p>
            <w:pPr>
              <w:pStyle w:val="Compact"/>
              <w:jc w:val="left"/>
            </w:pPr>
            <w:r>
              <w:t xml:space="preserve">equation_allometry</w:t>
            </w:r>
          </w:p>
        </w:tc>
        <w:tc>
          <w:tcPr/>
          <w:p>
            <w:pPr>
              <w:pStyle w:val="Compact"/>
              <w:jc w:val="right"/>
            </w:pPr>
            <w:r>
              <w:t xml:space="preserve">dbh_min_cm</w:t>
            </w:r>
          </w:p>
        </w:tc>
        <w:tc>
          <w:tcPr/>
          <w:p>
            <w:pPr>
              <w:pStyle w:val="Compact"/>
              <w:jc w:val="right"/>
            </w:pPr>
            <w:r>
              <w:t xml:space="preserve">dbh_max_cm</w:t>
            </w:r>
          </w:p>
        </w:tc>
        <w:tc>
          <w:tcPr/>
          <w:p>
            <w:pPr>
              <w:pStyle w:val="Compact"/>
              <w:jc w:val="right"/>
            </w:pPr>
            <w:r>
              <w:t xml:space="preserve">sample_size</w:t>
            </w:r>
          </w:p>
        </w:tc>
      </w:tr>
      <w:tr>
        <w:tc>
          <w:tcPr/>
          <w:p>
            <w:pPr>
              <w:pStyle w:val="Compact"/>
              <w:jc w:val="left"/>
            </w:pPr>
            <w:r>
              <w:t xml:space="preserve">Acer saccharum</w:t>
            </w:r>
          </w:p>
        </w:tc>
        <w:tc>
          <w:tcPr/>
          <w:p>
            <w:pPr>
              <w:pStyle w:val="Compact"/>
              <w:jc w:val="left"/>
            </w:pPr>
            <w:r>
              <w:t xml:space="preserve">exp(-2.192-0.011</w:t>
            </w:r>
            <w:r>
              <w:rPr>
                <w:i/>
                <w:iCs/>
              </w:rPr>
              <w:t xml:space="preserve">dbh+2.67</w:t>
            </w:r>
            <w:r>
              <w:t xml:space="preserve">(log(dbh)))</w:t>
            </w:r>
          </w:p>
        </w:tc>
        <w:tc>
          <w:tcPr/>
          <w:p>
            <w:pPr>
              <w:pStyle w:val="Compact"/>
              <w:jc w:val="right"/>
            </w:pPr>
            <w:r>
              <w:t xml:space="preserve">2.80</w:t>
            </w:r>
          </w:p>
        </w:tc>
        <w:tc>
          <w:tcPr/>
          <w:p>
            <w:pPr>
              <w:pStyle w:val="Compact"/>
              <w:jc w:val="right"/>
            </w:pPr>
            <w:r>
              <w:t xml:space="preserve">69.50</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2.02338*(dbh</w:t>
            </w:r>
            <w:r>
              <w:rPr>
                <w:vertAlign w:val="superscript"/>
              </w:rPr>
              <w:t xml:space="preserve">2)</w:t>
            </w:r>
            <w:r>
              <w:t xml:space="preserve">1.27612</w:t>
            </w:r>
          </w:p>
        </w:tc>
        <w:tc>
          <w:tcPr/>
          <w:p>
            <w:pPr>
              <w:pStyle w:val="Compact"/>
              <w:jc w:val="right"/>
            </w:pPr>
            <w:r>
              <w:t xml:space="preserve">12.95</w:t>
            </w:r>
          </w:p>
        </w:tc>
        <w:tc>
          <w:tcPr/>
          <w:p>
            <w:pPr>
              <w:pStyle w:val="Compact"/>
              <w:jc w:val="right"/>
            </w:pPr>
            <w:r>
              <w:t xml:space="preserve">27.18</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5.2879*(dbh</w:t>
            </w:r>
            <w:r>
              <w:rPr>
                <w:vertAlign w:val="superscript"/>
              </w:rPr>
              <w:t xml:space="preserve">2)</w:t>
            </w:r>
            <w:r>
              <w:t xml:space="preserve">1.07581</w:t>
            </w:r>
          </w:p>
        </w:tc>
        <w:tc>
          <w:tcPr/>
          <w:p>
            <w:pPr>
              <w:pStyle w:val="Compact"/>
              <w:jc w:val="right"/>
            </w:pPr>
            <w:r>
              <w:t xml:space="preserve">30.48</w:t>
            </w:r>
          </w:p>
        </w:tc>
        <w:tc>
          <w:tcPr/>
          <w:p>
            <w:pPr>
              <w:pStyle w:val="Compact"/>
              <w:jc w:val="right"/>
            </w:pPr>
            <w:r>
              <w:t xml:space="preserve">42.67</w:t>
            </w:r>
          </w:p>
        </w:tc>
        <w:tc>
          <w:tcPr/>
          <w:p>
            <w:pPr>
              <w:pStyle w:val="Compact"/>
              <w:jc w:val="right"/>
            </w:pPr>
            <w:r>
              <w:t xml:space="preserve">12</w:t>
            </w:r>
          </w:p>
        </w:tc>
      </w:tr>
      <w:tr>
        <w:tc>
          <w:tcPr/>
          <w:p>
            <w:pPr>
              <w:pStyle w:val="Compact"/>
              <w:jc w:val="left"/>
            </w:pPr>
            <w:r>
              <w:t xml:space="preserve">Acer pseudoplatanus</w:t>
            </w:r>
          </w:p>
        </w:tc>
        <w:tc>
          <w:tcPr/>
          <w:p>
            <w:pPr>
              <w:pStyle w:val="Compact"/>
              <w:jc w:val="left"/>
            </w:pPr>
            <w:r>
              <w:t xml:space="preserve">exp(-5.644074+(2.5189</w:t>
            </w:r>
            <w:r>
              <w:rPr>
                <w:i/>
                <w:iCs/>
              </w:rPr>
              <w:t xml:space="preserve">(log(pi</w:t>
            </w:r>
            <w:r>
              <w:t xml:space="preserve">dbh))))</w:t>
            </w:r>
          </w:p>
        </w:tc>
        <w:tc>
          <w:tcPr/>
          <w:p>
            <w:pPr>
              <w:pStyle w:val="Compact"/>
              <w:jc w:val="right"/>
            </w:pPr>
            <w:r>
              <w:t xml:space="preserve">11.50</w:t>
            </w:r>
          </w:p>
        </w:tc>
        <w:tc>
          <w:tcPr/>
          <w:p>
            <w:pPr>
              <w:pStyle w:val="Compact"/>
              <w:jc w:val="right"/>
            </w:pPr>
            <w:r>
              <w:t xml:space="preserve">96.50</w:t>
            </w:r>
          </w:p>
        </w:tc>
        <w:tc>
          <w:tcPr/>
          <w:p>
            <w:pPr>
              <w:pStyle w:val="Compact"/>
              <w:jc w:val="right"/>
            </w:pPr>
            <w:r>
              <w:t xml:space="preserve">10</w:t>
            </w:r>
          </w:p>
        </w:tc>
      </w:tr>
      <w:tr>
        <w:tc>
          <w:tcPr/>
          <w:p>
            <w:pPr>
              <w:pStyle w:val="Compact"/>
              <w:jc w:val="left"/>
            </w:pPr>
            <w:r>
              <w:t xml:space="preserve">Acer mandshuricum</w:t>
            </w:r>
          </w:p>
        </w:tc>
        <w:tc>
          <w:tcPr/>
          <w:p>
            <w:pPr>
              <w:pStyle w:val="Compact"/>
              <w:jc w:val="left"/>
            </w:pPr>
            <w:r>
              <w:t xml:space="preserve">0.0335*(dbh)</w:t>
            </w:r>
            <w:r>
              <w:rPr>
                <w:vertAlign w:val="superscript"/>
              </w:rPr>
              <w:t xml:space="preserve">1.606+0.0026</w:t>
            </w:r>
            <w:r>
              <w:rPr>
                <w:i/>
                <w:iCs/>
                <w:vertAlign w:val="superscript"/>
              </w:rPr>
              <w:t xml:space="preserve">(dbh)^3.323+0.1222</w:t>
            </w:r>
            <w:r>
              <w:rPr>
                <w:vertAlign w:val="superscript"/>
              </w:rPr>
              <w:t xml:space="preserve">(dbh)</w:t>
            </w:r>
            <w:r>
              <w:t xml:space="preserve">2.310</w:t>
            </w:r>
          </w:p>
        </w:tc>
        <w:tc>
          <w:tcPr/>
          <w:p>
            <w:pPr>
              <w:pStyle w:val="Compact"/>
              <w:jc w:val="right"/>
            </w:pPr>
            <w:r>
              <w:t xml:space="preserve">7.80</w:t>
            </w:r>
          </w:p>
        </w:tc>
        <w:tc>
          <w:tcPr/>
          <w:p>
            <w:pPr>
              <w:pStyle w:val="Compact"/>
              <w:jc w:val="right"/>
            </w:pPr>
            <w:r>
              <w:t xml:space="preserve">35.90</w:t>
            </w:r>
          </w:p>
        </w:tc>
        <w:tc>
          <w:tcPr/>
          <w:p>
            <w:pPr>
              <w:pStyle w:val="Compact"/>
              <w:jc w:val="right"/>
            </w:pPr>
            <w:r>
              <w:t xml:space="preserve">10</w:t>
            </w:r>
          </w:p>
        </w:tc>
      </w:tr>
    </w:tbl>
    <w:p>
      <w:pPr>
        <w:pStyle w:val="BodyText"/>
      </w:pPr>
      <w:r>
        <w:t xml:space="preserve">Four questions decide it. Does the equation match the taxon, at species or at least genus level? Was it fitted in a comparable environment, since the same species allocates biomass differently in a dense stand than an open one? How many trees was it fitted on? And, most neglected, over what diameter range?</w:t>
      </w:r>
    </w:p>
    <w:p>
      <w:pPr>
        <w:pStyle w:val="SourceCode"/>
      </w:pPr>
      <w:r>
        <w:rPr>
          <w:rStyle w:val="FunctionTok"/>
        </w:rPr>
        <w:t xml:space="preserve">summary</w:t>
      </w:r>
      <w:r>
        <w:rPr>
          <w:rStyle w:val="NormalTok"/>
        </w:rPr>
        <w:t xml:space="preserve">(eq</w:t>
      </w:r>
      <w:r>
        <w:rPr>
          <w:rStyle w:val="SpecialCharTok"/>
        </w:rPr>
        <w:t xml:space="preserve">$</w:t>
      </w:r>
      <w:r>
        <w:rPr>
          <w:rStyle w:val="NormalTok"/>
        </w:rPr>
        <w:t xml:space="preserve">sample_size)</w:t>
      </w:r>
      <w:r>
        <w:br/>
      </w:r>
      <w:r>
        <w:rPr>
          <w:rStyle w:val="CommentTok"/>
        </w:rPr>
        <w:t xml:space="preserve">#&gt;    Min. 1st Qu.  Median    Mean 3rd Qu.    Max.    NA's </w:t>
      </w:r>
      <w:r>
        <w:br/>
      </w:r>
      <w:r>
        <w:rPr>
          <w:rStyle w:val="CommentTok"/>
        </w:rPr>
        <w:t xml:space="preserve">#&gt;    9.00   10.25   13.00   25.95   35.50  150.00       2</w:t>
      </w:r>
    </w:p>
    <w:p>
      <w:pPr>
        <w:pStyle w:val="FirstParagraph"/>
      </w:pPr>
      <w:r>
        <w:t xml:space="preserve">The median equation here was fitted on thirteen trees. That is not unusual and not a scandal, because destructive harvest is expensive and slow, but it should calibrate how much confidence a single published equation deserves.</w:t>
      </w:r>
    </w:p>
    <w:bookmarkEnd w:id="120"/>
    <w:bookmarkStart w:id="124" w:name="the-cost-of-the-choice"/>
    <w:p>
      <w:pPr>
        <w:pStyle w:val="Heading2"/>
      </w:pPr>
      <w:r>
        <w:t xml:space="preserve">7.4 The cost of the choice</w:t>
      </w:r>
    </w:p>
    <w:p>
      <w:pPr>
        <w:pStyle w:val="FirstParagraph"/>
      </w:pPr>
      <w:r>
        <w:t xml:space="preserve">The abstract argument becomes concrete when you apply several defensible equations to the same trees. The</w:t>
      </w:r>
      <w:r>
        <w:t xml:space="preserve"> </w:t>
      </w:r>
      <w:r>
        <w:rPr>
          <w:rStyle w:val="VerbatimChar"/>
        </w:rPr>
        <w:t xml:space="preserve">scbi_quercus</w:t>
      </w:r>
      <w:r>
        <w:t xml:space="preserve"> </w:t>
      </w:r>
      <w:r>
        <w:t xml:space="preserve">file holds 84 oak stems with aboveground biomass computed five ways: a species-specific equation, a genus-level one, the pantropical models of</w:t>
      </w:r>
      <w:r>
        <w:t xml:space="preserve"> </w:t>
      </w:r>
      <w:r>
        <w:t xml:space="preserve">Chave et al. (2014)</w:t>
      </w:r>
      <w:r>
        <w:t xml:space="preserve"> </w:t>
      </w:r>
      <w:r>
        <w:t xml:space="preserve">and its 2005 predecessor, and an older generic equation.</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"data/scbi_quercus.csv"</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AttributeTok"/>
        </w:rPr>
        <w:t xml:space="preserve">value =</w:t>
      </w:r>
      <w:r>
        <w:rPr>
          <w:rStyle w:val="NormalTok"/>
        </w:rPr>
        <w:t xml:space="preserve"> </w:t>
      </w:r>
      <w:r>
        <w:rPr>
          <w:rStyle w:val="ConstantTok"/>
        </w:rPr>
        <w:t xml:space="preserve">TRUE</w:t>
      </w:r>
      <w:r>
        <w:rPr>
          <w:rStyle w:val="NormalTok"/>
        </w:rPr>
        <w:t xml:space="preserve">)) q[[v]] </w:t>
      </w:r>
      <w:r>
        <w:rPr>
          <w:rStyle w:val="OtherTok"/>
        </w:rPr>
        <w:t xml:space="preserve">&lt;-</w:t>
      </w:r>
      <w:r>
        <w:rPr>
          <w:rStyle w:val="NormalTok"/>
        </w:rPr>
        <w:t xml:space="preserve"> </w:t>
      </w:r>
      <w:r>
        <w:rPr>
          <w:rStyle w:val="FunctionTok"/>
        </w:rPr>
        <w:t xml:space="preserve">as.numeric</w:t>
      </w:r>
      <w:r>
        <w:rPr>
          <w:rStyle w:val="NormalTok"/>
        </w:rPr>
        <w:t xml:space="preserve">(q[[v]])</w:t>
      </w:r>
      <w:r>
        <w:br/>
      </w:r>
      <w:r>
        <w:br/>
      </w:r>
      <w:r>
        <w:rPr>
          <w:rStyle w:val="NormalTok"/>
        </w:rPr>
        <w:t xml:space="preserve">totals </w:t>
      </w:r>
      <w:r>
        <w:rPr>
          <w:rStyle w:val="OtherTok"/>
        </w:rPr>
        <w:t xml:space="preserve">&lt;-</w:t>
      </w:r>
      <w:r>
        <w:rPr>
          <w:rStyle w:val="NormalTok"/>
        </w:rPr>
        <w:t xml:space="preserve"> </w:t>
      </w:r>
      <w:r>
        <w:rPr>
          <w:rStyle w:val="FunctionTok"/>
        </w:rPr>
        <w:t xml:space="preserve">colSums</w:t>
      </w:r>
      <w:r>
        <w:rPr>
          <w:rStyle w:val="NormalTok"/>
        </w:rPr>
        <w:t xml:space="preserve">(q[,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tonnes</w:t>
      </w:r>
      <w:r>
        <w:br/>
      </w:r>
      <w:r>
        <w:rPr>
          <w:rStyle w:val="FunctionTok"/>
        </w:rPr>
        <w:t xml:space="preserve">round</w:t>
      </w:r>
      <w:r>
        <w:rPr>
          <w:rStyle w:val="NormalTok"/>
        </w:rPr>
        <w:t xml:space="preserve">(totals,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75.15         81.25         20.50         97.38         65.23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ratio =</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w:t>
      </w:r>
      <w:r>
        <w:br/>
      </w:r>
      <w:r>
        <w:rPr>
          <w:rStyle w:val="NormalTok"/>
        </w:rPr>
        <w:t xml:space="preserve">        </w:t>
      </w:r>
      <w:r>
        <w:rPr>
          <w:rStyle w:val="AttributeTok"/>
        </w:rPr>
        <w:t xml:space="preserve">spread_pct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DecValTok"/>
        </w:rPr>
        <w:t xml:space="preserve">2</w:t>
      </w:r>
      <w:r>
        <w:rPr>
          <w:rStyle w:val="NormalTok"/>
        </w:rPr>
        <w:t xml:space="preserve">)</w:t>
      </w:r>
      <w:r>
        <w:br/>
      </w:r>
      <w:r>
        <w:rPr>
          <w:rStyle w:val="CommentTok"/>
        </w:rPr>
        <w:t xml:space="preserve">#&gt;      ratio spread_pct </w:t>
      </w:r>
      <w:r>
        <w:br/>
      </w:r>
      <w:r>
        <w:rPr>
          <w:rStyle w:val="CommentTok"/>
        </w:rPr>
        <w:t xml:space="preserve">#&gt;       4.75     374.96</w:t>
      </w:r>
    </w:p>
    <w:p>
      <w:pPr>
        <w:pStyle w:val="FirstParagraph"/>
      </w:pPr>
      <w:r>
        <w:t xml:space="preserve">The same 84 trees, measured once, weigh between 20 and 97 tonnes depending on which published equation you apply. The largest estimate is</w:t>
      </w:r>
      <w:r>
        <w:t xml:space="preserve"> </w:t>
      </w:r>
      <w:r>
        <w:rPr>
          <w:b/>
          <w:bCs/>
        </w:rPr>
        <w:t xml:space="preserve">4.75 times</w:t>
      </w:r>
      <w:r>
        <w:t xml:space="preserve"> </w:t>
      </w:r>
      <w:r>
        <w:t xml:space="preserve">the smallest. No field error, no measurement problem, no disagreement about the data: the entire spread is equation choice.</w:t>
      </w:r>
    </w:p>
    <w:p>
      <w:pPr>
        <w:pStyle w:val="SourceCode"/>
      </w:pPr>
      <w:r>
        <w:rPr>
          <w:rStyle w:val="NormalTok"/>
        </w:rPr>
        <w:t xml:space="preserve">carbon_ha </w:t>
      </w:r>
      <w:r>
        <w:rPr>
          <w:rStyle w:val="OtherTok"/>
        </w:rPr>
        <w:t xml:space="preserve">&lt;-</w:t>
      </w:r>
      <w:r>
        <w:rPr>
          <w:rStyle w:val="NormalTok"/>
        </w:rPr>
        <w:t xml:space="preserve"> totals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w:t>
      </w:r>
      <w:r>
        <w:rPr>
          <w:rStyle w:val="FloatTok"/>
        </w:rPr>
        <w:t xml:space="preserve">25.6</w:t>
      </w:r>
      <w:r>
        <w:br/>
      </w:r>
      <w:r>
        <w:rPr>
          <w:rStyle w:val="FunctionTok"/>
        </w:rPr>
        <w:t xml:space="preserve">round</w:t>
      </w:r>
      <w:r>
        <w:rPr>
          <w:rStyle w:val="NormalTok"/>
        </w:rPr>
        <w:t xml:space="preserve">(carbon_ha,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1.38          1.49          0.38          1.79          1.20</w:t>
      </w:r>
    </w:p>
    <w:p>
      <w:pPr>
        <w:pStyle w:val="FirstParagraph"/>
      </w:pPr>
      <w:r>
        <w:t xml:space="preserve">Expressed as carbon density, the choice moves the answer from 0.38 to 1.79 MgC per hectare. If that were a crediting claim, four fifths of it would be a modelling decision.</w:t>
      </w:r>
    </w:p>
    <w:p>
      <w:pPr>
        <w:pStyle w:val="BodyText"/>
      </w:pPr>
      <w:r>
        <w:t xml:space="preserve">Not all five are equally defensible, and that is the point rather than an objection. The pantropical equations were fitted on tropical moist forest and applied here to a temperate oak stand, which is precisely the kind of extension that looks harmless in code and is indefensible in review. Knowing that requires reading the equation’s provenance, not its coefficients.</w:t>
      </w:r>
    </w:p>
    <w:p>
      <w:pPr>
        <w:pStyle w:val="SourceCode"/>
      </w:pPr>
      <w:r>
        <w:rPr>
          <w:rStyle w:val="FunctionTok"/>
        </w:rPr>
        <w:t xml:space="preserve">plot</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agb_species,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 </w:t>
      </w:r>
      <w:r>
        <w:rPr>
          <w:rStyle w:val="AttributeTok"/>
        </w:rPr>
        <w:t xml:space="preserve">main =</w:t>
      </w:r>
      <w:r>
        <w:rPr>
          <w:rStyle w:val="NormalTok"/>
        </w:rPr>
        <w:t xml:space="preserve"> </w:t>
      </w:r>
      <w:r>
        <w:rPr>
          <w:rStyle w:val="StringTok"/>
        </w:rPr>
        <w:t xml:space="preserve">"Five equations, 84 oaks"</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agb_chave2014,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agb_brown1997,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StringTok"/>
        </w:rPr>
        <w:t xml:space="preserve">"#4a7fb5"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allometry_files/figure-docx/unnamed-chunk-6-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On log axes the equations are near-parallel lines separated by a constant factor. The divergence is not a subtle disagreement about form; it is a straightforward difference in level that persists across every tree in the stand and therefore does not average out.</w:t>
      </w:r>
    </w:p>
    <w:bookmarkEnd w:id="124"/>
    <w:bookmarkStart w:id="125" w:name="extrapolation-and-where-the-carbon-is"/>
    <w:p>
      <w:pPr>
        <w:pStyle w:val="Heading2"/>
      </w:pPr>
      <w:r>
        <w:t xml:space="preserve">7.5 Extrapolation, and where the carbon is</w:t>
      </w:r>
    </w:p>
    <w:p>
      <w:pPr>
        <w:pStyle w:val="FirstParagraph"/>
      </w:pPr>
      <w:r>
        <w:t xml:space="preserve">An equation is only evidence over the diameters it was fitted on. Outside that range it is an extrapolated power law, and power laws extrapolate badly. Check the maple equations against the maples actually in the plot:</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"data/scbi_stem1.csv"</w:t>
      </w:r>
      <w:r>
        <w:rPr>
          <w:rStyle w:val="NormalTok"/>
        </w:rPr>
        <w:t xml:space="preserve">)</w:t>
      </w:r>
      <w:r>
        <w:br/>
      </w:r>
      <w:r>
        <w:rPr>
          <w:rStyle w:val="NormalTok"/>
        </w:rPr>
        <w:t xml:space="preserve">acer  </w:t>
      </w:r>
      <w:r>
        <w:rPr>
          <w:rStyle w:val="OtherTok"/>
        </w:rPr>
        <w:t xml:space="preserve">&lt;-</w:t>
      </w:r>
      <w:r>
        <w:rPr>
          <w:rStyle w:val="NormalTok"/>
        </w:rPr>
        <w:t xml:space="preserve"> stems[stems</w:t>
      </w:r>
      <w:r>
        <w:rPr>
          <w:rStyle w:val="SpecialCharTok"/>
        </w:rPr>
        <w:t xml:space="preserve">$</w:t>
      </w:r>
      <w:r>
        <w:rPr>
          <w:rStyle w:val="NormalTok"/>
        </w:rPr>
        <w:t xml:space="preserve">genus </w:t>
      </w:r>
      <w:r>
        <w:rPr>
          <w:rStyle w:val="SpecialCharTok"/>
        </w:rPr>
        <w:t xml:space="preserve">==</w:t>
      </w:r>
      <w:r>
        <w:rPr>
          <w:rStyle w:val="NormalTok"/>
        </w:rPr>
        <w:t xml:space="preserve"> </w:t>
      </w:r>
      <w:r>
        <w:rPr>
          <w:rStyle w:val="StringTok"/>
        </w:rPr>
        <w:t xml:space="preserve">"Acer"</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 ]</w:t>
      </w:r>
      <w:r>
        <w:br/>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nrow</w:t>
      </w:r>
      <w:r>
        <w:rPr>
          <w:rStyle w:val="NormalTok"/>
        </w:rPr>
        <w:t xml:space="preserve">(acer), </w:t>
      </w:r>
      <w:r>
        <w:rPr>
          <w:rStyle w:val="AttributeTok"/>
        </w:rPr>
        <w:t xml:space="preserve">min_dbh =</w:t>
      </w:r>
      <w:r>
        <w:rPr>
          <w:rStyle w:val="NormalTok"/>
        </w:rPr>
        <w:t xml:space="preserve"> </w:t>
      </w:r>
      <w:r>
        <w:rPr>
          <w:rStyle w:val="FunctionTok"/>
        </w:rPr>
        <w:t xml:space="preserve">min</w:t>
      </w:r>
      <w:r>
        <w:rPr>
          <w:rStyle w:val="NormalTok"/>
        </w:rPr>
        <w:t xml:space="preserve">(acer</w:t>
      </w:r>
      <w:r>
        <w:rPr>
          <w:rStyle w:val="SpecialCharTok"/>
        </w:rPr>
        <w:t xml:space="preserve">$</w:t>
      </w:r>
      <w:r>
        <w:rPr>
          <w:rStyle w:val="NormalTok"/>
        </w:rPr>
        <w:t xml:space="preserve">dbh), </w:t>
      </w:r>
      <w:r>
        <w:rPr>
          <w:rStyle w:val="AttributeTok"/>
        </w:rPr>
        <w:t xml:space="preserve">max_dbh =</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CommentTok"/>
        </w:rPr>
        <w:t xml:space="preserve">#&gt;   stems min_dbh max_dbh </w:t>
      </w:r>
      <w:r>
        <w:br/>
      </w:r>
      <w:r>
        <w:rPr>
          <w:rStyle w:val="CommentTok"/>
        </w:rPr>
        <w:t xml:space="preserve">#&gt;   32.00    1.04   60.71</w:t>
      </w:r>
      <w:r>
        <w:br/>
      </w:r>
      <w:r>
        <w:br/>
      </w:r>
      <w:r>
        <w:rPr>
          <w:rStyle w:val="NormalTok"/>
        </w:rPr>
        <w:t xml:space="preserve">has_range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dbh_min_cm)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dbh_max_cm)</w:t>
      </w:r>
      <w:r>
        <w:br/>
      </w:r>
      <w:r>
        <w:rPr>
          <w:rStyle w:val="NormalTok"/>
        </w:rPr>
        <w:t xml:space="preserve">in_range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FunctionTok"/>
        </w:rPr>
        <w:t xml:space="preserve">round</w:t>
      </w:r>
      <w:r>
        <w:rPr>
          <w:rStyle w:val="NormalTok"/>
        </w:rPr>
        <w:t xml:space="preserve">(</w:t>
      </w:r>
      <w:r>
        <w:rPr>
          <w:rStyle w:val="FunctionTok"/>
        </w:rPr>
        <w:t xml:space="preserve">summary</w:t>
      </w:r>
      <w:r>
        <w:rPr>
          <w:rStyle w:val="NormalTok"/>
        </w:rPr>
        <w:t xml:space="preserve">(in_range),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12.5    34.4    40.6    43.3    45.3   100.0</w:t>
      </w:r>
    </w:p>
    <w:p>
      <w:pPr>
        <w:pStyle w:val="FirstParagraph"/>
      </w:pPr>
      <w:r>
        <w:t xml:space="preserve">The median published equation is calibrated over a range that contains only about 40 per cent of the stems it would be applied to. That is bad, and the next calculation shows it is much worse than it looks, because stems are not what matters. Weight each stem by its approximate biomass and ask what share of the</w:t>
      </w:r>
      <w:r>
        <w:t xml:space="preserve"> </w:t>
      </w:r>
      <w:r>
        <w:rPr>
          <w:i/>
          <w:iCs/>
        </w:rPr>
        <w:t xml:space="preserve">carbon</w:t>
      </w:r>
      <w:r>
        <w:t xml:space="preserve"> </w:t>
      </w:r>
      <w:r>
        <w:t xml:space="preserve">sits inside the calibration range:</w:t>
      </w:r>
    </w:p>
    <w:p>
      <w:pPr>
        <w:pStyle w:val="SourceCode"/>
      </w:pPr>
      <w:r>
        <w:rPr>
          <w:rStyle w:val="NormalTok"/>
        </w:rPr>
        <w:t xml:space="preserve">w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(acer</w:t>
      </w:r>
      <w:r>
        <w:rPr>
          <w:rStyle w:val="SpecialCharTok"/>
        </w:rPr>
        <w:t xml:space="preserve">$</w:t>
      </w:r>
      <w:r>
        <w:rPr>
          <w:rStyle w:val="NormalTok"/>
        </w:rPr>
        <w:t xml:space="preserve">dbh))          </w:t>
      </w:r>
      <w:r>
        <w:rPr>
          <w:rStyle w:val="CommentTok"/>
        </w:rPr>
        <w:t xml:space="preserve"># approximate stem biomass</w:t>
      </w:r>
      <w:r>
        <w:br/>
      </w:r>
      <w:r>
        <w:rPr>
          <w:rStyle w:val="NormalTok"/>
        </w:rPr>
        <w:t xml:space="preserve">in_range_c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 {</w:t>
      </w:r>
      <w:r>
        <w:br/>
      </w:r>
      <w:r>
        <w:rPr>
          <w:rStyle w:val="NormalTok"/>
        </w:rPr>
        <w:t xml:space="preserve">  ins </w:t>
      </w:r>
      <w:r>
        <w:rPr>
          <w:rStyle w:val="OtherTok"/>
        </w:rPr>
        <w:t xml:space="preserve">&lt;-</w:t>
      </w:r>
      <w:r>
        <w:rPr>
          <w:rStyle w:val="NormalTok"/>
        </w:rPr>
        <w:t xml:space="preserve"> 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(w[ins]) </w:t>
      </w:r>
      <w:r>
        <w:rPr>
          <w:rStyle w:val="SpecialCharTok"/>
        </w:rPr>
        <w:t xml:space="preserve">/</w:t>
      </w:r>
      <w:r>
        <w:rPr>
          <w:rStyle w:val="NormalTok"/>
        </w:rPr>
        <w:t xml:space="preserve"> </w:t>
      </w:r>
      <w:r>
        <w:rPr>
          <w:rStyle w:val="FunctionTok"/>
        </w:rPr>
        <w:t xml:space="preserve">sum</w:t>
      </w:r>
      <w:r>
        <w:rPr>
          <w:rStyle w:val="NormalTok"/>
        </w:rPr>
        <w:t xml:space="preserve">(w)</w:t>
      </w:r>
      <w:r>
        <w:br/>
      </w:r>
      <w:r>
        <w:rPr>
          <w:rStyle w:val="NormalTok"/>
        </w:rPr>
        <w:t xml:space="preserve">})</w:t>
      </w:r>
      <w:r>
        <w:br/>
      </w:r>
      <w:r>
        <w:rPr>
          <w:rStyle w:val="FunctionTok"/>
        </w:rPr>
        <w:t xml:space="preserve">round</w:t>
      </w:r>
      <w:r>
        <w:rPr>
          <w:rStyle w:val="NormalTok"/>
        </w:rPr>
        <w:t xml:space="preserve">(</w:t>
      </w:r>
      <w:r>
        <w:rPr>
          <w:rStyle w:val="FunctionTok"/>
        </w:rPr>
        <w:t xml:space="preserve">summary</w:t>
      </w:r>
      <w:r>
        <w:rPr>
          <w:rStyle w:val="NormalTok"/>
        </w:rPr>
        <w:t xml:space="preserve">(in_range_c),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0.0     2.7    13.3    29.0    48.8   100.0</w:t>
      </w:r>
    </w:p>
    <w:p>
      <w:pPr>
        <w:pStyle w:val="FirstParagraph"/>
      </w:pPr>
      <w:r>
        <w:t xml:space="preserve">The median falls from 40 per cent of stems to</w:t>
      </w:r>
      <w:r>
        <w:t xml:space="preserve"> </w:t>
      </w:r>
      <w:r>
        <w:rPr>
          <w:b/>
          <w:bCs/>
        </w:rPr>
        <w:t xml:space="preserve">13 per cent of biomass</w:t>
      </w:r>
      <w:r>
        <w:t xml:space="preserve">, and several equations cover essentially none of it. The reason is structural rather than accidental. Destructive sampling is dominated by small trees because large ones are expensive to fell and rare in the sample, so equations are best supported exactly where the carbon is not. Almost every biomass estimate ever made is an extrapolation over the trees that carry most of its mass.</w:t>
      </w:r>
    </w:p>
    <w:p>
      <w:pPr>
        <w:pStyle w:val="SourceCode"/>
      </w:pPr>
      <w:r>
        <w:rPr>
          <w:rStyle w:val="NormalTok"/>
        </w:rPr>
        <w:t xml:space="preserve">big </w:t>
      </w:r>
      <w:r>
        <w:rPr>
          <w:rStyle w:val="OtherTok"/>
        </w:rPr>
        <w:t xml:space="preserve">&lt;-</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FunctionTok"/>
        </w:rPr>
        <w:t xml:space="preserve">c</w:t>
      </w:r>
      <w:r>
        <w:rPr>
          <w:rStyle w:val="NormalTok"/>
        </w:rPr>
        <w:t xml:space="preserve">(</w:t>
      </w:r>
      <w:r>
        <w:rPr>
          <w:rStyle w:val="AttributeTok"/>
        </w:rPr>
        <w:t xml:space="preserve">largest_stem_cm =</w:t>
      </w:r>
      <w:r>
        <w:rPr>
          <w:rStyle w:val="NormalTok"/>
        </w:rPr>
        <w:t xml:space="preserve"> </w:t>
      </w:r>
      <w:r>
        <w:rPr>
          <w:rStyle w:val="FunctionTok"/>
        </w:rPr>
        <w:t xml:space="preserve">round</w:t>
      </w:r>
      <w:r>
        <w:rPr>
          <w:rStyle w:val="NormalTok"/>
        </w:rPr>
        <w:t xml:space="preserve">(big, </w:t>
      </w:r>
      <w:r>
        <w:rPr>
          <w:rStyle w:val="DecValTok"/>
        </w:rPr>
        <w:t xml:space="preserve">1</w:t>
      </w:r>
      <w:r>
        <w:rPr>
          <w:rStyle w:val="NormalTok"/>
        </w:rPr>
        <w:t xml:space="preserve">),</w:t>
      </w:r>
      <w:r>
        <w:br/>
      </w:r>
      <w:r>
        <w:rPr>
          <w:rStyle w:val="NormalTok"/>
        </w:rPr>
        <w:t xml:space="preserve">  </w:t>
      </w:r>
      <w:r>
        <w:rPr>
          <w:rStyle w:val="AttributeTok"/>
        </w:rPr>
        <w:t xml:space="preserve">equations_valid_that_high =</w:t>
      </w:r>
      <w:r>
        <w:rPr>
          <w:rStyle w:val="NormalTok"/>
        </w:rPr>
        <w:t xml:space="preserve"> </w:t>
      </w:r>
      <w:r>
        <w:rPr>
          <w:rStyle w:val="FunctionTok"/>
        </w:rPr>
        <w:t xml:space="preserve">sum</w:t>
      </w:r>
      <w:r>
        <w:rPr>
          <w:rStyle w:val="NormalTok"/>
        </w:rPr>
        <w:t xml:space="preserve">(eq</w:t>
      </w:r>
      <w:r>
        <w:rPr>
          <w:rStyle w:val="SpecialCharTok"/>
        </w:rPr>
        <w:t xml:space="preserve">$</w:t>
      </w:r>
      <w:r>
        <w:rPr>
          <w:rStyle w:val="NormalTok"/>
        </w:rPr>
        <w:t xml:space="preserve">dbh_max_cm </w:t>
      </w:r>
      <w:r>
        <w:rPr>
          <w:rStyle w:val="SpecialCharTok"/>
        </w:rPr>
        <w:t xml:space="preserve">&gt;=</w:t>
      </w:r>
      <w:r>
        <w:rPr>
          <w:rStyle w:val="NormalTok"/>
        </w:rPr>
        <w:t xml:space="preserve"> big,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of_total =</w:t>
      </w:r>
      <w:r>
        <w:rPr>
          <w:rStyle w:val="NormalTok"/>
        </w:rPr>
        <w:t xml:space="preserve"> </w:t>
      </w:r>
      <w:r>
        <w:rPr>
          <w:rStyle w:val="FunctionTok"/>
        </w:rPr>
        <w:t xml:space="preserve">sum</w:t>
      </w:r>
      <w:r>
        <w:rPr>
          <w:rStyle w:val="NormalTok"/>
        </w:rPr>
        <w:t xml:space="preserve">(has_range))</w:t>
      </w:r>
      <w:r>
        <w:br/>
      </w:r>
      <w:r>
        <w:rPr>
          <w:rStyle w:val="CommentTok"/>
        </w:rPr>
        <w:t xml:space="preserve">#&gt;           largest_stem_cm equations_valid_that_high                  of_total </w:t>
      </w:r>
      <w:r>
        <w:br/>
      </w:r>
      <w:r>
        <w:rPr>
          <w:rStyle w:val="CommentTok"/>
        </w:rPr>
        <w:t xml:space="preserve">#&gt;                      60.7                       3.0                      23.0</w:t>
      </w:r>
    </w:p>
    <w:p>
      <w:pPr>
        <w:pStyle w:val="FirstParagraph"/>
      </w:pPr>
      <w:r>
        <w:t xml:space="preserve">Three equations out of twenty-three remain valid at the largest maple in the plot. A project that reports a single point estimate from a single equation is concealing that.</w:t>
      </w:r>
    </w:p>
    <w:bookmarkEnd w:id="125"/>
    <w:bookmarkStart w:id="126" w:name="wood-density-and-generic-equations"/>
    <w:p>
      <w:pPr>
        <w:pStyle w:val="Heading2"/>
      </w:pPr>
      <w:r>
        <w:t xml:space="preserve">7.6 Wood density and generic equations</w:t>
      </w:r>
    </w:p>
    <w:p>
      <w:pPr>
        <w:pStyle w:val="FirstParagraph"/>
      </w:pPr>
      <w:r>
        <w:t xml:space="preserve">When no local equation exists, the usual recourse is a generic model with wood density as a covariate, on the reasoning that density carries much of the between-species variation in mass per unit volume. The</w:t>
      </w:r>
      <w:r>
        <w:t xml:space="preserve"> </w:t>
      </w:r>
      <w:r>
        <w:rPr>
          <w:rStyle w:val="VerbatimChar"/>
        </w:rPr>
        <w:t xml:space="preserve">scbi_quercus</w:t>
      </w:r>
      <w:r>
        <w:t xml:space="preserve"> </w:t>
      </w:r>
      <w:r>
        <w:t xml:space="preserve">file includes the density used:</w:t>
      </w:r>
    </w:p>
    <w:p>
      <w:pPr>
        <w:pStyle w:val="SourceCode"/>
      </w:pPr>
      <w:r>
        <w:rPr>
          <w:rStyle w:val="NormalTok"/>
        </w:rPr>
        <w:t xml:space="preserve">q</w:t>
      </w:r>
      <w:r>
        <w:rPr>
          <w:rStyle w:val="SpecialCharTok"/>
        </w:rPr>
        <w:t xml:space="preserve">$</w:t>
      </w:r>
      <w:r>
        <w:rPr>
          <w:rStyle w:val="NormalTok"/>
        </w:rPr>
        <w:t xml:space="preserve">WD </w:t>
      </w:r>
      <w:r>
        <w:rPr>
          <w:rStyle w:val="OtherTok"/>
        </w:rPr>
        <w:t xml:space="preserve">&lt;-</w:t>
      </w:r>
      <w:r>
        <w:rPr>
          <w:rStyle w:val="NormalTok"/>
        </w:rPr>
        <w:t xml:space="preserve"> </w:t>
      </w:r>
      <w:r>
        <w:rPr>
          <w:rStyle w:val="FunctionTok"/>
        </w:rPr>
        <w:t xml:space="preserve">as.numeric</w:t>
      </w:r>
      <w:r>
        <w:rPr>
          <w:rStyle w:val="NormalTok"/>
        </w:rPr>
        <w:t xml:space="preserve">(q</w:t>
      </w:r>
      <w:r>
        <w:rPr>
          <w:rStyle w:val="SpecialCharTok"/>
        </w:rPr>
        <w:t xml:space="preserve">$</w:t>
      </w:r>
      <w:r>
        <w:rPr>
          <w:rStyle w:val="NormalTok"/>
        </w:rPr>
        <w:t xml:space="preserve">WD)</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unique</w:t>
      </w:r>
      <w:r>
        <w:rPr>
          <w:rStyle w:val="NormalTok"/>
        </w:rPr>
        <w:t xml:space="preserve">(q[,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"WD"</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species</w:t>
            </w:r>
          </w:p>
        </w:tc>
        <w:tc>
          <w:tcPr/>
          <w:p>
            <w:pPr>
              <w:pStyle w:val="Compact"/>
              <w:jc w:val="right"/>
            </w:pPr>
            <w:r>
              <w:t xml:space="preserve">WD</w:t>
            </w:r>
          </w:p>
        </w:tc>
      </w:tr>
      <w:tr>
        <w:tc>
          <w:tcPr/>
          <w:p>
            <w:pPr>
              <w:pStyle w:val="Compact"/>
              <w:jc w:val="left"/>
            </w:pPr>
            <w:r>
              <w:t xml:space="preserve">alba</w:t>
            </w:r>
          </w:p>
        </w:tc>
        <w:tc>
          <w:tcPr/>
          <w:p>
            <w:pPr>
              <w:pStyle w:val="Compact"/>
              <w:jc w:val="right"/>
            </w:pPr>
            <w:r>
              <w:t xml:space="preserve">0.6300</w:t>
            </w:r>
          </w:p>
        </w:tc>
      </w:tr>
      <w:tr>
        <w:tc>
          <w:tcPr/>
          <w:p>
            <w:pPr>
              <w:pStyle w:val="Compact"/>
              <w:jc w:val="left"/>
            </w:pPr>
            <w:r>
              <w:t xml:space="preserve">michauxii</w:t>
            </w:r>
          </w:p>
        </w:tc>
        <w:tc>
          <w:tcPr/>
          <w:p>
            <w:pPr>
              <w:pStyle w:val="Compact"/>
              <w:jc w:val="right"/>
            </w:pPr>
            <w:r>
              <w:t xml:space="preserve">0.6515</w:t>
            </w:r>
          </w:p>
        </w:tc>
      </w:tr>
      <w:tr>
        <w:tc>
          <w:tcPr/>
          <w:p>
            <w:pPr>
              <w:pStyle w:val="Compact"/>
              <w:jc w:val="left"/>
            </w:pPr>
            <w:r>
              <w:t xml:space="preserve">prinus</w:t>
            </w:r>
          </w:p>
        </w:tc>
        <w:tc>
          <w:tcPr/>
          <w:p>
            <w:pPr>
              <w:pStyle w:val="Compact"/>
              <w:jc w:val="right"/>
            </w:pPr>
            <w:r>
              <w:t xml:space="preserve">0.5700</w:t>
            </w:r>
          </w:p>
        </w:tc>
      </w:tr>
      <w:tr>
        <w:tc>
          <w:tcPr/>
          <w:p>
            <w:pPr>
              <w:pStyle w:val="Compact"/>
              <w:jc w:val="left"/>
            </w:pPr>
            <w:r>
              <w:t xml:space="preserve">rubra</w:t>
            </w:r>
          </w:p>
        </w:tc>
        <w:tc>
          <w:tcPr/>
          <w:p>
            <w:pPr>
              <w:pStyle w:val="Compact"/>
              <w:jc w:val="right"/>
            </w:pPr>
            <w:r>
              <w:t xml:space="preserve">0.5600</w:t>
            </w:r>
          </w:p>
        </w:tc>
      </w:tr>
      <w:tr>
        <w:tc>
          <w:tcPr/>
          <w:p>
            <w:pPr>
              <w:pStyle w:val="Compact"/>
              <w:jc w:val="left"/>
            </w:pPr>
            <w:r>
              <w:t xml:space="preserve">velutina</w:t>
            </w:r>
          </w:p>
        </w:tc>
        <w:tc>
          <w:tcPr/>
          <w:p>
            <w:pPr>
              <w:pStyle w:val="Compact"/>
              <w:jc w:val="right"/>
            </w:pPr>
            <w:r>
              <w:t xml:space="preserve">0.5600</w:t>
            </w:r>
          </w:p>
        </w:tc>
      </w:tr>
    </w:tbl>
    <w:p>
      <w:pPr>
        <w:pStyle w:val="BodyText"/>
      </w:pPr>
      <w:r>
        <w:t xml:space="preserve">Five oak species carry four distinct density values, spanning 0.56 to 0.65, a range of about sixteen per cent. Since biomass is roughly proportional to density in these models, getting the species wrong costs less than getting the equation wrong, which is the argument for generic models: they trade one kind of error for another, being applicable far more widely and less accurate anywhere in particular. Note too that the densities are themselves look-ups from a reference database rather than measurements from these trees, so the covariate that is supposed to absorb between-species variation carries its own error.</w:t>
      </w:r>
    </w:p>
    <w:bookmarkEnd w:id="126"/>
    <w:bookmarkStart w:id="128" w:name="from-stem-to-stand"/>
    <w:p>
      <w:pPr>
        <w:pStyle w:val="Heading2"/>
      </w:pPr>
      <w:r>
        <w:t xml:space="preserve">7.7 From stem to stand</w:t>
      </w:r>
    </w:p>
    <w:p>
      <w:pPr>
        <w:pStyle w:val="FirstParagraph"/>
      </w:pPr>
      <w:r>
        <w:t xml:space="preserve">Scaling is arithmetic, and the arithmetic is where units go wrong. Biomass per stem sums to biomass per plot, divides by plot area for density, and multiplies by the carbon fraction to become carbon:</w:t>
      </w:r>
    </w:p>
    <w:p>
      <w:pPr>
        <w:pStyle w:val="SourceCode"/>
      </w:pPr>
      <w:r>
        <w:rPr>
          <w:rStyle w:val="NormalTok"/>
        </w:rPr>
        <w:t xml:space="preserve">agb_kg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w:t>
      </w:r>
      <w:r>
        <w:br/>
      </w:r>
      <w:r>
        <w:rPr>
          <w:rStyle w:val="NormalTok"/>
        </w:rPr>
        <w:t xml:space="preserve">plot_ha  </w:t>
      </w:r>
      <w:r>
        <w:rPr>
          <w:rStyle w:val="OtherTok"/>
        </w:rPr>
        <w:t xml:space="preserve">&lt;-</w:t>
      </w:r>
      <w:r>
        <w:rPr>
          <w:rStyle w:val="NormalTok"/>
        </w:rPr>
        <w:t xml:space="preserve"> </w:t>
      </w:r>
      <w:r>
        <w:rPr>
          <w:rStyle w:val="FloatTok"/>
        </w:rPr>
        <w:t xml:space="preserve">25.6</w:t>
      </w:r>
      <w:r>
        <w:br/>
      </w:r>
      <w:r>
        <w:rPr>
          <w:rStyle w:val="NormalTok"/>
        </w:rPr>
        <w:t xml:space="preserve">carbon_density </w:t>
      </w:r>
      <w:r>
        <w:rPr>
          <w:rStyle w:val="OtherTok"/>
        </w:rPr>
        <w:t xml:space="preserve">&lt;-</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plot_ha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length</w:t>
      </w:r>
      <w:r>
        <w:rPr>
          <w:rStyle w:val="NormalTok"/>
        </w:rPr>
        <w:t xml:space="preserve">(agb_kg),</w:t>
      </w:r>
      <w:r>
        <w:br/>
      </w:r>
      <w:r>
        <w:rPr>
          <w:rStyle w:val="NormalTok"/>
        </w:rPr>
        <w:t xml:space="preserve">        </w:t>
      </w:r>
      <w:r>
        <w:rPr>
          <w:rStyle w:val="AttributeTok"/>
        </w:rPr>
        <w:t xml:space="preserve">agb_t =</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MgC_per_ha =</w:t>
      </w:r>
      <w:r>
        <w:rPr>
          <w:rStyle w:val="NormalTok"/>
        </w:rPr>
        <w:t xml:space="preserve"> carbon_density), </w:t>
      </w:r>
      <w:r>
        <w:rPr>
          <w:rStyle w:val="DecValTok"/>
        </w:rPr>
        <w:t xml:space="preserve">2</w:t>
      </w:r>
      <w:r>
        <w:rPr>
          <w:rStyle w:val="NormalTok"/>
        </w:rPr>
        <w:t xml:space="preserve">)</w:t>
      </w:r>
      <w:r>
        <w:br/>
      </w:r>
      <w:r>
        <w:rPr>
          <w:rStyle w:val="CommentTok"/>
        </w:rPr>
        <w:t xml:space="preserve">#&gt;      stems      agb_t MgC_per_ha </w:t>
      </w:r>
      <w:r>
        <w:br/>
      </w:r>
      <w:r>
        <w:rPr>
          <w:rStyle w:val="CommentTok"/>
        </w:rPr>
        <w:t xml:space="preserve">#&gt;    2287.00     175.14       3.22</w:t>
      </w:r>
    </w:p>
    <w:p>
      <w:pPr>
        <w:pStyle w:val="FirstParagraph"/>
      </w:pPr>
      <w:r>
        <w:t xml:space="preserve">The carbon fraction of 0.47 is itself a default with its own uncertainty, and it multiplies everything above it. The uncertainty chapter propagates that.</w:t>
      </w:r>
    </w:p>
    <w:bookmarkStart w:id="127" w:name="what-the-registries-ask-of-an-equation"/>
    <w:p>
      <w:pPr>
        <w:pStyle w:val="Heading4"/>
      </w:pPr>
      <w:r>
        <w:t xml:space="preserve">What the registries ask of an equation</w:t>
      </w:r>
    </w:p>
    <w:p>
      <w:pPr>
        <w:pStyle w:val="FirstParagraph"/>
      </w:pPr>
      <w:r>
        <w:t xml:space="preserve">Standards do not usually mandate a particular equation. They constrain how you</w:t>
      </w:r>
      <w:r>
        <w:t xml:space="preserve"> </w:t>
      </w:r>
      <w:r>
        <w:t xml:space="preserve">justify one and what you must report about it, which is a more demanding</w:t>
      </w:r>
      <w:r>
        <w:t xml:space="preserve"> </w:t>
      </w:r>
      <w:r>
        <w:t xml:space="preserve">requirement than it first appears.</w:t>
      </w:r>
    </w:p>
    <w:p>
      <w:pPr>
        <w:pStyle w:val="BodyText"/>
      </w:pPr>
      <w:r>
        <w:t xml:space="preserve">Expect to have to document, for each equation used: the source publication, the</w:t>
      </w:r>
      <w:r>
        <w:t xml:space="preserve"> </w:t>
      </w:r>
      <w:r>
        <w:t xml:space="preserve">taxa and geography it was fitted on, its sample size, its diameter range, and an</w:t>
      </w:r>
      <w:r>
        <w:t xml:space="preserve"> </w:t>
      </w:r>
      <w:r>
        <w:t xml:space="preserve">argument that the project’s trees fall inside that range. Where they do not, the</w:t>
      </w:r>
      <w:r>
        <w:t xml:space="preserve"> </w:t>
      </w:r>
      <w:r>
        <w:t xml:space="preserve">extrapolation must be acknowledged and its effect on uncertainty carried through.</w:t>
      </w:r>
    </w:p>
    <w:p>
      <w:pPr>
        <w:pStyle w:val="BodyText"/>
      </w:pPr>
      <w:r>
        <w:t xml:space="preserve">The uncertainty attached to the equation then enters the deduction arithmetic set</w:t>
      </w:r>
      <w:r>
        <w:t xml:space="preserve"> </w:t>
      </w:r>
      <w:r>
        <w:t xml:space="preserve">out at the end of the uncertainty chapter. Under ART-TREES the allometric contribution feeds</w:t>
      </w:r>
      <w:r>
        <w:t xml:space="preserve"> </w:t>
      </w:r>
      <w:r>
        <w:t xml:space="preserve">the half-width of the 90 per cent interval; under ACR’s Improved Forest</w:t>
      </w:r>
      <w:r>
        <w:t xml:space="preserve"> </w:t>
      </w:r>
      <w:r>
        <w:t xml:space="preserve">Management methodology it is one component of the total uncertainty combined in</w:t>
      </w:r>
      <w:r>
        <w:t xml:space="preserve"> </w:t>
      </w:r>
      <w:r>
        <w:t xml:space="preserve">Equation 22 and compared against the ten per cent precision requirement. In both</w:t>
      </w:r>
      <w:r>
        <w:t xml:space="preserve"> </w:t>
      </w:r>
      <w:r>
        <w:t xml:space="preserve">cases the practical consequence is the same, and it is the argument this chapter</w:t>
      </w:r>
      <w:r>
        <w:t xml:space="preserve"> </w:t>
      </w:r>
      <w:r>
        <w:t xml:space="preserve">has been making with numbers: a better-matched equation is worth more than a</w:t>
      </w:r>
      <w:r>
        <w:t xml:space="preserve"> </w:t>
      </w:r>
      <w:r>
        <w:t xml:space="preserve">larger field campaign, because it reduces a term that no amount of extra plot</w:t>
      </w:r>
      <w:r>
        <w:t xml:space="preserve"> </w:t>
      </w:r>
      <w:r>
        <w:t xml:space="preserve">measurement will touch.</w:t>
      </w:r>
    </w:p>
    <w:bookmarkEnd w:id="127"/>
    <w:bookmarkEnd w:id="128"/>
    <w:bookmarkStart w:id="129" w:name="exercises-6"/>
    <w:p>
      <w:pPr>
        <w:pStyle w:val="Heading2"/>
      </w:pPr>
      <w:r>
        <w:t xml:space="preserve">7.8 Exercises</w:t>
      </w:r>
    </w:p>
    <w:p>
      <w:pPr>
        <w:pStyle w:val="Compact"/>
        <w:numPr>
          <w:ilvl w:val="0"/>
          <w:numId w:val="1008"/>
        </w:numPr>
      </w:pPr>
      <w:r>
        <w:t xml:space="preserve">Using</w:t>
      </w:r>
      <w:r>
        <w:t xml:space="preserve"> </w:t>
      </w:r>
      <w:r>
        <w:rPr>
          <w:rStyle w:val="VerbatimChar"/>
        </w:rPr>
        <w:t xml:space="preserve">eq_tab_acer</w:t>
      </w:r>
      <w:r>
        <w:t xml:space="preserve">, list the equations fitted on more than 30 trees. How many are there, and does the larger sample come at the cost of a narrower diameter range?</w:t>
      </w:r>
    </w:p>
    <w:p>
      <w:pPr>
        <w:pStyle w:val="Compact"/>
        <w:numPr>
          <w:ilvl w:val="0"/>
          <w:numId w:val="1008"/>
        </w:numPr>
      </w:pPr>
      <w:r>
        <w:t xml:space="preserve">Apply the species-specific and genus-level columns of</w:t>
      </w:r>
      <w:r>
        <w:t xml:space="preserve"> </w:t>
      </w:r>
      <w:r>
        <w:rPr>
          <w:rStyle w:val="VerbatimChar"/>
        </w:rPr>
        <w:t xml:space="preserve">scbi_quercus</w:t>
      </w:r>
      <w:r>
        <w:t xml:space="preserve"> </w:t>
      </w:r>
      <w:r>
        <w:t xml:space="preserve">to compute total stand carbon each way. Express the difference as a percentage, and state which you would defend to a verifier and why.</w:t>
      </w:r>
    </w:p>
    <w:p>
      <w:pPr>
        <w:pStyle w:val="Compact"/>
        <w:numPr>
          <w:ilvl w:val="0"/>
          <w:numId w:val="1008"/>
        </w:numPr>
      </w:pPr>
      <w:r>
        <w:t xml:space="preserve">Recompute the biomass-weighted coverage above using a weight of</w:t>
      </w:r>
      <w:r>
        <w:t xml:space="preserve"> </w:t>
      </w:r>
      <m:oMath>
        <m:sSup>
          <m:e>
            <m:r>
              <m:t>D</m:t>
            </m:r>
          </m:e>
          <m:sup>
            <m:r>
              <m:t>2</m:t>
            </m:r>
          </m:sup>
        </m:sSup>
      </m:oMath>
      <w:r>
        <w:t xml:space="preserve"> </w:t>
      </w:r>
      <w:r>
        <w:t xml:space="preserve">instead of the allometric weight. Does the conclusion about where the carbon sits change, and what does that tell you about how sensitive the argument is to the weighting?</w:t>
      </w:r>
    </w:p>
    <w:p>
      <w:pPr>
        <w:pStyle w:val="Compact"/>
        <w:numPr>
          <w:ilvl w:val="0"/>
          <w:numId w:val="1008"/>
        </w:numPr>
      </w:pPr>
      <w:r>
        <w:t xml:space="preserve">Take the largest maple in the plot and compute its biomass under the three equations that remain valid at that diameter and under three that do not. How large is the spread, and how does it compare with the spread across the whole stand?</w:t>
      </w:r>
    </w:p>
    <w:p>
      <w:pPr>
        <w:pStyle w:val="Compact"/>
        <w:numPr>
          <w:ilvl w:val="0"/>
          <w:numId w:val="1008"/>
        </w:numPr>
      </w:pPr>
      <w:r>
        <w:rPr>
          <w:i/>
          <w:iCs/>
        </w:rPr>
        <w:t xml:space="preserve">(Applied.)</w:t>
      </w:r>
      <w:r>
        <w:t xml:space="preserve"> </w:t>
      </w:r>
      <w:r>
        <w:t xml:space="preserve">A project has no species-specific equation for its dominant species. Write the paragraph you would put in a monitoring report justifying a generic equation, naming the specific uncertainty it introduces and how you would quantify it.</w:t>
      </w:r>
    </w:p>
    <w:bookmarkEnd w:id="129"/>
    <w:bookmarkEnd w:id="130"/>
    <w:bookmarkStart w:id="142" w:name="emission-factors"/>
    <w:p>
      <w:pPr>
        <w:pStyle w:val="Heading1"/>
      </w:pPr>
      <w:r>
        <w:t xml:space="preserve">8. Emission Factors</w:t>
      </w:r>
    </w:p>
    <w:bookmarkStart w:id="131" w:name="the-other-half-of-the-identity"/>
    <w:p>
      <w:pPr>
        <w:pStyle w:val="Heading2"/>
      </w:pPr>
      <w:r>
        <w:t xml:space="preserve">8.1 The other half of the identity</w:t>
      </w:r>
    </w:p>
    <w:p>
      <w:pPr>
        <w:pStyle w:val="FirstParagraph"/>
      </w:pPr>
      <w:r>
        <w:t xml:space="preserve">Almost every greenhouse gas estimate in land use reduces to one multiplication:</w:t>
      </w:r>
    </w:p>
    <w:p>
      <w:pPr>
        <w:pStyle w:val="BodyText"/>
      </w:pPr>
      <m:oMathPara>
        <m:oMathParaPr>
          <m:jc m:val="center"/>
        </m:oMathParaPr>
        <m:oMath>
          <m:r>
            <m:rPr>
              <m:nor/>
              <m:sty m:val="p"/>
            </m:rPr>
            <m:t>Emissions</m:t>
          </m:r>
          <m:r>
            <m:rPr>
              <m:sty m:val="p"/>
            </m:rPr>
            <m:t>=</m:t>
          </m:r>
          <m:r>
            <m:rPr>
              <m:nor/>
              <m:sty m:val="p"/>
            </m:rPr>
            <m:t>Activity Data</m:t>
          </m:r>
          <m:r>
            <m:rPr>
              <m:sty m:val="p"/>
            </m:rPr>
            <m:t>×</m:t>
          </m:r>
          <m:r>
            <m:rPr>
              <m:nor/>
              <m:sty m:val="p"/>
            </m:rPr>
            <m:t>Emission Factor</m:t>
          </m:r>
        </m:oMath>
      </m:oMathPara>
    </w:p>
    <w:p>
      <w:pPr>
        <w:pStyle w:val="FirstParagraph"/>
      </w:pPr>
      <w:r>
        <w:t xml:space="preserve">Activity data is the extent of something happening: hectares deforested, hectares converted, hectares under a new management regime. The emission factor is the greenhouse gas consequence per unit of that activity. The previous chapters have been about the left-hand term, because that is where spatial analysis lives. This chapter is about the right-hand one, which is where most of the money and most of the uncertainty actually sit.</w:t>
      </w:r>
    </w:p>
    <w:p>
      <w:pPr>
        <w:pStyle w:val="BodyText"/>
      </w:pPr>
      <w:r>
        <w:t xml:space="preserve">The distinction matters more than it looks. An analyst who maps deforestation to the pixel and then multiplies by a factor pulled from a default table has spent all their effort on the term they measured and none on the term they assumed. The factor is usually the larger source of error, and unlike the map it cannot be improved by better imagery.</w:t>
      </w:r>
    </w:p>
    <w:bookmarkEnd w:id="131"/>
    <w:bookmarkStart w:id="132" w:name="tiers"/>
    <w:p>
      <w:pPr>
        <w:pStyle w:val="Heading2"/>
      </w:pPr>
      <w:r>
        <w:t xml:space="preserve">8.2 Tiers</w:t>
      </w:r>
    </w:p>
    <w:p>
      <w:pPr>
        <w:pStyle w:val="FirstParagraph"/>
      </w:pPr>
      <w:r>
        <w:t xml:space="preserve">The IPCC organises methods into three tiers, and the tier is a statement about where the numbers came from rather than about how sophisticated the arithmetic is</w:t>
      </w:r>
      <w:r>
        <w:t xml:space="preserve"> </w:t>
      </w:r>
      <w:r>
        <w:t xml:space="preserve">(IPCC, 2006)</w:t>
      </w:r>
      <w:r>
        <w:t xml:space="preserve">.</w:t>
      </w:r>
    </w:p>
    <w:p>
      <w:pPr>
        <w:pStyle w:val="BodyText"/>
      </w:pPr>
      <w:r>
        <w:rPr>
          <w:b/>
          <w:bCs/>
        </w:rPr>
        <w:t xml:space="preserve">Tier 1</w:t>
      </w:r>
      <w:r>
        <w:t xml:space="preserve"> </w:t>
      </w:r>
      <w:r>
        <w:t xml:space="preserve">uses global or regional default factors published in the guidelines, applied through simple equations, with default assumptions about what happens after a land-use change. It requires no local measurement beyond the activity data. It is the fallback when nothing better exists, and its uncertainties are correspondingly wide.</w:t>
      </w:r>
    </w:p>
    <w:p>
      <w:pPr>
        <w:pStyle w:val="BodyText"/>
      </w:pPr>
      <w:r>
        <w:rPr>
          <w:b/>
          <w:bCs/>
        </w:rPr>
        <w:t xml:space="preserve">Tier 2</w:t>
      </w:r>
      <w:r>
        <w:t xml:space="preserve"> </w:t>
      </w:r>
      <w:r>
        <w:t xml:space="preserve">keeps the Tier 1 equations but substitutes country-specific or region-specific factors derived from local measurement. This is where most credible national inventories sit.</w:t>
      </w:r>
    </w:p>
    <w:p>
      <w:pPr>
        <w:pStyle w:val="BodyText"/>
      </w:pPr>
      <w:r>
        <w:rPr>
          <w:b/>
          <w:bCs/>
        </w:rPr>
        <w:t xml:space="preserve">Tier 3</w:t>
      </w:r>
      <w:r>
        <w:t xml:space="preserve"> </w:t>
      </w:r>
      <w:r>
        <w:t xml:space="preserve">replaces the equations themselves with models or direct measurement systems, calibrated and validated locally.</w:t>
      </w:r>
    </w:p>
    <w:p>
      <w:pPr>
        <w:pStyle w:val="BodyText"/>
      </w:pPr>
      <w:r>
        <w:t xml:space="preserve">The tiers are not a quality ladder in the sense that Tier 1 is wrong. A well-applied Tier 1 estimate with an honest uncertainty is more defensible than a Tier 3 model whose calibration nobody can reproduce. What the tiers do determine is the size of the interval you must report, and therefore the deduction you must accept.</w:t>
      </w:r>
    </w:p>
    <w:bookmarkEnd w:id="132"/>
    <w:bookmarkStart w:id="133" w:name="where-the-default-factors-come-from"/>
    <w:p>
      <w:pPr>
        <w:pStyle w:val="Heading2"/>
      </w:pPr>
      <w:r>
        <w:t xml:space="preserve">8.3 Where the default factors come from</w:t>
      </w:r>
    </w:p>
    <w:p>
      <w:pPr>
        <w:pStyle w:val="FirstParagraph"/>
      </w:pPr>
      <w:r>
        <w:t xml:space="preserve">The Tier 1 defaults are not conjured. They are meta-analyses of published soil and biomass measurements, and the guidelines publish their sample sizes and confidence limits alongside the means. Reading those columns is the single most useful habit in factor selection, because the stated uncertainty varies by more than an order of magnitude across the same table.</w:t>
      </w:r>
    </w:p>
    <w:p>
      <w:pPr>
        <w:pStyle w:val="BodyText"/>
      </w:pPr>
      <w:r>
        <w:t xml:space="preserve">This is an extract from the reference soil organic carbon stocks of the 2019 Refinement</w:t>
      </w:r>
      <w:r>
        <w:t xml:space="preserve"> </w:t>
      </w:r>
      <w:r>
        <w:t xml:space="preserve">(IPCC, 2019, Table 2.3)</w:t>
      </w:r>
      <w:r>
        <w:t xml:space="preserve">, which are derived from a global soil profile compilation</w:t>
      </w:r>
      <w:r>
        <w:t xml:space="preserve"> </w:t>
      </w:r>
      <w:r>
        <w:t xml:space="preserve">(Batjes, 2011)</w:t>
      </w:r>
      <w:r>
        <w:t xml:space="preserve">. The full table covers ten climate zones by six soil classes; these are seven cells of it.</w:t>
      </w:r>
    </w:p>
    <w:p>
      <w:pPr>
        <w:pStyle w:val="SourceCode"/>
      </w:pPr>
      <w:r>
        <w:rPr>
          <w:rStyle w:val="NormalTok"/>
        </w:rPr>
        <w:t xml:space="preserve">soc_ref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climate =</w:t>
      </w:r>
      <w:r>
        <w:rPr>
          <w:rStyle w:val="NormalTok"/>
        </w:rPr>
        <w:t xml:space="preserve"> </w:t>
      </w:r>
      <w:r>
        <w:rPr>
          <w:rStyle w:val="FunctionTok"/>
        </w:rPr>
        <w:t xml:space="preserve">c</w:t>
      </w:r>
      <w:r>
        <w:rPr>
          <w:rStyle w:val="NormalTok"/>
        </w:rPr>
        <w:t xml:space="preserve">(</w:t>
      </w:r>
      <w:r>
        <w:rPr>
          <w:rStyle w:val="StringTok"/>
        </w:rPr>
        <w:t xml:space="preserve">"Cool temperate moist"</w:t>
      </w:r>
      <w:r>
        <w:rPr>
          <w:rStyle w:val="NormalTok"/>
        </w:rPr>
        <w:t xml:space="preserve">, </w:t>
      </w:r>
      <w:r>
        <w:rPr>
          <w:rStyle w:val="StringTok"/>
        </w:rPr>
        <w:t xml:space="preserve">"Cool temperate moist"</w:t>
      </w:r>
      <w:r>
        <w:rPr>
          <w:rStyle w:val="NormalTok"/>
        </w:rPr>
        <w:t xml:space="preserve">, </w:t>
      </w:r>
      <w:r>
        <w:rPr>
          <w:rStyle w:val="StringTok"/>
        </w:rPr>
        <w:t xml:space="preserve">"Warm temperate dry"</w:t>
      </w:r>
      <w:r>
        <w:rPr>
          <w:rStyle w:val="NormalTok"/>
        </w:rPr>
        <w:t xml:space="preserve">,</w:t>
      </w:r>
      <w:r>
        <w:br/>
      </w:r>
      <w:r>
        <w:rPr>
          <w:rStyle w:val="NormalTok"/>
        </w:rPr>
        <w:t xml:space="preserve">              </w:t>
      </w:r>
      <w:r>
        <w:rPr>
          <w:rStyle w:val="StringTok"/>
        </w:rPr>
        <w:t xml:space="preserve">"Tropical moist"</w:t>
      </w:r>
      <w:r>
        <w:rPr>
          <w:rStyle w:val="NormalTok"/>
        </w:rPr>
        <w:t xml:space="preserve">, </w:t>
      </w:r>
      <w:r>
        <w:rPr>
          <w:rStyle w:val="StringTok"/>
        </w:rPr>
        <w:t xml:space="preserve">"Tropical moist"</w:t>
      </w:r>
      <w:r>
        <w:rPr>
          <w:rStyle w:val="NormalTok"/>
        </w:rPr>
        <w:t xml:space="preserve">, </w:t>
      </w:r>
      <w:r>
        <w:rPr>
          <w:rStyle w:val="StringTok"/>
        </w:rPr>
        <w:t xml:space="preserve">"Tropical dry"</w:t>
      </w:r>
      <w:r>
        <w:rPr>
          <w:rStyle w:val="NormalTok"/>
        </w:rPr>
        <w:t xml:space="preserve">, </w:t>
      </w:r>
      <w:r>
        <w:rPr>
          <w:rStyle w:val="StringTok"/>
        </w:rPr>
        <w:t xml:space="preserve">"Boreal moist/dry"</w:t>
      </w:r>
      <w:r>
        <w:rPr>
          <w:rStyle w:val="NormalTok"/>
        </w:rPr>
        <w:t xml:space="preserve">),</w:t>
      </w:r>
      <w:r>
        <w:br/>
      </w:r>
      <w:r>
        <w:rPr>
          <w:rStyle w:val="NormalTok"/>
        </w:rPr>
        <w:t xml:space="preserve">  </w:t>
      </w:r>
      <w:r>
        <w:rPr>
          <w:rStyle w:val="AttributeTok"/>
        </w:rPr>
        <w:t xml:space="preserve">soil    =</w:t>
      </w:r>
      <w:r>
        <w:rPr>
          <w:rStyle w:val="NormalTok"/>
        </w:rPr>
        <w:t xml:space="preserve"> </w:t>
      </w:r>
      <w:r>
        <w:rPr>
          <w:rStyle w:val="FunctionTok"/>
        </w:rPr>
        <w:t xml:space="preserve">c</w:t>
      </w:r>
      <w:r>
        <w:rPr>
          <w:rStyle w:val="NormalTok"/>
        </w:rPr>
        <w:t xml:space="preserve">(</w:t>
      </w:r>
      <w:r>
        <w:rPr>
          <w:rStyle w:val="StringTok"/>
        </w:rPr>
        <w:t xml:space="preserve">"HAC"</w:t>
      </w:r>
      <w:r>
        <w:rPr>
          <w:rStyle w:val="NormalTok"/>
        </w:rPr>
        <w:t xml:space="preserve">, </w:t>
      </w:r>
      <w:r>
        <w:rPr>
          <w:rStyle w:val="StringTok"/>
        </w:rPr>
        <w:t xml:space="preserve">"Sandy"</w:t>
      </w:r>
      <w:r>
        <w:rPr>
          <w:rStyle w:val="NormalTok"/>
        </w:rPr>
        <w:t xml:space="preserve">, </w:t>
      </w:r>
      <w:r>
        <w:rPr>
          <w:rStyle w:val="StringTok"/>
        </w:rPr>
        <w:t xml:space="preserve">"HAC"</w:t>
      </w:r>
      <w:r>
        <w:rPr>
          <w:rStyle w:val="NormalTok"/>
        </w:rPr>
        <w:t xml:space="preserve">, </w:t>
      </w:r>
      <w:r>
        <w:rPr>
          <w:rStyle w:val="StringTok"/>
        </w:rPr>
        <w:t xml:space="preserve">"HAC"</w:t>
      </w:r>
      <w:r>
        <w:rPr>
          <w:rStyle w:val="NormalTok"/>
        </w:rPr>
        <w:t xml:space="preserve">, </w:t>
      </w:r>
      <w:r>
        <w:rPr>
          <w:rStyle w:val="StringTok"/>
        </w:rPr>
        <w:t xml:space="preserve">"LAC"</w:t>
      </w:r>
      <w:r>
        <w:rPr>
          <w:rStyle w:val="NormalTok"/>
        </w:rPr>
        <w:t xml:space="preserve">, </w:t>
      </w:r>
      <w:r>
        <w:rPr>
          <w:rStyle w:val="StringTok"/>
        </w:rPr>
        <w:t xml:space="preserve">"LAC"</w:t>
      </w:r>
      <w:r>
        <w:rPr>
          <w:rStyle w:val="NormalTok"/>
        </w:rPr>
        <w:t xml:space="preserve">, </w:t>
      </w:r>
      <w:r>
        <w:rPr>
          <w:rStyle w:val="StringTok"/>
        </w:rPr>
        <w:t xml:space="preserve">"Sandy"</w:t>
      </w:r>
      <w:r>
        <w:rPr>
          <w:rStyle w:val="NormalTok"/>
        </w:rPr>
        <w:t xml:space="preserve">),</w:t>
      </w:r>
      <w:r>
        <w:br/>
      </w:r>
      <w:r>
        <w:rPr>
          <w:rStyle w:val="NormalTok"/>
        </w:rPr>
        <w:t xml:space="preserve">  </w:t>
      </w:r>
      <w:r>
        <w:rPr>
          <w:rStyle w:val="AttributeTok"/>
        </w:rPr>
        <w:t xml:space="preserve">socref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51</w:t>
      </w:r>
      <w:r>
        <w:rPr>
          <w:rStyle w:val="NormalTok"/>
        </w:rPr>
        <w:t xml:space="preserve">, </w:t>
      </w:r>
      <w:r>
        <w:rPr>
          <w:rStyle w:val="DecValTok"/>
        </w:rPr>
        <w:t xml:space="preserve">24</w:t>
      </w:r>
      <w:r>
        <w:rPr>
          <w:rStyle w:val="NormalTok"/>
        </w:rPr>
        <w:t xml:space="preserve">, </w:t>
      </w:r>
      <w:r>
        <w:rPr>
          <w:rStyle w:val="DecValTok"/>
        </w:rPr>
        <w:t xml:space="preserve">40</w:t>
      </w:r>
      <w:r>
        <w:rPr>
          <w:rStyle w:val="NormalTok"/>
        </w:rPr>
        <w:t xml:space="preserve">, </w:t>
      </w:r>
      <w:r>
        <w:rPr>
          <w:rStyle w:val="DecValTok"/>
        </w:rPr>
        <w:t xml:space="preserve">38</w:t>
      </w:r>
      <w:r>
        <w:rPr>
          <w:rStyle w:val="NormalTok"/>
        </w:rPr>
        <w:t xml:space="preserve">, </w:t>
      </w:r>
      <w:r>
        <w:rPr>
          <w:rStyle w:val="DecValTok"/>
        </w:rPr>
        <w:t xml:space="preserve">19</w:t>
      </w:r>
      <w:r>
        <w:rPr>
          <w:rStyle w:val="NormalTok"/>
        </w:rPr>
        <w:t xml:space="preserve">, </w:t>
      </w:r>
      <w:r>
        <w:rPr>
          <w:rStyle w:val="DecValTok"/>
        </w:rPr>
        <w:t xml:space="preserve">10</w:t>
      </w:r>
      <w:r>
        <w:rPr>
          <w:rStyle w:val="NormalTok"/>
        </w:rPr>
        <w:t xml:space="preserve">),      </w:t>
      </w:r>
      <w:r>
        <w:rPr>
          <w:rStyle w:val="CommentTok"/>
        </w:rPr>
        <w:t xml:space="preserve"># tonnes C / ha, 0-30 cm</w:t>
      </w:r>
      <w:r>
        <w:br/>
      </w:r>
      <w:r>
        <w:rPr>
          <w:rStyle w:val="NormalTok"/>
        </w:rPr>
        <w:t xml:space="preserve">  </w:t>
      </w:r>
      <w:r>
        <w:rPr>
          <w:rStyle w:val="AttributeTok"/>
        </w:rPr>
        <w:t xml:space="preserve">unc_pct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90</w:t>
      </w:r>
      <w:r>
        <w:rPr>
          <w:rStyle w:val="NormalTok"/>
        </w:rPr>
        <w:t xml:space="preserve">),          </w:t>
      </w:r>
      <w:r>
        <w:rPr>
          <w:rStyle w:val="CommentTok"/>
        </w:rPr>
        <w:t xml:space="preserve"># 95% limit, % of mean</w:t>
      </w:r>
      <w:r>
        <w:br/>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DecValTok"/>
        </w:rPr>
        <w:t xml:space="preserve">334</w:t>
      </w:r>
      <w:r>
        <w:rPr>
          <w:rStyle w:val="NormalTok"/>
        </w:rPr>
        <w:t xml:space="preserve">, </w:t>
      </w:r>
      <w:r>
        <w:rPr>
          <w:rStyle w:val="DecValTok"/>
        </w:rPr>
        <w:t xml:space="preserve">126</w:t>
      </w:r>
      <w:r>
        <w:rPr>
          <w:rStyle w:val="NormalTok"/>
        </w:rPr>
        <w:t xml:space="preserve">, </w:t>
      </w:r>
      <w:r>
        <w:rPr>
          <w:rStyle w:val="DecValTok"/>
        </w:rPr>
        <w:t xml:space="preserve">781</w:t>
      </w:r>
      <w:r>
        <w:rPr>
          <w:rStyle w:val="NormalTok"/>
        </w:rPr>
        <w:t xml:space="preserve">, </w:t>
      </w:r>
      <w:r>
        <w:rPr>
          <w:rStyle w:val="DecValTok"/>
        </w:rPr>
        <w:t xml:space="preserve">226</w:t>
      </w:r>
      <w:r>
        <w:rPr>
          <w:rStyle w:val="NormalTok"/>
        </w:rPr>
        <w:t xml:space="preserve">, </w:t>
      </w:r>
      <w:r>
        <w:rPr>
          <w:rStyle w:val="DecValTok"/>
        </w:rPr>
        <w:t xml:space="preserve">326</w:t>
      </w:r>
      <w:r>
        <w:rPr>
          <w:rStyle w:val="NormalTok"/>
        </w:rPr>
        <w:t xml:space="preserve">, </w:t>
      </w:r>
      <w:r>
        <w:rPr>
          <w:rStyle w:val="DecValTok"/>
        </w:rPr>
        <w:t xml:space="preserve">135</w:t>
      </w:r>
      <w:r>
        <w:rPr>
          <w:rStyle w:val="NormalTok"/>
        </w:rPr>
        <w:t xml:space="preserve">, </w:t>
      </w:r>
      <w:r>
        <w:rPr>
          <w:rStyle w:val="ConstantTok"/>
        </w:rPr>
        <w:t xml:space="preserve">NA</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(soc_ref)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climate</w:t>
            </w:r>
          </w:p>
        </w:tc>
        <w:tc>
          <w:tcPr/>
          <w:p>
            <w:pPr>
              <w:pStyle w:val="Compact"/>
              <w:jc w:val="left"/>
            </w:pPr>
            <w:r>
              <w:t xml:space="preserve">soil</w:t>
            </w:r>
          </w:p>
        </w:tc>
        <w:tc>
          <w:tcPr/>
          <w:p>
            <w:pPr>
              <w:pStyle w:val="Compact"/>
              <w:jc w:val="right"/>
            </w:pPr>
            <w:r>
              <w:t xml:space="preserve">socref</w:t>
            </w:r>
          </w:p>
        </w:tc>
        <w:tc>
          <w:tcPr/>
          <w:p>
            <w:pPr>
              <w:pStyle w:val="Compact"/>
              <w:jc w:val="right"/>
            </w:pPr>
            <w:r>
              <w:t xml:space="preserve">unc_pct</w:t>
            </w:r>
          </w:p>
        </w:tc>
        <w:tc>
          <w:tcPr/>
          <w:p>
            <w:pPr>
              <w:pStyle w:val="Compact"/>
              <w:jc w:val="right"/>
            </w:pPr>
            <w:r>
              <w:t xml:space="preserve">n</w:t>
            </w:r>
          </w:p>
        </w:tc>
      </w:tr>
      <w:tr>
        <w:tc>
          <w:tcPr/>
          <w:p>
            <w:pPr>
              <w:pStyle w:val="Compact"/>
              <w:jc w:val="left"/>
            </w:pPr>
            <w:r>
              <w:t xml:space="preserve">Cool temperate moist</w:t>
            </w:r>
          </w:p>
        </w:tc>
        <w:tc>
          <w:tcPr/>
          <w:p>
            <w:pPr>
              <w:pStyle w:val="Compact"/>
              <w:jc w:val="left"/>
            </w:pPr>
            <w:r>
              <w:t xml:space="preserve">HAC</w:t>
            </w:r>
          </w:p>
        </w:tc>
        <w:tc>
          <w:tcPr/>
          <w:p>
            <w:pPr>
              <w:pStyle w:val="Compact"/>
              <w:jc w:val="right"/>
            </w:pPr>
            <w:r>
              <w:t xml:space="preserve">81</w:t>
            </w:r>
          </w:p>
        </w:tc>
        <w:tc>
          <w:tcPr/>
          <w:p>
            <w:pPr>
              <w:pStyle w:val="Compact"/>
              <w:jc w:val="right"/>
            </w:pPr>
            <w:r>
              <w:t xml:space="preserve">5</w:t>
            </w:r>
          </w:p>
        </w:tc>
        <w:tc>
          <w:tcPr/>
          <w:p>
            <w:pPr>
              <w:pStyle w:val="Compact"/>
              <w:jc w:val="right"/>
            </w:pPr>
            <w:r>
              <w:t xml:space="preserve">334</w:t>
            </w:r>
          </w:p>
        </w:tc>
      </w:tr>
      <w:tr>
        <w:tc>
          <w:tcPr/>
          <w:p>
            <w:pPr>
              <w:pStyle w:val="Compact"/>
              <w:jc w:val="left"/>
            </w:pPr>
            <w:r>
              <w:t xml:space="preserve">Cool temperate moist</w:t>
            </w:r>
          </w:p>
        </w:tc>
        <w:tc>
          <w:tcPr/>
          <w:p>
            <w:pPr>
              <w:pStyle w:val="Compact"/>
              <w:jc w:val="left"/>
            </w:pPr>
            <w:r>
              <w:t xml:space="preserve">Sandy</w:t>
            </w:r>
          </w:p>
        </w:tc>
        <w:tc>
          <w:tcPr/>
          <w:p>
            <w:pPr>
              <w:pStyle w:val="Compact"/>
              <w:jc w:val="right"/>
            </w:pPr>
            <w:r>
              <w:t xml:space="preserve">51</w:t>
            </w:r>
          </w:p>
        </w:tc>
        <w:tc>
          <w:tcPr/>
          <w:p>
            <w:pPr>
              <w:pStyle w:val="Compact"/>
              <w:jc w:val="right"/>
            </w:pPr>
            <w:r>
              <w:t xml:space="preserve">13</w:t>
            </w:r>
          </w:p>
        </w:tc>
        <w:tc>
          <w:tcPr/>
          <w:p>
            <w:pPr>
              <w:pStyle w:val="Compact"/>
              <w:jc w:val="right"/>
            </w:pPr>
            <w:r>
              <w:t xml:space="preserve">126</w:t>
            </w:r>
          </w:p>
        </w:tc>
      </w:tr>
      <w:tr>
        <w:tc>
          <w:tcPr/>
          <w:p>
            <w:pPr>
              <w:pStyle w:val="Compact"/>
              <w:jc w:val="left"/>
            </w:pPr>
            <w:r>
              <w:t xml:space="preserve">Warm temperate dry</w:t>
            </w:r>
          </w:p>
        </w:tc>
        <w:tc>
          <w:tcPr/>
          <w:p>
            <w:pPr>
              <w:pStyle w:val="Compact"/>
              <w:jc w:val="left"/>
            </w:pPr>
            <w:r>
              <w:t xml:space="preserve">HAC</w:t>
            </w:r>
          </w:p>
        </w:tc>
        <w:tc>
          <w:tcPr/>
          <w:p>
            <w:pPr>
              <w:pStyle w:val="Compact"/>
              <w:jc w:val="right"/>
            </w:pPr>
            <w:r>
              <w:t xml:space="preserve">24</w:t>
            </w:r>
          </w:p>
        </w:tc>
        <w:tc>
          <w:tcPr/>
          <w:p>
            <w:pPr>
              <w:pStyle w:val="Compact"/>
              <w:jc w:val="right"/>
            </w:pPr>
            <w:r>
              <w:t xml:space="preserve">5</w:t>
            </w:r>
          </w:p>
        </w:tc>
        <w:tc>
          <w:tcPr/>
          <w:p>
            <w:pPr>
              <w:pStyle w:val="Compact"/>
              <w:jc w:val="right"/>
            </w:pPr>
            <w:r>
              <w:t xml:space="preserve">781</w:t>
            </w:r>
          </w:p>
        </w:tc>
      </w:tr>
      <w:tr>
        <w:tc>
          <w:tcPr/>
          <w:p>
            <w:pPr>
              <w:pStyle w:val="Compact"/>
              <w:jc w:val="left"/>
            </w:pPr>
            <w:r>
              <w:t xml:space="preserve">Tropical moist</w:t>
            </w:r>
          </w:p>
        </w:tc>
        <w:tc>
          <w:tcPr/>
          <w:p>
            <w:pPr>
              <w:pStyle w:val="Compact"/>
              <w:jc w:val="left"/>
            </w:pPr>
            <w:r>
              <w:t xml:space="preserve">HAC</w:t>
            </w:r>
          </w:p>
        </w:tc>
        <w:tc>
          <w:tcPr/>
          <w:p>
            <w:pPr>
              <w:pStyle w:val="Compact"/>
              <w:jc w:val="right"/>
            </w:pPr>
            <w:r>
              <w:t xml:space="preserve">40</w:t>
            </w:r>
          </w:p>
        </w:tc>
        <w:tc>
          <w:tcPr/>
          <w:p>
            <w:pPr>
              <w:pStyle w:val="Compact"/>
              <w:jc w:val="right"/>
            </w:pPr>
            <w:r>
              <w:t xml:space="preserve">7</w:t>
            </w:r>
          </w:p>
        </w:tc>
        <w:tc>
          <w:tcPr/>
          <w:p>
            <w:pPr>
              <w:pStyle w:val="Compact"/>
              <w:jc w:val="right"/>
            </w:pPr>
            <w:r>
              <w:t xml:space="preserve">226</w:t>
            </w:r>
          </w:p>
        </w:tc>
      </w:tr>
      <w:tr>
        <w:tc>
          <w:tcPr/>
          <w:p>
            <w:pPr>
              <w:pStyle w:val="Compact"/>
              <w:jc w:val="left"/>
            </w:pPr>
            <w:r>
              <w:t xml:space="preserve">Tropical moist</w:t>
            </w:r>
          </w:p>
        </w:tc>
        <w:tc>
          <w:tcPr/>
          <w:p>
            <w:pPr>
              <w:pStyle w:val="Compact"/>
              <w:jc w:val="left"/>
            </w:pPr>
            <w:r>
              <w:t xml:space="preserve">LAC</w:t>
            </w:r>
          </w:p>
        </w:tc>
        <w:tc>
          <w:tcPr/>
          <w:p>
            <w:pPr>
              <w:pStyle w:val="Compact"/>
              <w:jc w:val="right"/>
            </w:pPr>
            <w:r>
              <w:t xml:space="preserve">38</w:t>
            </w:r>
          </w:p>
        </w:tc>
        <w:tc>
          <w:tcPr/>
          <w:p>
            <w:pPr>
              <w:pStyle w:val="Compact"/>
              <w:jc w:val="right"/>
            </w:pPr>
            <w:r>
              <w:t xml:space="preserve">5</w:t>
            </w:r>
          </w:p>
        </w:tc>
        <w:tc>
          <w:tcPr/>
          <w:p>
            <w:pPr>
              <w:pStyle w:val="Compact"/>
              <w:jc w:val="right"/>
            </w:pPr>
            <w:r>
              <w:t xml:space="preserve">326</w:t>
            </w:r>
          </w:p>
        </w:tc>
      </w:tr>
      <w:tr>
        <w:tc>
          <w:tcPr/>
          <w:p>
            <w:pPr>
              <w:pStyle w:val="Compact"/>
              <w:jc w:val="left"/>
            </w:pPr>
            <w:r>
              <w:t xml:space="preserve">Tropical dry</w:t>
            </w:r>
          </w:p>
        </w:tc>
        <w:tc>
          <w:tcPr/>
          <w:p>
            <w:pPr>
              <w:pStyle w:val="Compact"/>
              <w:jc w:val="left"/>
            </w:pPr>
            <w:r>
              <w:t xml:space="preserve">LAC</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135</w:t>
            </w:r>
          </w:p>
        </w:tc>
      </w:tr>
      <w:tr>
        <w:tc>
          <w:tcPr/>
          <w:p>
            <w:pPr>
              <w:pStyle w:val="Compact"/>
              <w:jc w:val="left"/>
            </w:pPr>
            <w:r>
              <w:t xml:space="preserve">Boreal moist/dry</w:t>
            </w:r>
          </w:p>
        </w:tc>
        <w:tc>
          <w:tcPr/>
          <w:p>
            <w:pPr>
              <w:pStyle w:val="Compact"/>
              <w:jc w:val="left"/>
            </w:pPr>
            <w:r>
              <w:t xml:space="preserve">Sandy</w:t>
            </w:r>
          </w:p>
        </w:tc>
        <w:tc>
          <w:tcPr/>
          <w:p>
            <w:pPr>
              <w:pStyle w:val="Compact"/>
              <w:jc w:val="right"/>
            </w:pPr>
            <w:r>
              <w:t xml:space="preserve">10</w:t>
            </w:r>
          </w:p>
        </w:tc>
        <w:tc>
          <w:tcPr/>
          <w:p>
            <w:pPr>
              <w:pStyle w:val="Compact"/>
              <w:jc w:val="right"/>
            </w:pPr>
            <w:r>
              <w:t xml:space="preserve">90</w:t>
            </w:r>
          </w:p>
        </w:tc>
        <w:tc>
          <w:tcPr/>
          <w:p>
            <w:pPr>
              <w:pStyle w:val="Compact"/>
              <w:jc w:val="right"/>
            </w:pPr>
            <w:r>
              <w:t xml:space="preserve">NA</w:t>
            </w:r>
          </w:p>
        </w:tc>
      </w:tr>
    </w:tbl>
    <w:p>
      <w:pPr>
        <w:pStyle w:val="BodyText"/>
      </w:pPr>
      <w:r>
        <w:t xml:space="preserve">Look at the last row against the third. Warm temperate dry soils with high activity clay are stated as 24 tonnes per hectare with a 95 per cent limit of five per cent, resting on 781 measured profiles. Boreal sandy soils are stated as 10 tonnes per hectare with a limit of ninety per cent, resting on no profiles at all: that figure is a nominal error assigned because no data were available, carried forward from the 1996 guidelines.</w:t>
      </w:r>
    </w:p>
    <w:p>
      <w:pPr>
        <w:pStyle w:val="BodyText"/>
      </w:pPr>
      <w:r>
        <w:t xml:space="preserve">Those two entries look identical in a spreadsheet. They are epistemically unrelated. One is a well-estimated mean; the other is a placeholder with an honesty marker attached. A project whose stratification lands it in the second cell is in a different position from one that lands in the first, and no amount of downstream care recovers the difference.</w:t>
      </w:r>
    </w:p>
    <w:p>
      <w:pPr>
        <w:pStyle w:val="SourceCode"/>
      </w:pPr>
      <w:r>
        <w:rPr>
          <w:rStyle w:val="FunctionTok"/>
        </w:rPr>
        <w:t xml:space="preserve">c</w:t>
      </w:r>
      <w:r>
        <w:rPr>
          <w:rStyle w:val="NormalTok"/>
        </w:rPr>
        <w:t xml:space="preserve">(</w:t>
      </w:r>
      <w:r>
        <w:rPr>
          <w:rStyle w:val="AttributeTok"/>
        </w:rPr>
        <w:t xml:space="preserve">worst_to_best_ratio =</w:t>
      </w:r>
      <w:r>
        <w:rPr>
          <w:rStyle w:val="NormalTok"/>
        </w:rPr>
        <w:t xml:space="preserve"> </w:t>
      </w:r>
      <w:r>
        <w:rPr>
          <w:rStyle w:val="FunctionTok"/>
        </w:rPr>
        <w:t xml:space="preserve">max</w:t>
      </w:r>
      <w:r>
        <w:rPr>
          <w:rStyle w:val="NormalTok"/>
        </w:rPr>
        <w:t xml:space="preserve">(soc_ref</w:t>
      </w:r>
      <w:r>
        <w:rPr>
          <w:rStyle w:val="SpecialCharTok"/>
        </w:rPr>
        <w:t xml:space="preserve">$</w:t>
      </w:r>
      <w:r>
        <w:rPr>
          <w:rStyle w:val="NormalTok"/>
        </w:rPr>
        <w:t xml:space="preserve">unc_pct) </w:t>
      </w:r>
      <w:r>
        <w:rPr>
          <w:rStyle w:val="SpecialCharTok"/>
        </w:rPr>
        <w:t xml:space="preserve">/</w:t>
      </w:r>
      <w:r>
        <w:rPr>
          <w:rStyle w:val="NormalTok"/>
        </w:rPr>
        <w:t xml:space="preserve"> </w:t>
      </w:r>
      <w:r>
        <w:rPr>
          <w:rStyle w:val="FunctionTok"/>
        </w:rPr>
        <w:t xml:space="preserve">min</w:t>
      </w:r>
      <w:r>
        <w:rPr>
          <w:rStyle w:val="NormalTok"/>
        </w:rPr>
        <w:t xml:space="preserve">(soc_ref</w:t>
      </w:r>
      <w:r>
        <w:rPr>
          <w:rStyle w:val="SpecialCharTok"/>
        </w:rPr>
        <w:t xml:space="preserve">$</w:t>
      </w:r>
      <w:r>
        <w:rPr>
          <w:rStyle w:val="NormalTok"/>
        </w:rPr>
        <w:t xml:space="preserve">unc_pct))</w:t>
      </w:r>
      <w:r>
        <w:br/>
      </w:r>
      <w:r>
        <w:rPr>
          <w:rStyle w:val="CommentTok"/>
        </w:rPr>
        <w:t xml:space="preserve">#&gt; worst_to_best_ratio </w:t>
      </w:r>
      <w:r>
        <w:br/>
      </w:r>
      <w:r>
        <w:rPr>
          <w:rStyle w:val="CommentTok"/>
        </w:rPr>
        <w:t xml:space="preserve">#&gt;                  18</w:t>
      </w:r>
    </w:p>
    <w:p>
      <w:pPr>
        <w:pStyle w:val="FirstParagraph"/>
      </w:pPr>
      <w:r>
        <w:t xml:space="preserve">The stated uncertainty spans eighteenfold within a single table. Factor selection is therefore not a lookup; it is a decision about which of these positions you are willing to defend.</w:t>
      </w:r>
    </w:p>
    <w:bookmarkEnd w:id="133"/>
    <w:bookmarkStart w:id="134" w:name="the-stock-difference-method"/>
    <w:p>
      <w:pPr>
        <w:pStyle w:val="Heading2"/>
      </w:pPr>
      <w:r>
        <w:t xml:space="preserve">8.4 The stock-difference method</w:t>
      </w:r>
    </w:p>
    <w:p>
      <w:pPr>
        <w:pStyle w:val="FirstParagraph"/>
      </w:pPr>
      <w:r>
        <w:t xml:space="preserve">Soil carbon is the pool where Tier 1 methods have changed most. The 2006 guidelines assumed that converting land oxidised its soil carbon immediately. The 2019 Refinement replaces that with a linear transition to a new equilibrium spread over a default twenty years, computed as a difference between two stock estimates</w:t>
      </w:r>
      <w:r>
        <w:t xml:space="preserve"> </w:t>
      </w:r>
      <w:r>
        <w:t xml:space="preserve">(IPCC, 2019, Eq. 2.25)</w:t>
      </w:r>
      <w:r>
        <w:t xml:space="preserve">:</w:t>
      </w:r>
    </w:p>
    <w:p>
      <w:pPr>
        <w:pStyle w:val="BodyText"/>
      </w:pPr>
      <m:oMathPara>
        <m:oMathParaPr>
          <m:jc m:val="center"/>
        </m:oMathParaPr>
        <m:oMath>
          <m:r>
            <m:t>Δ</m:t>
          </m:r>
          <m:sSub>
            <m:e>
              <m:r>
                <m:t>C</m:t>
              </m:r>
            </m:e>
            <m:sub>
              <m:r>
                <m:t>M</m:t>
              </m:r>
              <m:r>
                <m:t>i</m:t>
              </m:r>
              <m:r>
                <m:t>n</m:t>
              </m:r>
              <m:r>
                <m:t>e</m:t>
              </m:r>
              <m:r>
                <m:t>r</m:t>
              </m:r>
              <m:r>
                <m:t>a</m:t>
              </m:r>
              <m:r>
                <m:t>l</m:t>
              </m:r>
            </m:sub>
          </m:sSub>
          <m:r>
            <m:rPr>
              <m:sty m:val="p"/>
            </m:rPr>
            <m:t>=</m:t>
          </m:r>
          <m:f>
            <m:fPr>
              <m:type m:val="bar"/>
            </m:fPr>
            <m:num>
              <m:r>
                <m:t>S</m:t>
              </m:r>
              <m:r>
                <m:t>O</m:t>
              </m:r>
              <m:sSub>
                <m:e>
                  <m:r>
                    <m:t>C</m:t>
                  </m:r>
                </m:e>
                <m:sub>
                  <m:r>
                    <m:t>0</m:t>
                  </m:r>
                </m:sub>
              </m:sSub>
              <m:r>
                <m:rPr>
                  <m:sty m:val="p"/>
                </m:rPr>
                <m:t>−</m:t>
              </m:r>
              <m:r>
                <m:t>S</m:t>
              </m:r>
              <m:r>
                <m:t>O</m:t>
              </m:r>
              <m:sSub>
                <m:e>
                  <m:r>
                    <m:t>C</m:t>
                  </m:r>
                </m:e>
                <m:sub>
                  <m:d>
                    <m:dPr>
                      <m:begChr m:val="("/>
                      <m:sepChr m:val=""/>
                      <m:endChr m:val=")"/>
                      <m:grow/>
                    </m:dPr>
                    <m:e>
                      <m:r>
                        <m:t>0</m:t>
                      </m:r>
                      <m:r>
                        <m:rPr>
                          <m:sty m:val="p"/>
                        </m:rPr>
                        <m:t>−</m:t>
                      </m:r>
                      <m:r>
                        <m:t>T</m:t>
                      </m:r>
                    </m:e>
                  </m:d>
                </m:sub>
              </m:sSub>
            </m:num>
            <m:den>
              <m:r>
                <m:t>D</m:t>
              </m:r>
            </m:den>
          </m:f>
        </m:oMath>
      </m:oMathPara>
    </w:p>
    <w:p>
      <w:pPr>
        <w:pStyle w:val="FirstParagraph"/>
      </w:pPr>
      <w:r>
        <w:t xml:space="preserve">where</w:t>
      </w:r>
      <w:r>
        <w:t xml:space="preserve"> </w:t>
      </w:r>
      <m:oMath>
        <m:r>
          <m:t>S</m:t>
        </m:r>
        <m:r>
          <m:t>O</m:t>
        </m:r>
        <m:sSub>
          <m:e>
            <m:r>
              <m:t>C</m:t>
            </m:r>
          </m:e>
          <m:sub>
            <m:r>
              <m:t>0</m:t>
            </m:r>
          </m:sub>
        </m:sSub>
      </m:oMath>
      <w:r>
        <w:t xml:space="preserve"> </w:t>
      </w:r>
      <w:r>
        <w:t xml:space="preserve">is the stock in the final year of the inventory period,</w:t>
      </w:r>
      <w:r>
        <w:t xml:space="preserve"> </w:t>
      </w:r>
      <m:oMath>
        <m:r>
          <m:t>S</m:t>
        </m:r>
        <m:r>
          <m:t>O</m:t>
        </m:r>
        <m:sSub>
          <m:e>
            <m:r>
              <m:t>C</m:t>
            </m:r>
          </m:e>
          <m:sub>
            <m:d>
              <m:dPr>
                <m:begChr m:val="("/>
                <m:sepChr m:val=""/>
                <m:endChr m:val=")"/>
                <m:grow/>
              </m:dPr>
              <m:e>
                <m:r>
                  <m:t>0</m:t>
                </m:r>
                <m:r>
                  <m:rPr>
                    <m:sty m:val="p"/>
                  </m:rPr>
                  <m:t>−</m:t>
                </m:r>
                <m:r>
                  <m:t>T</m:t>
                </m:r>
              </m:e>
            </m:d>
          </m:sub>
        </m:sSub>
      </m:oMath>
      <w:r>
        <w:t xml:space="preserve"> </w:t>
      </w:r>
      <w:r>
        <w:t xml:space="preserve">the stock at its beginning, and</w:t>
      </w:r>
      <w:r>
        <w:t xml:space="preserve"> </w:t>
      </w:r>
      <m:oMath>
        <m:r>
          <m:t>D</m:t>
        </m:r>
      </m:oMath>
      <w:r>
        <w:t xml:space="preserve"> </w:t>
      </w:r>
      <w:r>
        <w:t xml:space="preserve">the time dependence of the stock change factors, twenty years under Tier 1. Each stock is itself built from a reference value and three dimensionless factors:</w:t>
      </w:r>
    </w:p>
    <w:p>
      <w:pPr>
        <w:pStyle w:val="BodyText"/>
      </w:pPr>
      <m:oMathPara>
        <m:oMathParaPr>
          <m:jc m:val="center"/>
        </m:oMathParaPr>
        <m:oMath>
          <m:r>
            <m:t>S</m:t>
          </m:r>
          <m:r>
            <m:t>O</m:t>
          </m:r>
          <m:r>
            <m:t>C</m:t>
          </m:r>
          <m:r>
            <m:rPr>
              <m:sty m:val="p"/>
            </m:rPr>
            <m:t>=</m:t>
          </m:r>
          <m:r>
            <m:t>S</m:t>
          </m:r>
          <m:r>
            <m:t>O</m:t>
          </m:r>
          <m:sSub>
            <m:e>
              <m:r>
                <m:t>C</m:t>
              </m:r>
            </m:e>
            <m:sub>
              <m:r>
                <m:t>R</m:t>
              </m:r>
              <m:r>
                <m:t>E</m:t>
              </m:r>
              <m:r>
                <m:t>F</m:t>
              </m:r>
            </m:sub>
          </m:sSub>
          <m:r>
            <m:rPr>
              <m:sty m:val="p"/>
            </m:rPr>
            <m:t>×</m:t>
          </m:r>
          <m:sSub>
            <m:e>
              <m:r>
                <m:t>F</m:t>
              </m:r>
            </m:e>
            <m:sub>
              <m:r>
                <m:t>L</m:t>
              </m:r>
              <m:r>
                <m:t>U</m:t>
              </m:r>
            </m:sub>
          </m:sSub>
          <m:r>
            <m:rPr>
              <m:sty m:val="p"/>
            </m:rPr>
            <m:t>×</m:t>
          </m:r>
          <m:sSub>
            <m:e>
              <m:r>
                <m:t>F</m:t>
              </m:r>
            </m:e>
            <m:sub>
              <m:r>
                <m:t>M</m:t>
              </m:r>
              <m:r>
                <m:t>G</m:t>
              </m:r>
            </m:sub>
          </m:sSub>
          <m:r>
            <m:rPr>
              <m:sty m:val="p"/>
            </m:rPr>
            <m:t>×</m:t>
          </m:r>
          <m:sSub>
            <m:e>
              <m:r>
                <m:t>F</m:t>
              </m:r>
            </m:e>
            <m:sub>
              <m:r>
                <m:t>I</m:t>
              </m:r>
            </m:sub>
          </m:sSub>
        </m:oMath>
      </m:oMathPara>
    </w:p>
    <w:p>
      <w:pPr>
        <w:pStyle w:val="FirstParagraph"/>
      </w:pPr>
      <m:oMath>
        <m:sSub>
          <m:e>
            <m:r>
              <m:t>F</m:t>
            </m:r>
          </m:e>
          <m:sub>
            <m:r>
              <m:t>L</m:t>
            </m:r>
            <m:r>
              <m:t>U</m:t>
            </m:r>
          </m:sub>
        </m:sSub>
      </m:oMath>
      <w:r>
        <w:t xml:space="preserve"> </w:t>
      </w:r>
      <w:r>
        <w:t xml:space="preserve">is the land use factor,</w:t>
      </w:r>
      <w:r>
        <w:t xml:space="preserve"> </w:t>
      </w:r>
      <m:oMath>
        <m:sSub>
          <m:e>
            <m:r>
              <m:t>F</m:t>
            </m:r>
          </m:e>
          <m:sub>
            <m:r>
              <m:t>M</m:t>
            </m:r>
            <m:r>
              <m:t>G</m:t>
            </m:r>
          </m:sub>
        </m:sSub>
      </m:oMath>
      <w:r>
        <w:t xml:space="preserve"> </w:t>
      </w:r>
      <w:r>
        <w:t xml:space="preserve">the management factor, and</w:t>
      </w:r>
      <w:r>
        <w:t xml:space="preserve"> </w:t>
      </w:r>
      <m:oMath>
        <m:sSub>
          <m:e>
            <m:r>
              <m:t>F</m:t>
            </m:r>
          </m:e>
          <m:sub>
            <m:r>
              <m:t>I</m:t>
            </m:r>
          </m:sub>
        </m:sSub>
      </m:oMath>
      <w:r>
        <w:t xml:space="preserve"> </w:t>
      </w:r>
      <w:r>
        <w:t xml:space="preserve">the input factor, each a multiplier relative to the native reference condition. All are defined for a 30 cm depth, because that is the depth the reference stocks were compiled at, and mixing a factor from one depth convention with a stock from another is a common and invisible error.</w:t>
      </w:r>
    </w:p>
    <w:p>
      <w:pPr>
        <w:pStyle w:val="SourceCode"/>
      </w:pPr>
      <w:r>
        <w:rPr>
          <w:rStyle w:val="NormalTok"/>
        </w:rPr>
        <w:t xml:space="preserve">socref </w:t>
      </w:r>
      <w:r>
        <w:rPr>
          <w:rStyle w:val="OtherTok"/>
        </w:rPr>
        <w:t xml:space="preserve">&lt;-</w:t>
      </w:r>
      <w:r>
        <w:rPr>
          <w:rStyle w:val="NormalTok"/>
        </w:rPr>
        <w:t xml:space="preserve"> </w:t>
      </w:r>
      <w:r>
        <w:rPr>
          <w:rStyle w:val="DecValTok"/>
        </w:rPr>
        <w:t xml:space="preserve">38</w:t>
      </w:r>
      <w:r>
        <w:rPr>
          <w:rStyle w:val="NormalTok"/>
        </w:rPr>
        <w:t xml:space="preserve">      </w:t>
      </w:r>
      <w:r>
        <w:rPr>
          <w:rStyle w:val="CommentTok"/>
        </w:rPr>
        <w:t xml:space="preserve"># tropical moist, LAC</w:t>
      </w:r>
      <w:r>
        <w:br/>
      </w:r>
      <w:r>
        <w:rPr>
          <w:rStyle w:val="NormalTok"/>
        </w:rPr>
        <w:t xml:space="preserve">f_lu   </w:t>
      </w:r>
      <w:r>
        <w:rPr>
          <w:rStyle w:val="OtherTok"/>
        </w:rPr>
        <w:t xml:space="preserve">&lt;-</w:t>
      </w:r>
      <w:r>
        <w:rPr>
          <w:rStyle w:val="NormalTok"/>
        </w:rPr>
        <w:t xml:space="preserve"> </w:t>
      </w:r>
      <w:r>
        <w:rPr>
          <w:rStyle w:val="FloatTok"/>
        </w:rPr>
        <w:t xml:space="preserve">0.83</w:t>
      </w:r>
      <w:r>
        <w:rPr>
          <w:rStyle w:val="NormalTok"/>
        </w:rPr>
        <w:t xml:space="preserve">    </w:t>
      </w:r>
      <w:r>
        <w:rPr>
          <w:rStyle w:val="CommentTok"/>
        </w:rPr>
        <w:t xml:space="preserve"># forest to long-term cultivated</w:t>
      </w:r>
      <w:r>
        <w:br/>
      </w:r>
      <w:r>
        <w:rPr>
          <w:rStyle w:val="NormalTok"/>
        </w:rPr>
        <w:t xml:space="preserve">f_mg   </w:t>
      </w:r>
      <w:r>
        <w:rPr>
          <w:rStyle w:val="OtherTok"/>
        </w:rPr>
        <w:t xml:space="preserve">&lt;-</w:t>
      </w:r>
      <w:r>
        <w:rPr>
          <w:rStyle w:val="NormalTok"/>
        </w:rPr>
        <w:t xml:space="preserve"> </w:t>
      </w:r>
      <w:r>
        <w:rPr>
          <w:rStyle w:val="FloatTok"/>
        </w:rPr>
        <w:t xml:space="preserve">1.00</w:t>
      </w:r>
      <w:r>
        <w:rPr>
          <w:rStyle w:val="NormalTok"/>
        </w:rPr>
        <w:t xml:space="preserve">    </w:t>
      </w:r>
      <w:r>
        <w:rPr>
          <w:rStyle w:val="CommentTok"/>
        </w:rPr>
        <w:t xml:space="preserve"># full tillage</w:t>
      </w:r>
      <w:r>
        <w:br/>
      </w:r>
      <w:r>
        <w:rPr>
          <w:rStyle w:val="NormalTok"/>
        </w:rPr>
        <w:t xml:space="preserve">f_i    </w:t>
      </w:r>
      <w:r>
        <w:rPr>
          <w:rStyle w:val="OtherTok"/>
        </w:rPr>
        <w:t xml:space="preserve">&lt;-</w:t>
      </w:r>
      <w:r>
        <w:rPr>
          <w:rStyle w:val="NormalTok"/>
        </w:rPr>
        <w:t xml:space="preserve"> </w:t>
      </w:r>
      <w:r>
        <w:rPr>
          <w:rStyle w:val="FloatTok"/>
        </w:rPr>
        <w:t xml:space="preserve">0.94</w:t>
      </w:r>
      <w:r>
        <w:rPr>
          <w:rStyle w:val="NormalTok"/>
        </w:rPr>
        <w:t xml:space="preserve">    </w:t>
      </w:r>
      <w:r>
        <w:rPr>
          <w:rStyle w:val="CommentTok"/>
        </w:rPr>
        <w:t xml:space="preserve"># low input</w:t>
      </w:r>
      <w:r>
        <w:br/>
      </w:r>
      <w:r>
        <w:br/>
      </w:r>
      <w:r>
        <w:rPr>
          <w:rStyle w:val="NormalTok"/>
        </w:rPr>
        <w:t xml:space="preserve">soc_new    </w:t>
      </w:r>
      <w:r>
        <w:rPr>
          <w:rStyle w:val="OtherTok"/>
        </w:rPr>
        <w:t xml:space="preserve">&lt;-</w:t>
      </w:r>
      <w:r>
        <w:rPr>
          <w:rStyle w:val="NormalTok"/>
        </w:rPr>
        <w:t xml:space="preserve"> socref </w:t>
      </w:r>
      <w:r>
        <w:rPr>
          <w:rStyle w:val="SpecialCharTok"/>
        </w:rPr>
        <w:t xml:space="preserve">*</w:t>
      </w:r>
      <w:r>
        <w:rPr>
          <w:rStyle w:val="NormalTok"/>
        </w:rPr>
        <w:t xml:space="preserve"> f_lu </w:t>
      </w:r>
      <w:r>
        <w:rPr>
          <w:rStyle w:val="SpecialCharTok"/>
        </w:rPr>
        <w:t xml:space="preserve">*</w:t>
      </w:r>
      <w:r>
        <w:rPr>
          <w:rStyle w:val="NormalTok"/>
        </w:rPr>
        <w:t xml:space="preserve"> f_mg </w:t>
      </w:r>
      <w:r>
        <w:rPr>
          <w:rStyle w:val="SpecialCharTok"/>
        </w:rPr>
        <w:t xml:space="preserve">*</w:t>
      </w:r>
      <w:r>
        <w:rPr>
          <w:rStyle w:val="NormalTok"/>
        </w:rPr>
        <w:t xml:space="preserve"> f_i</w:t>
      </w:r>
      <w:r>
        <w:br/>
      </w:r>
      <w:r>
        <w:rPr>
          <w:rStyle w:val="NormalTok"/>
        </w:rPr>
        <w:t xml:space="preserve">annual_c   </w:t>
      </w:r>
      <w:r>
        <w:rPr>
          <w:rStyle w:val="OtherTok"/>
        </w:rPr>
        <w:t xml:space="preserve">&lt;-</w:t>
      </w:r>
      <w:r>
        <w:rPr>
          <w:rStyle w:val="NormalTok"/>
        </w:rPr>
        <w:t xml:space="preserve"> (soc_new </w:t>
      </w:r>
      <w:r>
        <w:rPr>
          <w:rStyle w:val="SpecialCharTok"/>
        </w:rPr>
        <w:t xml:space="preserve">-</w:t>
      </w:r>
      <w:r>
        <w:rPr>
          <w:rStyle w:val="NormalTok"/>
        </w:rPr>
        <w:t xml:space="preserve"> socref) </w:t>
      </w:r>
      <w:r>
        <w:rPr>
          <w:rStyle w:val="SpecialCharTok"/>
        </w:rPr>
        <w:t xml:space="preserve">/</w:t>
      </w:r>
      <w:r>
        <w:rPr>
          <w:rStyle w:val="NormalTok"/>
        </w:rPr>
        <w:t xml:space="preserve"> </w:t>
      </w:r>
      <w:r>
        <w:rPr>
          <w:rStyle w:val="DecValTok"/>
        </w:rPr>
        <w:t xml:space="preserve">20</w:t>
      </w:r>
      <w:r>
        <w:br/>
      </w:r>
      <w:r>
        <w:rPr>
          <w:rStyle w:val="NormalTok"/>
        </w:rPr>
        <w:t xml:space="preserve">annual_co2 </w:t>
      </w:r>
      <w:r>
        <w:rPr>
          <w:rStyle w:val="OtherTok"/>
        </w:rPr>
        <w:t xml:space="preserve">&lt;-</w:t>
      </w:r>
      <w:r>
        <w:rPr>
          <w:rStyle w:val="NormalTok"/>
        </w:rPr>
        <w:t xml:space="preserve"> annual_c </w:t>
      </w:r>
      <w:r>
        <w:rPr>
          <w:rStyle w:val="SpecialCharTok"/>
        </w:rPr>
        <w:t xml:space="preserve">*</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soc_before =</w:t>
      </w:r>
      <w:r>
        <w:rPr>
          <w:rStyle w:val="NormalTok"/>
        </w:rPr>
        <w:t xml:space="preserve"> socref, </w:t>
      </w:r>
      <w:r>
        <w:rPr>
          <w:rStyle w:val="AttributeTok"/>
        </w:rPr>
        <w:t xml:space="preserve">soc_after =</w:t>
      </w:r>
      <w:r>
        <w:rPr>
          <w:rStyle w:val="NormalTok"/>
        </w:rPr>
        <w:t xml:space="preserve"> soc_new,</w:t>
      </w:r>
      <w:r>
        <w:br/>
      </w:r>
      <w:r>
        <w:rPr>
          <w:rStyle w:val="NormalTok"/>
        </w:rPr>
        <w:t xml:space="preserve">        </w:t>
      </w:r>
      <w:r>
        <w:rPr>
          <w:rStyle w:val="AttributeTok"/>
        </w:rPr>
        <w:t xml:space="preserve">tC_ha_yr =</w:t>
      </w:r>
      <w:r>
        <w:rPr>
          <w:rStyle w:val="NormalTok"/>
        </w:rPr>
        <w:t xml:space="preserve"> annual_c, </w:t>
      </w:r>
      <w:r>
        <w:rPr>
          <w:rStyle w:val="AttributeTok"/>
        </w:rPr>
        <w:t xml:space="preserve">tCO2e_ha_yr =</w:t>
      </w:r>
      <w:r>
        <w:rPr>
          <w:rStyle w:val="NormalTok"/>
        </w:rPr>
        <w:t xml:space="preserve"> annual_co2), </w:t>
      </w:r>
      <w:r>
        <w:rPr>
          <w:rStyle w:val="DecValTok"/>
        </w:rPr>
        <w:t xml:space="preserve">3</w:t>
      </w:r>
      <w:r>
        <w:rPr>
          <w:rStyle w:val="NormalTok"/>
        </w:rPr>
        <w:t xml:space="preserve">)</w:t>
      </w:r>
      <w:r>
        <w:br/>
      </w:r>
      <w:r>
        <w:rPr>
          <w:rStyle w:val="CommentTok"/>
        </w:rPr>
        <w:t xml:space="preserve">#&gt;  soc_before   soc_after    tC_ha_yr tCO2e_ha_yr </w:t>
      </w:r>
      <w:r>
        <w:br/>
      </w:r>
      <w:r>
        <w:rPr>
          <w:rStyle w:val="CommentTok"/>
        </w:rPr>
        <w:t xml:space="preserve">#&gt;      38.000      29.648      -0.418      -1.531</w:t>
      </w:r>
    </w:p>
    <w:p>
      <w:pPr>
        <w:pStyle w:val="FirstParagraph"/>
      </w:pPr>
      <w:r>
        <w:t xml:space="preserve">The chain matters more than any single link. Three multiplicative factors mean three opportunities for a stratification error, and because they multiply, a mistake in any one of them scales the whole result rather than adding to it.</w:t>
      </w:r>
    </w:p>
    <w:bookmarkEnd w:id="134"/>
    <w:bookmarkStart w:id="135" w:name="the-asymmetry-nobody-mentions"/>
    <w:p>
      <w:pPr>
        <w:pStyle w:val="Heading2"/>
      </w:pPr>
      <w:r>
        <w:t xml:space="preserve">8.5 The asymmetry nobody mentions</w:t>
      </w:r>
    </w:p>
    <w:p>
      <w:pPr>
        <w:pStyle w:val="FirstParagraph"/>
      </w:pPr>
      <w:r>
        <w:t xml:space="preserve">Tier 1 does not treat gains and losses alike. Carbon</w:t>
      </w:r>
      <w:r>
        <w:t xml:space="preserve"> </w:t>
      </w:r>
      <w:r>
        <w:rPr>
          <w:i/>
          <w:iCs/>
        </w:rPr>
        <w:t xml:space="preserve">increases</w:t>
      </w:r>
      <w:r>
        <w:t xml:space="preserve"> </w:t>
      </w:r>
      <w:r>
        <w:t xml:space="preserve">are spread over the twenty-year transition; carbon</w:t>
      </w:r>
      <w:r>
        <w:t xml:space="preserve"> </w:t>
      </w:r>
      <w:r>
        <w:rPr>
          <w:i/>
          <w:iCs/>
        </w:rPr>
        <w:t xml:space="preserve">losses</w:t>
      </w:r>
      <w:r>
        <w:t xml:space="preserve"> </w:t>
      </w:r>
      <w:r>
        <w:t xml:space="preserve">from dead organic matter on conversion are assigned to a single year</w:t>
      </w:r>
      <w:r>
        <w:t xml:space="preserve"> </w:t>
      </w:r>
      <w:r>
        <w:t xml:space="preserve">(IPCC, 2019, p. s.2.3.2)</w:t>
      </w:r>
      <w:r>
        <w:t xml:space="preserve">. That asymmetry is deliberate and conservative: it credits slowly and debits fast.</w:t>
      </w:r>
    </w:p>
    <w:p>
      <w:pPr>
        <w:pStyle w:val="BodyText"/>
      </w:pPr>
      <w:r>
        <w:t xml:space="preserve">It also has a practical consequence for anyone comparing a project’s numbers against an inventory. A project reporting a gain over five years captures a quarter of the eventual stock change, not all of it, and a project reporting a conversion loss books the whole thing at once. Two projects with identical biophysical outcomes and different timings will report very different annual figures, entirely legitimately.</w:t>
      </w:r>
    </w:p>
    <w:bookmarkEnd w:id="135"/>
    <w:bookmarkStart w:id="136" w:name="propagating-the-uncertainty"/>
    <w:p>
      <w:pPr>
        <w:pStyle w:val="Heading2"/>
      </w:pPr>
      <w:r>
        <w:t xml:space="preserve">8.6 Propagating the uncertainty</w:t>
      </w:r>
    </w:p>
    <w:p>
      <w:pPr>
        <w:pStyle w:val="FirstParagraph"/>
      </w:pPr>
      <w:r>
        <w:t xml:space="preserve">Each factor in the chain carries its own uncertainty, and they combine. For independent terms entering a product, the proportional uncertainties combine in quadrature:</w:t>
      </w:r>
    </w:p>
    <w:p>
      <w:pPr>
        <w:pStyle w:val="BodyText"/>
      </w:pPr>
      <m:oMathPara>
        <m:oMathParaPr>
          <m:jc m:val="center"/>
        </m:oMathParaPr>
        <m:oMath>
          <m:sSub>
            <m:e>
              <m:r>
                <m:t>U</m:t>
              </m:r>
            </m:e>
            <m:sub>
              <m:r>
                <m:t>t</m:t>
              </m:r>
              <m:r>
                <m:t>o</m:t>
              </m:r>
              <m:r>
                <m:t>t</m:t>
              </m:r>
              <m:r>
                <m:t>a</m:t>
              </m:r>
              <m:r>
                <m:t>l</m:t>
              </m:r>
            </m:sub>
          </m:sSub>
          <m:r>
            <m:rPr>
              <m:sty m:val="p"/>
            </m:rPr>
            <m:t>=</m:t>
          </m:r>
          <m:rad>
            <m:radPr>
              <m:degHide m:val="on"/>
            </m:radPr>
            <m:deg/>
            <m:e>
              <m:sSubSup>
                <m:e>
                  <m:r>
                    <m:t>U</m:t>
                  </m:r>
                </m:e>
                <m:sub>
                  <m:r>
                    <m:t>1</m:t>
                  </m:r>
                </m:sub>
                <m:sup>
                  <m:r>
                    <m:t>2</m:t>
                  </m:r>
                </m:sup>
              </m:sSubSup>
              <m:r>
                <m:rPr>
                  <m:sty m:val="p"/>
                </m:rPr>
                <m:t>+</m:t>
              </m:r>
              <m:sSubSup>
                <m:e>
                  <m:r>
                    <m:t>U</m:t>
                  </m:r>
                </m:e>
                <m:sub>
                  <m:r>
                    <m:t>2</m:t>
                  </m:r>
                </m:sub>
                <m:sup>
                  <m:r>
                    <m:t>2</m:t>
                  </m:r>
                </m:sup>
              </m:sSubSup>
              <m:r>
                <m:rPr>
                  <m:sty m:val="p"/>
                </m:rPr>
                <m:t>+</m:t>
              </m:r>
              <m:r>
                <m:rPr>
                  <m:sty m:val="p"/>
                </m:rPr>
                <m:t>…</m:t>
              </m:r>
              <m:r>
                <m:rPr>
                  <m:sty m:val="p"/>
                </m:rPr>
                <m:t>+</m:t>
              </m:r>
              <m:sSubSup>
                <m:e>
                  <m:r>
                    <m:t>U</m:t>
                  </m:r>
                </m:e>
                <m:sub>
                  <m:r>
                    <m:t>n</m:t>
                  </m:r>
                </m:sub>
                <m:sup>
                  <m:r>
                    <m:t>2</m:t>
                  </m:r>
                </m:sup>
              </m:sSubSup>
            </m:e>
          </m:rad>
        </m:oMath>
      </m:oMathPara>
    </w:p>
    <w:p>
      <w:pPr>
        <w:pStyle w:val="FirstParagraph"/>
      </w:pPr>
      <w:r>
        <w:t xml:space="preserve">Take a silvopastoral project on a thousand hectares, with the uncertainty on each component taken from the guidelines and from the project’s own measurement:</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SOC_REF =</w:t>
      </w:r>
      <w:r>
        <w:rPr>
          <w:rStyle w:val="NormalTok"/>
        </w:rPr>
        <w:t xml:space="preserve"> </w:t>
      </w:r>
      <w:r>
        <w:rPr>
          <w:rStyle w:val="FloatTok"/>
        </w:rPr>
        <w:t xml:space="preserve">0.05</w:t>
      </w:r>
      <w:r>
        <w:rPr>
          <w:rStyle w:val="NormalTok"/>
        </w:rPr>
        <w:t xml:space="preserve">,   </w:t>
      </w:r>
      <w:r>
        <w:rPr>
          <w:rStyle w:val="CommentTok"/>
        </w:rPr>
        <w:t xml:space="preserve"># reference stock, well-sampled cell</w:t>
      </w:r>
      <w:r>
        <w:br/>
      </w:r>
      <w:r>
        <w:rPr>
          <w:rStyle w:val="NormalTok"/>
        </w:rPr>
        <w:t xml:space="preserve">       </w:t>
      </w:r>
      <w:r>
        <w:rPr>
          <w:rStyle w:val="AttributeTok"/>
        </w:rPr>
        <w:t xml:space="preserve">F_MG    =</w:t>
      </w:r>
      <w:r>
        <w:rPr>
          <w:rStyle w:val="NormalTok"/>
        </w:rPr>
        <w:t xml:space="preserve"> </w:t>
      </w:r>
      <w:r>
        <w:rPr>
          <w:rStyle w:val="FloatTok"/>
        </w:rPr>
        <w:t xml:space="preserve">0.09</w:t>
      </w:r>
      <w:r>
        <w:rPr>
          <w:rStyle w:val="NormalTok"/>
        </w:rPr>
        <w:t xml:space="preserve">,   </w:t>
      </w:r>
      <w:r>
        <w:rPr>
          <w:rStyle w:val="CommentTok"/>
        </w:rPr>
        <w:t xml:space="preserve"># management factor, improved tropical grassland</w:t>
      </w:r>
      <w:r>
        <w:br/>
      </w:r>
      <w:r>
        <w:rPr>
          <w:rStyle w:val="NormalTok"/>
        </w:rPr>
        <w:t xml:space="preserve">       </w:t>
      </w:r>
      <w:r>
        <w:rPr>
          <w:rStyle w:val="AttributeTok"/>
        </w:rPr>
        <w:t xml:space="preserve">F_I     =</w:t>
      </w:r>
      <w:r>
        <w:rPr>
          <w:rStyle w:val="NormalTok"/>
        </w:rPr>
        <w:t xml:space="preserve"> </w:t>
      </w:r>
      <w:r>
        <w:rPr>
          <w:rStyle w:val="FloatTok"/>
        </w:rPr>
        <w:t xml:space="preserve">0.30</w:t>
      </w:r>
      <w:r>
        <w:rPr>
          <w:rStyle w:val="NormalTok"/>
        </w:rPr>
        <w:t xml:space="preserve">,   </w:t>
      </w:r>
      <w:r>
        <w:rPr>
          <w:rStyle w:val="CommentTok"/>
        </w:rPr>
        <w:t xml:space="preserve"># input factor, high organic input</w:t>
      </w:r>
      <w:r>
        <w:br/>
      </w:r>
      <w:r>
        <w:rPr>
          <w:rStyle w:val="NormalTok"/>
        </w:rPr>
        <w:t xml:space="preserve">       </w:t>
      </w:r>
      <w:r>
        <w:rPr>
          <w:rStyle w:val="AttributeTok"/>
        </w:rPr>
        <w:t xml:space="preserve">G       =</w:t>
      </w:r>
      <w:r>
        <w:rPr>
          <w:rStyle w:val="NormalTok"/>
        </w:rPr>
        <w:t xml:space="preserve"> </w:t>
      </w:r>
      <w:r>
        <w:rPr>
          <w:rStyle w:val="FloatTok"/>
        </w:rPr>
        <w:t xml:space="preserve">0.63</w:t>
      </w:r>
      <w:r>
        <w:rPr>
          <w:rStyle w:val="NormalTok"/>
        </w:rPr>
        <w:t xml:space="preserve">,   </w:t>
      </w:r>
      <w:r>
        <w:rPr>
          <w:rStyle w:val="CommentTok"/>
        </w:rPr>
        <w:t xml:space="preserve"># biomass accumulation rate, agroforestry</w:t>
      </w:r>
      <w:r>
        <w:br/>
      </w:r>
      <w:r>
        <w:rPr>
          <w:rStyle w:val="NormalTok"/>
        </w:rPr>
        <w:t xml:space="preserve">       </w:t>
      </w:r>
      <w:r>
        <w:rPr>
          <w:rStyle w:val="AttributeTok"/>
        </w:rPr>
        <w:t xml:space="preserve">Area    =</w:t>
      </w:r>
      <w:r>
        <w:rPr>
          <w:rStyle w:val="NormalTok"/>
        </w:rPr>
        <w:t xml:space="preserve"> </w:t>
      </w:r>
      <w:r>
        <w:rPr>
          <w:rStyle w:val="FloatTok"/>
        </w:rPr>
        <w:t xml:space="preserve">0.10</w:t>
      </w:r>
      <w:r>
        <w:rPr>
          <w:rStyle w:val="NormalTok"/>
        </w:rPr>
        <w:t xml:space="preserve">)   </w:t>
      </w:r>
      <w:r>
        <w:rPr>
          <w:rStyle w:val="CommentTok"/>
        </w:rPr>
        <w:t xml:space="preserve"># activity data</w:t>
      </w:r>
      <w:r>
        <w:br/>
      </w:r>
      <w:r>
        <w:br/>
      </w:r>
      <w:r>
        <w:rPr>
          <w:rStyle w:val="NormalTok"/>
        </w:rPr>
        <w:t xml:space="preserve">u_total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u_total, </w:t>
      </w:r>
      <w:r>
        <w:rPr>
          <w:rStyle w:val="DecValTok"/>
        </w:rPr>
        <w:t xml:space="preserve">1</w:t>
      </w:r>
      <w:r>
        <w:rPr>
          <w:rStyle w:val="NormalTok"/>
        </w:rPr>
        <w:t xml:space="preserve">)</w:t>
      </w:r>
      <w:r>
        <w:br/>
      </w:r>
      <w:r>
        <w:rPr>
          <w:rStyle w:val="CommentTok"/>
        </w:rPr>
        <w:t xml:space="preserve">#&gt; [1] 71.2</w:t>
      </w:r>
    </w:p>
    <w:p>
      <w:pPr>
        <w:pStyle w:val="FirstParagraph"/>
      </w:pPr>
      <w:r>
        <w:t xml:space="preserve">Seventy-one per cent. That figure is not unusual for a Tier 1 agroforestry estimate, and it is worth sitting with, because it means the honest interval on the claim is wider than the claim itself in one direction.</w:t>
      </w:r>
    </w:p>
    <w:bookmarkEnd w:id="136"/>
    <w:bookmarkStart w:id="137" w:name="where-the-uncertainty-actually-lives"/>
    <w:p>
      <w:pPr>
        <w:pStyle w:val="Heading2"/>
      </w:pPr>
      <w:r>
        <w:t xml:space="preserve">8.7 Where the uncertainty actually lives</w:t>
      </w:r>
    </w:p>
    <w:p>
      <w:pPr>
        <w:pStyle w:val="FirstParagraph"/>
      </w:pPr>
      <w:r>
        <w:t xml:space="preserve">Quadrature has a property that governs everything about how a project should spend its money, and it is not intuitive. Because the terms are squared before summing, a term’s contribution to the total is proportional to its square, so large terms do not merely dominate, they annihilate the small ones.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share of total variance</w:t>
      </w:r>
      <w:r>
        <w:br/>
      </w:r>
      <w:r>
        <w:rPr>
          <w:rStyle w:val="CommentTok"/>
        </w:rPr>
        <w:t xml:space="preserve">#&gt; SOC_REF    F_MG     F_I       G    Area </w:t>
      </w:r>
      <w:r>
        <w:br/>
      </w:r>
      <w:r>
        <w:rPr>
          <w:rStyle w:val="CommentTok"/>
        </w:rPr>
        <w:t xml:space="preserve">#&gt;     0.5     1.6    17.7    78.2     2.0</w:t>
      </w:r>
    </w:p>
    <w:p>
      <w:pPr>
        <w:pStyle w:val="FirstParagraph"/>
      </w:pPr>
      <w:r>
        <w:t xml:space="preserve">The biomass accumulation rate contributes seventy-eight per cent of the variance. The reference soil stock contributes half of one per cent. Now ask what improving each one would buy:</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v[k]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70.8    66.3    45.8    70.7</w:t>
      </w:r>
    </w:p>
    <w:p>
      <w:pPr>
        <w:pStyle w:val="FirstParagraph"/>
      </w:pPr>
      <w:r>
        <w:t xml:space="preserve">Halving the uncertainty on the growth rate takes the project from 71 to 46 per cent. Halving the uncertainty on the reference soil stock takes it from 71.2 to 71.1. The comparison becomes starker if you imagine perfect knowledge:</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70.7    64.6    33.3    70.5</w:t>
      </w:r>
    </w:p>
    <w:p>
      <w:pPr>
        <w:pStyle w:val="FirstParagraph"/>
      </w:pPr>
      <w:r>
        <w:t xml:space="preserve">Eliminating the area uncertainty</w:t>
      </w:r>
      <w:r>
        <w:t xml:space="preserve"> </w:t>
      </w:r>
      <w:r>
        <w:rPr>
          <w:i/>
          <w:iCs/>
        </w:rPr>
        <w:t xml:space="preserve">entirely</w:t>
      </w:r>
      <w:r>
        <w:t xml:space="preserve">, surveying every boundary to the centimetre and knowing the hectares exactly, moves total uncertainty from 71.2 per cent to 70.5. Eliminating the soil reference stock uncertainty moves it to 71.1.</w:t>
      </w:r>
    </w:p>
    <w:p>
      <w:pPr>
        <w:pStyle w:val="BodyText"/>
      </w:pPr>
      <w:r>
        <w:t xml:space="preserve">This is the most actionable result in the chapter, and it cuts against how carbon projects usually allocate effort. Spatial precision is visible, satisfying, and easy to procure. It is also, in a project of this shape, nearly worthless. The money belongs in the growth-rate measurement, which is unglamorous fieldwork on permanent plots, and which no improvement in imagery will ever substitute for.</w:t>
      </w:r>
    </w:p>
    <w:p>
      <w:pPr>
        <w:pStyle w:val="BodyText"/>
      </w:pPr>
      <w:r>
        <w:t xml:space="preserve">The general rule follows from the algebra: rank the terms by</w:t>
      </w:r>
      <w:r>
        <w:t xml:space="preserve"> </w:t>
      </w:r>
      <m:oMath>
        <m:sSubSup>
          <m:e>
            <m:r>
              <m:t>U</m:t>
            </m:r>
          </m:e>
          <m:sub>
            <m:r>
              <m:t>i</m:t>
            </m:r>
          </m:sub>
          <m:sup>
            <m:r>
              <m:t>2</m:t>
            </m:r>
          </m:sup>
        </m:sSubSup>
      </m:oMath>
      <w:r>
        <w:t xml:space="preserve">, and work down the list. A term contributing under one per cent of the variance cannot be worth measuring, however cheap, because the total will not move.</w:t>
      </w:r>
    </w:p>
    <w:bookmarkEnd w:id="137"/>
    <w:bookmarkStart w:id="140" w:name="what-the-imprecision-costs"/>
    <w:p>
      <w:pPr>
        <w:pStyle w:val="Heading2"/>
      </w:pPr>
      <w:r>
        <w:t xml:space="preserve">8.8 What the imprecision costs</w:t>
      </w:r>
    </w:p>
    <w:p>
      <w:pPr>
        <w:pStyle w:val="FirstParagraph"/>
      </w:pPr>
      <w:r>
        <w:t xml:space="preserve">Convert it to credits, which is the language the decision is actually made in:</w:t>
      </w:r>
    </w:p>
    <w:p>
      <w:pPr>
        <w:pStyle w:val="SourceCode"/>
      </w:pPr>
      <w:r>
        <w:rPr>
          <w:rStyle w:val="NormalTok"/>
        </w:rPr>
        <w:t xml:space="preserve">point_estimate </w:t>
      </w:r>
      <w:r>
        <w:rPr>
          <w:rStyle w:val="OtherTok"/>
        </w:rPr>
        <w:t xml:space="preserve">&lt;-</w:t>
      </w:r>
      <w:r>
        <w:rPr>
          <w:rStyle w:val="NormalTok"/>
        </w:rPr>
        <w:t xml:space="preserve"> </w:t>
      </w:r>
      <w:r>
        <w:rPr>
          <w:rStyle w:val="FloatTok"/>
        </w:rPr>
        <w:t xml:space="preserve">18.5</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tCO2e/yr over 1,000 ha</w:t>
      </w:r>
      <w:r>
        <w:br/>
      </w:r>
      <w:r>
        <w:rPr>
          <w:rStyle w:val="NormalTok"/>
        </w:rPr>
        <w:t xml:space="preserve">conservative   </w:t>
      </w:r>
      <w:r>
        <w:rPr>
          <w:rStyle w:val="OtherTok"/>
        </w:rPr>
        <w:t xml:space="preserve">&lt;-</w:t>
      </w:r>
      <w:r>
        <w:rPr>
          <w:rStyle w:val="NormalTok"/>
        </w:rPr>
        <w:t xml:space="preserve"> point_estimate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u_total)</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point_estimate =</w:t>
      </w:r>
      <w:r>
        <w:rPr>
          <w:rStyle w:val="NormalTok"/>
        </w:rPr>
        <w:t xml:space="preserve"> point_estimate,</w:t>
      </w:r>
      <w:r>
        <w:br/>
      </w:r>
      <w:r>
        <w:rPr>
          <w:rStyle w:val="NormalTok"/>
        </w:rPr>
        <w:t xml:space="preserve">        </w:t>
      </w:r>
      <w:r>
        <w:rPr>
          <w:rStyle w:val="AttributeTok"/>
        </w:rPr>
        <w:t xml:space="preserve">conservative   =</w:t>
      </w:r>
      <w:r>
        <w:rPr>
          <w:rStyle w:val="NormalTok"/>
        </w:rPr>
        <w:t xml:space="preserve"> conservative,</w:t>
      </w:r>
      <w:r>
        <w:br/>
      </w:r>
      <w:r>
        <w:rPr>
          <w:rStyle w:val="NormalTok"/>
        </w:rPr>
        <w:t xml:space="preserve">        </w:t>
      </w:r>
      <w:r>
        <w:rPr>
          <w:rStyle w:val="AttributeTok"/>
        </w:rPr>
        <w:t xml:space="preserve">forgone        =</w:t>
      </w:r>
      <w:r>
        <w:rPr>
          <w:rStyle w:val="NormalTok"/>
        </w:rPr>
        <w:t xml:space="preserve"> point_estimate </w:t>
      </w:r>
      <w:r>
        <w:rPr>
          <w:rStyle w:val="SpecialCharTok"/>
        </w:rPr>
        <w:t xml:space="preserve">-</w:t>
      </w:r>
      <w:r>
        <w:rPr>
          <w:rStyle w:val="NormalTok"/>
        </w:rPr>
        <w:t xml:space="preserve"> conservative,</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u_total))</w:t>
      </w:r>
      <w:r>
        <w:br/>
      </w:r>
      <w:r>
        <w:rPr>
          <w:rStyle w:val="CommentTok"/>
        </w:rPr>
        <w:t xml:space="preserve">#&gt; point_estimate   conservative        forgone    forgone_pct </w:t>
      </w:r>
      <w:r>
        <w:br/>
      </w:r>
      <w:r>
        <w:rPr>
          <w:rStyle w:val="CommentTok"/>
        </w:rPr>
        <w:t xml:space="preserve">#&gt;          18500           5321          13179             71</w:t>
      </w:r>
    </w:p>
    <w:p>
      <w:pPr>
        <w:pStyle w:val="FirstParagraph"/>
      </w:pPr>
      <w:r>
        <w:t xml:space="preserve">Reporting against the lower bound, the project claims about 5,300 tonnes where its central estimate is 18,500. Thirteen thousand tonnes a year are forgone, not because the carbon is not there, but because the project cannot demonstrate that it is. Under the deduction arithmetic of the uncertainty chapter the loss is smaller and the logic identical.</w:t>
      </w:r>
    </w:p>
    <w:p>
      <w:pPr>
        <w:pStyle w:val="BodyText"/>
      </w:pPr>
      <w:r>
        <w:t xml:space="preserve">That number is also the budget available for reducing it. If halving the growth-rate uncertainty costs less than the value of the credits it recovers, the measurement pays for itself, and this calculation is how you find out before commissioning the fieldwork rather than after.</w:t>
      </w:r>
    </w:p>
    <w:bookmarkStart w:id="138" w:name="double-counting-across-timelines"/>
    <w:p>
      <w:pPr>
        <w:pStyle w:val="Heading4"/>
      </w:pPr>
      <w:r>
        <w:t xml:space="preserve">Double counting across timelines</w:t>
      </w:r>
    </w:p>
    <w:p>
      <w:pPr>
        <w:pStyle w:val="FirstParagraph"/>
      </w:pPr>
      <w:r>
        <w:t xml:space="preserve">The twenty-year transition creates a bookkeeping hazard that catches experienced</w:t>
      </w:r>
      <w:r>
        <w:t xml:space="preserve"> </w:t>
      </w:r>
      <w:r>
        <w:t xml:space="preserve">practitioners. A parcel that changes management in year one is still accruing its</w:t>
      </w:r>
      <w:r>
        <w:t xml:space="preserve"> </w:t>
      </w:r>
      <w:r>
        <w:t xml:space="preserve">stock change in year fifteen. If a second intervention is credited on the same</w:t>
      </w:r>
      <w:r>
        <w:t xml:space="preserve"> </w:t>
      </w:r>
      <w:r>
        <w:t xml:space="preserve">parcel in year eight, part of the soil carbon response may be claimed twice:</w:t>
      </w:r>
      <w:r>
        <w:t xml:space="preserve"> </w:t>
      </w:r>
      <w:r>
        <w:t xml:space="preserve">once against the first transition and once against the second.</w:t>
      </w:r>
    </w:p>
    <w:p>
      <w:pPr>
        <w:pStyle w:val="BodyText"/>
      </w:pPr>
      <w:r>
        <w:t xml:space="preserve">The rule is that stock change for a given parcel is computed against a single</w:t>
      </w:r>
      <w:r>
        <w:t xml:space="preserve"> </w:t>
      </w:r>
      <w:r>
        <w:t xml:space="preserve">transition timeline, not per intervention. Where interventions overlap, the</w:t>
      </w:r>
      <w:r>
        <w:t xml:space="preserve"> </w:t>
      </w:r>
      <w:r>
        <w:t xml:space="preserve">parcel carries one trajectory and the later activity is credited only for the</w:t>
      </w:r>
      <w:r>
        <w:t xml:space="preserve"> </w:t>
      </w:r>
      <w:r>
        <w:t xml:space="preserve">increment beyond what the first would have delivered anyway.</w:t>
      </w:r>
    </w:p>
    <w:p>
      <w:pPr>
        <w:pStyle w:val="BodyText"/>
      </w:pPr>
      <w:r>
        <w:t xml:space="preserve">Tracking this in practice means the parcel, not the project, is the accounting</w:t>
      </w:r>
      <w:r>
        <w:t xml:space="preserve"> </w:t>
      </w:r>
      <w:r>
        <w:t xml:space="preserve">unit, and each parcel needs the date its transition clock started. Where activity</w:t>
      </w:r>
      <w:r>
        <w:t xml:space="preserve"> </w:t>
      </w:r>
      <w:r>
        <w:t xml:space="preserve">data comes from wall-to-wall mapping rather than parcel records, that date may</w:t>
      </w:r>
      <w:r>
        <w:t xml:space="preserve"> </w:t>
      </w:r>
      <w:r>
        <w:t xml:space="preserve">simply not exist, which is one of the strongest arguments for the transition</w:t>
      </w:r>
      <w:r>
        <w:t xml:space="preserve"> </w:t>
      </w:r>
      <w:r>
        <w:t xml:space="preserve">matrices of IPCC Approach 3 over the aggregate statistics of Approach 1.</w:t>
      </w:r>
    </w:p>
    <w:bookmarkEnd w:id="138"/>
    <w:bookmarkStart w:id="139" w:name="which-factors-a-registry-will-accept"/>
    <w:p>
      <w:pPr>
        <w:pStyle w:val="Heading4"/>
      </w:pPr>
      <w:r>
        <w:t xml:space="preserve">Which factors a registry will accept</w:t>
      </w:r>
    </w:p>
    <w:p>
      <w:pPr>
        <w:pStyle w:val="FirstParagraph"/>
      </w:pPr>
      <w:r>
        <w:t xml:space="preserve">Standards differ on how much a project may lean on defaults. In general, a Tier 1</w:t>
      </w:r>
      <w:r>
        <w:t xml:space="preserve"> </w:t>
      </w:r>
      <w:r>
        <w:t xml:space="preserve">default is acceptable where it is conservative for the claim being made, and not</w:t>
      </w:r>
      <w:r>
        <w:t xml:space="preserve"> </w:t>
      </w:r>
      <w:r>
        <w:t xml:space="preserve">otherwise. A default that inflates a crediting claim will be challenged; the same</w:t>
      </w:r>
      <w:r>
        <w:t xml:space="preserve"> </w:t>
      </w:r>
      <w:r>
        <w:t xml:space="preserve">default used to inflate a</w:t>
      </w:r>
      <w:r>
        <w:t xml:space="preserve"> </w:t>
      </w:r>
      <w:r>
        <w:rPr>
          <w:i/>
          <w:iCs/>
        </w:rPr>
        <w:t xml:space="preserve">baseline</w:t>
      </w:r>
      <w:r>
        <w:t xml:space="preserve"> </w:t>
      </w:r>
      <w:r>
        <w:t xml:space="preserve">against which the project is credited is</w:t>
      </w:r>
      <w:r>
        <w:t xml:space="preserve"> </w:t>
      </w:r>
      <w:r>
        <w:t xml:space="preserve">usually accepted without argument, because it works against the proponent.</w:t>
      </w:r>
    </w:p>
    <w:p>
      <w:pPr>
        <w:pStyle w:val="BodyText"/>
      </w:pPr>
      <w:r>
        <w:t xml:space="preserve">That asymmetry is worth stating plainly because it is the fastest way to predict</w:t>
      </w:r>
      <w:r>
        <w:t xml:space="preserve"> </w:t>
      </w:r>
      <w:r>
        <w:t xml:space="preserve">which of a project’s factor choices a verifier will scrutinise. Work out, for each</w:t>
      </w:r>
      <w:r>
        <w:t xml:space="preserve"> </w:t>
      </w:r>
      <w:r>
        <w:t xml:space="preserve">factor, whether an error in the direction of the default increases or decreases</w:t>
      </w:r>
      <w:r>
        <w:t xml:space="preserve"> </w:t>
      </w:r>
      <w:r>
        <w:t xml:space="preserve">the credits issued. The ones that increase them are where the questions come.</w:t>
      </w:r>
    </w:p>
    <w:p>
      <w:pPr>
        <w:pStyle w:val="BodyText"/>
      </w:pPr>
      <w:r>
        <w:t xml:space="preserve">The uncertainty from this chapter then feeds the deduction machinery compared at</w:t>
      </w:r>
      <w:r>
        <w:t xml:space="preserve"> </w:t>
      </w:r>
      <w:r>
        <w:t xml:space="preserve">the end of the uncertainty chapter. Under ACR it joins the other pool uncertainties in the</w:t>
      </w:r>
      <w:r>
        <w:t xml:space="preserve"> </w:t>
      </w:r>
      <w:r>
        <w:t xml:space="preserve">weighted combination of Equation 22, and is measured against the ten per cent</w:t>
      </w:r>
      <w:r>
        <w:t xml:space="preserve"> </w:t>
      </w:r>
      <w:r>
        <w:t xml:space="preserve">precision requirement. Under ART-TREES and Verra it enters the half-width of the</w:t>
      </w:r>
      <w:r>
        <w:t xml:space="preserve"> </w:t>
      </w:r>
      <w:r>
        <w:t xml:space="preserve">90 per cent interval directly. A 71 per cent uncertainty is catastrophic under any</w:t>
      </w:r>
      <w:r>
        <w:t xml:space="preserve"> </w:t>
      </w:r>
      <w:r>
        <w:t xml:space="preserve">of them, which is the practical reason Tier 1 agroforestry projects tend to move</w:t>
      </w:r>
      <w:r>
        <w:t xml:space="preserve"> </w:t>
      </w:r>
      <w:r>
        <w:t xml:space="preserve">to Tier 2 growth rates as soon as they can afford to.</w:t>
      </w:r>
    </w:p>
    <w:bookmarkEnd w:id="139"/>
    <w:bookmarkEnd w:id="140"/>
    <w:bookmarkStart w:id="141" w:name="exercises-7"/>
    <w:p>
      <w:pPr>
        <w:pStyle w:val="Heading2"/>
      </w:pPr>
      <w:r>
        <w:t xml:space="preserve">8.9 Exercises</w:t>
      </w:r>
    </w:p>
    <w:p>
      <w:pPr>
        <w:pStyle w:val="Compact"/>
        <w:numPr>
          <w:ilvl w:val="0"/>
          <w:numId w:val="1009"/>
        </w:numPr>
      </w:pPr>
      <w:r>
        <w:t xml:space="preserve">Recompute the stock change using a cool temperate moist HAC reference stock (81 tC/ha) instead of the tropical moist LAC value, holding the three factors constant. How much does the annual figure move, and what does that say about the cost of misclassifying climate zone?</w:t>
      </w:r>
    </w:p>
    <w:p>
      <w:pPr>
        <w:pStyle w:val="Compact"/>
        <w:numPr>
          <w:ilvl w:val="0"/>
          <w:numId w:val="1009"/>
        </w:numPr>
      </w:pPr>
      <w:r>
        <w:t xml:space="preserve">Using the extract of Table 2.3 above, identify which cells you would be comfortable using in a crediting claim and which you would not. Write one sentence per cell justifying the decision on the basis of the stated uncertainty and sample size.</w:t>
      </w:r>
    </w:p>
    <w:p>
      <w:pPr>
        <w:pStyle w:val="Compact"/>
        <w:numPr>
          <w:ilvl w:val="0"/>
          <w:numId w:val="1009"/>
        </w:numPr>
      </w:pPr>
      <w:r>
        <w:t xml:space="preserve">In the propagation example, suppose better fieldwork reduces the growth-rate uncertainty from 63 to 25 per cent, and that improving the input factor from 30 to 20 per cent costs the same amount. Which would you buy, and by how much does each move the total?</w:t>
      </w:r>
    </w:p>
    <w:p>
      <w:pPr>
        <w:pStyle w:val="Compact"/>
        <w:numPr>
          <w:ilvl w:val="0"/>
          <w:numId w:val="1009"/>
        </w:numPr>
      </w:pPr>
      <w:r>
        <w:t xml:space="preserve">Add a sixth uncertainty term of 15 per cent to the propagation, representing a carbon fraction. Does it change the ranking of where to spend money? Explain in terms of the squared contributions rather than the raw percentages.</w:t>
      </w:r>
    </w:p>
    <w:p>
      <w:pPr>
        <w:pStyle w:val="Compact"/>
        <w:numPr>
          <w:ilvl w:val="0"/>
          <w:numId w:val="1009"/>
        </w:numPr>
      </w:pPr>
      <w:r>
        <w:t xml:space="preserve">The transition period is twenty years for gains and one year for losses. Construct a numerical example of two projects with identical biophysical outcomes but different timings, and show how their reported annual figures differ.</w:t>
      </w:r>
    </w:p>
    <w:p>
      <w:pPr>
        <w:pStyle w:val="Compact"/>
        <w:numPr>
          <w:ilvl w:val="0"/>
          <w:numId w:val="1009"/>
        </w:numPr>
      </w:pPr>
      <w:r>
        <w:rPr>
          <w:i/>
          <w:iCs/>
        </w:rPr>
        <w:t xml:space="preserve">(Applied.)</w:t>
      </w:r>
      <w:r>
        <w:t xml:space="preserve"> </w:t>
      </w:r>
      <w:r>
        <w:t xml:space="preserve">A project reports 71 per cent uncertainty and a point estimate of 18,500 tCO2e per year. Using the three registry deduction rules from the uncertainty chapter, calculate the credits issued under each. Then state what you would advise the project to measure first.</w:t>
      </w:r>
    </w:p>
    <w:bookmarkEnd w:id="141"/>
    <w:bookmarkEnd w:id="142"/>
    <w:bookmarkStart w:id="167" w:name="uncertainty"/>
    <w:p>
      <w:pPr>
        <w:pStyle w:val="Heading1"/>
      </w:pPr>
      <w:r>
        <w:t xml:space="preserve">9. Uncertainty</w:t>
      </w:r>
    </w:p>
    <w:bookmarkStart w:id="143" w:name="why-uncertainty"/>
    <w:p>
      <w:pPr>
        <w:pStyle w:val="Heading2"/>
      </w:pPr>
      <w:r>
        <w:t xml:space="preserve">9.1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43"/>
    <w:bookmarkStart w:id="144" w:name="a-carbon-estimate"/>
    <w:p>
      <w:pPr>
        <w:pStyle w:val="Heading2"/>
      </w:pPr>
      <w:r>
        <w:t xml:space="preserve">9.2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44"/>
    <w:bookmarkStart w:id="145" w:name="sampling-error"/>
    <w:p>
      <w:pPr>
        <w:pStyle w:val="Heading2"/>
      </w:pPr>
      <w:r>
        <w:t xml:space="preserve">9.3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45"/>
    <w:bookmarkStart w:id="146" w:name="measuring-error"/>
    <w:p>
      <w:pPr>
        <w:pStyle w:val="Heading2"/>
      </w:pPr>
      <w:r>
        <w:t xml:space="preserve">9.4 Measuring error</w:t>
      </w:r>
    </w:p>
    <w:p>
      <w:pPr>
        <w:pStyle w:val="FirstParagraph"/>
      </w:pPr>
      <w:r>
        <w:t xml:space="preserve">Sampling error assumed the per-tree biomass was right and asked only how well the plot represents the stand. The other half of the problem is the model itself, and to quantify that you need trees whose biomass was actually measured rather than predicted. The</w:t>
      </w:r>
      <w:r>
        <w:t xml:space="preserve"> </w:t>
      </w:r>
      <w:r>
        <w:rPr>
          <w:rStyle w:val="VerbatimChar"/>
        </w:rPr>
        <w:t xml:space="preserve">tree_measurements</w:t>
      </w:r>
      <w:r>
        <w:t xml:space="preserve"> </w:t>
      </w:r>
      <w:r>
        <w:t xml:space="preserve">file holds 6,681 harvested trees across six coastal species, each with diameter, height and observed aboveground biomass, so predictions can be checked against truth.</w:t>
      </w:r>
    </w:p>
    <w:p>
      <w:pPr>
        <w:pStyle w:val="BodyText"/>
      </w:pPr>
      <w:r>
        <w:t xml:space="preserve">No single number describes an error well, and the common metrics answer genuinely different questions. Written on the residual</w:t>
      </w:r>
      <w:r>
        <w:t xml:space="preserve"> </w:t>
      </w:r>
      <m:oMath>
        <m:sSub>
          <m:e>
            <m:r>
              <m:t>e</m:t>
            </m:r>
          </m:e>
          <m:sub>
            <m:r>
              <m:t>i</m:t>
            </m:r>
          </m:sub>
        </m:sSub>
        <m:r>
          <m:rPr>
            <m:sty m:val="p"/>
          </m:rPr>
          <m:t>=</m:t>
        </m:r>
        <m:sSub>
          <m:e>
            <m:acc>
              <m:accPr>
                <m:chr m:val="̂"/>
              </m:accPr>
              <m:e>
                <m:r>
                  <m:t>y</m:t>
                </m:r>
              </m:e>
            </m:acc>
          </m:e>
          <m:sub>
            <m:r>
              <m:t>i</m:t>
            </m:r>
          </m:sub>
        </m:sSub>
        <m:r>
          <m:rPr>
            <m:sty m:val="p"/>
          </m:rPr>
          <m:t>−</m:t>
        </m:r>
        <m:sSub>
          <m:e>
            <m:r>
              <m:t>y</m:t>
            </m:r>
          </m:e>
          <m:sub>
            <m:r>
              <m:t>i</m:t>
            </m:r>
          </m:sub>
        </m:sSub>
      </m:oMath>
      <w:r>
        <w:t xml:space="preserve">:</w:t>
      </w:r>
    </w:p>
    <w:p>
      <w:pPr>
        <w:pStyle w:val="BodyText"/>
      </w:pPr>
      <m:oMathPara>
        <m:oMathParaPr>
          <m:jc m:val="center"/>
        </m:oMathParaPr>
        <m:oMath>
          <m:r>
            <m:rPr>
              <m:nor/>
              <m:sty m:val="p"/>
            </m:rPr>
            <m:t>bias</m:t>
          </m:r>
          <m:r>
            <m:rPr>
              <m:sty m:val="p"/>
            </m:rPr>
            <m:t>=</m:t>
          </m:r>
          <m:f>
            <m:fPr>
              <m:type m:val="bar"/>
            </m:fPr>
            <m:num>
              <m:r>
                <m:t>1</m:t>
              </m:r>
            </m:num>
            <m:den>
              <m:r>
                <m:t>n</m:t>
              </m:r>
            </m:den>
          </m:f>
          <m:r>
            <m:rPr>
              <m:sty m:val="p"/>
            </m:rPr>
            <m:t>∑</m:t>
          </m:r>
          <m:sSub>
            <m:e>
              <m:r>
                <m:t>e</m:t>
              </m:r>
            </m:e>
            <m:sub>
              <m:r>
                <m:t>i</m:t>
              </m:r>
            </m:sub>
          </m:sSub>
          <m:r>
            <m:t>  </m:t>
          </m:r>
          <m:r>
            <m:rPr>
              <m:nor/>
              <m:sty m:val="p"/>
            </m:rPr>
            <m:t>MAE</m:t>
          </m:r>
          <m:r>
            <m:rPr>
              <m:sty m:val="p"/>
            </m:rPr>
            <m:t>=</m:t>
          </m:r>
          <m:f>
            <m:fPr>
              <m:type m:val="bar"/>
            </m:fPr>
            <m:num>
              <m:r>
                <m:t>1</m:t>
              </m:r>
            </m:num>
            <m:den>
              <m:r>
                <m:t>n</m:t>
              </m:r>
            </m:den>
          </m:f>
          <m:r>
            <m:rPr>
              <m:sty m:val="p"/>
            </m:rPr>
            <m:t>∑</m:t>
          </m:r>
          <m:d>
            <m:dPr>
              <m:begChr m:val="|"/>
              <m:sepChr m:val=""/>
              <m:endChr m:val="|"/>
              <m:grow/>
            </m:dPr>
            <m:e>
              <m:sSub>
                <m:e>
                  <m:r>
                    <m:t>e</m:t>
                  </m:r>
                </m:e>
                <m:sub>
                  <m:r>
                    <m:t>i</m:t>
                  </m:r>
                </m:sub>
              </m:sSub>
            </m:e>
          </m:d>
          <m:r>
            <m:t>  </m:t>
          </m:r>
          <m:r>
            <m:rPr>
              <m:nor/>
              <m:sty m:val="p"/>
            </m:rPr>
            <m:t>MSE</m:t>
          </m:r>
          <m:r>
            <m:rPr>
              <m:sty m:val="p"/>
            </m:rPr>
            <m:t>=</m:t>
          </m:r>
          <m:f>
            <m:fPr>
              <m:type m:val="bar"/>
            </m:fPr>
            <m:num>
              <m:r>
                <m:t>1</m:t>
              </m:r>
            </m:num>
            <m:den>
              <m:r>
                <m:t>n</m:t>
              </m:r>
            </m:den>
          </m:f>
          <m:r>
            <m:rPr>
              <m:sty m:val="p"/>
            </m:rPr>
            <m:t>∑</m:t>
          </m:r>
          <m:sSubSup>
            <m:e>
              <m:r>
                <m:t>e</m:t>
              </m:r>
            </m:e>
            <m:sub>
              <m:r>
                <m:t>i</m:t>
              </m:r>
            </m:sub>
            <m:sup>
              <m:r>
                <m:t>2</m:t>
              </m:r>
            </m:sup>
          </m:sSubSup>
          <m:r>
            <m:t>  </m:t>
          </m:r>
          <m:r>
            <m:rPr>
              <m:nor/>
              <m:sty m:val="p"/>
            </m:rPr>
            <m:t>RMSE</m:t>
          </m:r>
          <m:r>
            <m:rPr>
              <m:sty m:val="p"/>
            </m:rPr>
            <m:t>=</m:t>
          </m:r>
          <m:rad>
            <m:radPr>
              <m:degHide m:val="on"/>
            </m:radPr>
            <m:deg/>
            <m:e>
              <m:r>
                <m:rPr>
                  <m:nor/>
                  <m:sty m:val="p"/>
                </m:rPr>
                <m:t>MSE</m:t>
              </m:r>
            </m:e>
          </m:rad>
        </m:oMath>
      </m:oMathPara>
    </w:p>
    <w:p>
      <w:pPr>
        <w:pStyle w:val="FirstParagraph"/>
      </w:pPr>
      <m:oMathPara>
        <m:oMathParaPr>
          <m:jc m:val="center"/>
        </m:oMathParaPr>
        <m:oMath>
          <m:r>
            <m:rPr>
              <m:nor/>
              <m:sty m:val="p"/>
            </m:rPr>
            <m:t>MAPE</m:t>
          </m:r>
          <m:r>
            <m:rPr>
              <m:sty m:val="p"/>
            </m:rPr>
            <m:t>=</m:t>
          </m:r>
          <m:f>
            <m:fPr>
              <m:type m:val="bar"/>
            </m:fPr>
            <m:num>
              <m:r>
                <m:t>100</m:t>
              </m:r>
            </m:num>
            <m:den>
              <m:r>
                <m:t>n</m:t>
              </m:r>
            </m:den>
          </m:f>
          <m:r>
            <m:rPr>
              <m:sty m:val="p"/>
            </m:rPr>
            <m:t>∑</m:t>
          </m:r>
          <m:d>
            <m:dPr>
              <m:begChr m:val="|"/>
              <m:sepChr m:val=""/>
              <m:endChr m:val="|"/>
              <m:grow/>
            </m:dPr>
            <m:e>
              <m:f>
                <m:fPr>
                  <m:type m:val="bar"/>
                </m:fPr>
                <m:num>
                  <m:sSub>
                    <m:e>
                      <m:r>
                        <m:t>e</m:t>
                      </m:r>
                    </m:e>
                    <m:sub>
                      <m:r>
                        <m:t>i</m:t>
                      </m:r>
                    </m:sub>
                  </m:sSub>
                </m:num>
                <m:den>
                  <m:sSub>
                    <m:e>
                      <m:r>
                        <m:t>y</m:t>
                      </m:r>
                    </m:e>
                    <m:sub>
                      <m:r>
                        <m:t>i</m:t>
                      </m:r>
                    </m:sub>
                  </m:sSub>
                </m:den>
              </m:f>
            </m:e>
          </m:d>
          <m:r>
            <m:t>  </m:t>
          </m:r>
          <m:sSup>
            <m:e>
              <m:r>
                <m:t>R</m:t>
              </m:r>
            </m:e>
            <m:sup>
              <m:r>
                <m:t>2</m:t>
              </m:r>
            </m:sup>
          </m:sSup>
          <m:r>
            <m:rPr>
              <m:sty m:val="p"/>
            </m:rPr>
            <m:t>=</m:t>
          </m:r>
          <m:r>
            <m:t>1</m:t>
          </m:r>
          <m:r>
            <m:rPr>
              <m:sty m:val="p"/>
            </m:rPr>
            <m:t>−</m:t>
          </m:r>
          <m:f>
            <m:fPr>
              <m:type m:val="bar"/>
            </m:fPr>
            <m:num>
              <m:r>
                <m:rPr>
                  <m:sty m:val="p"/>
                </m:rPr>
                <m:t>∑</m:t>
              </m:r>
              <m:sSubSup>
                <m:e>
                  <m:r>
                    <m:t>e</m:t>
                  </m:r>
                </m:e>
                <m:sub>
                  <m:r>
                    <m:t>i</m:t>
                  </m:r>
                </m:sub>
                <m:sup>
                  <m:r>
                    <m:t>2</m:t>
                  </m:r>
                </m:sup>
              </m:sSubSup>
            </m:num>
            <m:den>
              <m:r>
                <m:rPr>
                  <m:sty m:val="p"/>
                </m:rPr>
                <m:t>∑</m:t>
              </m:r>
              <m:sSup>
                <m:e>
                  <m:d>
                    <m:dPr>
                      <m:begChr m:val="("/>
                      <m:sepChr m:val=""/>
                      <m:end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Bias is signed and measures systematic error: it can be near zero while every individual prediction is badly wrong, because overestimates cancel underestimates. MAE is the typical error magnitude in the units of the data. MSE squares the residuals, so it is dominated by the largest ones, and RMSE is its square root, returned to the original units and therefore directly readable. Whether you prefer MAE or RMSE is a statement about how much you care about occasional large errors relative to many small ones, and in biomass work you should care a great deal, because a handful of large trees carry most of the carbon. Relative RMSE, the RMSE as a percentage of the observed mean, is what makes results comparable across species and datasets, and it is the quantity the crediting standards consume.</w:t>
      </w:r>
    </w:p>
    <w:p>
      <w:pPr>
        <w:pStyle w:val="BodyText"/>
      </w:pPr>
      <w:r>
        <w:t xml:space="preserve">Two definitions of</w:t>
      </w:r>
      <w:r>
        <w:t xml:space="preserve"> </w:t>
      </w:r>
      <m:oMath>
        <m:sSup>
          <m:e>
            <m:r>
              <m:t>R</m:t>
            </m:r>
          </m:e>
          <m:sup>
            <m:r>
              <m:t>2</m:t>
            </m:r>
          </m:sup>
        </m:sSup>
      </m:oMath>
      <w:r>
        <w:t xml:space="preserve"> </w:t>
      </w:r>
      <w:r>
        <w:t xml:space="preserve">circulate. The one above, one minus the residual sum of squares over the total, is the proportion of variance explained and can go negative for a bad model. The alternative, the squared correlation between observed and predicted, cannot go negative and will flatter a model with a systematic offset. This book uses the first throughout.</w:t>
      </w:r>
    </w:p>
    <w:p>
      <w:pPr>
        <w:pStyle w:val="SourceCode"/>
      </w:pP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"data/tree_measurements.csv"</w:t>
      </w:r>
      <w:r>
        <w:rPr>
          <w:rStyle w:val="NormalTok"/>
        </w:rPr>
        <w:t xml:space="preserve">)</w:t>
      </w:r>
      <w:r>
        <w:br/>
      </w:r>
      <w:r>
        <w:br/>
      </w:r>
      <w:r>
        <w:rPr>
          <w:rStyle w:val="NormalTok"/>
        </w:rPr>
        <w:t xml:space="preserve">metrics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e </w:t>
      </w:r>
      <w:r>
        <w:rPr>
          <w:rStyle w:val="OtherTok"/>
        </w:rPr>
        <w:t xml:space="preserve">&lt;-</w:t>
      </w:r>
      <w:r>
        <w:rPr>
          <w:rStyle w:val="NormalTok"/>
        </w:rPr>
        <w:t xml:space="preserve"> prd </w:t>
      </w:r>
      <w:r>
        <w:rPr>
          <w:rStyle w:val="SpecialCharTok"/>
        </w:rPr>
        <w:t xml:space="preserve">-</w:t>
      </w:r>
      <w:r>
        <w:rPr>
          <w:rStyle w:val="NormalTok"/>
        </w:rPr>
        <w:t xml:space="preserve"> obs</w:t>
      </w:r>
      <w:r>
        <w:br/>
      </w:r>
      <w:r>
        <w:rPr>
          <w:rStyle w:val="NormalTok"/>
        </w:rPr>
        <w:t xml:space="preserve">  </w:t>
      </w:r>
      <w:r>
        <w:rPr>
          <w:rStyle w:val="FunctionTok"/>
        </w:rPr>
        <w:t xml:space="preserve">c</w:t>
      </w:r>
      <w:r>
        <w:rPr>
          <w:rStyle w:val="NormalTok"/>
        </w:rPr>
        <w:t xml:space="preserve">(</w:t>
      </w:r>
      <w:r>
        <w:rPr>
          <w:rStyle w:val="AttributeTok"/>
        </w:rPr>
        <w:t xml:space="preserve">bias     =</w:t>
      </w:r>
      <w:r>
        <w:rPr>
          <w:rStyle w:val="NormalTok"/>
        </w:rPr>
        <w:t xml:space="preserve"> </w:t>
      </w:r>
      <w:r>
        <w:rPr>
          <w:rStyle w:val="FunctionTok"/>
        </w:rPr>
        <w:t xml:space="preserve">mean</w:t>
      </w:r>
      <w:r>
        <w:rPr>
          <w:rStyle w:val="NormalTok"/>
        </w:rPr>
        <w:t xml:space="preserve">(e),</w:t>
      </w:r>
      <w:r>
        <w:br/>
      </w:r>
      <w:r>
        <w:rPr>
          <w:rStyle w:val="NormalTok"/>
        </w:rPr>
        <w:t xml:space="preserve">    </w:t>
      </w:r>
      <w:r>
        <w:rPr>
          <w:rStyle w:val="AttributeTok"/>
        </w:rPr>
        <w:t xml:space="preserve">rel_bias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rel_rmse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mape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SpecialCharTok"/>
        </w:rPr>
        <w:t xml:space="preserve">/</w:t>
      </w:r>
      <w:r>
        <w:rPr>
          <w:rStyle w:val="NormalTok"/>
        </w:rPr>
        <w:t xml:space="preserve"> obs)),</w:t>
      </w:r>
      <w:r>
        <w:br/>
      </w:r>
      <w:r>
        <w:rPr>
          <w:rStyle w:val="NormalTok"/>
        </w:rPr>
        <w:t xml:space="preserve">    </w:t>
      </w:r>
      <w:r>
        <w:rPr>
          <w:rStyle w:val="AttributeTok"/>
        </w:rPr>
        <w:t xml:space="preserve">r2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((obs </w:t>
      </w:r>
      <w:r>
        <w:rPr>
          <w:rStyle w:val="SpecialCharTok"/>
        </w:rPr>
        <w:t xml:space="preserve">-</w:t>
      </w:r>
      <w:r>
        <w:rPr>
          <w:rStyle w:val="NormalTok"/>
        </w:rPr>
        <w:t xml:space="preserve"> </w:t>
      </w:r>
      <w:r>
        <w:rPr>
          <w:rStyle w:val="FunctionTok"/>
        </w:rPr>
        <w:t xml:space="preserve">mean</w:t>
      </w:r>
      <w:r>
        <w:rPr>
          <w:rStyle w:val="NormalTok"/>
        </w:rPr>
        <w:t xml:space="preserve">(obs))</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Fit the standard log-log allometry. Fitting on logs stabilises the variance, but exponentiating the prediction returns the median rather than the mean and biases the result low, so the fit carries the Baskerville correction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w:t>
      </w:r>
      <w:r>
        <w:br/>
      </w:r>
      <w:r>
        <w:rPr>
          <w:rStyle w:val="NormalTok"/>
        </w:rPr>
        <w:t xml:space="preserve">cf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(fit)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 correction</w:t>
      </w:r>
      <w:r>
        <w:br/>
      </w:r>
      <w:r>
        <w:rPr>
          <w:rStyle w:val="NormalTok"/>
        </w:rPr>
        <w:t xml:space="preserve">pred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SpecialCharTok"/>
        </w:rPr>
        <w:t xml:space="preserve">*</w:t>
      </w:r>
      <w:r>
        <w:rPr>
          <w:rStyle w:val="NormalTok"/>
        </w:rPr>
        <w:t xml:space="preserve"> cf</w:t>
      </w:r>
      <w:r>
        <w:br/>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1.959    0.271   68.948  160.516   22.216   10.358    0.983</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DecValTok"/>
        </w:rPr>
        <w:t xml:space="preserve">3</w:t>
      </w:r>
      <w:r>
        <w:rPr>
          <w:rStyle w:val="NormalTok"/>
        </w:rPr>
        <w:t xml:space="preserve">)   </w:t>
      </w:r>
      <w:r>
        <w:rPr>
          <w:rStyle w:val="CommentTok"/>
        </w:rPr>
        <w:t xml:space="preserve"># uncorrected</w:t>
      </w:r>
      <w:r>
        <w:br/>
      </w:r>
      <w:r>
        <w:rPr>
          <w:rStyle w:val="CommentTok"/>
        </w:rPr>
        <w:t xml:space="preserve">#&gt;     bias rel_bias      mae     rmse rel_rmse     mape       r2 </w:t>
      </w:r>
      <w:r>
        <w:br/>
      </w:r>
      <w:r>
        <w:rPr>
          <w:rStyle w:val="CommentTok"/>
        </w:rPr>
        <w:t xml:space="preserve">#&gt;   -3.429   -0.475   69.633  160.938   22.274   10.387    0.983</w:t>
      </w:r>
    </w:p>
    <w:p>
      <w:pPr>
        <w:pStyle w:val="FirstParagraph"/>
      </w:pPr>
      <w:r>
        <w:t xml:space="preserve">The correction moves the relative bias from about</w:t>
      </w:r>
      <w:r>
        <w:t xml:space="preserve"> </w:t>
      </w:r>
      <m:oMath>
        <m:r>
          <m:rPr>
            <m:sty m:val="p"/>
          </m:rPr>
          <m:t>−</m:t>
        </m:r>
        <m:r>
          <m:t>0.5</m:t>
        </m:r>
      </m:oMath>
      <w:r>
        <w:t xml:space="preserve"> </w:t>
      </w:r>
      <w:r>
        <w:t xml:space="preserve">per cent to</w:t>
      </w:r>
      <w:r>
        <w:t xml:space="preserve"> </w:t>
      </w:r>
      <m:oMath>
        <m:r>
          <m:rPr>
            <m:sty m:val="p"/>
          </m:rPr>
          <m:t>+</m:t>
        </m:r>
        <m:r>
          <m:t>0.3</m:t>
        </m:r>
      </m:oMath>
      <w:r>
        <w:t xml:space="preserve"> </w:t>
      </w:r>
      <w:r>
        <w:t xml:space="preserve">per cent. That is small here and much larger in datasets with more residual scatter, and it is free, so there is no reason to omit it.</w:t>
      </w:r>
    </w:p>
    <w:p>
      <w:pPr>
        <w:pStyle w:val="BodyText"/>
      </w:pPr>
      <w:r>
        <w:t xml:space="preserve">Now the reason to compute more than one metric. Split the same predictions by diameter class:</w:t>
      </w:r>
    </w:p>
    <w:p>
      <w:pPr>
        <w:pStyle w:val="SourceCode"/>
      </w:pPr>
      <w:r>
        <w:rPr>
          <w:rStyle w:val="NormalTok"/>
        </w:rPr>
        <w:t xml:space="preserve">tm</w:t>
      </w:r>
      <w:r>
        <w:rPr>
          <w:rStyle w:val="SpecialCharTok"/>
        </w:rPr>
        <w:t xml:space="preserve">$</w:t>
      </w:r>
      <w:r>
        <w:rPr>
          <w:rStyle w:val="NormalTok"/>
        </w:rPr>
        <w:t xml:space="preserve">cls </w:t>
      </w:r>
      <w:r>
        <w:rPr>
          <w:rStyle w:val="OtherTok"/>
        </w:rPr>
        <w:t xml:space="preserve">&lt;-</w:t>
      </w:r>
      <w:r>
        <w:rPr>
          <w:rStyle w:val="NormalTok"/>
        </w:rPr>
        <w:t xml:space="preserve"> </w:t>
      </w:r>
      <w:r>
        <w:rPr>
          <w:rStyle w:val="FunctionTok"/>
        </w:rPr>
        <w:t xml:space="preserve">cut</w:t>
      </w:r>
      <w:r>
        <w:rPr>
          <w:rStyle w:val="NormalTok"/>
        </w:rPr>
        <w:t xml:space="preserve">(tm</w:t>
      </w:r>
      <w:r>
        <w:rPr>
          <w:rStyle w:val="SpecialCharTok"/>
        </w:rPr>
        <w:t xml:space="preserve">$</w:t>
      </w:r>
      <w:r>
        <w:rPr>
          <w:rStyle w:val="NormalTok"/>
        </w:rPr>
        <w:t xml:space="preserve">dbh_cm,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metrics</w:t>
      </w:r>
      <w:r>
        <w:rPr>
          <w:rStyle w:val="NormalTok"/>
        </w:rPr>
        <w:t xml:space="preserve">(tm</w:t>
      </w:r>
      <w:r>
        <w:rPr>
          <w:rStyle w:val="SpecialCharTok"/>
        </w:rPr>
        <w:t xml:space="preserve">$</w:t>
      </w:r>
      <w:r>
        <w:rPr>
          <w:rStyle w:val="NormalTok"/>
        </w:rPr>
        <w:t xml:space="preserve">agb_kg[i], pred[i]))), </w:t>
      </w:r>
      <w:r>
        <w:rPr>
          <w:rStyle w:val="DecValTok"/>
        </w:rPr>
        <w:t xml:space="preserve">2</w:t>
      </w:r>
      <w:r>
        <w:rPr>
          <w:rStyle w:val="NormalTok"/>
        </w:rPr>
        <w:t xml:space="preserve">)</w:t>
      </w:r>
      <w:r>
        <w:br/>
      </w:r>
      <w:r>
        <w:rPr>
          <w:rStyle w:val="CommentTok"/>
        </w:rPr>
        <w:t xml:space="preserve">#&gt;        bias rel_bias    mae   rmse rel_rmse  mape   r2</w:t>
      </w:r>
      <w:r>
        <w:br/>
      </w:r>
      <w:r>
        <w:rPr>
          <w:rStyle w:val="CommentTok"/>
        </w:rPr>
        <w:t xml:space="preserve">#&gt; &lt;20   -0.44    -0.25  17.67  22.51    12.89 10.68 0.91</w:t>
      </w:r>
      <w:r>
        <w:br/>
      </w:r>
      <w:r>
        <w:rPr>
          <w:rStyle w:val="CommentTok"/>
        </w:rPr>
        <w:t xml:space="preserve">#&gt; 20-40 -0.81    -0.13  59.13  75.80    12.53 10.26 0.91</w:t>
      </w:r>
      <w:r>
        <w:br/>
      </w:r>
      <w:r>
        <w:rPr>
          <w:rStyle w:val="CommentTok"/>
        </w:rPr>
        <w:t xml:space="preserve">#&gt; &gt;40   18.33     0.67 252.24 409.16    15.02  9.78 0.97</w:t>
      </w:r>
    </w:p>
    <w:p>
      <w:pPr>
        <w:pStyle w:val="FirstParagraph"/>
      </w:pPr>
      <w:r>
        <w:t xml:space="preserve">MAPE is almost flat across the three classes, near ten per cent everywhere, while RMSE climbs from about 23 kg to over 400. Both are correct. The model is proportionally about as good on a large tree as on a small one, and in absolute terms it is eighteen times worse, which is what matters when those large trees hold most of the stand’s carbon. A report quoting only the percentage error conceals where the tonnes actually go.</w:t>
      </w:r>
    </w:p>
    <w:p>
      <w:pPr>
        <w:pStyle w:val="BodyText"/>
      </w:pPr>
      <w:r>
        <w:t xml:space="preserve">MAPE carries a specific hazard worth stating plainly: it divides by the observation, so it explodes as</w:t>
      </w:r>
      <w:r>
        <w:t xml:space="preserve"> </w:t>
      </w:r>
      <m:oMath>
        <m:sSub>
          <m:e>
            <m:r>
              <m:t>y</m:t>
            </m:r>
          </m:e>
          <m:sub>
            <m:r>
              <m:t>i</m:t>
            </m:r>
          </m:sub>
        </m:sSub>
      </m:oMath>
      <w:r>
        <w:t xml:space="preserve"> </w:t>
      </w:r>
      <w:r>
        <w:t xml:space="preserve">approaches zero and is undefined at zero. It is safe here because every harvested tree has substantial biomass. Applied to a variable that legitimately reaches zero, such as annual forest loss in a quiet year, it is meaningless, and that is the usual reason it is absent from carbon work.</w:t>
      </w:r>
    </w:p>
    <w:p>
      <w:pPr>
        <w:pStyle w:val="BodyText"/>
      </w:pPr>
      <w:r>
        <w:t xml:space="preserve">Finally, the single most effective way to reduce model error is usually not a cleverer equation but a narrower one:</w:t>
      </w:r>
    </w:p>
    <w:p>
      <w:pPr>
        <w:pStyle w:val="SourceCode"/>
      </w:pPr>
      <w:r>
        <w:rPr>
          <w:rStyle w:val="NormalTok"/>
        </w:rPr>
        <w:t xml:space="preserve">pred_sp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unique</w:t>
      </w:r>
      <w:r>
        <w:rPr>
          <w:rStyle w:val="NormalTok"/>
        </w:rPr>
        <w:t xml:space="preserve">(tm</w:t>
      </w:r>
      <w:r>
        <w:rPr>
          <w:rStyle w:val="SpecialCharTok"/>
        </w:rPr>
        <w:t xml:space="preserve">$</w:t>
      </w:r>
      <w:r>
        <w:rPr>
          <w:rStyle w:val="NormalTok"/>
        </w:rPr>
        <w:t xml:space="preserve">species)) {</w:t>
      </w:r>
      <w:r>
        <w:br/>
      </w:r>
      <w:r>
        <w:rPr>
          <w:rStyle w:val="NormalTok"/>
        </w:rPr>
        <w:t xml:space="preserve">  i </w:t>
      </w:r>
      <w:r>
        <w:rPr>
          <w:rStyle w:val="OtherTok"/>
        </w:rPr>
        <w:t xml:space="preserve">&lt;-</w:t>
      </w:r>
      <w:r>
        <w:rPr>
          <w:rStyle w:val="NormalTok"/>
        </w:rPr>
        <w:t xml:space="preserve"> tm</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tm[i, ])</w:t>
      </w:r>
      <w:r>
        <w:br/>
      </w:r>
      <w:r>
        <w:rPr>
          <w:rStyle w:val="NormalTok"/>
        </w:rPr>
        <w:t xml:space="preserve">  pred_sp[i]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0.166    0.023   36.341   81.161   11.233    5.069    0.996</w:t>
      </w:r>
    </w:p>
    <w:p>
      <w:pPr>
        <w:pStyle w:val="FirstParagraph"/>
      </w:pPr>
      <w:r>
        <w:t xml:space="preserve">Fitting one equation per species halves the relative RMSE, from about 22 per cent to about 11. Under the crediting arithmetic below, that difference is worth real money, and it required no new field data, only refusing to pool species that scale differently.</w:t>
      </w:r>
    </w:p>
    <w:bookmarkEnd w:id="146"/>
    <w:bookmarkStart w:id="149" w:name="cross-validation"/>
    <w:p>
      <w:pPr>
        <w:pStyle w:val="Heading2"/>
      </w:pPr>
      <w:r>
        <w:t xml:space="preserve">9.5 Cross-validation</w:t>
      </w:r>
    </w:p>
    <w:p>
      <w:pPr>
        <w:pStyle w:val="FirstParagraph"/>
      </w:pPr>
      <w:r>
        <w:t xml:space="preserve">Every number in the previous section is optimistic, because the model was scored on the same trees that determined its coefficients. Out-of-sample error is what a prediction on a new tree will actually cost, and cross-validation estimates it by repeatedly holding data back</w:t>
      </w:r>
      <w:r>
        <w:t xml:space="preserve"> </w:t>
      </w:r>
      <w:r>
        <w:t xml:space="preserve">(Hastie et al., 2009)</w:t>
      </w:r>
      <w:r>
        <w:t xml:space="preserve">.</w:t>
      </w:r>
    </w:p>
    <w:p>
      <w:pPr>
        <w:pStyle w:val="BodyText"/>
      </w:pPr>
      <w:r>
        <w:t xml:space="preserve">The standard device is</w:t>
      </w:r>
      <w:r>
        <w:t xml:space="preserve"> </w:t>
      </w:r>
      <m:oMath>
        <m:r>
          <m:t>k</m:t>
        </m:r>
      </m:oMath>
      <w:r>
        <w:t xml:space="preserve">-fold: split the data into</w:t>
      </w:r>
      <w:r>
        <w:t xml:space="preserve"> </w:t>
      </w:r>
      <m:oMath>
        <m:r>
          <m:t>k</m:t>
        </m:r>
      </m:oMath>
      <w:r>
        <w:t xml:space="preserve"> </w:t>
      </w:r>
      <w:r>
        <w:t xml:space="preserve">parts, fit on</w:t>
      </w:r>
      <w:r>
        <w:t xml:space="preserve"> </w:t>
      </w:r>
      <m:oMath>
        <m:r>
          <m:t>k</m:t>
        </m:r>
        <m:r>
          <m:rPr>
            <m:sty m:val="p"/>
          </m:rPr>
          <m:t>−</m:t>
        </m:r>
        <m:r>
          <m:t>1</m:t>
        </m:r>
      </m:oMath>
      <w:r>
        <w:t xml:space="preserve"> </w:t>
      </w:r>
      <w:r>
        <w:t xml:space="preserve">and predict the one held out, rotating until every observation has been predicted by a model that never saw it.</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DecValTok"/>
        </w:rPr>
        <w:t xml:space="preserve">10</w:t>
      </w:r>
      <w:r>
        <w:br/>
      </w:r>
      <w:r>
        <w:rPr>
          <w:rStyle w:val="NormalTok"/>
        </w:rPr>
        <w:t xml:space="preserve">fold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k, </w:t>
      </w:r>
      <w:r>
        <w:rPr>
          <w:rStyle w:val="AttributeTok"/>
        </w:rPr>
        <w:t xml:space="preserve">length.out =</w:t>
      </w:r>
      <w:r>
        <w:rPr>
          <w:rStyle w:val="NormalTok"/>
        </w:rPr>
        <w:t xml:space="preserve"> </w:t>
      </w:r>
      <w:r>
        <w:rPr>
          <w:rStyle w:val="FunctionTok"/>
        </w:rPr>
        <w:t xml:space="preserve">nrow</w:t>
      </w:r>
      <w:r>
        <w:rPr>
          <w:rStyle w:val="NormalTok"/>
        </w:rPr>
        <w:t xml:space="preserve">(tm)))</w:t>
      </w:r>
      <w:r>
        <w:br/>
      </w:r>
      <w:r>
        <w:rPr>
          <w:rStyle w:val="NormalTok"/>
        </w:rPr>
        <w:t xml:space="preserve">p_cv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k)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tm[fold </w:t>
      </w:r>
      <w:r>
        <w:rPr>
          <w:rStyle w:val="SpecialCharTok"/>
        </w:rPr>
        <w:t xml:space="preserve">!=</w:t>
      </w:r>
      <w:r>
        <w:rPr>
          <w:rStyle w:val="NormalTok"/>
        </w:rPr>
        <w:t xml:space="preserve"> i, ])</w:t>
      </w:r>
      <w:r>
        <w:br/>
      </w:r>
      <w:r>
        <w:rPr>
          <w:rStyle w:val="NormalTok"/>
        </w:rPr>
        <w:t xml:space="preserve">  p_cv[fold </w:t>
      </w:r>
      <w:r>
        <w:rPr>
          <w:rStyle w:val="SpecialCharTok"/>
        </w:rPr>
        <w:t xml:space="preserve">==</w:t>
      </w:r>
      <w:r>
        <w:rPr>
          <w:rStyle w:val="NormalTok"/>
        </w:rPr>
        <w:t xml:space="preserve"> 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tm[fold </w:t>
      </w:r>
      <w:r>
        <w:rPr>
          <w:rStyle w:val="SpecialCharTok"/>
        </w:rPr>
        <w:t xml:space="preserve">==</w:t>
      </w:r>
      <w:r>
        <w:rPr>
          <w:rStyle w:val="NormalTok"/>
        </w:rPr>
        <w:t xml:space="preserve"> 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p_cv),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1.944    0.269   69.050  161.257   22.318   10.362    0.982</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"rmse"</w:t>
      </w:r>
      <w:r>
        <w:rPr>
          <w:rStyle w:val="NormalTok"/>
        </w:rPr>
        <w:t xml:space="preserve">] </w:t>
      </w:r>
      <w:r>
        <w:rPr>
          <w:rStyle w:val="SpecialCharTok"/>
        </w:rPr>
        <w:t xml:space="preserve">/</w:t>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 p_cv)[</w:t>
      </w:r>
      <w:r>
        <w:rPr>
          <w:rStyle w:val="StringTok"/>
        </w:rPr>
        <w:t xml:space="preserve">"rmse"</w:t>
      </w:r>
      <w:r>
        <w:rPr>
          <w:rStyle w:val="NormalTok"/>
        </w:rPr>
        <w:t xml:space="preserve">], </w:t>
      </w:r>
      <w:r>
        <w:rPr>
          <w:rStyle w:val="DecValTok"/>
        </w:rPr>
        <w:t xml:space="preserve">4</w:t>
      </w:r>
      <w:r>
        <w:rPr>
          <w:rStyle w:val="NormalTok"/>
        </w:rPr>
        <w:t xml:space="preserve">)</w:t>
      </w:r>
      <w:r>
        <w:br/>
      </w:r>
      <w:r>
        <w:rPr>
          <w:rStyle w:val="CommentTok"/>
        </w:rPr>
        <w:t xml:space="preserve">#&gt;   rmse </w:t>
      </w:r>
      <w:r>
        <w:br/>
      </w:r>
      <w:r>
        <w:rPr>
          <w:rStyle w:val="CommentTok"/>
        </w:rPr>
        <w:t xml:space="preserve">#&gt; 0.9954</w:t>
      </w:r>
    </w:p>
    <w:p>
      <w:pPr>
        <w:pStyle w:val="FirstParagraph"/>
      </w:pPr>
      <w:r>
        <w:t xml:space="preserve">The cross-validated error is essentially identical to the in-sample error, a ratio of 0.995. This is the honest result and it is worth dwelling on, because the reflex that cross-validation always exposes a worse number is wrong. Two parameters fitted to 6,681 observations cannot overfit; there is nothing to discover. Optimism is a function of model flexibility relative to sample size, not a tax on having been evaluated.</w:t>
      </w:r>
    </w:p>
    <w:p>
      <w:pPr>
        <w:pStyle w:val="BodyText"/>
      </w:pPr>
      <w:r>
        <w:t xml:space="preserve">Where it does bite is where forest data usually sits: a small sample and a model free enough to chase it. Take twenty-five trees and fit polynomials of rising degree, scoring each both in-sample and by leave-one-out:</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s </w:t>
      </w:r>
      <w:r>
        <w:rPr>
          <w:rStyle w:val="OtherTok"/>
        </w:rPr>
        <w:t xml:space="preserve">&lt;-</w:t>
      </w:r>
      <w:r>
        <w:rPr>
          <w:rStyle w:val="NormalTok"/>
        </w:rPr>
        <w:t xml:space="preserve"> tm[</w:t>
      </w:r>
      <w:r>
        <w:rPr>
          <w:rStyle w:val="FunctionTok"/>
        </w:rPr>
        <w:t xml:space="preserve">sample</w:t>
      </w:r>
      <w:r>
        <w:rPr>
          <w:rStyle w:val="NormalTok"/>
        </w:rPr>
        <w:t xml:space="preserve">(</w:t>
      </w:r>
      <w:r>
        <w:rPr>
          <w:rStyle w:val="FunctionTok"/>
        </w:rPr>
        <w:t xml:space="preserve">nrow</w:t>
      </w:r>
      <w:r>
        <w:rPr>
          <w:rStyle w:val="NormalTok"/>
        </w:rPr>
        <w:t xml:space="preserve">(tm), </w:t>
      </w:r>
      <w:r>
        <w:rPr>
          <w:rStyle w:val="DecValTok"/>
        </w:rPr>
        <w:t xml:space="preserve">25</w:t>
      </w:r>
      <w:r>
        <w:rPr>
          <w:rStyle w:val="NormalTok"/>
        </w:rPr>
        <w:t xml:space="preserve">), ]</w:t>
      </w:r>
      <w:r>
        <w:br/>
      </w:r>
      <w:r>
        <w:rPr>
          <w:rStyle w:val="NormalTok"/>
        </w:rPr>
        <w:t xml:space="preserve">rmse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sqrt</w:t>
      </w:r>
      <w:r>
        <w:rPr>
          <w:rStyle w:val="NormalTok"/>
        </w:rPr>
        <w:t xml:space="preserve">(</w:t>
      </w:r>
      <w:r>
        <w:rPr>
          <w:rStyle w:val="FunctionTok"/>
        </w:rPr>
        <w:t xml:space="preserve">mean</w:t>
      </w:r>
      <w:r>
        <w:rPr>
          <w:rStyle w:val="NormalTok"/>
        </w:rPr>
        <w:t xml:space="preserve">((a </w:t>
      </w:r>
      <w:r>
        <w:rPr>
          <w:rStyle w:val="SpecialCharTok"/>
        </w:rPr>
        <w:t xml:space="preserve">-</w:t>
      </w:r>
      <w:r>
        <w:rPr>
          <w:rStyle w:val="NormalTok"/>
        </w:rPr>
        <w:t xml:space="preserve"> b)</w:t>
      </w:r>
      <w:r>
        <w:rPr>
          <w:rStyle w:val="SpecialCharTok"/>
        </w:rPr>
        <w:t xml:space="preserve">^</w:t>
      </w:r>
      <w:r>
        <w:rPr>
          <w:rStyle w:val="DecValTok"/>
        </w:rPr>
        <w:t xml:space="preserve">2</w:t>
      </w:r>
      <w:r>
        <w:rPr>
          <w:rStyle w:val="NormalTok"/>
        </w:rPr>
        <w:t xml:space="preserve">))</w:t>
      </w:r>
      <w:r>
        <w:br/>
      </w:r>
      <w:r>
        <w:br/>
      </w:r>
      <w:r>
        <w:rPr>
          <w:rStyle w:val="NormalTok"/>
        </w:rPr>
        <w:t xml:space="preserve">cv_poly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ControlFlowTok"/>
        </w:rPr>
        <w:t xml:space="preserve">function</w:t>
      </w:r>
      <w:r>
        <w:rPr>
          <w:rStyle w:val="NormalTok"/>
        </w:rPr>
        <w:t xml:space="preserve">(d) {</w:t>
      </w:r>
      <w:r>
        <w:br/>
      </w:r>
      <w:r>
        <w:rPr>
          <w:rStyle w:val="NormalTok"/>
        </w:rPr>
        <w:t xml:space="preserve">  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br/>
      </w:r>
      <w:r>
        <w:rPr>
          <w:rStyle w:val="NormalTok"/>
        </w:rPr>
        <w:t xml:space="preserve">  loo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rPr>
          <w:rStyle w:val="SpecialCharTok"/>
        </w:rPr>
        <w:t xml:space="preserve">-</w:t>
      </w:r>
      <w:r>
        <w:rPr>
          <w:rStyle w:val="NormalTok"/>
        </w:rPr>
        <w:t xml:space="preserve">i, ])</w:t>
      </w:r>
      <w:r>
        <w:br/>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s[i, ]))</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degree =</w:t>
      </w:r>
      <w:r>
        <w:rPr>
          <w:rStyle w:val="NormalTok"/>
        </w:rPr>
        <w:t xml:space="preserve"> d, </w:t>
      </w:r>
      <w:r>
        <w:rPr>
          <w:rStyle w:val="AttributeTok"/>
        </w:rPr>
        <w:t xml:space="preserve">in_sample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fitted</w:t>
      </w:r>
      <w:r>
        <w:rPr>
          <w:rStyle w:val="NormalTok"/>
        </w:rPr>
        <w:t xml:space="preserve">(f))),</w:t>
      </w:r>
      <w:r>
        <w:br/>
      </w:r>
      <w:r>
        <w:rPr>
          <w:rStyle w:val="NormalTok"/>
        </w:rPr>
        <w:t xml:space="preserve">    </w:t>
      </w:r>
      <w:r>
        <w:rPr>
          <w:rStyle w:val="AttributeTok"/>
        </w:rPr>
        <w:t xml:space="preserve">loocv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loo))</w:t>
      </w:r>
      <w:r>
        <w:br/>
      </w:r>
      <w:r>
        <w:rPr>
          <w:rStyle w:val="NormalTok"/>
        </w:rPr>
        <w:t xml:space="preserve">}))</w:t>
      </w:r>
      <w:r>
        <w:br/>
      </w:r>
      <w:r>
        <w:rPr>
          <w:rStyle w:val="FunctionTok"/>
        </w:rPr>
        <w:t xml:space="preserve">round</w:t>
      </w:r>
      <w:r>
        <w:rPr>
          <w:rStyle w:val="NormalTok"/>
        </w:rPr>
        <w:t xml:space="preserve">(cv_poly, </w:t>
      </w:r>
      <w:r>
        <w:rPr>
          <w:rStyle w:val="DecValTok"/>
        </w:rPr>
        <w:t xml:space="preserve">1</w:t>
      </w:r>
      <w:r>
        <w:rPr>
          <w:rStyle w:val="NormalTok"/>
        </w:rPr>
        <w:t xml:space="preserve">)</w:t>
      </w:r>
      <w:r>
        <w:br/>
      </w:r>
      <w:r>
        <w:rPr>
          <w:rStyle w:val="CommentTok"/>
        </w:rPr>
        <w:t xml:space="preserve">#&gt;      degree in_sample loocv</w:t>
      </w:r>
      <w:r>
        <w:br/>
      </w:r>
      <w:r>
        <w:rPr>
          <w:rStyle w:val="CommentTok"/>
        </w:rPr>
        <w:t xml:space="preserve">#&gt; [1,]      1     100.0 114.1</w:t>
      </w:r>
      <w:r>
        <w:br/>
      </w:r>
      <w:r>
        <w:rPr>
          <w:rStyle w:val="CommentTok"/>
        </w:rPr>
        <w:t xml:space="preserve">#&gt; [2,]      2      90.0 114.5</w:t>
      </w:r>
      <w:r>
        <w:br/>
      </w:r>
      <w:r>
        <w:rPr>
          <w:rStyle w:val="CommentTok"/>
        </w:rPr>
        <w:t xml:space="preserve">#&gt; [3,]      3      94.2 130.5</w:t>
      </w:r>
      <w:r>
        <w:br/>
      </w:r>
      <w:r>
        <w:rPr>
          <w:rStyle w:val="CommentTok"/>
        </w:rPr>
        <w:t xml:space="preserve">#&gt; [4,]      4      82.5 124.9</w:t>
      </w:r>
      <w:r>
        <w:br/>
      </w:r>
      <w:r>
        <w:rPr>
          <w:rStyle w:val="CommentTok"/>
        </w:rPr>
        <w:t xml:space="preserve">#&gt; [5,]      5      84.8 168.4</w:t>
      </w:r>
      <w:r>
        <w:br/>
      </w:r>
      <w:r>
        <w:rPr>
          <w:rStyle w:val="CommentTok"/>
        </w:rPr>
        <w:t xml:space="preserve">#&gt; [6,]      6      89.9 160.0</w:t>
      </w:r>
      <w:r>
        <w:br/>
      </w:r>
      <w:r>
        <w:rPr>
          <w:rStyle w:val="CommentTok"/>
        </w:rPr>
        <w:t xml:space="preserve">#&gt; [7,]      7      72.6 181.2</w:t>
      </w:r>
      <w:r>
        <w:br/>
      </w:r>
      <w:r>
        <w:rPr>
          <w:rStyle w:val="CommentTok"/>
        </w:rPr>
        <w:t xml:space="preserve">#&gt; [8,]      8     100.1 398.7</w:t>
      </w:r>
    </w:p>
    <w:p>
      <w:pPr>
        <w:pStyle w:val="FirstParagraph"/>
      </w:pPr>
      <w:r>
        <w:t xml:space="preserve">The two columns move in opposite directions. In-sample RMSE falls as the curve bends to meet the points; leave-one-out RMSE rises, and by degree eight it is more than three times the honest error of a straight line. Chosen on fit alone, the worst model looks the best. This is the entire argument for validating out of sample, and it is why the straight log-log line has survived a century of allometry.</w:t>
      </w:r>
    </w:p>
    <w:p>
      <w:pPr>
        <w:pStyle w:val="BodyText"/>
      </w:pPr>
      <w:r>
        <w:t xml:space="preserve">Which regime to use is a real choice. Leave-one-out fits</w:t>
      </w:r>
      <w:r>
        <w:t xml:space="preserve"> </w:t>
      </w:r>
      <m:oMath>
        <m:r>
          <m:t>n</m:t>
        </m:r>
      </m:oMath>
      <w:r>
        <w:t xml:space="preserve"> </w:t>
      </w:r>
      <w:r>
        <w:t xml:space="preserve">models, is nearly unbiased, but has high variance and costs</w:t>
      </w:r>
      <w:r>
        <w:t xml:space="preserve"> </w:t>
      </w:r>
      <m:oMath>
        <m:r>
          <m:t>n</m:t>
        </m:r>
      </m:oMath>
      <w:r>
        <w:t xml:space="preserve"> </w:t>
      </w:r>
      <w:r>
        <w:t xml:space="preserve">fits, which is fine at 25 trees and absurd at 6,681. Ten-fold costs ten fits and trades a little bias for much lower variance, and is the usual default. Monte Carlo cross-validation, also called repeated leave-group-out, draws a fresh random split many times, which decouples the number of repetitions from the sample size and, because every repetition gives a complete error estimate, yields a distribution rather than a point. For biomass work the split should be stratified by size class, so that a random draw cannot under-represent the large trees that dominate the total:</w:t>
      </w:r>
    </w:p>
    <w:p>
      <w:pPr>
        <w:pStyle w:val="SourceCode"/>
      </w:pPr>
      <w:r>
        <w:rPr>
          <w:rStyle w:val="FunctionTok"/>
        </w:rPr>
        <w:t xml:space="preserve">set.seed</w:t>
      </w:r>
      <w:r>
        <w:rPr>
          <w:rStyle w:val="NormalTok"/>
        </w:rPr>
        <w:t xml:space="preserve">(</w:t>
      </w:r>
      <w:r>
        <w:rPr>
          <w:rStyle w:val="DecValTok"/>
        </w:rPr>
        <w:t xml:space="preserve">8787</w:t>
      </w:r>
      <w:r>
        <w:rPr>
          <w:rStyle w:val="NormalTok"/>
        </w:rPr>
        <w:t xml:space="preserve">)</w:t>
      </w:r>
      <w:r>
        <w:br/>
      </w:r>
      <w:r>
        <w:rPr>
          <w:rStyle w:val="NormalTok"/>
        </w:rPr>
        <w:t xml:space="preserve">mc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replicate</w:t>
      </w:r>
      <w:r>
        <w:rPr>
          <w:rStyle w:val="NormalTok"/>
        </w:rPr>
        <w:t xml:space="preserve">(</w:t>
      </w:r>
      <w:r>
        <w:rPr>
          <w:rStyle w:val="DecValTok"/>
        </w:rPr>
        <w:t xml:space="preserve">100</w:t>
      </w:r>
      <w:r>
        <w:rPr>
          <w:rStyle w:val="NormalTok"/>
        </w:rPr>
        <w:t xml:space="preserve">, {</w:t>
      </w:r>
      <w:r>
        <w:br/>
      </w:r>
      <w:r>
        <w:rPr>
          <w:rStyle w:val="NormalTok"/>
        </w:rPr>
        <w:t xml:space="preserve">  tr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(i)))))</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tm[tr, ])</w:t>
      </w:r>
      <w:r>
        <w:br/>
      </w:r>
      <w:r>
        <w:rPr>
          <w:rStyle w:val="NormalTok"/>
        </w:rPr>
        <w:t xml:space="preserve">  te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tr)</w:t>
      </w:r>
      <w:r>
        <w:br/>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agb_kg[te], </w:t>
      </w:r>
      <w:r>
        <w:rPr>
          <w:rStyle w:val="FunctionTok"/>
        </w:rPr>
        <w:t xml:space="preserve">exp</w:t>
      </w:r>
      <w:r>
        <w:rPr>
          <w:rStyle w:val="NormalTok"/>
        </w:rPr>
        <w:t xml:space="preserve">(</w:t>
      </w:r>
      <w:r>
        <w:rPr>
          <w:rStyle w:val="FunctionTok"/>
        </w:rPr>
        <w:t xml:space="preserve">predict</w:t>
      </w:r>
      <w:r>
        <w:rPr>
          <w:rStyle w:val="NormalTok"/>
        </w:rPr>
        <w:t xml:space="preserve">(m, tm[te,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rbind</w:t>
      </w:r>
      <w:r>
        <w:rPr>
          <w:rStyle w:val="NormalTok"/>
        </w:rPr>
        <w:t xml:space="preserve">(</w:t>
      </w:r>
      <w:r>
        <w:rPr>
          <w:rStyle w:val="AttributeTok"/>
        </w:rPr>
        <w:t xml:space="preserve">mean =</w:t>
      </w:r>
      <w:r>
        <w:rPr>
          <w:rStyle w:val="NormalTok"/>
        </w:rPr>
        <w:t xml:space="preserve"> </w:t>
      </w:r>
      <w:r>
        <w:rPr>
          <w:rStyle w:val="FunctionTok"/>
        </w:rPr>
        <w:t xml:space="preserve">colMeans</w:t>
      </w:r>
      <w:r>
        <w:rPr>
          <w:rStyle w:val="NormalTok"/>
        </w:rPr>
        <w:t xml:space="preserve">(mc), </w:t>
      </w:r>
      <w:r>
        <w:rPr>
          <w:rStyle w:val="AttributeTok"/>
        </w:rPr>
        <w:t xml:space="preserve">sd =</w:t>
      </w:r>
      <w:r>
        <w:rPr>
          <w:rStyle w:val="NormalTok"/>
        </w:rPr>
        <w:t xml:space="preserve"> </w:t>
      </w:r>
      <w:r>
        <w:rPr>
          <w:rStyle w:val="FunctionTok"/>
        </w:rPr>
        <w:t xml:space="preserve">apply</w:t>
      </w:r>
      <w:r>
        <w:rPr>
          <w:rStyle w:val="NormalTok"/>
        </w:rPr>
        <w:t xml:space="preserve">(mc,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CommentTok"/>
        </w:rPr>
        <w:t xml:space="preserve">#&gt;       bias rel_bias    mae    rmse rel_rmse   mape    r2</w:t>
      </w:r>
      <w:r>
        <w:br/>
      </w:r>
      <w:r>
        <w:rPr>
          <w:rStyle w:val="CommentTok"/>
        </w:rPr>
        <w:t xml:space="preserve">#&gt; mean 2.488    0.344 68.913 158.667   21.912 10.351 0.982</w:t>
      </w:r>
      <w:r>
        <w:br/>
      </w:r>
      <w:r>
        <w:rPr>
          <w:rStyle w:val="CommentTok"/>
        </w:rPr>
        <w:t xml:space="preserve">#&gt; sd   4.260    0.588  3.156  18.946    2.372  0.168 0.004</w:t>
      </w:r>
      <w:r>
        <w:br/>
      </w:r>
      <w:r>
        <w:rPr>
          <w:rStyle w:val="FunctionTok"/>
        </w:rPr>
        <w:t xml:space="preserve">round</w:t>
      </w:r>
      <w:r>
        <w:rPr>
          <w:rStyle w:val="NormalTok"/>
        </w:rPr>
        <w:t xml:space="preserve">(</w:t>
      </w:r>
      <w:r>
        <w:rPr>
          <w:rStyle w:val="FunctionTok"/>
        </w:rPr>
        <w:t xml:space="preserve">quantile</w:t>
      </w:r>
      <w:r>
        <w:rPr>
          <w:rStyle w:val="NormalTok"/>
        </w:rPr>
        <w:t xml:space="preserve">(mc[, </w:t>
      </w:r>
      <w:r>
        <w:rPr>
          <w:rStyle w:val="StringTok"/>
        </w:rPr>
        <w:t xml:space="preserve">"rel_rmse"</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CommentTok"/>
        </w:rPr>
        <w:t xml:space="preserve">#&gt;  2.5% 97.5% </w:t>
      </w:r>
      <w:r>
        <w:br/>
      </w:r>
      <w:r>
        <w:rPr>
          <w:rStyle w:val="CommentTok"/>
        </w:rPr>
        <w:t xml:space="preserve">#&gt; 17.97 26.75</w:t>
      </w:r>
    </w:p>
    <w:p>
      <w:pPr>
        <w:pStyle w:val="FirstParagraph"/>
      </w:pPr>
      <w:r>
        <w:t xml:space="preserve">The mean relative RMSE agrees with the ten-fold figure, but the spread across repetitions is the extra information: the estimate is itself uncertain, and quoting it to three significant figures from a single split would overstate what is known. That distribution is the honest input to a deduction, and it is what the standards are asking for when they require an uncertainty estimate rather than a residual statistic.</w:t>
      </w:r>
    </w:p>
    <w:bookmarkStart w:id="147" w:name="turning-the-metric-into-a-deduction"/>
    <w:p>
      <w:pPr>
        <w:pStyle w:val="Heading4"/>
      </w:pPr>
      <w:r>
        <w:t xml:space="preserve">Turning the metric into a deduction</w:t>
      </w:r>
    </w:p>
    <w:p>
      <w:pPr>
        <w:pStyle w:val="FirstParagraph"/>
      </w:pPr>
      <w:r>
        <w:t xml:space="preserve">The crediting standards each convert a relative error into forgone credits, and</w:t>
      </w:r>
      <w:r>
        <w:t xml:space="preserve"> </w:t>
      </w:r>
      <w:r>
        <w:t xml:space="preserve">they do it differently. ART-TREES scales the half-width of a 90 per cent interval:</w:t>
      </w:r>
    </w:p>
    <w:p>
      <w:pPr>
        <w:pStyle w:val="SourceCode"/>
      </w:pPr>
      <w:r>
        <w:rPr>
          <w:rStyle w:val="NormalTok"/>
        </w:rPr>
        <w:t xml:space="preserve">art_deduction </w:t>
      </w:r>
      <w:r>
        <w:rPr>
          <w:rStyle w:val="OtherTok"/>
        </w:rPr>
        <w:t xml:space="preserve">&lt;-</w:t>
      </w:r>
      <w:r>
        <w:rPr>
          <w:rStyle w:val="NormalTok"/>
        </w:rPr>
        <w:t xml:space="preserve"> </w:t>
      </w:r>
      <w:r>
        <w:rPr>
          <w:rStyle w:val="ControlFlowTok"/>
        </w:rPr>
        <w:t xml:space="preserve">function</w:t>
      </w:r>
      <w:r>
        <w:rPr>
          <w:rStyle w:val="NormalTok"/>
        </w:rPr>
        <w:t xml:space="preserve">(rel_rmse_pct) {</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(rel_rmse_pct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1.645006</w:t>
      </w:r>
      <w:r>
        <w:br/>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in_sample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"rel_rmse"</w:t>
      </w:r>
      <w:r>
        <w:rPr>
          <w:rStyle w:val="NormalTok"/>
        </w:rPr>
        <w:t xml:space="preserve">]),</w:t>
      </w:r>
      <w:r>
        <w:br/>
      </w:r>
      <w:r>
        <w:rPr>
          <w:rStyle w:val="NormalTok"/>
        </w:rPr>
        <w:t xml:space="preserve">        </w:t>
      </w:r>
      <w:r>
        <w:rPr>
          <w:rStyle w:val="AttributeTok"/>
        </w:rPr>
        <w:t xml:space="preserve">cross_val =</w:t>
      </w:r>
      <w:r>
        <w:rPr>
          <w:rStyle w:val="NormalTok"/>
        </w:rPr>
        <w:t xml:space="preserve"> </w:t>
      </w:r>
      <w:r>
        <w:rPr>
          <w:rStyle w:val="FunctionTok"/>
        </w:rPr>
        <w:t xml:space="preserve">art_deduction</w:t>
      </w:r>
      <w:r>
        <w:rPr>
          <w:rStyle w:val="NormalTok"/>
        </w:rPr>
        <w:t xml:space="preserve">(</w:t>
      </w:r>
      <w:r>
        <w:rPr>
          <w:rStyle w:val="FunctionTok"/>
        </w:rPr>
        <w:t xml:space="preserve">mean</w:t>
      </w:r>
      <w:r>
        <w:rPr>
          <w:rStyle w:val="NormalTok"/>
        </w:rPr>
        <w:t xml:space="preserve">(mc[, </w:t>
      </w:r>
      <w:r>
        <w:rPr>
          <w:rStyle w:val="StringTok"/>
        </w:rPr>
        <w:t xml:space="preserve">"rel_rmse"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w:t>
      </w:r>
      <w:r>
        <w:rPr>
          <w:rStyle w:val="StringTok"/>
        </w:rPr>
        <w:t xml:space="preserve">"rel_rmse"</w:t>
      </w:r>
      <w:r>
        <w:rPr>
          <w:rStyle w:val="NormalTok"/>
        </w:rPr>
        <w:t xml:space="preserve">])), </w:t>
      </w:r>
      <w:r>
        <w:rPr>
          <w:rStyle w:val="DecValTok"/>
        </w:rPr>
        <w:t xml:space="preserve">2</w:t>
      </w:r>
      <w:r>
        <w:rPr>
          <w:rStyle w:val="NormalTok"/>
        </w:rPr>
        <w:t xml:space="preserve">)</w:t>
      </w:r>
      <w:r>
        <w:br/>
      </w:r>
      <w:r>
        <w:rPr>
          <w:rStyle w:val="CommentTok"/>
        </w:rPr>
        <w:t xml:space="preserve">#&gt; in_sample.rel_rmse          cross_val   species.rel_rmse </w:t>
      </w:r>
      <w:r>
        <w:br/>
      </w:r>
      <w:r>
        <w:rPr>
          <w:rStyle w:val="CommentTok"/>
        </w:rPr>
        <w:t xml:space="preserve">#&gt;               7.08               6.99               3.58</w:t>
      </w:r>
    </w:p>
    <w:p>
      <w:pPr>
        <w:pStyle w:val="FirstParagraph"/>
      </w:pPr>
      <w:r>
        <w:t xml:space="preserve">The deduction is roughly proportional to the relative RMSE, so halving the error</w:t>
      </w:r>
      <w:r>
        <w:t xml:space="preserve"> </w:t>
      </w:r>
      <w:r>
        <w:t xml:space="preserve">by fitting per species roughly halves the credits forgone. Note also that the</w:t>
      </w:r>
      <w:r>
        <w:t xml:space="preserve"> </w:t>
      </w:r>
      <w:r>
        <w:t xml:space="preserve">in-sample and cross-validated figures barely differ here, for the reason given</w:t>
      </w:r>
      <w:r>
        <w:t xml:space="preserve"> </w:t>
      </w:r>
      <w:r>
        <w:t xml:space="preserve">above, and that a project quoting the in-sample number on a small dataset would</w:t>
      </w:r>
      <w:r>
        <w:t xml:space="preserve"> </w:t>
      </w:r>
      <w:r>
        <w:t xml:space="preserve">be understating its own deduction.</w:t>
      </w:r>
    </w:p>
    <w:bookmarkEnd w:id="147"/>
    <w:p>
      <w:pPr>
        <w:pStyle w:val="BodyText"/>
      </w:pPr>
      <w:r>
        <w:t xml:space="preserve">That is the loop this chapter has been building: a metric, estimated honestly out of sample, converted into a quantity of carbon that the project does not get paid for. The arithmetic differs between registries but the logic does not, and the comparison is drawn out at the end of the chapter.</w:t>
      </w:r>
    </w:p>
    <w:bookmarkStart w:id="148" w:name="when-a-model-is-eligible-at-all"/>
    <w:p>
      <w:pPr>
        <w:pStyle w:val="Heading4"/>
      </w:pPr>
      <w:r>
        <w:t xml:space="preserve">When a model is eligible at all</w:t>
      </w:r>
    </w:p>
    <w:p>
      <w:pPr>
        <w:pStyle w:val="FirstParagraph"/>
      </w:pPr>
      <w:r>
        <w:t xml:space="preserve">Where a carbon estimate comes from a remotely sensed model rather than a field</w:t>
      </w:r>
      <w:r>
        <w:t xml:space="preserve"> </w:t>
      </w:r>
      <w:r>
        <w:t xml:space="preserve">tally, ACR’s Framework for Remotely Sensed Quantification of Forest Carbon</w:t>
      </w:r>
      <w:r>
        <w:t xml:space="preserve"> </w:t>
      </w:r>
      <w:r>
        <w:t xml:space="preserve">(v1.0, 2026) gates the model before any credit is calculated. Validation plots</w:t>
      </w:r>
      <w:r>
        <w:t xml:space="preserve"> </w:t>
      </w:r>
      <w:r>
        <w:t xml:space="preserve">are installed independently of the calibration data, and the model must clear two</w:t>
      </w:r>
      <w:r>
        <w:t xml:space="preserve"> </w:t>
      </w:r>
      <w:r>
        <w:t xml:space="preserve">tests: uncertainty computed from RMSE below 20 per cent, and uncertainty at the</w:t>
      </w:r>
      <w:r>
        <w:t xml:space="preserve"> </w:t>
      </w:r>
      <w:r>
        <w:t xml:space="preserve">90 per cent confidence interval at or below 10 per cent.</w:t>
      </w:r>
    </w:p>
    <w:p>
      <w:pPr>
        <w:pStyle w:val="SourceCode"/>
      </w:pPr>
      <w:r>
        <w:rPr>
          <w:rStyle w:val="NormalTok"/>
        </w:rPr>
        <w:t xml:space="preserve">acr_eligibility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(obs); cbar </w:t>
      </w:r>
      <w:r>
        <w:rPr>
          <w:rStyle w:val="OtherTok"/>
        </w:rPr>
        <w:t xml:space="preserve">&lt;-</w:t>
      </w:r>
      <w:r>
        <w:rPr>
          <w:rStyle w:val="NormalTok"/>
        </w:rPr>
        <w:t xml:space="preserve"> </w:t>
      </w:r>
      <w:r>
        <w:rPr>
          <w:rStyle w:val="FunctionTok"/>
        </w:rPr>
        <w:t xml:space="preserve">mean</w:t>
      </w:r>
      <w:r>
        <w:rPr>
          <w:rStyle w:val="NormalTok"/>
        </w:rPr>
        <w:t xml:space="preserve">(obs)</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((obs </w:t>
      </w:r>
      <w:r>
        <w:rPr>
          <w:rStyle w:val="SpecialCharTok"/>
        </w:rPr>
        <w:t xml:space="preserve">-</w:t>
      </w:r>
      <w:r>
        <w:rPr>
          <w:rStyle w:val="NormalTok"/>
        </w:rPr>
        <w:t xml:space="preserve"> prd)</w:t>
      </w:r>
      <w:r>
        <w:rPr>
          <w:rStyle w:val="SpecialCharTok"/>
        </w:rPr>
        <w:t xml:space="preserve">^</w:t>
      </w:r>
      <w:r>
        <w:rPr>
          <w:rStyle w:val="DecValTok"/>
        </w:rPr>
        <w:t xml:space="preserve">2</w:t>
      </w:r>
      <w:r>
        <w:rPr>
          <w:rStyle w:val="NormalTok"/>
        </w:rPr>
        <w:t xml:space="preserve">))</w:t>
      </w:r>
      <w:r>
        <w:br/>
      </w:r>
      <w:r>
        <w:rPr>
          <w:rStyle w:val="NormalTok"/>
        </w:rPr>
        <w:t xml:space="preserve">  ci90 </w:t>
      </w:r>
      <w:r>
        <w:rPr>
          <w:rStyle w:val="OtherTok"/>
        </w:rPr>
        <w:t xml:space="preserve">&lt;-</w:t>
      </w:r>
      <w:r>
        <w:rPr>
          <w:rStyle w:val="NormalTok"/>
        </w:rPr>
        <w:t xml:space="preserve"> rmse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FloatTok"/>
        </w:rPr>
        <w:t xml:space="preserve">1.645</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rmse =</w:t>
      </w:r>
      <w:r>
        <w:rPr>
          <w:rStyle w:val="NormalTok"/>
        </w:rPr>
        <w:t xml:space="preserve"> rmse,</w:t>
      </w:r>
      <w:r>
        <w:br/>
      </w:r>
      <w:r>
        <w:rPr>
          <w:rStyle w:val="NormalTok"/>
        </w:rPr>
        <w:t xml:space="preserve">    </w:t>
      </w:r>
      <w:r>
        <w:rPr>
          <w:rStyle w:val="AttributeTok"/>
        </w:rPr>
        <w:t xml:space="preserve">unc_rmse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rmse </w:t>
      </w:r>
      <w:r>
        <w:rPr>
          <w:rStyle w:val="SpecialCharTok"/>
        </w:rPr>
        <w:t xml:space="preserve">/</w:t>
      </w:r>
      <w:r>
        <w:rPr>
          <w:rStyle w:val="NormalTok"/>
        </w:rPr>
        <w:t xml:space="preserve"> cbar,      </w:t>
      </w:r>
      <w:r>
        <w:rPr>
          <w:rStyle w:val="CommentTok"/>
        </w:rPr>
        <w:t xml:space="preserve"># threshold &lt; 20</w:t>
      </w:r>
      <w:r>
        <w:br/>
      </w:r>
      <w:r>
        <w:rPr>
          <w:rStyle w:val="NormalTok"/>
        </w:rPr>
        <w:t xml:space="preserve">    </w:t>
      </w:r>
      <w:r>
        <w:rPr>
          <w:rStyle w:val="AttributeTok"/>
        </w:rPr>
        <w:t xml:space="preserve">unc_ci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ci90 </w:t>
      </w:r>
      <w:r>
        <w:rPr>
          <w:rStyle w:val="SpecialCharTok"/>
        </w:rPr>
        <w:t xml:space="preserve">/</w:t>
      </w:r>
      <w:r>
        <w:rPr>
          <w:rStyle w:val="NormalTok"/>
        </w:rPr>
        <w:t xml:space="preserve"> cbar)      </w:t>
      </w:r>
      <w:r>
        <w:rPr>
          <w:rStyle w:val="CommentTok"/>
        </w:rPr>
        <w:t xml:space="preserve"># threshold &lt;= 10</w:t>
      </w:r>
      <w:r>
        <w:br/>
      </w:r>
      <w:r>
        <w:rPr>
          <w:rStyle w:val="NormalTok"/>
        </w:rPr>
        <w:t xml:space="preserve">}</w:t>
      </w:r>
      <w:r>
        <w:br/>
      </w:r>
      <w:r>
        <w:br/>
      </w:r>
      <w:r>
        <w:rPr>
          <w:rStyle w:val="NormalTok"/>
        </w:rPr>
        <w:t xml:space="preserve">fp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"data/forest_plots.csv"</w:t>
      </w:r>
      <w:r>
        <w:rPr>
          <w:rStyle w:val="NormalTok"/>
        </w:rPr>
        <w:t xml:space="preserve">)</w:t>
      </w:r>
      <w:r>
        <w:br/>
      </w:r>
      <w:r>
        <w:rPr>
          <w:rStyle w:val="FunctionTok"/>
        </w:rPr>
        <w:t xml:space="preserve">set.seed</w:t>
      </w:r>
      <w:r>
        <w:rPr>
          <w:rStyle w:val="NormalTok"/>
        </w:rPr>
        <w:t xml:space="preserve">(</w:t>
      </w:r>
      <w:r>
        <w:rPr>
          <w:rStyle w:val="DecValTok"/>
        </w:rPr>
        <w:t xml:space="preserve">12</w:t>
      </w:r>
      <w:r>
        <w:rPr>
          <w:rStyle w:val="NormalTok"/>
        </w:rPr>
        <w:t xml:space="preserve">)</w:t>
      </w:r>
      <w:r>
        <w:br/>
      </w:r>
      <w:r>
        <w:rPr>
          <w:rStyle w:val="NormalTok"/>
        </w:rPr>
        <w:t xml:space="preserve">fp</w:t>
      </w:r>
      <w:r>
        <w:rPr>
          <w:rStyle w:val="SpecialCharTok"/>
        </w:rPr>
        <w:t xml:space="preserve">$</w:t>
      </w:r>
      <w:r>
        <w:rPr>
          <w:rStyle w:val="NormalTok"/>
        </w:rPr>
        <w:t xml:space="preserve">C_pred </w:t>
      </w:r>
      <w:r>
        <w:rPr>
          <w:rStyle w:val="OtherTok"/>
        </w:rPr>
        <w:t xml:space="preserve">&lt;-</w:t>
      </w:r>
      <w:r>
        <w:rPr>
          <w:rStyle w:val="NormalTok"/>
        </w:rPr>
        <w:t xml:space="preserve"> fp</w:t>
      </w:r>
      <w:r>
        <w:rPr>
          <w:rStyle w:val="SpecialCharTok"/>
        </w:rPr>
        <w:t xml:space="preserve">$</w:t>
      </w:r>
      <w:r>
        <w:rPr>
          <w:rStyle w:val="NormalTok"/>
        </w:rPr>
        <w:t xml:space="preserve">carbon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nrow</w:t>
      </w:r>
      <w:r>
        <w:rPr>
          <w:rStyle w:val="NormalTok"/>
        </w:rPr>
        <w:t xml:space="preserve">(fp), </w:t>
      </w:r>
      <w:r>
        <w:rPr>
          <w:rStyle w:val="DecValTok"/>
        </w:rPr>
        <w:t xml:space="preserve">0</w:t>
      </w:r>
      <w:r>
        <w:rPr>
          <w:rStyle w:val="NormalTok"/>
        </w:rPr>
        <w:t xml:space="preserve">, </w:t>
      </w:r>
      <w:r>
        <w:rPr>
          <w:rStyle w:val="FloatTok"/>
        </w:rPr>
        <w:t xml:space="preserve">0.17</w:t>
      </w:r>
      <w:r>
        <w:rPr>
          <w:rStyle w:val="NormalTok"/>
        </w:rPr>
        <w:t xml:space="preserve">))   </w:t>
      </w:r>
      <w:r>
        <w:rPr>
          <w:rStyle w:val="CommentTok"/>
        </w:rPr>
        <w:t xml:space="preserve"># a model with real error</w:t>
      </w:r>
      <w:r>
        <w:br/>
      </w:r>
      <w:r>
        <w:rPr>
          <w:rStyle w:val="FunctionTok"/>
        </w:rPr>
        <w:t xml:space="preserve">round</w:t>
      </w:r>
      <w:r>
        <w:rPr>
          <w:rStyle w:val="NormalTok"/>
        </w:rPr>
        <w:t xml:space="preserve">(</w:t>
      </w:r>
      <w:r>
        <w:rPr>
          <w:rStyle w:val="FunctionTok"/>
        </w:rPr>
        <w:t xml:space="preserve">acr_eligibility</w:t>
      </w:r>
      <w:r>
        <w:rPr>
          <w:rStyle w:val="NormalTok"/>
        </w:rPr>
        <w:t xml:space="preserve">(fp</w:t>
      </w:r>
      <w:r>
        <w:rPr>
          <w:rStyle w:val="SpecialCharTok"/>
        </w:rPr>
        <w:t xml:space="preserve">$</w:t>
      </w:r>
      <w:r>
        <w:rPr>
          <w:rStyle w:val="NormalTok"/>
        </w:rPr>
        <w:t xml:space="preserve">carbon, fp</w:t>
      </w:r>
      <w:r>
        <w:rPr>
          <w:rStyle w:val="SpecialCharTok"/>
        </w:rPr>
        <w:t xml:space="preserve">$</w:t>
      </w:r>
      <w:r>
        <w:rPr>
          <w:rStyle w:val="NormalTok"/>
        </w:rPr>
        <w:t xml:space="preserve">C_pred), </w:t>
      </w:r>
      <w:r>
        <w:rPr>
          <w:rStyle w:val="DecValTok"/>
        </w:rPr>
        <w:t xml:space="preserve">2</w:t>
      </w:r>
      <w:r>
        <w:rPr>
          <w:rStyle w:val="NormalTok"/>
        </w:rPr>
        <w:t xml:space="preserve">)</w:t>
      </w:r>
      <w:r>
        <w:br/>
      </w:r>
      <w:r>
        <w:rPr>
          <w:rStyle w:val="CommentTok"/>
        </w:rPr>
        <w:t xml:space="preserve">#&gt;        n     rmse unc_rmse   unc_ci </w:t>
      </w:r>
      <w:r>
        <w:br/>
      </w:r>
      <w:r>
        <w:rPr>
          <w:rStyle w:val="CommentTok"/>
        </w:rPr>
        <w:t xml:space="preserve">#&gt;   140.00    28.25    17.43     2.42</w:t>
      </w:r>
    </w:p>
    <w:p>
      <w:pPr>
        <w:pStyle w:val="FirstParagraph"/>
      </w:pPr>
      <w:r>
        <w:t xml:space="preserve">The two tests are not independent, and seeing why matters more than running</w:t>
      </w:r>
      <w:r>
        <w:t xml:space="preserve"> </w:t>
      </w:r>
      <w:r>
        <w:t xml:space="preserve">them. Since the confidence interval is the RMSE divided by the root of the plot</w:t>
      </w:r>
      <w:r>
        <w:t xml:space="preserve"> </w:t>
      </w:r>
      <w:r>
        <w:t xml:space="preserve">count, the second statistic is the first one rescaled:</w:t>
      </w:r>
    </w:p>
    <w:p>
      <w:pPr>
        <w:pStyle w:val="BodyText"/>
      </w:pPr>
      <m:oMathPara>
        <m:oMathParaPr>
          <m:jc m:val="center"/>
        </m:oMathParaPr>
        <m:oMath>
          <m:sSub>
            <m:e>
              <m:r>
                <m:rPr>
                  <m:nor/>
                  <m:sty m:val="p"/>
                </m:rPr>
                <m:t>UNC</m:t>
              </m:r>
            </m:e>
            <m:sub>
              <m:r>
                <m:t>C</m:t>
              </m:r>
              <m:r>
                <m:t>I</m:t>
              </m:r>
            </m:sub>
          </m:sSub>
          <m:r>
            <m:rPr>
              <m:sty m:val="p"/>
            </m:rPr>
            <m:t>=</m:t>
          </m:r>
          <m:sSub>
            <m:e>
              <m:r>
                <m:rPr>
                  <m:nor/>
                  <m:sty m:val="p"/>
                </m:rPr>
                <m:t>UNC</m:t>
              </m:r>
            </m:e>
            <m:sub>
              <m:r>
                <m:t>R</m:t>
              </m:r>
              <m:r>
                <m:t>M</m:t>
              </m:r>
              <m:r>
                <m:t>S</m:t>
              </m:r>
              <m:r>
                <m:t>E</m:t>
              </m:r>
            </m:sub>
          </m:sSub>
          <m:r>
            <m:rPr>
              <m:sty m:val="p"/>
            </m:rPr>
            <m:t>×</m:t>
          </m:r>
          <m:f>
            <m:fPr>
              <m:type m:val="bar"/>
            </m:fPr>
            <m:num>
              <m:r>
                <m:t>1.645</m:t>
              </m:r>
            </m:num>
            <m:den>
              <m:rad>
                <m:radPr>
                  <m:degHide m:val="on"/>
                </m:radPr>
                <m:deg/>
                <m:e>
                  <m:r>
                    <m:t>N</m:t>
                  </m:r>
                </m:e>
              </m:rad>
            </m:den>
          </m:f>
        </m:oMath>
      </m:oMathPara>
    </w:p>
    <w:p>
      <w:pPr>
        <w:pStyle w:val="FirstParagraph"/>
      </w:pPr>
      <w:r>
        <w:t xml:space="preserve">The thresholds therefore bind equally when</w:t>
      </w:r>
      <w:r>
        <w:t xml:space="preserve"> </w:t>
      </w:r>
      <m:oMath>
        <m:r>
          <m:t>1.645</m:t>
        </m:r>
        <m:r>
          <m:rPr>
            <m:sty m:val="p"/>
          </m:rPr>
          <m:t>/</m:t>
        </m:r>
        <m:rad>
          <m:radPr>
            <m:degHide m:val="on"/>
          </m:radPr>
          <m:deg/>
          <m:e>
            <m:r>
              <m:t>N</m:t>
            </m:r>
          </m:e>
        </m:rad>
        <m:r>
          <m:rPr>
            <m:sty m:val="p"/>
          </m:rPr>
          <m:t>=</m:t>
        </m:r>
        <m:r>
          <m:t>10</m:t>
        </m:r>
        <m:r>
          <m:rPr>
            <m:sty m:val="p"/>
          </m:rPr>
          <m:t>/</m:t>
        </m:r>
        <m:r>
          <m:t>20</m:t>
        </m:r>
      </m:oMath>
      <w:r>
        <w:t xml:space="preserve">, which is</w:t>
      </w:r>
      <w:r>
        <w:t xml:space="preserve"> </w:t>
      </w:r>
      <m:oMath>
        <m:r>
          <m:t>N</m:t>
        </m:r>
        <m:r>
          <m:rPr>
            <m:sty m:val="p"/>
          </m:rPr>
          <m:t>≈</m:t>
        </m:r>
        <m:r>
          <m:t>11</m:t>
        </m:r>
      </m:oMath>
      <w:r>
        <w:t xml:space="preserve"> </w:t>
      </w:r>
      <w:r>
        <w:t xml:space="preserve">plots. Above about eleven validation plots the confidence-interval</w:t>
      </w:r>
      <w:r>
        <w:t xml:space="preserve"> </w:t>
      </w:r>
      <w:r>
        <w:t xml:space="preserve">test is satisfied automatically whenever the RMSE test passes, so only one test</w:t>
      </w:r>
      <w:r>
        <w:t xml:space="preserve"> </w:t>
      </w:r>
      <w:r>
        <w:t xml:space="preserve">is doing any work.</w:t>
      </w:r>
    </w:p>
    <w:p>
      <w:pPr>
        <w:pStyle w:val="SourceCode"/>
      </w:pPr>
      <w:r>
        <w:rPr>
          <w:rStyle w:val="NormalTok"/>
        </w:rPr>
        <w:t xml:space="preserve">n_needed </w:t>
      </w:r>
      <w:r>
        <w:rPr>
          <w:rStyle w:val="OtherTok"/>
        </w:rPr>
        <w:t xml:space="preserve">&lt;-</w:t>
      </w:r>
      <w:r>
        <w:rPr>
          <w:rStyle w:val="NormalTok"/>
        </w:rPr>
        <w:t xml:space="preserve"> </w:t>
      </w:r>
      <w:r>
        <w:rPr>
          <w:rStyle w:val="ControlFlowTok"/>
        </w:rPr>
        <w:t xml:space="preserve">function</w:t>
      </w:r>
      <w:r>
        <w:rPr>
          <w:rStyle w:val="NormalTok"/>
        </w:rPr>
        <w:t xml:space="preserve">(unc_rmse) </w:t>
      </w:r>
      <w:r>
        <w:rPr>
          <w:rStyle w:val="FunctionTok"/>
        </w:rPr>
        <w:t xml:space="preserve">ceiling</w:t>
      </w:r>
      <w:r>
        <w:rPr>
          <w:rStyle w:val="NormalTok"/>
        </w:rPr>
        <w:t xml:space="preserve">((unc_rmse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FunctionTok"/>
        </w:rPr>
        <w:t xml:space="preserve">sapply</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14</w:t>
      </w:r>
      <w:r>
        <w:rPr>
          <w:rStyle w:val="NormalTok"/>
        </w:rPr>
        <w:t xml:space="preserve">, </w:t>
      </w:r>
      <w:r>
        <w:rPr>
          <w:rStyle w:val="DecValTok"/>
        </w:rPr>
        <w:t xml:space="preserve">18</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n_needed)   </w:t>
      </w:r>
      <w:r>
        <w:rPr>
          <w:rStyle w:val="CommentTok"/>
        </w:rPr>
        <w:t xml:space="preserve"># plots needed to clear the CI test</w:t>
      </w:r>
      <w:r>
        <w:br/>
      </w:r>
      <w:r>
        <w:rPr>
          <w:rStyle w:val="CommentTok"/>
        </w:rPr>
        <w:t xml:space="preserve">#&gt; [1]  3  6  9 11 14</w:t>
      </w:r>
    </w:p>
    <w:p>
      <w:pPr>
        <w:pStyle w:val="FirstParagraph"/>
      </w:pPr>
      <w:r>
        <w:t xml:space="preserve">There is a second, less comfortable property. Run the same model through</w:t>
      </w:r>
      <w:r>
        <w:t xml:space="preserve"> </w:t>
      </w:r>
      <w:r>
        <w:t xml:space="preserve">different draws of validation plots and eligibility itself moves:</w:t>
      </w:r>
    </w:p>
    <w:p>
      <w:pPr>
        <w:pStyle w:val="SourceCode"/>
      </w:pPr>
      <w:r>
        <w:rPr>
          <w:rStyle w:val="NormalTok"/>
        </w:rPr>
        <w:t xml:space="preserve">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FunctionTok"/>
        </w:rPr>
        <w:t xml:space="preserve">t</w:t>
      </w:r>
      <w:r>
        <w:rPr>
          <w:rStyle w:val="NormalTok"/>
        </w:rPr>
        <w:t xml:space="preserve">(</w:t>
      </w:r>
      <w:r>
        <w:rPr>
          <w:rStyle w:val="FunctionTok"/>
        </w:rPr>
        <w:t xml:space="preserve">sapply</w:t>
      </w:r>
      <w:r>
        <w:rPr>
          <w:rStyle w:val="NormalTok"/>
        </w:rPr>
        <w:t xml:space="preserve">(sizes, </w:t>
      </w:r>
      <w:r>
        <w:rPr>
          <w:rStyle w:val="ControlFlowTok"/>
        </w:rPr>
        <w:t xml:space="preserve">function</w:t>
      </w:r>
      <w:r>
        <w:rPr>
          <w:rStyle w:val="NormalTok"/>
        </w:rPr>
        <w:t xml:space="preserve">(n) {</w:t>
      </w:r>
      <w:r>
        <w:br/>
      </w:r>
      <w:r>
        <w:rPr>
          <w:rStyle w:val="NormalTok"/>
        </w:rPr>
        <w:t xml:space="preserve">  </w:t>
      </w:r>
      <w:r>
        <w:rPr>
          <w:rStyle w:val="FunctionTok"/>
        </w:rPr>
        <w:t xml:space="preserve">set.seed</w:t>
      </w:r>
      <w:r>
        <w:rPr>
          <w:rStyle w:val="NormalTok"/>
        </w:rPr>
        <w:t xml:space="preserve">(n);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(fp), n)</w:t>
      </w:r>
      <w:r>
        <w:br/>
      </w:r>
      <w:r>
        <w:rPr>
          <w:rStyle w:val="NormalTok"/>
        </w:rPr>
        <w:t xml:space="preserve">  a </w:t>
      </w:r>
      <w:r>
        <w:rPr>
          <w:rStyle w:val="OtherTok"/>
        </w:rPr>
        <w:t xml:space="preserve">&lt;-</w:t>
      </w:r>
      <w:r>
        <w:rPr>
          <w:rStyle w:val="NormalTok"/>
        </w:rPr>
        <w:t xml:space="preserve"> </w:t>
      </w:r>
      <w:r>
        <w:rPr>
          <w:rStyle w:val="FunctionTok"/>
        </w:rPr>
        <w:t xml:space="preserve">acr_eligibility</w:t>
      </w:r>
      <w:r>
        <w:rPr>
          <w:rStyle w:val="NormalTok"/>
        </w:rPr>
        <w:t xml:space="preserve">(fp</w:t>
      </w:r>
      <w:r>
        <w:rPr>
          <w:rStyle w:val="SpecialCharTok"/>
        </w:rPr>
        <w:t xml:space="preserve">$</w:t>
      </w:r>
      <w:r>
        <w:rPr>
          <w:rStyle w:val="NormalTok"/>
        </w:rPr>
        <w:t xml:space="preserve">carbon[i], fp</w:t>
      </w:r>
      <w:r>
        <w:rPr>
          <w:rStyle w:val="SpecialCharTok"/>
        </w:rPr>
        <w:t xml:space="preserve">$</w:t>
      </w:r>
      <w:r>
        <w:rPr>
          <w:rStyle w:val="NormalTok"/>
        </w:rPr>
        <w:t xml:space="preserve">C_pred[i])</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unc_rmse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eligible =</w:t>
      </w:r>
      <w:r>
        <w:rPr>
          <w:rStyle w:val="NormalTok"/>
        </w:rPr>
        <w:t xml:space="preserve"> </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a[</w:t>
      </w:r>
      <w:r>
        <w:rPr>
          <w:rStyle w:val="StringTok"/>
        </w:rPr>
        <w:t xml:space="preserve">"unc_ci"</w:t>
      </w:r>
      <w:r>
        <w:rPr>
          <w:rStyle w:val="NormalTok"/>
        </w:rPr>
        <w:t xml:space="preserve">] </w:t>
      </w:r>
      <w:r>
        <w:rPr>
          <w:rStyle w:val="SpecialCha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CommentTok"/>
        </w:rPr>
        <w:t xml:space="preserve">#&gt;       N unc_rmse eligible</w:t>
      </w:r>
      <w:r>
        <w:br/>
      </w:r>
      <w:r>
        <w:rPr>
          <w:rStyle w:val="CommentTok"/>
        </w:rPr>
        <w:t xml:space="preserve">#&gt; [1,] 10     14.5        1</w:t>
      </w:r>
      <w:r>
        <w:br/>
      </w:r>
      <w:r>
        <w:rPr>
          <w:rStyle w:val="CommentTok"/>
        </w:rPr>
        <w:t xml:space="preserve">#&gt; [2,] 15     20.9        0</w:t>
      </w:r>
      <w:r>
        <w:br/>
      </w:r>
      <w:r>
        <w:rPr>
          <w:rStyle w:val="CommentTok"/>
        </w:rPr>
        <w:t xml:space="preserve">#&gt; [3,] 20     17.0        1</w:t>
      </w:r>
      <w:r>
        <w:br/>
      </w:r>
      <w:r>
        <w:rPr>
          <w:rStyle w:val="CommentTok"/>
        </w:rPr>
        <w:t xml:space="preserve">#&gt; [4,] 30     14.0        1</w:t>
      </w:r>
    </w:p>
    <w:p>
      <w:pPr>
        <w:pStyle w:val="FirstParagraph"/>
      </w:pPr>
      <w:r>
        <w:t xml:space="preserve">At fifteen plots this model fails and at twenty it passes, on nothing but which</w:t>
      </w:r>
      <w:r>
        <w:t xml:space="preserve"> </w:t>
      </w:r>
      <w:r>
        <w:t xml:space="preserve">plots were drawn. Eligibility is a random variable, and a project that installs</w:t>
      </w:r>
      <w:r>
        <w:t xml:space="preserve"> </w:t>
      </w:r>
      <w:r>
        <w:t xml:space="preserve">the minimum viable number of plots is buying a coin toss.</w:t>
      </w:r>
    </w:p>
    <w:bookmarkEnd w:id="148"/>
    <w:bookmarkEnd w:id="149"/>
    <w:bookmarkStart w:id="153" w:name="monte-carlo-propagation"/>
    <w:p>
      <w:pPr>
        <w:pStyle w:val="Heading2"/>
      </w:pPr>
      <w:r>
        <w:t xml:space="preserve">9.6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51" name="Picture"/>
            <a:graphic>
              <a:graphicData uri="http://schemas.openxmlformats.org/drawingml/2006/picture">
                <pic:pic>
                  <pic:nvPicPr>
                    <pic:cNvPr descr="07-uncertainty_files/figure-docx/unnamed-chunk-15-1.png" id="152" name="Picture"/>
                    <pic:cNvPicPr>
                      <a:picLocks noChangeArrowheads="1" noChangeAspect="1"/>
                    </pic:cNvPicPr>
                  </pic:nvPicPr>
                  <pic:blipFill>
                    <a:blip r:embed="rId150"/>
                    <a:stretch>
                      <a:fillRect/>
                    </a:stretch>
                  </pic:blipFill>
                  <pic:spPr bwMode="auto">
                    <a:xfrm>
                      <a:off x="0" y="0"/>
                      <a:ext cx="5943600" cy="4754880"/>
                    </a:xfrm>
                    <a:prstGeom prst="rect">
                      <a:avLst/>
                    </a:prstGeom>
                    <a:noFill/>
                    <a:ln w="9525">
                      <a:noFill/>
                      <a:headEnd/>
                      <a:tailEnd/>
                    </a:ln>
                  </pic:spPr>
                </pic:pic>
              </a:graphicData>
            </a:graphic>
          </wp:inline>
        </w:drawing>
      </w:r>
    </w:p>
    <w:bookmarkEnd w:id="153"/>
    <w:bookmarkStart w:id="154" w:name="conservative-estimates"/>
    <w:p>
      <w:pPr>
        <w:pStyle w:val="Heading2"/>
      </w:pPr>
      <w:r>
        <w:t xml:space="preserve">9.7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54"/>
    <w:bookmarkStart w:id="155" w:name="keystone-area-adjusted-accuracy"/>
    <w:p>
      <w:pPr>
        <w:pStyle w:val="Heading2"/>
      </w:pPr>
      <w:r>
        <w:t xml:space="preserve">9.8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55"/>
    <w:bookmarkStart w:id="159" w:name="reported-against-adjusted"/>
    <w:p>
      <w:pPr>
        <w:pStyle w:val="Heading2"/>
      </w:pPr>
      <w:r>
        <w:t xml:space="preserve">9.9 Reported against adjusted</w:t>
      </w:r>
    </w:p>
    <w:p>
      <w:pPr>
        <w:pStyle w:val="FirstParagraph"/>
      </w:pPr>
      <w:r>
        <w:t xml:space="preserve">One year in isolation understates what this correction does. A crediting period runs for a decade, the adjustment is applied every year, and the interesting quantity is the gap between what a project reports and what it can defend. We run the same estimator across an eight-year record of mapped forest loss. Each year has its own reference sample and its own error rates, and both degrade towards the present, because recent imagery has had less interpretation effort and the map is harder to validate close to the reporting date.</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2017</w:t>
      </w:r>
      <w:r>
        <w:rPr>
          <w:rStyle w:val="SpecialCharTok"/>
        </w:rPr>
        <w:t xml:space="preserve">:</w:t>
      </w:r>
      <w:r>
        <w:rPr>
          <w:rStyle w:val="DecValTok"/>
        </w:rPr>
        <w:t xml:space="preserve">2024</w:t>
      </w:r>
      <w:r>
        <w:br/>
      </w:r>
      <w:r>
        <w:rPr>
          <w:rStyle w:val="NormalTok"/>
        </w:rPr>
        <w:t xml:space="preserve">Atot   </w:t>
      </w:r>
      <w:r>
        <w:rPr>
          <w:rStyle w:val="OtherTok"/>
        </w:rPr>
        <w:t xml:space="preserve">&lt;-</w:t>
      </w:r>
      <w:r>
        <w:rPr>
          <w:rStyle w:val="NormalTok"/>
        </w:rPr>
        <w:t xml:space="preserve"> </w:t>
      </w:r>
      <w:r>
        <w:rPr>
          <w:rStyle w:val="DecValTok"/>
        </w:rPr>
        <w:t xml:space="preserve">250000</w:t>
      </w:r>
      <w:r>
        <w:rPr>
          <w:rStyle w:val="NormalTok"/>
        </w:rPr>
        <w:t xml:space="preserve">                              </w:t>
      </w:r>
      <w:r>
        <w:rPr>
          <w:rStyle w:val="CommentTok"/>
        </w:rPr>
        <w:t xml:space="preserve"># ha in the accounting area</w:t>
      </w:r>
      <w:r>
        <w:br/>
      </w:r>
      <w:r>
        <w:rPr>
          <w:rStyle w:val="NormalTok"/>
        </w:rPr>
        <w:t xml:space="preserve">mapped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1200</w:t>
      </w:r>
      <w:r>
        <w:rPr>
          <w:rStyle w:val="NormalTok"/>
        </w:rPr>
        <w:t xml:space="preserve">, </w:t>
      </w:r>
      <w:r>
        <w:rPr>
          <w:rStyle w:val="DecValTok"/>
        </w:rPr>
        <w:t xml:space="preserve">2400</w:t>
      </w:r>
      <w:r>
        <w:rPr>
          <w:rStyle w:val="NormalTok"/>
        </w:rPr>
        <w:t xml:space="preserve">, </w:t>
      </w:r>
      <w:r>
        <w:rPr>
          <w:rStyle w:val="DecValTok"/>
        </w:rPr>
        <w:t xml:space="preserve">4100</w:t>
      </w:r>
      <w:r>
        <w:rPr>
          <w:rStyle w:val="NormalTok"/>
        </w:rPr>
        <w:t xml:space="preserve">, </w:t>
      </w:r>
      <w:r>
        <w:rPr>
          <w:rStyle w:val="DecValTok"/>
        </w:rPr>
        <w:t xml:space="preserve">3300</w:t>
      </w:r>
      <w:r>
        <w:rPr>
          <w:rStyle w:val="NormalTok"/>
        </w:rPr>
        <w:t xml:space="preserve">, </w:t>
      </w:r>
      <w:r>
        <w:rPr>
          <w:rStyle w:val="DecValTok"/>
        </w:rPr>
        <w:t xml:space="preserve">3500</w:t>
      </w:r>
      <w:r>
        <w:rPr>
          <w:rStyle w:val="NormalTok"/>
        </w:rPr>
        <w:t xml:space="preserve">, </w:t>
      </w:r>
      <w:r>
        <w:rPr>
          <w:rStyle w:val="DecValTok"/>
        </w:rPr>
        <w:t xml:space="preserve">3700</w:t>
      </w:r>
      <w:r>
        <w:rPr>
          <w:rStyle w:val="NormalTok"/>
        </w:rPr>
        <w:t xml:space="preserve">, </w:t>
      </w:r>
      <w:r>
        <w:rPr>
          <w:rStyle w:val="DecValTok"/>
        </w:rPr>
        <w:t xml:space="preserve">6900</w:t>
      </w:r>
      <w:r>
        <w:rPr>
          <w:rStyle w:val="NormalTok"/>
        </w:rPr>
        <w:t xml:space="preserve">, </w:t>
      </w:r>
      <w:r>
        <w:rPr>
          <w:rStyle w:val="DecValTok"/>
        </w:rPr>
        <w:t xml:space="preserve">9200</w:t>
      </w:r>
      <w:r>
        <w:rPr>
          <w:rStyle w:val="NormalTok"/>
        </w:rPr>
        <w:t xml:space="preserve">)   </w:t>
      </w:r>
      <w:r>
        <w:rPr>
          <w:rStyle w:val="CommentTok"/>
        </w:rPr>
        <w:t xml:space="preserve"># ha mapped as loss</w:t>
      </w:r>
      <w:r>
        <w:br/>
      </w:r>
      <w:r>
        <w:br/>
      </w:r>
      <w:r>
        <w:rPr>
          <w:rStyle w:val="CommentTok"/>
        </w:rPr>
        <w:t xml:space="preserve"># reference sample sizes thin out in recent years</w:t>
      </w:r>
      <w:r>
        <w:br/>
      </w:r>
      <w:r>
        <w:rPr>
          <w:rStyle w:val="NormalTok"/>
        </w:rPr>
        <w:t xml:space="preserve">n_chg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140</w:t>
      </w:r>
      <w:r>
        <w:rPr>
          <w:rStyle w:val="NormalTok"/>
        </w:rPr>
        <w:t xml:space="preserve">, </w:t>
      </w:r>
      <w:r>
        <w:rPr>
          <w:rStyle w:val="DecValTok"/>
        </w:rPr>
        <w:t xml:space="preserve">130</w:t>
      </w:r>
      <w:r>
        <w:rPr>
          <w:rStyle w:val="NormalTok"/>
        </w:rPr>
        <w:t xml:space="preserve">,  </w:t>
      </w:r>
      <w:r>
        <w:rPr>
          <w:rStyle w:val="DecValTok"/>
        </w:rPr>
        <w:t xml:space="preserve">90</w:t>
      </w:r>
      <w:r>
        <w:rPr>
          <w:rStyle w:val="NormalTok"/>
        </w:rPr>
        <w:t xml:space="preserve">,  </w:t>
      </w:r>
      <w:r>
        <w:rPr>
          <w:rStyle w:val="DecValTok"/>
        </w:rPr>
        <w:t xml:space="preserve">60</w:t>
      </w:r>
      <w:r>
        <w:rPr>
          <w:rStyle w:val="NormalTok"/>
        </w:rPr>
        <w:t xml:space="preserve">)</w:t>
      </w:r>
      <w:r>
        <w:br/>
      </w:r>
      <w:r>
        <w:rPr>
          <w:rStyle w:val="NormalTok"/>
        </w:rPr>
        <w:t xml:space="preserve">n_stab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DecValTok"/>
        </w:rPr>
        <w:t xml:space="preserve">880</w:t>
      </w:r>
      <w:r>
        <w:rPr>
          <w:rStyle w:val="NormalTok"/>
        </w:rPr>
        <w:t xml:space="preserve">, </w:t>
      </w:r>
      <w:r>
        <w:rPr>
          <w:rStyle w:val="DecValTok"/>
        </w:rPr>
        <w:t xml:space="preserve">880</w:t>
      </w:r>
      <w:r>
        <w:rPr>
          <w:rStyle w:val="NormalTok"/>
        </w:rPr>
        <w:t xml:space="preserve">, </w:t>
      </w:r>
      <w:r>
        <w:rPr>
          <w:rStyle w:val="DecValTok"/>
        </w:rPr>
        <w:t xml:space="preserve">850</w:t>
      </w:r>
      <w:r>
        <w:rPr>
          <w:rStyle w:val="NormalTok"/>
        </w:rPr>
        <w:t xml:space="preserve">, </w:t>
      </w:r>
      <w:r>
        <w:rPr>
          <w:rStyle w:val="DecValTok"/>
        </w:rPr>
        <w:t xml:space="preserve">800</w:t>
      </w:r>
      <w:r>
        <w:rPr>
          <w:rStyle w:val="NormalTok"/>
        </w:rPr>
        <w:t xml:space="preserve">, </w:t>
      </w:r>
      <w:r>
        <w:rPr>
          <w:rStyle w:val="DecValTok"/>
        </w:rPr>
        <w:t xml:space="preserve">520</w:t>
      </w:r>
      <w:r>
        <w:rPr>
          <w:rStyle w:val="NormalTok"/>
        </w:rPr>
        <w:t xml:space="preserve">, </w:t>
      </w:r>
      <w:r>
        <w:rPr>
          <w:rStyle w:val="DecValTok"/>
        </w:rPr>
        <w:t xml:space="preserve">340</w:t>
      </w:r>
      <w:r>
        <w:rPr>
          <w:rStyle w:val="NormalTok"/>
        </w:rPr>
        <w:t xml:space="preserve">)</w:t>
      </w:r>
      <w:r>
        <w:br/>
      </w:r>
      <w:r>
        <w:rPr>
          <w:rStyle w:val="CommentTok"/>
        </w:rPr>
        <w:t xml:space="preserve"># user's accuracy of the loss class, and omission from the stable stratum</w:t>
      </w:r>
      <w:r>
        <w:br/>
      </w:r>
      <w:r>
        <w:rPr>
          <w:rStyle w:val="NormalTok"/>
        </w:rPr>
        <w:t xml:space="preserve">ua_chg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0.79</w:t>
      </w:r>
      <w:r>
        <w:rPr>
          <w:rStyle w:val="NormalTok"/>
        </w:rPr>
        <w:t xml:space="preserve">, </w:t>
      </w:r>
      <w:r>
        <w:rPr>
          <w:rStyle w:val="FloatTok"/>
        </w:rPr>
        <w:t xml:space="preserve">0.80</w:t>
      </w:r>
      <w:r>
        <w:rPr>
          <w:rStyle w:val="NormalTok"/>
        </w:rPr>
        <w:t xml:space="preserve">, </w:t>
      </w:r>
      <w:r>
        <w:rPr>
          <w:rStyle w:val="FloatTok"/>
        </w:rPr>
        <w:t xml:space="preserve">0.78</w:t>
      </w:r>
      <w:r>
        <w:rPr>
          <w:rStyle w:val="NormalTok"/>
        </w:rPr>
        <w:t xml:space="preserve">, </w:t>
      </w:r>
      <w:r>
        <w:rPr>
          <w:rStyle w:val="FloatTok"/>
        </w:rPr>
        <w:t xml:space="preserve">0.80</w:t>
      </w:r>
      <w:r>
        <w:rPr>
          <w:rStyle w:val="NormalTok"/>
        </w:rPr>
        <w:t xml:space="preserve">, </w:t>
      </w:r>
      <w:r>
        <w:rPr>
          <w:rStyle w:val="FloatTok"/>
        </w:rPr>
        <w:t xml:space="preserve">0.79</w:t>
      </w:r>
      <w:r>
        <w:rPr>
          <w:rStyle w:val="NormalTok"/>
        </w:rPr>
        <w:t xml:space="preserve">, </w:t>
      </w:r>
      <w:r>
        <w:rPr>
          <w:rStyle w:val="FloatTok"/>
        </w:rPr>
        <w:t xml:space="preserve">0.77</w:t>
      </w:r>
      <w:r>
        <w:rPr>
          <w:rStyle w:val="NormalTok"/>
        </w:rPr>
        <w:t xml:space="preserve">, </w:t>
      </w:r>
      <w:r>
        <w:rPr>
          <w:rStyle w:val="FloatTok"/>
        </w:rPr>
        <w:t xml:space="preserve">0.72</w:t>
      </w:r>
      <w:r>
        <w:rPr>
          <w:rStyle w:val="NormalTok"/>
        </w:rPr>
        <w:t xml:space="preserve">, </w:t>
      </w:r>
      <w:r>
        <w:rPr>
          <w:rStyle w:val="FloatTok"/>
        </w:rPr>
        <w:t xml:space="preserve">0.68</w:t>
      </w:r>
      <w:r>
        <w:rPr>
          <w:rStyle w:val="NormalTok"/>
        </w:rPr>
        <w:t xml:space="preserve">)</w:t>
      </w:r>
      <w:r>
        <w:br/>
      </w:r>
      <w:r>
        <w:rPr>
          <w:rStyle w:val="NormalTok"/>
        </w:rPr>
        <w:t xml:space="preserve">om_stab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0.0022</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0.0026</w:t>
      </w:r>
      <w:r>
        <w:rPr>
          <w:rStyle w:val="NormalTok"/>
        </w:rPr>
        <w:t xml:space="preserve">, </w:t>
      </w:r>
      <w:r>
        <w:rPr>
          <w:rStyle w:val="FloatTok"/>
        </w:rPr>
        <w:t xml:space="preserve">0.0030</w:t>
      </w:r>
      <w:r>
        <w:rPr>
          <w:rStyle w:val="NormalTok"/>
        </w:rPr>
        <w:t xml:space="preserve">, </w:t>
      </w:r>
      <w:r>
        <w:rPr>
          <w:rStyle w:val="FloatTok"/>
        </w:rPr>
        <w:t xml:space="preserve">0.0034</w:t>
      </w:r>
      <w:r>
        <w:rPr>
          <w:rStyle w:val="NormalTok"/>
        </w:rPr>
        <w:t xml:space="preserve">)</w:t>
      </w:r>
      <w:r>
        <w:br/>
      </w:r>
      <w:r>
        <w:br/>
      </w:r>
      <w:r>
        <w:rPr>
          <w:rStyle w:val="NormalTok"/>
        </w:rPr>
        <w:t xml:space="preserve">est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W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w:t>
      </w:r>
      <w:r>
        <w:rPr>
          <w:rStyle w:val="NormalTok"/>
        </w:rPr>
        <w:t xml:space="preserve">(mapped[k], Atot </w:t>
      </w:r>
      <w:r>
        <w:rPr>
          <w:rStyle w:val="SpecialCharTok"/>
        </w:rPr>
        <w:t xml:space="preserve">-</w:t>
      </w:r>
      <w:r>
        <w:rPr>
          <w:rStyle w:val="NormalTok"/>
        </w:rPr>
        <w:t xml:space="preserve"> mapped[k]) </w:t>
      </w:r>
      <w:r>
        <w:rPr>
          <w:rStyle w:val="SpecialCharTok"/>
        </w:rPr>
        <w:t xml:space="preserve">/</w:t>
      </w:r>
      <w:r>
        <w:rPr>
          <w:rStyle w:val="NormalTok"/>
        </w:rPr>
        <w:t xml:space="preserve"> Atot)</w:t>
      </w:r>
      <w:r>
        <w:br/>
      </w:r>
      <w:r>
        <w:rPr>
          <w:rStyle w:val="NormalTok"/>
        </w:rPr>
        <w:t xml:space="preserve">  p </w:t>
      </w:r>
      <w:r>
        <w:rPr>
          <w:rStyle w:val="OtherTok"/>
        </w:rPr>
        <w:t xml:space="preserve">&lt;-</w:t>
      </w:r>
      <w:r>
        <w:rPr>
          <w:rStyle w:val="NormalTok"/>
        </w:rPr>
        <w:t xml:space="preserve"> W[</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rPr>
          <w:rStyle w:val="NormalTok"/>
        </w:rPr>
        <w:t xml:space="preserve"> om_stab[k]</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(n_chg[k]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(n_stab[k]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adjusted =</w:t>
      </w:r>
      <w:r>
        <w:rPr>
          <w:rStyle w:val="NormalTok"/>
        </w:rPr>
        <w:t xml:space="preserve"> Atot </w:t>
      </w:r>
      <w:r>
        <w:rPr>
          <w:rStyle w:val="SpecialCharTok"/>
        </w:rPr>
        <w:t xml:space="preserve">*</w:t>
      </w:r>
      <w:r>
        <w:rPr>
          <w:rStyle w:val="NormalTok"/>
        </w:rPr>
        <w:t xml:space="preserve"> p, </w:t>
      </w:r>
      <w:r>
        <w:rPr>
          <w:rStyle w:val="AttributeTok"/>
        </w:rPr>
        <w:t xml:space="preserve">ci =</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Atot </w:t>
      </w:r>
      <w:r>
        <w:rPr>
          <w:rStyle w:val="SpecialCharTok"/>
        </w:rPr>
        <w:t xml:space="preserve">*</w:t>
      </w:r>
      <w:r>
        <w:rPr>
          <w:rStyle w:val="NormalTok"/>
        </w:rPr>
        <w:t xml:space="preserve"> se)</w:t>
      </w:r>
      <w:r>
        <w:br/>
      </w:r>
      <w:r>
        <w:rPr>
          <w:rStyle w:val="NormalTok"/>
        </w:rPr>
        <w:t xml:space="preserve">}))</w:t>
      </w:r>
      <w:r>
        <w:br/>
      </w:r>
      <w:r>
        <w:br/>
      </w:r>
      <w:r>
        <w:rPr>
          <w:rStyle w:val="NormalTok"/>
        </w:rPr>
        <w:t xml:space="preserve">adj </w:t>
      </w:r>
      <w:r>
        <w:rPr>
          <w:rStyle w:val="OtherTok"/>
        </w:rPr>
        <w:t xml:space="preserve">&lt;-</w:t>
      </w:r>
      <w:r>
        <w:rPr>
          <w:rStyle w:val="NormalTok"/>
        </w:rPr>
        <w:t xml:space="preserve"> est[, </w:t>
      </w:r>
      <w:r>
        <w:rPr>
          <w:rStyle w:val="StringTok"/>
        </w:rPr>
        <w:t xml:space="preserve">"adjusted"</w:t>
      </w:r>
      <w:r>
        <w:rPr>
          <w:rStyle w:val="NormalTok"/>
        </w:rPr>
        <w:t xml:space="preserve">]; ci </w:t>
      </w:r>
      <w:r>
        <w:rPr>
          <w:rStyle w:val="OtherTok"/>
        </w:rPr>
        <w:t xml:space="preserve">&lt;-</w:t>
      </w:r>
      <w:r>
        <w:rPr>
          <w:rStyle w:val="NormalTok"/>
        </w:rPr>
        <w:t xml:space="preserve"> est[, </w:t>
      </w:r>
      <w:r>
        <w:rPr>
          <w:rStyle w:val="StringTok"/>
        </w:rPr>
        <w:t xml:space="preserve">"ci"</w:t>
      </w:r>
      <w:r>
        <w:rPr>
          <w:rStyle w:val="NormalTok"/>
        </w:rPr>
        <w:t xml:space="preserve">]</w:t>
      </w:r>
      <w:r>
        <w:br/>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AttributeTok"/>
        </w:rPr>
        <w:t xml:space="preserve">mapped =</w:t>
      </w:r>
      <w:r>
        <w:rPr>
          <w:rStyle w:val="NormalTok"/>
        </w:rPr>
        <w:t xml:space="preserve"> mapped, </w:t>
      </w:r>
      <w:r>
        <w:rPr>
          <w:rStyle w:val="AttributeTok"/>
        </w:rPr>
        <w:t xml:space="preserve">adjusted =</w:t>
      </w:r>
      <w:r>
        <w:rPr>
          <w:rStyle w:val="NormalTok"/>
        </w:rPr>
        <w:t xml:space="preserve"> </w:t>
      </w:r>
      <w:r>
        <w:rPr>
          <w:rStyle w:val="FunctionTok"/>
        </w:rPr>
        <w:t xml:space="preserve">round</w:t>
      </w:r>
      <w:r>
        <w:rPr>
          <w:rStyle w:val="NormalTok"/>
        </w:rPr>
        <w:t xml:space="preserve">(adj),</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 </w:t>
      </w:r>
      <w:r>
        <w:rPr>
          <w:rStyle w:val="AttributeTok"/>
        </w:rPr>
        <w:t xml:space="preserve">upper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bias_pct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(mapped </w:t>
      </w:r>
      <w:r>
        <w:rPr>
          <w:rStyle w:val="SpecialCharTok"/>
        </w:rPr>
        <w:t xml:space="preserve">-</w:t>
      </w:r>
      <w:r>
        <w:rPr>
          <w:rStyle w:val="NormalTok"/>
        </w:rPr>
        <w:t xml:space="preserve"> adj) </w:t>
      </w:r>
      <w:r>
        <w:rPr>
          <w:rStyle w:val="SpecialCharTok"/>
        </w:rPr>
        <w:t xml:space="preserve">/</w:t>
      </w:r>
      <w:r>
        <w:rPr>
          <w:rStyle w:val="NormalTok"/>
        </w:rPr>
        <w:t xml:space="preserve"> adj, </w:t>
      </w:r>
      <w:r>
        <w:rPr>
          <w:rStyle w:val="DecValTok"/>
        </w:rPr>
        <w:t xml:space="preserve">1</w:t>
      </w:r>
      <w:r>
        <w:rPr>
          <w:rStyle w:val="NormalTok"/>
        </w:rPr>
        <w:t xml:space="preserve">))</w:t>
      </w:r>
      <w:r>
        <w:br/>
      </w:r>
      <w:r>
        <w:rPr>
          <w:rStyle w:val="CommentTok"/>
        </w:rPr>
        <w:t xml:space="preserve">#&gt;   year mapped adjusted lower upper bias_pct</w:t>
      </w:r>
      <w:r>
        <w:br/>
      </w:r>
      <w:r>
        <w:rPr>
          <w:rStyle w:val="CommentTok"/>
        </w:rPr>
        <w:t xml:space="preserve">#&gt; 1 2017   1200     1495   729  2261    -19.8</w:t>
      </w:r>
      <w:r>
        <w:br/>
      </w:r>
      <w:r>
        <w:rPr>
          <w:rStyle w:val="CommentTok"/>
        </w:rPr>
        <w:t xml:space="preserve">#&gt; 2 2018   2400     2465  1691  3239     -2.6</w:t>
      </w:r>
      <w:r>
        <w:br/>
      </w:r>
      <w:r>
        <w:rPr>
          <w:rStyle w:val="CommentTok"/>
        </w:rPr>
        <w:t xml:space="preserve">#&gt; 3 2019   4100     3837  2966  4709      6.8</w:t>
      </w:r>
      <w:r>
        <w:br/>
      </w:r>
      <w:r>
        <w:rPr>
          <w:rStyle w:val="CommentTok"/>
        </w:rPr>
        <w:t xml:space="preserve">#&gt; 4 2020   3300     3183  2390  3976      3.7</w:t>
      </w:r>
      <w:r>
        <w:br/>
      </w:r>
      <w:r>
        <w:rPr>
          <w:rStyle w:val="CommentTok"/>
        </w:rPr>
        <w:t xml:space="preserve">#&gt; 5 2021   3500     3406  2529  4283      2.8</w:t>
      </w:r>
      <w:r>
        <w:br/>
      </w:r>
      <w:r>
        <w:rPr>
          <w:rStyle w:val="CommentTok"/>
        </w:rPr>
        <w:t xml:space="preserve">#&gt; 6 2022   3700     3489  2579  4400      6.0</w:t>
      </w:r>
      <w:r>
        <w:br/>
      </w:r>
      <w:r>
        <w:rPr>
          <w:rStyle w:val="CommentTok"/>
        </w:rPr>
        <w:t xml:space="preserve">#&gt; 7 2023   6900     5697  4385  7010     21.1</w:t>
      </w:r>
      <w:r>
        <w:br/>
      </w:r>
      <w:r>
        <w:rPr>
          <w:rStyle w:val="CommentTok"/>
        </w:rPr>
        <w:t xml:space="preserve">#&gt; 8 2024   9200     7075  5224  8926     30.0</w:t>
      </w:r>
    </w:p>
    <w:p>
      <w:pPr>
        <w:pStyle w:val="FirstParagraph"/>
      </w:pPr>
      <w:r>
        <w:t xml:space="preserve">Plotting the two series together with the interval around the adjusted estimate is the single most useful figure a monitoring report can carry:</w:t>
      </w:r>
    </w:p>
    <w:p>
      <w:pPr>
        <w:pStyle w:val="SourceCode"/>
      </w:pPr>
      <w:r>
        <w:rPr>
          <w:rStyle w:val="FunctionTok"/>
        </w:rPr>
        <w:t xml:space="preserve">plot</w:t>
      </w:r>
      <w:r>
        <w:rPr>
          <w:rStyle w:val="NormalTok"/>
        </w:rPr>
        <w:t xml:space="preserve">(years, mapped,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(adj </w:t>
      </w:r>
      <w:r>
        <w:rPr>
          <w:rStyle w:val="SpecialCharTok"/>
        </w:rPr>
        <w:t xml:space="preserve">+</w:t>
      </w:r>
      <w:r>
        <w:rPr>
          <w:rStyle w:val="NormalTok"/>
        </w:rPr>
        <w:t xml:space="preserve"> ci)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"forest loss (ha)"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"Mapped against area-adjusted loss"</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(years, </w:t>
      </w:r>
      <w:r>
        <w:rPr>
          <w:rStyle w:val="FunctionTok"/>
        </w:rPr>
        <w:t xml:space="preserve">rev</w:t>
      </w:r>
      <w:r>
        <w:rPr>
          <w:rStyle w:val="NormalTok"/>
        </w:rPr>
        <w:t xml:space="preserve">(years)), </w:t>
      </w:r>
      <w:r>
        <w:rPr>
          <w:rStyle w:val="FunctionTok"/>
        </w:rPr>
        <w:t xml:space="preserve">c</w:t>
      </w:r>
      <w:r>
        <w:rPr>
          <w:rStyle w:val="NormalTok"/>
        </w:rPr>
        <w:t xml:space="preserve">(adj </w:t>
      </w:r>
      <w:r>
        <w:rPr>
          <w:rStyle w:val="SpecialCharTok"/>
        </w:rPr>
        <w:t xml:space="preserve">-</w:t>
      </w:r>
      <w:r>
        <w:rPr>
          <w:rStyle w:val="NormalTok"/>
        </w:rPr>
        <w:t xml:space="preserve"> ci, </w:t>
      </w:r>
      <w:r>
        <w:rPr>
          <w:rStyle w:val="FunctionTok"/>
        </w:rPr>
        <w:t xml:space="preserve">rev</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0.28</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(years, adj, </w:t>
      </w:r>
      <w:r>
        <w:rPr>
          <w:rStyle w:val="AttributeTok"/>
        </w:rPr>
        <w:t xml:space="preserve">col =</w:t>
      </w:r>
      <w:r>
        <w:rPr>
          <w:rStyle w:val="NormalTok"/>
        </w:rPr>
        <w:t xml:space="preserve"> </w:t>
      </w:r>
      <w:r>
        <w:rPr>
          <w:rStyle w:val="StringTok"/>
        </w:rPr>
        <w:t xml:space="preserve">"#a8481f"</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(years, mapped,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"mapped (reported)"</w:t>
      </w:r>
      <w:r>
        <w:rPr>
          <w:rStyle w:val="NormalTok"/>
        </w:rPr>
        <w:t xml:space="preserve">, </w:t>
      </w:r>
      <w:r>
        <w:rPr>
          <w:rStyle w:val="StringTok"/>
        </w:rPr>
        <w:t xml:space="preserve">"area-adjusted"</w:t>
      </w:r>
      <w:r>
        <w:rPr>
          <w:rStyle w:val="NormalTok"/>
        </w:rPr>
        <w:t xml:space="preserve">, </w:t>
      </w:r>
      <w:r>
        <w:rPr>
          <w:rStyle w:val="StringTok"/>
        </w:rPr>
        <w:t xml:space="preserve">"95% interval"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"#a8481f"</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2.2</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57" name="Picture"/>
            <a:graphic>
              <a:graphicData uri="http://schemas.openxmlformats.org/drawingml/2006/picture">
                <pic:pic>
                  <pic:nvPicPr>
                    <pic:cNvPr descr="07-uncertainty_files/figure-docx/unnamed-chunk-19-1.png" id="158" name="Picture"/>
                    <pic:cNvPicPr>
                      <a:picLocks noChangeArrowheads="1" noChangeAspect="1"/>
                    </pic:cNvPicPr>
                  </pic:nvPicPr>
                  <pic:blipFill>
                    <a:blip r:embed="rId15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Read the two lines against each other. Early in the record the adjustment pushes the estimate</w:t>
      </w:r>
      <w:r>
        <w:t xml:space="preserve"> </w:t>
      </w:r>
      <w:r>
        <w:rPr>
          <w:i/>
          <w:iCs/>
        </w:rPr>
        <w:t xml:space="preserve">up</w:t>
      </w:r>
      <w:r>
        <w:t xml:space="preserve">: the mapped loss area is small, so omitted change scattered through the vast stable stratum outweighs anything the map over-called, and the defensible figure exceeds the reported one. Late in the record the sign reverses. As the map’s user accuracy falls from 0.79 to 0.68, commission error dominates, and the reported figure overstates what the reference data support by thirty per cent in the final year.</w:t>
      </w:r>
    </w:p>
    <w:p>
      <w:pPr>
        <w:pStyle w:val="BodyText"/>
      </w:pPr>
      <w:r>
        <w:t xml:space="preserve">The direction of the correction is therefore not something you can guess, and the common assumption that adjustment always shrinks a claim is wrong. It depends on the balance between what the map missed and what it invented, weighted by stratum area, and only a reference sample can tell you which way it falls.</w:t>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mapped_total   =</w:t>
      </w:r>
      <w:r>
        <w:rPr>
          <w:rStyle w:val="NormalTok"/>
        </w:rPr>
        <w:t xml:space="preserve"> </w:t>
      </w:r>
      <w:r>
        <w:rPr>
          <w:rStyle w:val="FunctionTok"/>
        </w:rPr>
        <w:t xml:space="preserve">sum</w:t>
      </w:r>
      <w:r>
        <w:rPr>
          <w:rStyle w:val="NormalTok"/>
        </w:rPr>
        <w:t xml:space="preserve">(mapped),</w:t>
      </w:r>
      <w:r>
        <w:br/>
      </w:r>
      <w:r>
        <w:rPr>
          <w:rStyle w:val="NormalTok"/>
        </w:rPr>
        <w:t xml:space="preserve">        </w:t>
      </w:r>
      <w:r>
        <w:rPr>
          <w:rStyle w:val="AttributeTok"/>
        </w:rPr>
        <w:t xml:space="preserve">adjusted_total =</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overstatement_pct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(mapped)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conservative_total =</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(ci)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DecValTok"/>
        </w:rPr>
        <w:t xml:space="preserve">1</w:t>
      </w:r>
      <w:r>
        <w:rPr>
          <w:rStyle w:val="NormalTok"/>
        </w:rPr>
        <w:t xml:space="preserve">)</w:t>
      </w:r>
      <w:r>
        <w:br/>
      </w:r>
      <w:r>
        <w:rPr>
          <w:rStyle w:val="CommentTok"/>
        </w:rPr>
        <w:t xml:space="preserve">#&gt;       mapped_total     adjusted_total  overstatement_pct conservative_total </w:t>
      </w:r>
      <w:r>
        <w:br/>
      </w:r>
      <w:r>
        <w:rPr>
          <w:rStyle w:val="CommentTok"/>
        </w:rPr>
        <w:t xml:space="preserve">#&gt;            34300.0            30647.5               11.9            22492.4 </w:t>
      </w:r>
      <w:r>
        <w:br/>
      </w:r>
      <w:r>
        <w:rPr>
          <w:rStyle w:val="CommentTok"/>
        </w:rPr>
        <w:t xml:space="preserve">#&gt;        forgone_pct </w:t>
      </w:r>
      <w:r>
        <w:br/>
      </w:r>
      <w:r>
        <w:rPr>
          <w:rStyle w:val="CommentTok"/>
        </w:rPr>
        <w:t xml:space="preserve">#&gt;               26.6</w:t>
      </w:r>
    </w:p>
    <w:p>
      <w:pPr>
        <w:pStyle w:val="FirstParagraph"/>
      </w:pPr>
      <w:r>
        <w:t xml:space="preserve">Over the whole period the reported total overstates the defensible total by around twelve per cent. That gap is the project’s exposure: it is the portion of the claim that would not survive a reference-based check. The conservative basis, summing the lower bounds, is lower again by about a quarter, and that second gap is the price of imprecision rather than of bias.</w:t>
      </w:r>
    </w:p>
    <w:p>
      <w:pPr>
        <w:pStyle w:val="BodyText"/>
      </w:pPr>
      <w:r>
        <w:t xml:space="preserve">Notice which of the two is easier to fix. The bias is corrected by the estimator itself, at the cost of running a reference sample, and once corrected it is gone. The interval width is set by how many reference points sit in each stratum, and it narrows only as the square root of that effort. The widening band in the last two years is not a modelling failure; it is a direct readout of thin reference data, and the only remedy is more interpretation. This is the whole argument of the chapter in one picture. Uncertainty is not a statistical afterthought appended to a result. It is a budget, it has line items, and each line has a known price.</w:t>
      </w:r>
    </w:p>
    <w:bookmarkEnd w:id="159"/>
    <w:bookmarkStart w:id="165" w:name="what-the-registries-do-with-the-number"/>
    <w:p>
      <w:pPr>
        <w:pStyle w:val="Heading2"/>
      </w:pPr>
      <w:r>
        <w:t xml:space="preserve">9.10 What the registries do with the number</w:t>
      </w:r>
    </w:p>
    <w:p>
      <w:pPr>
        <w:pStyle w:val="FirstParagraph"/>
      </w:pPr>
      <w:r>
        <w:t xml:space="preserve">You now have an uncertainty percentage estimated honestly. What it costs depends entirely on which registry the project is going to, and the differences are larger than most practitioners expect. Three rules cover most of the market.</w:t>
      </w:r>
    </w:p>
    <w:p>
      <w:pPr>
        <w:pStyle w:val="SourceCode"/>
      </w:pPr>
      <w:r>
        <w:rPr>
          <w:rStyle w:val="NormalTok"/>
        </w:rPr>
        <w:t xml:space="preserve">acr_ifm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pmax</w:t>
      </w:r>
      <w:r>
        <w:rPr>
          <w:rStyle w:val="NormalTok"/>
        </w:rPr>
        <w:t xml:space="preserve">(</w:t>
      </w:r>
      <w:r>
        <w:rPr>
          <w:rStyle w:val="DecValTok"/>
        </w:rPr>
        <w:t xml:space="preserve">0</w:t>
      </w:r>
      <w:r>
        <w:rPr>
          <w:rStyle w:val="NormalTok"/>
        </w:rPr>
        <w:t xml:space="preserve">, u </w:t>
      </w:r>
      <w:r>
        <w:rPr>
          <w:rStyle w:val="SpecialCharTok"/>
        </w:rPr>
        <w:t xml:space="preserve">-</w:t>
      </w:r>
      <w:r>
        <w:rPr>
          <w:rStyle w:val="NormalTok"/>
        </w:rPr>
        <w:t xml:space="preserve"> </w:t>
      </w:r>
      <w:r>
        <w:rPr>
          <w:rStyle w:val="DecValTok"/>
        </w:rPr>
        <w:t xml:space="preserve">10</w:t>
      </w:r>
      <w:r>
        <w:rPr>
          <w:rStyle w:val="NormalTok"/>
        </w:rPr>
        <w:t xml:space="preserve">)                    </w:t>
      </w:r>
      <w:r>
        <w:rPr>
          <w:rStyle w:val="CommentTok"/>
        </w:rPr>
        <w:t xml:space="preserve"># excess over threshold</w:t>
      </w:r>
      <w:r>
        <w:br/>
      </w:r>
      <w:r>
        <w:rPr>
          <w:rStyle w:val="NormalTok"/>
        </w:rPr>
        <w:t xml:space="preserve">art_trees </w:t>
      </w:r>
      <w:r>
        <w:rPr>
          <w:rStyle w:val="OtherTok"/>
        </w:rPr>
        <w:t xml:space="preserve">&lt;-</w:t>
      </w:r>
      <w:r>
        <w:rPr>
          <w:rStyle w:val="NormalTok"/>
        </w:rPr>
        <w:t xml:space="preserve"> </w:t>
      </w:r>
      <w:r>
        <w:rPr>
          <w:rStyle w:val="ControlFlowTok"/>
        </w:rPr>
        <w:t xml:space="preserve">function</w:t>
      </w:r>
      <w:r>
        <w:rPr>
          <w:rStyle w:val="NormalTok"/>
        </w:rPr>
        <w:t xml:space="preserve">(u) u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risk-tolerance discount</w:t>
      </w:r>
      <w:r>
        <w:br/>
      </w:r>
      <w:r>
        <w:rPr>
          <w:rStyle w:val="NormalTok"/>
        </w:rPr>
        <w:t xml:space="preserve">vm0048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ifelse</w:t>
      </w:r>
      <w:r>
        <w:rPr>
          <w:rStyle w:val="NormalTok"/>
        </w:rPr>
        <w:t xml:space="preserve">(u </w:t>
      </w:r>
      <w:r>
        <w:rPr>
          <w:rStyle w:val="SpecialCharTok"/>
        </w:rPr>
        <w:t xml:space="preserve">&lt;=</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u </w:t>
      </w:r>
      <w:r>
        <w:rPr>
          <w:rStyle w:val="SpecialCharTok"/>
        </w:rPr>
        <w:t xml:space="preserve">*</w:t>
      </w:r>
      <w:r>
        <w:rPr>
          <w:rStyle w:val="NormalTok"/>
        </w:rPr>
        <w:t xml:space="preserve"> (</w:t>
      </w:r>
      <w:r>
        <w:rPr>
          <w:rStyle w:val="FloatTok"/>
        </w:rPr>
        <w:t xml:space="preserve">0.4307</w:t>
      </w:r>
      <w:r>
        <w:rPr>
          <w:rStyle w:val="NormalTok"/>
        </w:rPr>
        <w:t xml:space="preserve"> </w:t>
      </w:r>
      <w:r>
        <w:rPr>
          <w:rStyle w:val="SpecialCharTok"/>
        </w:rPr>
        <w:t xml:space="preserve">/</w:t>
      </w:r>
      <w:r>
        <w:rPr>
          <w:rStyle w:val="NormalTok"/>
        </w:rPr>
        <w:t xml:space="preserve"> </w:t>
      </w:r>
      <w:r>
        <w:rPr>
          <w:rStyle w:val="FloatTok"/>
        </w:rPr>
        <w:t xml:space="preserve">1.6449</w:t>
      </w:r>
      <w:r>
        <w:rPr>
          <w:rStyle w:val="NormalTok"/>
        </w:rPr>
        <w:t xml:space="preserve">))</w:t>
      </w:r>
      <w:r>
        <w:br/>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u,</w:t>
      </w:r>
      <w:r>
        <w:br/>
      </w:r>
      <w:r>
        <w:rPr>
          <w:rStyle w:val="NormalTok"/>
        </w:rPr>
        <w:t xml:space="preserve">           </w:t>
      </w:r>
      <w:r>
        <w:rPr>
          <w:rStyle w:val="AttributeTok"/>
        </w:rPr>
        <w:t xml:space="preserve">ACR_IFM   =</w:t>
      </w:r>
      <w:r>
        <w:rPr>
          <w:rStyle w:val="NormalTok"/>
        </w:rPr>
        <w:t xml:space="preserve"> </w:t>
      </w:r>
      <w:r>
        <w:rPr>
          <w:rStyle w:val="FunctionTok"/>
        </w:rPr>
        <w:t xml:space="preserve">round</w:t>
      </w:r>
      <w:r>
        <w:rPr>
          <w:rStyle w:val="NormalTok"/>
        </w:rPr>
        <w:t xml:space="preserve">(</w:t>
      </w:r>
      <w:r>
        <w:rPr>
          <w:rStyle w:val="FunctionTok"/>
        </w:rPr>
        <w:t xml:space="preserve">acr_ifm</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ART_TREES =</w:t>
      </w:r>
      <w:r>
        <w:rPr>
          <w:rStyle w:val="NormalTok"/>
        </w:rPr>
        <w:t xml:space="preserve"> </w:t>
      </w:r>
      <w:r>
        <w:rPr>
          <w:rStyle w:val="FunctionTok"/>
        </w:rPr>
        <w:t xml:space="preserve">round</w:t>
      </w:r>
      <w:r>
        <w:rPr>
          <w:rStyle w:val="NormalTok"/>
        </w:rPr>
        <w:t xml:space="preserve">(</w:t>
      </w:r>
      <w:r>
        <w:rPr>
          <w:rStyle w:val="FunctionTok"/>
        </w:rPr>
        <w:t xml:space="preserve">art_trees</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round</w:t>
      </w:r>
      <w:r>
        <w:rPr>
          <w:rStyle w:val="NormalTok"/>
        </w:rPr>
        <w:t xml:space="preserve">(</w:t>
      </w:r>
      <w:r>
        <w:rPr>
          <w:rStyle w:val="FunctionTok"/>
        </w:rPr>
        <w:t xml:space="preserve">vm0048</w:t>
      </w:r>
      <w:r>
        <w:rPr>
          <w:rStyle w:val="NormalTok"/>
        </w:rPr>
        <w:t xml:space="preserve">(u), </w:t>
      </w:r>
      <w:r>
        <w:rPr>
          <w:rStyle w:val="DecValTok"/>
        </w:rPr>
        <w:t xml:space="preserve">2</w:t>
      </w:r>
      <w:r>
        <w:rPr>
          <w:rStyle w:val="NormalTok"/>
        </w:rPr>
        <w:t xml:space="preserve">))</w:t>
      </w:r>
      <w:r>
        <w:br/>
      </w:r>
      <w:r>
        <w:rPr>
          <w:rStyle w:val="CommentTok"/>
        </w:rPr>
        <w:t xml:space="preserve">#&gt;   uncertainty_pct ACR_IFM ART_TREES VM0048</w:t>
      </w:r>
      <w:r>
        <w:br/>
      </w:r>
      <w:r>
        <w:rPr>
          <w:rStyle w:val="CommentTok"/>
        </w:rPr>
        <w:t xml:space="preserve">#&gt; 1               5       0      1.59   0.00</w:t>
      </w:r>
      <w:r>
        <w:br/>
      </w:r>
      <w:r>
        <w:rPr>
          <w:rStyle w:val="CommentTok"/>
        </w:rPr>
        <w:t xml:space="preserve">#&gt; 2              10       0      3.19   0.00</w:t>
      </w:r>
      <w:r>
        <w:br/>
      </w:r>
      <w:r>
        <w:rPr>
          <w:rStyle w:val="CommentTok"/>
        </w:rPr>
        <w:t xml:space="preserve">#&gt; 3              15       5      4.78   3.93</w:t>
      </w:r>
      <w:r>
        <w:br/>
      </w:r>
      <w:r>
        <w:rPr>
          <w:rStyle w:val="CommentTok"/>
        </w:rPr>
        <w:t xml:space="preserve">#&gt; 4              20      10      6.38   5.24</w:t>
      </w:r>
      <w:r>
        <w:br/>
      </w:r>
      <w:r>
        <w:rPr>
          <w:rStyle w:val="CommentTok"/>
        </w:rPr>
        <w:t xml:space="preserve">#&gt; 5              30      20      9.56   7.86</w:t>
      </w:r>
      <w:r>
        <w:br/>
      </w:r>
      <w:r>
        <w:rPr>
          <w:rStyle w:val="CommentTok"/>
        </w:rPr>
        <w:t xml:space="preserve">#&gt; 6              50      40     15.94  13.09</w:t>
      </w:r>
    </w:p>
    <w:p>
      <w:pPr>
        <w:pStyle w:val="FirstParagraph"/>
      </w:pPr>
      <w:r>
        <w:t xml:space="preserve">Read the 30 per cent row. The same nominal statistic, at the same nominal 90 per cent confidence, costs a project twenty per cent of its credits under ACR and under eight per cent under VM0048.</w:t>
      </w:r>
      <w:r>
        <w:t xml:space="preserve"> </w:t>
      </w:r>
      <w:r>
        <w:t xml:space="preserve">“Ninety per cent confidence”</w:t>
      </w:r>
      <w:r>
        <w:t xml:space="preserve"> </w:t>
      </w:r>
      <w:r>
        <w:t xml:space="preserve">is not a comparable unit across registries, and a number lifted from one project’s report into another’s is close to meaningless.</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FloatTok"/>
        </w:rPr>
        <w:t xml:space="preserve">0.5</w:t>
      </w:r>
      <w:r>
        <w:rPr>
          <w:rStyle w:val="NormalTok"/>
        </w:rPr>
        <w:t xml:space="preserve">)</w:t>
      </w:r>
      <w:r>
        <w:br/>
      </w:r>
      <w:r>
        <w:rPr>
          <w:rStyle w:val="FunctionTok"/>
        </w:rPr>
        <w:t xml:space="preserve">plot</w:t>
      </w:r>
      <w:r>
        <w:rPr>
          <w:rStyle w:val="NormalTok"/>
        </w:rPr>
        <w:t xml:space="preserve">(uu, </w:t>
      </w:r>
      <w:r>
        <w:rPr>
          <w:rStyle w:val="FunctionTok"/>
        </w:rPr>
        <w:t xml:space="preserve">acr_ifm</w:t>
      </w:r>
      <w:r>
        <w:rPr>
          <w:rStyle w:val="NormalTok"/>
        </w:rPr>
        <w:t xml:space="preserve">(uu),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"uncertainty (%)"</w:t>
      </w:r>
      <w:r>
        <w:rPr>
          <w:rStyle w:val="NormalTok"/>
        </w:rPr>
        <w:t xml:space="preserve">, </w:t>
      </w:r>
      <w:r>
        <w:rPr>
          <w:rStyle w:val="AttributeTok"/>
        </w:rPr>
        <w:t xml:space="preserve">ylab =</w:t>
      </w:r>
      <w:r>
        <w:rPr>
          <w:rStyle w:val="NormalTok"/>
        </w:rPr>
        <w:t xml:space="preserve"> </w:t>
      </w:r>
      <w:r>
        <w:rPr>
          <w:rStyle w:val="StringTok"/>
        </w:rPr>
        <w:t xml:space="preserve">"credits forgone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"Three registries, one statistic"</w:t>
      </w:r>
      <w:r>
        <w:rPr>
          <w:rStyle w:val="NormalTok"/>
        </w:rPr>
        <w:t xml:space="preserve">)</w:t>
      </w:r>
      <w:r>
        <w:br/>
      </w:r>
      <w:r>
        <w:rPr>
          <w:rStyle w:val="FunctionTok"/>
        </w:rPr>
        <w:t xml:space="preserve">lines</w:t>
      </w:r>
      <w:r>
        <w:rPr>
          <w:rStyle w:val="NormalTok"/>
        </w:rPr>
        <w:t xml:space="preserve">(uu, </w:t>
      </w:r>
      <w:r>
        <w:rPr>
          <w:rStyle w:val="FunctionTok"/>
        </w:rPr>
        <w:t xml:space="preserve">art_trees</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lines</w:t>
      </w:r>
      <w:r>
        <w:rPr>
          <w:rStyle w:val="NormalTok"/>
        </w:rPr>
        <w:t xml:space="preserve">(uu, </w:t>
      </w:r>
      <w:r>
        <w:rPr>
          <w:rStyle w:val="FunctionTok"/>
        </w:rPr>
        <w:t xml:space="preserve">vm0048</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"ACR IFM"</w:t>
      </w:r>
      <w:r>
        <w:rPr>
          <w:rStyle w:val="NormalTok"/>
        </w:rPr>
        <w:t xml:space="preserve">, </w:t>
      </w:r>
      <w:r>
        <w:rPr>
          <w:rStyle w:val="StringTok"/>
        </w:rPr>
        <w:t xml:space="preserve">"ART-TREES"</w:t>
      </w:r>
      <w:r>
        <w:rPr>
          <w:rStyle w:val="NormalTok"/>
        </w:rPr>
        <w:t xml:space="preserve">, </w:t>
      </w:r>
      <w:r>
        <w:rPr>
          <w:rStyle w:val="StringTok"/>
        </w:rPr>
        <w:t xml:space="preserve">"Verra VM0048"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"#4a7fb5"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61" name="Picture"/>
            <a:graphic>
              <a:graphicData uri="http://schemas.openxmlformats.org/drawingml/2006/picture">
                <pic:pic>
                  <pic:nvPicPr>
                    <pic:cNvPr descr="07-uncertainty_files/figure-docx/unnamed-chunk-22-1.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shapes differ because the designs differ, and the split is not the one the market talk suggests. ART-TREES and modern Verra share a paradigm: multiply the uncertainty by a fixed discount that encodes how much risk of over-crediting the standard will tolerate, an approach traceable to</w:t>
      </w:r>
      <w:r>
        <w:t xml:space="preserve"> </w:t>
      </w:r>
      <w:r>
        <w:t xml:space="preserve">Neeff (2021)</w:t>
      </w:r>
      <w:r>
        <w:t xml:space="preserve">. Both compute the same thing, a one-sided over a two-sided</w:t>
      </w:r>
      <w:r>
        <w:t xml:space="preserve"> </w:t>
      </w:r>
      <w:r>
        <w:rPr>
          <w:i/>
          <w:iCs/>
        </w:rPr>
        <w:t xml:space="preserve">t</w:t>
      </w:r>
      <w:r>
        <w:t xml:space="preserve"> </w:t>
      </w:r>
      <w:r>
        <w:t xml:space="preserve">value, and differ only in where they set the tolerance. ART is the stricter of the two and, unusually, has no threshold at all: a project with five per cent uncertainty still forfeits 1.6 per cent of its credits.</w:t>
      </w:r>
    </w:p>
    <w:p>
      <w:pPr>
        <w:pStyle w:val="BodyText"/>
      </w:pPr>
      <w:r>
        <w:t xml:space="preserve">ACR belongs to an older design, in which nothing is deducted below a threshold and the excess above it is forfeited one for one. That produces the crossing you can see in the figure:</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40</w:t>
      </w:r>
      <w:r>
        <w:rPr>
          <w:rStyle w:val="NormalTok"/>
        </w:rPr>
        <w:t xml:space="preserve">, </w:t>
      </w:r>
      <w:r>
        <w:rPr>
          <w:rStyle w:val="FloatTok"/>
        </w:rPr>
        <w:t xml:space="preserve">0.01</w:t>
      </w:r>
      <w:r>
        <w:rPr>
          <w:rStyle w:val="NormalTok"/>
        </w:rPr>
        <w:t xml:space="preserve">)</w:t>
      </w:r>
      <w:r>
        <w:br/>
      </w:r>
      <w:r>
        <w:rPr>
          <w:rStyle w:val="FunctionTok"/>
        </w:rPr>
        <w:t xml:space="preserve">round</w:t>
      </w:r>
      <w:r>
        <w:rPr>
          <w:rStyle w:val="NormalTok"/>
        </w:rPr>
        <w:t xml:space="preserve">(uu[</w:t>
      </w:r>
      <w:r>
        <w:rPr>
          <w:rStyle w:val="FunctionTok"/>
        </w:rPr>
        <w:t xml:space="preserve">which</w:t>
      </w:r>
      <w:r>
        <w:rPr>
          <w:rStyle w:val="NormalTok"/>
        </w:rPr>
        <w:t xml:space="preserve">(</w:t>
      </w:r>
      <w:r>
        <w:rPr>
          <w:rStyle w:val="FunctionTok"/>
        </w:rPr>
        <w:t xml:space="preserve">acr_ifm</w:t>
      </w:r>
      <w:r>
        <w:rPr>
          <w:rStyle w:val="NormalTok"/>
        </w:rPr>
        <w:t xml:space="preserve">(uu) </w:t>
      </w:r>
      <w:r>
        <w:rPr>
          <w:rStyle w:val="SpecialCharTok"/>
        </w:rPr>
        <w:t xml:space="preserve">&gt;</w:t>
      </w:r>
      <w:r>
        <w:rPr>
          <w:rStyle w:val="NormalTok"/>
        </w:rPr>
        <w:t xml:space="preserve"> </w:t>
      </w:r>
      <w:r>
        <w:rPr>
          <w:rStyle w:val="FunctionTok"/>
        </w:rPr>
        <w:t xml:space="preserve">art_trees</w:t>
      </w:r>
      <w:r>
        <w:rPr>
          <w:rStyle w:val="NormalTok"/>
        </w:rPr>
        <w:t xml:space="preserve">(uu))[</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where ACR becomes the harsher rule</w:t>
      </w:r>
      <w:r>
        <w:br/>
      </w:r>
      <w:r>
        <w:rPr>
          <w:rStyle w:val="CommentTok"/>
        </w:rPr>
        <w:t xml:space="preserve">#&gt; [1] 14.68</w:t>
      </w:r>
    </w:p>
    <w:p>
      <w:pPr>
        <w:pStyle w:val="FirstParagraph"/>
      </w:pPr>
      <w:r>
        <w:t xml:space="preserve">Below about fifteen per cent uncertainty ACR is the most forgiving of the three and ART the least; above it the ordering reverses and ACR becomes much the harshest. A project choosing a registry on the strength of its uncertainty deduction needs to know which side of that line it sits on, and a verifier reading a comparison written by a project developer should check which side the developer assumed.</w:t>
      </w:r>
    </w:p>
    <w:bookmarkStart w:id="163" w:name="where-these-rules-are-written"/>
    <w:p>
      <w:pPr>
        <w:pStyle w:val="Heading4"/>
      </w:pPr>
      <w:r>
        <w:t xml:space="preserve">Where these rules are written</w:t>
      </w:r>
    </w:p>
    <w:p>
      <w:pPr>
        <w:pStyle w:val="FirstParagraph"/>
      </w:pPr>
      <w:r>
        <w:t xml:space="preserve">Check the version before relying on any of this. Registry documents move, and</w:t>
      </w:r>
      <w:r>
        <w:t xml:space="preserve"> </w:t>
      </w:r>
      <w:r>
        <w:t xml:space="preserve">several of these were revised in the last two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ACR</w:t>
            </w:r>
          </w:p>
        </w:tc>
        <w:tc>
          <w:tcPr/>
          <w:p>
            <w:pPr>
              <w:pStyle w:val="Compact"/>
            </w:pPr>
            <w:r>
              <w:t xml:space="preserve">ART-TREES</w:t>
            </w:r>
          </w:p>
        </w:tc>
        <w:tc>
          <w:tcPr/>
          <w:p>
            <w:pPr>
              <w:pStyle w:val="Compact"/>
            </w:pPr>
            <w:r>
              <w:t xml:space="preserve">Verra</w:t>
            </w:r>
          </w:p>
        </w:tc>
      </w:tr>
      <w:tr>
        <w:tc>
          <w:tcPr/>
          <w:p>
            <w:pPr>
              <w:pStyle w:val="Compact"/>
            </w:pPr>
            <w:r>
              <w:t xml:space="preserve">Document</w:t>
            </w:r>
          </w:p>
        </w:tc>
        <w:tc>
          <w:tcPr/>
          <w:p>
            <w:pPr>
              <w:pStyle w:val="Compact"/>
            </w:pPr>
            <w:r>
              <w:t xml:space="preserve">IFM on Non-Federal U.S. Forestlands v2.1, s.7.5</w:t>
            </w:r>
          </w:p>
        </w:tc>
        <w:tc>
          <w:tcPr/>
          <w:p>
            <w:pPr>
              <w:pStyle w:val="Compact"/>
            </w:pPr>
            <w:r>
              <w:t xml:space="preserve">TREES Standard, s.8</w:t>
            </w:r>
          </w:p>
        </w:tc>
        <w:tc>
          <w:tcPr/>
          <w:p>
            <w:pPr>
              <w:pStyle w:val="Compact"/>
            </w:pPr>
            <w:r>
              <w:t xml:space="preserve">VMD0055 v1.1, s.5.3.2.3 Step 4</w:t>
            </w:r>
          </w:p>
        </w:tc>
      </w:tr>
      <w:tr>
        <w:tc>
          <w:tcPr/>
          <w:p>
            <w:pPr>
              <w:pStyle w:val="Compact"/>
            </w:pPr>
            <w:r>
              <w:t xml:space="preserve">Equations</w:t>
            </w:r>
          </w:p>
        </w:tc>
        <w:tc>
          <w:tcPr/>
          <w:p>
            <w:pPr>
              <w:pStyle w:val="Compact"/>
            </w:pPr>
            <w:r>
              <w:t xml:space="preserve">22 (total uncertainty), 23 (deduction)</w:t>
            </w:r>
          </w:p>
        </w:tc>
        <w:tc>
          <w:tcPr/>
          <w:p>
            <w:pPr>
              <w:pStyle w:val="Compact"/>
            </w:pPr>
            <w:r>
              <w:t xml:space="preserve">11 (uncertainty adjustment factor)</w:t>
            </w:r>
          </w:p>
        </w:tc>
        <w:tc>
          <w:tcPr/>
          <w:p>
            <w:pPr>
              <w:pStyle w:val="Compact"/>
            </w:pPr>
            <w:r>
              <w:t xml:space="preserve">10 and 11 (discount factor)</w:t>
            </w:r>
          </w:p>
        </w:tc>
      </w:tr>
      <w:tr>
        <w:tc>
          <w:tcPr/>
          <w:p>
            <w:pPr>
              <w:pStyle w:val="Compact"/>
            </w:pPr>
            <w:r>
              <w:t xml:space="preserve">Quantity</w:t>
            </w:r>
          </w:p>
        </w:tc>
        <w:tc>
          <w:tcPr/>
          <w:p>
            <w:pPr>
              <w:pStyle w:val="Compact"/>
            </w:pPr>
            <w:r>
              <w:t xml:space="preserve">Magnitude-weighted quadratic mean of baseline and project uncertainty</w:t>
            </w:r>
          </w:p>
        </w:tc>
        <w:tc>
          <w:tcPr/>
          <w:p>
            <w:pPr>
              <w:pStyle w:val="Compact"/>
            </w:pPr>
            <w:r>
              <w:t xml:space="preserve">Half-width of 90% CI as % of the mean</w:t>
            </w:r>
          </w:p>
        </w:tc>
        <w:tc>
          <w:tcPr/>
          <w:p>
            <w:pPr>
              <w:pStyle w:val="Compact"/>
            </w:pPr>
            <w:r>
              <w:t xml:space="preserve">Half-width of two-sided 90% CI as % of the estimate</w:t>
            </w:r>
          </w:p>
        </w:tc>
      </w:tr>
      <w:tr>
        <w:tc>
          <w:tcPr/>
          <w:p>
            <w:pPr>
              <w:pStyle w:val="Compact"/>
            </w:pPr>
            <w:r>
              <w:t xml:space="preserve">Threshold</w:t>
            </w:r>
          </w:p>
        </w:tc>
        <w:tc>
          <w:tcPr/>
          <w:p>
            <w:pPr>
              <w:pStyle w:val="Compact"/>
            </w:pPr>
            <w:r>
              <w:t xml:space="preserve">10%</w:t>
            </w:r>
          </w:p>
        </w:tc>
        <w:tc>
          <w:tcPr/>
          <w:p>
            <w:pPr>
              <w:pStyle w:val="Compact"/>
            </w:pPr>
            <w:r>
              <w:t xml:space="preserve">none</w:t>
            </w:r>
          </w:p>
        </w:tc>
        <w:tc>
          <w:tcPr/>
          <w:p>
            <w:pPr>
              <w:pStyle w:val="Compact"/>
            </w:pPr>
            <w:r>
              <w:t xml:space="preserve">10%</w:t>
            </w:r>
          </w:p>
        </w:tc>
      </w:tr>
      <w:tr>
        <w:tc>
          <w:tcPr/>
          <w:p>
            <w:pPr>
              <w:pStyle w:val="Compact"/>
            </w:pPr>
            <w:r>
              <w:t xml:space="preserve">Deduction</w:t>
            </w:r>
          </w:p>
        </w:tc>
        <w:tc>
          <w:tcPr/>
          <w:p>
            <w:pPr>
              <w:pStyle w:val="Compact"/>
            </w:pPr>
            <w:r>
              <w:t xml:space="preserve">excess over 10%, one for one</w:t>
            </w:r>
          </w:p>
        </w:tc>
        <w:tc>
          <w:tcPr/>
          <w:p>
            <w:pPr>
              <w:pStyle w:val="Compact"/>
            </w:pPr>
            <m:oMath>
              <m:r>
                <m:t>0.524417</m:t>
              </m:r>
              <m:r>
                <m:rPr>
                  <m:sty m:val="p"/>
                </m:rPr>
                <m:t>×</m:t>
              </m:r>
              <m:sSub>
                <m:e>
                  <m:r>
                    <m:rPr>
                      <m:nor/>
                      <m:sty m:val="p"/>
                    </m:rPr>
                    <m:t>CI</m:t>
                  </m:r>
                </m:e>
                <m:sub>
                  <m:r>
                    <m:t>90</m:t>
                  </m:r>
                </m:sub>
              </m:sSub>
              <m:r>
                <m:rPr>
                  <m:sty m:val="p"/>
                </m:rPr>
                <m:t>/</m:t>
              </m:r>
              <m:r>
                <m:t>1.645006</m:t>
              </m:r>
            </m:oMath>
          </w:p>
        </w:tc>
        <w:tc>
          <w:tcPr/>
          <w:p>
            <w:pPr>
              <w:pStyle w:val="Compact"/>
            </w:pPr>
            <m:oMath>
              <m:r>
                <m:t>U</m:t>
              </m:r>
              <m:r>
                <m:rPr>
                  <m:sty m:val="p"/>
                </m:rPr>
                <m:t>%</m:t>
              </m:r>
              <m:r>
                <m:rPr>
                  <m:sty m:val="p"/>
                </m:rPr>
                <m:t>×</m:t>
              </m:r>
              <m:sSub>
                <m:e>
                  <m:r>
                    <m:t>t</m:t>
                  </m:r>
                </m:e>
                <m:sub>
                  <m:r>
                    <m:t>66.67</m:t>
                  </m:r>
                  <m:r>
                    <m:rPr>
                      <m:sty m:val="p"/>
                    </m:rPr>
                    <m:t>%</m:t>
                  </m:r>
                </m:sub>
              </m:sSub>
              <m:r>
                <m:rPr>
                  <m:sty m:val="p"/>
                </m:rPr>
                <m:t>/</m:t>
              </m:r>
              <m:d>
                <m:dPr>
                  <m:begChr m:val="("/>
                  <m:sepChr m:val=""/>
                  <m:endChr m:val=")"/>
                  <m:grow/>
                </m:dPr>
                <m:e>
                  <m:r>
                    <m:t>100</m:t>
                  </m:r>
                  <m:r>
                    <m:rPr>
                      <m:sty m:val="p"/>
                    </m:rPr>
                    <m:t>×</m:t>
                  </m:r>
                  <m:sSub>
                    <m:e>
                      <m:r>
                        <m:t>t</m:t>
                      </m:r>
                    </m:e>
                    <m:sub>
                      <m:r>
                        <m:t>10</m:t>
                      </m:r>
                      <m:r>
                        <m:rPr>
                          <m:sty m:val="p"/>
                        </m:rPr>
                        <m:t>%</m:t>
                      </m:r>
                    </m:sub>
                  </m:sSub>
                </m:e>
              </m:d>
            </m:oMath>
          </w:p>
        </w:tc>
      </w:tr>
      <w:tr>
        <w:tc>
          <w:tcPr/>
          <w:p>
            <w:pPr>
              <w:pStyle w:val="Compact"/>
            </w:pPr>
            <w:r>
              <w:rPr>
                <w:i/>
                <w:iCs/>
              </w:rPr>
              <w:t xml:space="preserve">t</w:t>
            </w:r>
            <w:r>
              <w:t xml:space="preserve"> </w:t>
            </w:r>
            <w:r>
              <w:t xml:space="preserve">values</w:t>
            </w:r>
          </w:p>
        </w:tc>
        <w:tc>
          <w:tcPr/>
          <w:p>
            <w:pPr>
              <w:pStyle w:val="Compact"/>
            </w:pPr>
            <w:r>
              <w:t xml:space="preserve">precision requirement is ±10% at 90%</w:t>
            </w:r>
          </w:p>
        </w:tc>
        <w:tc>
          <w:tcPr/>
          <w:p>
            <w:pPr>
              <w:pStyle w:val="Compact"/>
            </w:pPr>
            <w:r>
              <w:t xml:space="preserve">0.524417 and 1.645006</w:t>
            </w:r>
          </w:p>
        </w:tc>
        <w:tc>
          <w:tcPr/>
          <w:p>
            <w:pPr>
              <w:pStyle w:val="Compact"/>
            </w:pPr>
            <w:r>
              <w:t xml:space="preserve">0.4307 and 1.6449</w:t>
            </w:r>
          </w:p>
        </w:tc>
      </w:tr>
      <w:tr>
        <w:tc>
          <w:tcPr/>
          <w:p>
            <w:pPr>
              <w:pStyle w:val="Compact"/>
            </w:pPr>
            <w:r>
              <w:t xml:space="preserve">Cap</w:t>
            </w:r>
          </w:p>
        </w:tc>
        <w:tc>
          <w:tcPr/>
          <w:p>
            <w:pPr>
              <w:pStyle w:val="Compact"/>
            </w:pPr>
            <w:r>
              <w:t xml:space="preserve">none stated in the methodology</w:t>
            </w:r>
          </w:p>
        </w:tc>
        <w:tc>
          <w:tcPr/>
          <w:p>
            <w:pPr>
              <w:pStyle w:val="Compact"/>
            </w:pPr>
            <w:r>
              <w:t xml:space="preserve">none</w:t>
            </w:r>
          </w:p>
        </w:tc>
        <w:tc>
          <w:tcPr/>
          <w:p>
            <w:pPr>
              <w:pStyle w:val="Compact"/>
            </w:pPr>
            <w:r>
              <w:t xml:space="preserve">uncertainty must stay below 100%; beyond that, resample</w:t>
            </w:r>
          </w:p>
        </w:tc>
      </w:tr>
    </w:tbl>
    <w:p>
      <w:pPr>
        <w:pStyle w:val="BodyText"/>
      </w:pPr>
      <w:r>
        <w:t xml:space="preserve">ACR’s Equation 22 is worth reading closely, because it is not simple quadrature.</w:t>
      </w:r>
      <w:r>
        <w:t xml:space="preserve"> </w:t>
      </w:r>
      <w:r>
        <w:t xml:space="preserve">Each term is a carbon stock change multiplied by its own percentage uncertainty,</w:t>
      </w:r>
      <w:r>
        <w:t xml:space="preserve"> </w:t>
      </w:r>
      <w:r>
        <w:t xml:space="preserve">the squares of those products are summed under a root, and the whole is divided</w:t>
      </w:r>
      <w:r>
        <w:t xml:space="preserve"> </w:t>
      </w:r>
      <w:r>
        <w:t xml:space="preserve">by the sum of the unweighted magnitudes. A pool that barely moves contributes</w:t>
      </w:r>
      <w:r>
        <w:t xml:space="preserve"> </w:t>
      </w:r>
      <w:r>
        <w:t xml:space="preserve">almost nothing however uncertain it is. Note also that the equation includes</w:t>
      </w:r>
      <w:r>
        <w:t xml:space="preserve"> </w:t>
      </w:r>
      <w:r>
        <w:t xml:space="preserve">harvested wood products terms alongside the stock changes, which an</w:t>
      </w:r>
      <w:r>
        <w:t xml:space="preserve"> </w:t>
      </w:r>
      <w:r>
        <w:t xml:space="preserve">implementation that only carries baseline and project stock change will omit.</w:t>
      </w:r>
    </w:p>
    <w:p>
      <w:pPr>
        <w:pStyle w:val="BodyText"/>
      </w:pPr>
      <w:r>
        <w:t xml:space="preserve">The ART constants are unchanged between Standard 2.0 (August 2021) and 3.0</w:t>
      </w:r>
      <w:r>
        <w:t xml:space="preserve"> </w:t>
      </w:r>
      <w:r>
        <w:t xml:space="preserve">(July 2025), so the arithmetic here is stable across that revision even though</w:t>
      </w:r>
      <w:r>
        <w:t xml:space="preserve"> </w:t>
      </w:r>
      <w:r>
        <w:t xml:space="preserve">much else in TREES is not.</w:t>
      </w:r>
    </w:p>
    <w:p>
      <w:pPr>
        <w:pStyle w:val="BodyText"/>
      </w:pPr>
      <w:r>
        <w:t xml:space="preserve">Two things that catch people out. Verra’s uncertainty rules are not in VM0048</w:t>
      </w:r>
      <w:r>
        <w:t xml:space="preserve"> </w:t>
      </w:r>
      <w:r>
        <w:t xml:space="preserve">itself, which is a short framework document; they are in module VMD0055. And</w:t>
      </w:r>
      <w:r>
        <w:t xml:space="preserve"> </w:t>
      </w:r>
      <w:r>
        <w:t xml:space="preserve">VM0007 has not been superseded by VM0048, so two different uncertainty regimes</w:t>
      </w:r>
      <w:r>
        <w:t xml:space="preserve"> </w:t>
      </w:r>
      <w:r>
        <w:t xml:space="preserve">remain live inside Verra at the same time.</w:t>
      </w:r>
    </w:p>
    <w:bookmarkEnd w:id="163"/>
    <w:bookmarkStart w:id="164" w:name="X1adbbc6c375bc085404a352126ad84b7a6481c2"/>
    <w:p>
      <w:pPr>
        <w:pStyle w:val="Heading4"/>
      </w:pPr>
      <w:r>
        <w:t xml:space="preserve">Why VM0048 samples rather than counts pixels</w:t>
      </w:r>
    </w:p>
    <w:p>
      <w:pPr>
        <w:pStyle w:val="FirstParagraph"/>
      </w:pPr>
      <w:r>
        <w:t xml:space="preserve">VM0048 sets a resolution rule that looks odd until you see the reasoning. The</w:t>
      </w:r>
      <w:r>
        <w:t xml:space="preserve"> </w:t>
      </w:r>
      <w:r>
        <w:t xml:space="preserve">wall-to-wall forest cover benchmark map must be at 30 m or finer and</w:t>
      </w:r>
      <w:r>
        <w:t xml:space="preserve"> </w:t>
      </w:r>
      <w:r>
        <w:rPr>
          <w:i/>
          <w:iCs/>
        </w:rPr>
        <w:t xml:space="preserve">must not</w:t>
      </w:r>
      <w:r>
        <w:rPr>
          <w:i/>
          <w:iCs/>
        </w:rPr>
        <w:t xml:space="preserve"> </w:t>
      </w:r>
      <w:r>
        <w:rPr>
          <w:i/>
          <w:iCs/>
        </w:rPr>
        <w:t xml:space="preserve">exceed</w:t>
      </w:r>
      <w:r>
        <w:t xml:space="preserve"> </w:t>
      </w:r>
      <w:r>
        <w:t xml:space="preserve">30 m, with the minimum mapping unit set equal to the minimum area in the</w:t>
      </w:r>
      <w:r>
        <w:t xml:space="preserve"> </w:t>
      </w:r>
      <w:r>
        <w:t xml:space="preserve">forest definition, while imagery inside sample plots must be 10 m or finer.</w:t>
      </w:r>
    </w:p>
    <w:p>
      <w:pPr>
        <w:pStyle w:val="BodyText"/>
      </w:pPr>
      <w:r>
        <w:t xml:space="preserve">The split exists because the map is not the estimator. VM0048 derives activity</w:t>
      </w:r>
      <w:r>
        <w:t xml:space="preserve"> </w:t>
      </w:r>
      <w:r>
        <w:t xml:space="preserve">data from a probability sample; the map only stratifies that sample. This is the</w:t>
      </w:r>
      <w:r>
        <w:t xml:space="preserve"> </w:t>
      </w:r>
      <w:r>
        <w:t xml:space="preserve">same argument the area-adjusted accuracy section above makes from the other</w:t>
      </w:r>
      <w:r>
        <w:t xml:space="preserve"> </w:t>
      </w:r>
      <w:r>
        <w:t xml:space="preserve">direction, and it is the cleanest statement in any standard of why counting</w:t>
      </w:r>
      <w:r>
        <w:t xml:space="preserve"> </w:t>
      </w:r>
      <w:r>
        <w:t xml:space="preserve">classified pixels is a biased way to estimate area.</w:t>
      </w:r>
    </w:p>
    <w:p>
      <w:pPr>
        <w:pStyle w:val="BodyText"/>
      </w:pPr>
      <w:r>
        <w:t xml:space="preserve">The accuracy requirements follow from that: over the historical reference period,</w:t>
      </w:r>
      <w:r>
        <w:t xml:space="preserve"> </w:t>
      </w:r>
      <w:r>
        <w:t xml:space="preserve">deforestation needs user’s and producer’s accuracy at 70 per cent or better, and</w:t>
      </w:r>
      <w:r>
        <w:t xml:space="preserve"> </w:t>
      </w:r>
      <w:r>
        <w:t xml:space="preserve">forest at the end of the period better than 90 per cent, with at least 100 sample</w:t>
      </w:r>
      <w:r>
        <w:t xml:space="preserve"> </w:t>
      </w:r>
      <w:r>
        <w:t xml:space="preserve">observations per class and 200 per estimate. Open-canopy jurisdictions, where at</w:t>
      </w:r>
      <w:r>
        <w:t xml:space="preserve"> </w:t>
      </w:r>
      <w:r>
        <w:t xml:space="preserve">least half the forest carries under 50 per cent canopy cover, may use 60 and 80</w:t>
      </w:r>
      <w:r>
        <w:t xml:space="preserve"> </w:t>
      </w:r>
      <w:r>
        <w:t xml:space="preserve">per cent instead.</w:t>
      </w:r>
    </w:p>
    <w:p>
      <w:pPr>
        <w:pStyle w:val="BodyText"/>
      </w:pPr>
      <w:r>
        <w:t xml:space="preserve">ACR’s Improved Forest Management methodology, by contrast, sets no minimum</w:t>
      </w:r>
      <w:r>
        <w:t xml:space="preserve"> </w:t>
      </w:r>
      <w:r>
        <w:t xml:space="preserve">mapping unit and requires no accuracy assessment at all, because its uncertainty</w:t>
      </w:r>
      <w:r>
        <w:t xml:space="preserve"> </w:t>
      </w:r>
      <w:r>
        <w:t xml:space="preserve">is field-inventory sampling error rather than map classification error. The two</w:t>
      </w:r>
      <w:r>
        <w:t xml:space="preserve"> </w:t>
      </w:r>
      <w:r>
        <w:t xml:space="preserve">standards are not measuring the same thing, which is worth remembering before</w:t>
      </w:r>
      <w:r>
        <w:t xml:space="preserve"> </w:t>
      </w:r>
      <w:r>
        <w:t xml:space="preserve">comparing their uncertainty figures.</w:t>
      </w:r>
    </w:p>
    <w:bookmarkEnd w:id="164"/>
    <w:bookmarkEnd w:id="165"/>
    <w:bookmarkStart w:id="166" w:name="exercises-8"/>
    <w:p>
      <w:pPr>
        <w:pStyle w:val="Heading2"/>
      </w:pPr>
      <w:r>
        <w:t xml:space="preserve">9.11 Exercises</w:t>
      </w:r>
    </w:p>
    <w:p>
      <w:pPr>
        <w:pStyle w:val="Compact"/>
        <w:numPr>
          <w:ilvl w:val="0"/>
          <w:numId w:val="1010"/>
        </w:numPr>
      </w:pPr>
      <w:r>
        <w:t xml:space="preserve">Recompute the sampling confidence interval using a 4-by-6 quadrat grid instead of 8-by-12. Does the mean change? Does the standard error? Explain the difference.</w:t>
      </w:r>
    </w:p>
    <w:p>
      <w:pPr>
        <w:pStyle w:val="Compact"/>
        <w:numPr>
          <w:ilvl w:val="0"/>
          <w:numId w:val="1010"/>
        </w:numPr>
      </w:pPr>
      <w:r>
        <w:t xml:space="preserve">In the Monte Carlo, double the uncertainty on the carbon fraction (sd 0.04) and rerun. How much does the uncertainty percentage grow, and would it now trigger a 15% deduction?</w:t>
      </w:r>
    </w:p>
    <w:p>
      <w:pPr>
        <w:pStyle w:val="Compact"/>
        <w:numPr>
          <w:ilvl w:val="0"/>
          <w:numId w:val="1010"/>
        </w:numPr>
      </w:pPr>
      <w:r>
        <w:t xml:space="preserve">Report the conservative (lower-bound) carbon density and express the forgone credit as a percentage of the mean. In one sentence, state the incentive this creates.</w:t>
      </w:r>
    </w:p>
    <w:p>
      <w:pPr>
        <w:pStyle w:val="Compact"/>
        <w:numPr>
          <w:ilvl w:val="0"/>
          <w:numId w:val="1010"/>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66"/>
    <w:bookmarkEnd w:id="167"/>
    <w:bookmarkStart w:id="196" w:name="time-series"/>
    <w:p>
      <w:pPr>
        <w:pStyle w:val="Heading1"/>
      </w:pPr>
      <w:r>
        <w:t xml:space="preserve">10. Time Series</w:t>
      </w:r>
    </w:p>
    <w:bookmarkStart w:id="168" w:name="data-cubes"/>
    <w:p>
      <w:pPr>
        <w:pStyle w:val="Heading2"/>
      </w:pPr>
      <w:r>
        <w:t xml:space="preserve">10.1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w:t>
      </w:r>
    </w:p>
    <w:p>
      <w:pPr>
        <w:pStyle w:val="BodyText"/>
      </w:pPr>
      <w:r>
        <w:t xml:space="preserve">The word cube is meant literally. The data have three axes and you must hold all three in mind at once. Two are spatial,</w:t>
      </w:r>
      <w:r>
        <w:t xml:space="preserve"> </w:t>
      </w:r>
      <m:oMath>
        <m:r>
          <m:t>x</m:t>
        </m:r>
      </m:oMath>
      <w:r>
        <w:t xml:space="preserve"> </w:t>
      </w:r>
      <w:r>
        <w:t xml:space="preserve">and</w:t>
      </w:r>
      <w:r>
        <w:t xml:space="preserve"> </w:t>
      </w:r>
      <m:oMath>
        <m:r>
          <m:t>y</m:t>
        </m:r>
      </m:oMath>
      <w:r>
        <w:t xml:space="preserve">, the familiar grid of the earlier chapters. The third is time,</w:t>
      </w:r>
      <w:r>
        <w:t xml:space="preserve"> </w:t>
      </w:r>
      <m:oMath>
        <m:r>
          <m:t>t</m:t>
        </m:r>
      </m:oMath>
      <w:r>
        <w:t xml:space="preserve">, and it is the one that changes how everything must be handled, because unlike</w:t>
      </w:r>
      <w:r>
        <w:t xml:space="preserve"> </w:t>
      </w:r>
      <m:oMath>
        <m:r>
          <m:t>x</m:t>
        </m:r>
      </m:oMath>
      <w:r>
        <w:t xml:space="preserve"> </w:t>
      </w:r>
      <w:r>
        <w:t xml:space="preserve">and</w:t>
      </w:r>
      <w:r>
        <w:t xml:space="preserve"> </w:t>
      </w:r>
      <m:oMath>
        <m:r>
          <m:t>y</m:t>
        </m:r>
      </m:oMath>
      <w:r>
        <w:t xml:space="preserve"> </w:t>
      </w:r>
      <w:r>
        <w:t xml:space="preserve">it is not sampled on a regular grid unless you force it to be. A satellite revisits on a fixed cycle but returns a usable observation only when the sky is clear, so the raw time axis is ragged. Operational cubes carry a fourth axis as well, the spectral band, which is why real archives are four-dimensional arrays and why the software built for them,</w:t>
      </w:r>
      <w:r>
        <w:t xml:space="preserve"> </w:t>
      </w:r>
      <w:r>
        <w:rPr>
          <w:rStyle w:val="VerbatimChar"/>
        </w:rPr>
        <w:t xml:space="preserve">gdalcubes</w:t>
      </w:r>
      <w:r>
        <w:t xml:space="preserve"> </w:t>
      </w:r>
      <w:r>
        <w:t xml:space="preserve">and</w:t>
      </w:r>
      <w:r>
        <w:t xml:space="preserve"> </w:t>
      </w:r>
      <w:r>
        <w:rPr>
          <w:rStyle w:val="VerbatimChar"/>
        </w:rPr>
        <w:t xml:space="preserve">sits</w:t>
      </w:r>
      <w:r>
        <w:t xml:space="preserve"> </w:t>
      </w:r>
      <w:r>
        <w:t xml:space="preserve">in R, is organised around regularising all four at once</w:t>
      </w:r>
      <w:r>
        <w:t xml:space="preserve"> </w:t>
      </w:r>
      <w:r>
        <w:t xml:space="preserve">(Appel &amp; Pebesma, 2019; Simões et al., 2021)</w:t>
      </w:r>
      <w:r>
        <w:t xml:space="preserve">.</w:t>
      </w:r>
    </w:p>
    <w:p>
      <w:pPr>
        <w:pStyle w:val="BodyText"/>
      </w:pPr>
      <w:r>
        <w:t xml:space="preserve">We build a monthly index cube over the plot spanning nine years. It carries three things a real optical record carries: a slow downward trend, an annual seasonal swing from leaf-on to leaf-off, and observation noise. A fire clears a block in mid-2021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dates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"2016-01-15"</w:t>
      </w:r>
      <w:r>
        <w:rPr>
          <w:rStyle w:val="NormalTok"/>
        </w:rPr>
        <w:t xml:space="preserve">), </w:t>
      </w:r>
      <w:r>
        <w:rPr>
          <w:rStyle w:val="FunctionTok"/>
        </w:rPr>
        <w:t xml:space="preserve">as.Date</w:t>
      </w:r>
      <w:r>
        <w:rPr>
          <w:rStyle w:val="NormalTok"/>
        </w:rPr>
        <w:t xml:space="preserve">(</w:t>
      </w:r>
      <w:r>
        <w:rPr>
          <w:rStyle w:val="StringTok"/>
        </w:rPr>
        <w:t xml:space="preserve">"2024-12-15"</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doy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"%j"</w:t>
      </w:r>
      <w:r>
        <w:rPr>
          <w:rStyle w:val="NormalTok"/>
        </w:rPr>
        <w:t xml:space="preserve">))</w:t>
      </w:r>
      <w:r>
        <w:br/>
      </w:r>
      <w:r>
        <w:rPr>
          <w:rStyle w:val="NormalTok"/>
        </w:rPr>
        <w:t xml:space="preserve">yfrac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(doy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365</w:t>
      </w:r>
      <w:r>
        <w:br/>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747850</w:t>
      </w:r>
      <w:r>
        <w:rPr>
          <w:rStyle w:val="NormalTok"/>
        </w:rPr>
        <w:t xml:space="preserve"> </w:t>
      </w:r>
      <w:r>
        <w:rPr>
          <w:rStyle w:val="SpecialCharTok"/>
        </w:rPr>
        <w:t xml:space="preserve">&amp;</w:t>
      </w:r>
      <w:r>
        <w:br/>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4309150</w:t>
      </w:r>
      <w:r>
        <w:br/>
      </w:r>
      <w:r>
        <w:br/>
      </w:r>
      <w:r>
        <w:rPr>
          <w:rStyle w:val="CommentTok"/>
        </w:rPr>
        <w:t xml:space="preserve"># simulated: trend + seasonal cycle + noise, with a 2021 fire in the burn box</w:t>
      </w:r>
      <w:r>
        <w:br/>
      </w:r>
      <w:r>
        <w:rPr>
          <w:rStyle w:val="NormalTok"/>
        </w:rPr>
        <w:t xml:space="preserve">mcube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(dates), </w:t>
      </w:r>
      <w:r>
        <w:rPr>
          <w:rStyle w:val="ControlFlowTok"/>
        </w:rPr>
        <w:t xml:space="preserve">function</w:t>
      </w:r>
      <w:r>
        <w:rPr>
          <w:rStyle w:val="NormalTok"/>
        </w:rPr>
        <w:t xml:space="preserve">(k) {</w:t>
      </w:r>
      <w:r>
        <w:br/>
      </w:r>
      <w:r>
        <w:rPr>
          <w:rStyle w:val="NormalTok"/>
        </w:rPr>
        <w:t xml:space="preserve">  seas </w:t>
      </w:r>
      <w:r>
        <w:rPr>
          <w:rStyle w:val="OtherTok"/>
        </w:rPr>
        <w:t xml:space="preserve">&lt;-</w:t>
      </w:r>
      <w:r>
        <w:rPr>
          <w:rStyle w:val="NormalTok"/>
        </w:rPr>
        <w:t xml:space="preserve"> </w:t>
      </w:r>
      <w:r>
        <w:rPr>
          <w:rStyle w:val="FloatTok"/>
        </w:rPr>
        <w:t xml:space="preserve">0.25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loatTok"/>
        </w:rPr>
        <w:t xml:space="preserve">0.62</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(yfrac[k] </w:t>
      </w:r>
      <w:r>
        <w:rPr>
          <w:rStyle w:val="SpecialCharTok"/>
        </w:rPr>
        <w:t xml:space="preserve">-</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seas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ControlFlowTok"/>
        </w:rPr>
        <w:t xml:space="preserve">if</w:t>
      </w:r>
      <w:r>
        <w:rPr>
          <w:rStyle w:val="NormalTok"/>
        </w:rPr>
        <w:t xml:space="preserve"> (yfrac[k] </w:t>
      </w:r>
      <w:r>
        <w:rPr>
          <w:rStyle w:val="SpecialCharTok"/>
        </w:rPr>
        <w:t xml:space="preserve">&gt;=</w:t>
      </w:r>
      <w:r>
        <w:rPr>
          <w:rStyle w:val="NormalTok"/>
        </w:rPr>
        <w:t xml:space="preserve"> </w:t>
      </w:r>
      <w:r>
        <w:rPr>
          <w:rStyle w:val="FloatTok"/>
        </w:rPr>
        <w:t xml:space="preserve">2021.5</w:t>
      </w:r>
      <w:r>
        <w:rPr>
          <w:rStyle w:val="NormalTok"/>
        </w:rPr>
        <w:t xml:space="preserve">) {</w:t>
      </w:r>
      <w:r>
        <w:br/>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loatTok"/>
        </w:rPr>
        <w:t xml:space="preserve">0.06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(mcube) </w:t>
      </w:r>
      <w:r>
        <w:rPr>
          <w:rStyle w:val="OtherTok"/>
        </w:rPr>
        <w:t xml:space="preserve">&lt;-</w:t>
      </w:r>
      <w:r>
        <w:rPr>
          <w:rStyle w:val="NormalTok"/>
        </w:rPr>
        <w:t xml:space="preserve"> </w:t>
      </w:r>
      <w:r>
        <w:rPr>
          <w:rStyle w:val="FunctionTok"/>
        </w:rPr>
        <w:t xml:space="preserve">format</w:t>
      </w:r>
      <w:r>
        <w:rPr>
          <w:rStyle w:val="NormalTok"/>
        </w:rPr>
        <w:t xml:space="preserve">(dates, </w:t>
      </w:r>
      <w:r>
        <w:rPr>
          <w:rStyle w:val="StringTok"/>
        </w:rPr>
        <w:t xml:space="preserve">"%Y-%m"</w:t>
      </w:r>
      <w:r>
        <w:rPr>
          <w:rStyle w:val="NormalTok"/>
        </w:rPr>
        <w:t xml:space="preserve">)</w:t>
      </w:r>
      <w:r>
        <w:br/>
      </w:r>
      <w:r>
        <w:rPr>
          <w:rStyle w:val="NormalTok"/>
        </w:rPr>
        <w:t xml:space="preserve">terra</w:t>
      </w:r>
      <w:r>
        <w:rPr>
          <w:rStyle w:val="SpecialCharTok"/>
        </w:rPr>
        <w:t xml:space="preserve">::</w:t>
      </w:r>
      <w:r>
        <w:rPr>
          <w:rStyle w:val="FunctionTok"/>
        </w:rPr>
        <w:t xml:space="preserve">time</w:t>
      </w:r>
      <w:r>
        <w:rPr>
          <w:rStyle w:val="NormalTok"/>
        </w:rPr>
        <w:t xml:space="preserve">(mcube) </w:t>
      </w:r>
      <w:r>
        <w:rPr>
          <w:rStyle w:val="OtherTok"/>
        </w:rPr>
        <w:t xml:space="preserve">&lt;-</w:t>
      </w:r>
      <w:r>
        <w:rPr>
          <w:rStyle w:val="NormalTok"/>
        </w:rPr>
        <w:t xml:space="preserve"> dates</w:t>
      </w:r>
      <w:r>
        <w:br/>
      </w:r>
      <w:r>
        <w:rPr>
          <w:rStyle w:val="FunctionTok"/>
        </w:rPr>
        <w:t xml:space="preserve">c</w:t>
      </w:r>
      <w:r>
        <w:rPr>
          <w:rStyle w:val="NormalTok"/>
        </w:rPr>
        <w:t xml:space="preserve">(</w:t>
      </w:r>
      <w:r>
        <w:rPr>
          <w:rStyle w:val="AttributeTok"/>
        </w:rPr>
        <w:t xml:space="preserve">layers =</w:t>
      </w:r>
      <w:r>
        <w:rPr>
          <w:rStyle w:val="NormalTok"/>
        </w:rPr>
        <w:t xml:space="preserve"> </w:t>
      </w:r>
      <w:r>
        <w:rPr>
          <w:rStyle w:val="FunctionTok"/>
        </w:rPr>
        <w:t xml:space="preserve">nlyr</w:t>
      </w:r>
      <w:r>
        <w:rPr>
          <w:rStyle w:val="NormalTok"/>
        </w:rPr>
        <w:t xml:space="preserve">(mcube), </w:t>
      </w:r>
      <w:r>
        <w:rPr>
          <w:rStyle w:val="AttributeTok"/>
        </w:rPr>
        <w:t xml:space="preserve">cells =</w:t>
      </w:r>
      <w:r>
        <w:rPr>
          <w:rStyle w:val="NormalTok"/>
        </w:rPr>
        <w:t xml:space="preserve"> </w:t>
      </w:r>
      <w:r>
        <w:rPr>
          <w:rStyle w:val="FunctionTok"/>
        </w:rPr>
        <w:t xml:space="preserve">ncell</w:t>
      </w:r>
      <w:r>
        <w:rPr>
          <w:rStyle w:val="NormalTok"/>
        </w:rPr>
        <w:t xml:space="preserve">(mcube))</w:t>
      </w:r>
      <w:r>
        <w:br/>
      </w:r>
      <w:r>
        <w:rPr>
          <w:rStyle w:val="CommentTok"/>
        </w:rPr>
        <w:t xml:space="preserve">#&gt; layers  cells </w:t>
      </w:r>
      <w:r>
        <w:br/>
      </w:r>
      <w:r>
        <w:rPr>
          <w:rStyle w:val="CommentTok"/>
        </w:rPr>
        <w:t xml:space="preserve">#&gt;    108   2688</w:t>
      </w:r>
    </w:p>
    <w:bookmarkEnd w:id="168"/>
    <w:bookmarkStart w:id="178" w:name="the-two-planes"/>
    <w:p>
      <w:pPr>
        <w:pStyle w:val="Heading2"/>
      </w:pPr>
      <w:r>
        <w:t xml:space="preserve">10.2 The two planes</w:t>
      </w:r>
    </w:p>
    <w:p>
      <w:pPr>
        <w:pStyle w:val="FirstParagraph"/>
      </w:pPr>
      <w:r>
        <w:t xml:space="preserve">A cube can only be looked at one slice at a time, and there are two ways to cut it. Fix a date and you get the spatial plane: a map, every pixel at one instant, the view every earlier chapter of this book has used. Fix a pixel and you get the temporal plane: a profile, one location across every date, the view that makes change visible. Neither is complete. A map cannot tell you whether a low value is a burn scar or simply February, and a profile cannot tell you whether a decline is one pixel or the whole stand.</w:t>
      </w:r>
    </w:p>
    <w:p>
      <w:pPr>
        <w:pStyle w:val="CaptionedFigure"/>
      </w:pPr>
      <w:r>
        <w:drawing>
          <wp:inline>
            <wp:extent cx="5943600" cy="4754880"/>
            <wp:effectExtent b="0" l="0" r="0" t="0"/>
            <wp:docPr descr="Geometry of a space-time cube. Each horizontal sheet is one date. Cutting horizontally gives the spatial plane, a map; cutting vertically through a single pixel gives the temporal plane, a profile. The detail at right shows the fourth axis: every date is itself a stack of spectral bands." title="" id="170" name="Picture"/>
            <a:graphic>
              <a:graphicData uri="http://schemas.openxmlformats.org/drawingml/2006/picture">
                <pic:pic>
                  <pic:nvPicPr>
                    <pic:cNvPr descr="08-time-series_files/figure-docx/unnamed-chunk-2-1.png" id="171" name="Picture"/>
                    <pic:cNvPicPr>
                      <a:picLocks noChangeArrowheads="1" noChangeAspect="1"/>
                    </pic:cNvPicPr>
                  </pic:nvPicPr>
                  <pic:blipFill>
                    <a:blip r:embed="rId16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Geometry of a space-time cube. Each horizontal sheet is one date. Cutting horizontally gives the spatial plane, a map; cutting vertically through a single pixel gives the temporal plane, a profile. The detail at right shows the fourth axis: every date is itself a stack of spectral bands.</w:t>
      </w:r>
    </w:p>
    <w:p>
      <w:pPr>
        <w:pStyle w:val="BodyText"/>
      </w:pPr>
      <w:r>
        <w:t xml:space="preserve">Cut the cube both ways on the same data. Three dates from 2019, an undisturbed year, show the spatial plane swinging with the season while the map itself barely changes:</w:t>
      </w:r>
    </w:p>
    <w:p>
      <w:pPr>
        <w:pStyle w:val="SourceCode"/>
      </w:pPr>
      <w:r>
        <w:rPr>
          <w:rStyle w:val="FunctionTok"/>
        </w:rPr>
        <w:t xml:space="preserve">plot</w:t>
      </w:r>
      <w:r>
        <w:rPr>
          <w:rStyle w:val="NormalTok"/>
        </w:rPr>
        <w:t xml:space="preserve">(mcube[[</w:t>
      </w:r>
      <w:r>
        <w:rPr>
          <w:rStyle w:val="FunctionTok"/>
        </w:rPr>
        <w:t xml:space="preserve">c</w:t>
      </w:r>
      <w:r>
        <w:rPr>
          <w:rStyle w:val="NormalTok"/>
        </w:rPr>
        <w:t xml:space="preserve">(</w:t>
      </w:r>
      <w:r>
        <w:rPr>
          <w:rStyle w:val="StringTok"/>
        </w:rPr>
        <w:t xml:space="preserve">"2019-02"</w:t>
      </w:r>
      <w:r>
        <w:rPr>
          <w:rStyle w:val="NormalTok"/>
        </w:rPr>
        <w:t xml:space="preserve">, </w:t>
      </w:r>
      <w:r>
        <w:rPr>
          <w:rStyle w:val="StringTok"/>
        </w:rPr>
        <w:t xml:space="preserve">"2019-07"</w:t>
      </w:r>
      <w:r>
        <w:rPr>
          <w:rStyle w:val="NormalTok"/>
        </w:rPr>
        <w:t xml:space="preserve">, </w:t>
      </w:r>
      <w:r>
        <w:rPr>
          <w:rStyle w:val="StringTok"/>
        </w:rPr>
        <w:t xml:space="preserve">"2019-11"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"February 2019"</w:t>
      </w:r>
      <w:r>
        <w:rPr>
          <w:rStyle w:val="NormalTok"/>
        </w:rPr>
        <w:t xml:space="preserve">, </w:t>
      </w:r>
      <w:r>
        <w:rPr>
          <w:rStyle w:val="StringTok"/>
        </w:rPr>
        <w:t xml:space="preserve">"July 2019"</w:t>
      </w:r>
      <w:r>
        <w:rPr>
          <w:rStyle w:val="NormalTok"/>
        </w:rPr>
        <w:t xml:space="preserve">, </w:t>
      </w:r>
      <w:r>
        <w:rPr>
          <w:rStyle w:val="StringTok"/>
        </w:rPr>
        <w:t xml:space="preserve">"November 2019"</w:t>
      </w:r>
      <w:r>
        <w:rPr>
          <w:rStyle w:val="NormalTok"/>
        </w:rPr>
        <w:t xml:space="preserve">))</w:t>
      </w:r>
    </w:p>
    <w:p>
      <w:pPr>
        <w:pStyle w:val="FirstParagraph"/>
      </w:pPr>
      <w:r>
        <w:drawing>
          <wp:inline>
            <wp:extent cx="5943600" cy="4754880"/>
            <wp:effectExtent b="0" l="0" r="0" t="0"/>
            <wp:docPr descr="" title="" id="173" name="Picture"/>
            <a:graphic>
              <a:graphicData uri="http://schemas.openxmlformats.org/drawingml/2006/picture">
                <pic:pic>
                  <pic:nvPicPr>
                    <pic:cNvPr descr="08-time-series_files/figure-docx/unnamed-chunk-3-1.png" id="174" name="Picture"/>
                    <pic:cNvPicPr>
                      <a:picLocks noChangeArrowheads="1" noChangeAspect="1"/>
                    </pic:cNvPicPr>
                  </pic:nvPicPr>
                  <pic:blipFill>
                    <a:blip r:embed="rId1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same three maps differ by more than half an index unit, and nothing on the ground has changed. Now the temporal plane, two pixels drawn across all 108 dates, one inside the burn box and one outside it:</w:t>
      </w:r>
    </w:p>
    <w:p>
      <w:pPr>
        <w:pStyle w:val="SourceCode"/>
      </w:pPr>
      <w:r>
        <w:rPr>
          <w:rStyle w:val="NormalTok"/>
        </w:rPr>
        <w:t xml:space="preserve">inside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747775</w:t>
      </w:r>
      <w:r>
        <w:rPr>
          <w:rStyle w:val="NormalTok"/>
        </w:rPr>
        <w:t xml:space="preserve">, </w:t>
      </w:r>
      <w:r>
        <w:rPr>
          <w:rStyle w:val="DecValTok"/>
        </w:rPr>
        <w:t xml:space="preserve">4309075</w:t>
      </w:r>
      <w:r>
        <w:rPr>
          <w:rStyle w:val="NormalTok"/>
        </w:rPr>
        <w:t xml:space="preserve">))   </w:t>
      </w:r>
      <w:r>
        <w:rPr>
          <w:rStyle w:val="CommentTok"/>
        </w:rPr>
        <w:t xml:space="preserve"># in the 2021 burn</w:t>
      </w:r>
      <w:r>
        <w:br/>
      </w:r>
      <w:r>
        <w:rPr>
          <w:rStyle w:val="NormalTok"/>
        </w:rPr>
        <w:t xml:space="preserve">outside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747600</w:t>
      </w:r>
      <w:r>
        <w:rPr>
          <w:rStyle w:val="NormalTok"/>
        </w:rPr>
        <w:t xml:space="preserve">, </w:t>
      </w:r>
      <w:r>
        <w:rPr>
          <w:rStyle w:val="DecValTok"/>
        </w:rPr>
        <w:t xml:space="preserve">4309300</w:t>
      </w:r>
      <w:r>
        <w:rPr>
          <w:rStyle w:val="NormalTok"/>
        </w:rPr>
        <w:t xml:space="preserve">))   </w:t>
      </w:r>
      <w:r>
        <w:rPr>
          <w:rStyle w:val="CommentTok"/>
        </w:rPr>
        <w:t xml:space="preserve"># undisturbed</w:t>
      </w:r>
      <w:r>
        <w:br/>
      </w:r>
      <w:r>
        <w:br/>
      </w:r>
      <w:r>
        <w:rPr>
          <w:rStyle w:val="NormalTok"/>
        </w:rPr>
        <w:t xml:space="preserve">p_in  </w:t>
      </w:r>
      <w:r>
        <w:rPr>
          <w:rStyle w:val="OtherTok"/>
        </w:rPr>
        <w:t xml:space="preserve">&lt;-</w:t>
      </w:r>
      <w:r>
        <w:rPr>
          <w:rStyle w:val="NormalTok"/>
        </w:rPr>
        <w:t xml:space="preserve"> </w:t>
      </w:r>
      <w:r>
        <w:rPr>
          <w:rStyle w:val="FunctionTok"/>
        </w:rPr>
        <w:t xml:space="preserve">as.numeric</w:t>
      </w:r>
      <w:r>
        <w:rPr>
          <w:rStyle w:val="NormalTok"/>
        </w:rPr>
        <w:t xml:space="preserve">(mcube[inside])</w:t>
      </w:r>
      <w:r>
        <w:br/>
      </w:r>
      <w:r>
        <w:rPr>
          <w:rStyle w:val="NormalTok"/>
        </w:rPr>
        <w:t xml:space="preserve">p_out </w:t>
      </w:r>
      <w:r>
        <w:rPr>
          <w:rStyle w:val="OtherTok"/>
        </w:rPr>
        <w:t xml:space="preserve">&lt;-</w:t>
      </w:r>
      <w:r>
        <w:rPr>
          <w:rStyle w:val="NormalTok"/>
        </w:rPr>
        <w:t xml:space="preserve"> </w:t>
      </w:r>
      <w:r>
        <w:rPr>
          <w:rStyle w:val="FunctionTok"/>
        </w:rPr>
        <w:t xml:space="preserve">as.numeric</w:t>
      </w:r>
      <w:r>
        <w:rPr>
          <w:rStyle w:val="NormalTok"/>
        </w:rPr>
        <w:t xml:space="preserve">(mcube[outside])</w:t>
      </w:r>
      <w:r>
        <w:br/>
      </w:r>
      <w:r>
        <w:br/>
      </w:r>
      <w:r>
        <w:rPr>
          <w:rStyle w:val="FunctionTok"/>
        </w:rPr>
        <w:t xml:space="preserve">plot</w:t>
      </w:r>
      <w:r>
        <w:rPr>
          <w:rStyle w:val="NormalTok"/>
        </w:rPr>
        <w:t xml:space="preserve">(dates, p_out,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1.0</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"Temporal plane: two pixels"</w:t>
      </w:r>
      <w:r>
        <w:rPr>
          <w:rStyle w:val="NormalTok"/>
        </w:rPr>
        <w:t xml:space="preserve">)</w:t>
      </w:r>
      <w:r>
        <w:br/>
      </w:r>
      <w:r>
        <w:rPr>
          <w:rStyle w:val="FunctionTok"/>
        </w:rPr>
        <w:t xml:space="preserve">lines</w:t>
      </w:r>
      <w:r>
        <w:rPr>
          <w:rStyle w:val="NormalTok"/>
        </w:rPr>
        <w:t xml:space="preserve">(dates, p_in, </w:t>
      </w:r>
      <w:r>
        <w:rPr>
          <w:rStyle w:val="AttributeTok"/>
        </w:rPr>
        <w:t xml:space="preserve">col =</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c</w:t>
      </w:r>
      <w:r>
        <w:rPr>
          <w:rStyle w:val="NormalTok"/>
        </w:rPr>
        <w:t xml:space="preserve">(</w:t>
      </w:r>
      <w:r>
        <w:rPr>
          <w:rStyle w:val="StringTok"/>
        </w:rPr>
        <w:t xml:space="preserve">"undisturbed"</w:t>
      </w:r>
      <w:r>
        <w:rPr>
          <w:rStyle w:val="NormalTok"/>
        </w:rPr>
        <w:t xml:space="preserve">, </w:t>
      </w:r>
      <w:r>
        <w:rPr>
          <w:rStyle w:val="StringTok"/>
        </w:rPr>
        <w:t xml:space="preserve">"burned 2021"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76" name="Picture"/>
            <a:graphic>
              <a:graphicData uri="http://schemas.openxmlformats.org/drawingml/2006/picture">
                <pic:pic>
                  <pic:nvPicPr>
                    <pic:cNvPr descr="08-time-series_files/figure-docx/unnamed-chunk-4-1.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saw-tooth is the seasonal cycle, present in both pixels throughout. The step down in the red line during 2021 is the fire. Note how much larger the annual swing is than the trend it rides on: the disturbance is obvious because it is abrupt, but the slow decline underneath is nearly invisible against the seasonality.</w:t>
      </w:r>
    </w:p>
    <w:bookmarkEnd w:id="178"/>
    <w:bookmarkStart w:id="182" w:name="seasonality-and-randomness"/>
    <w:p>
      <w:pPr>
        <w:pStyle w:val="Heading2"/>
      </w:pPr>
      <w:r>
        <w:t xml:space="preserve">10.3 Seasonality and randomness</w:t>
      </w:r>
    </w:p>
    <w:p>
      <w:pPr>
        <w:pStyle w:val="FirstParagraph"/>
      </w:pPr>
      <w:r>
        <w:t xml:space="preserve">That last observation is the central problem of the temporal plane, and it is worth quantifying rather than asserting. A time series of this shape is conventionally treated as three additive parts: a trend, the slow directional movement; a seasonal component, the oscillation that repeats each year; and a remainder, what is left when both have been removed. Seasonal-trend decomposition by loess separates them without assuming the seasonal shape is a fixed sine</w:t>
      </w:r>
      <w:r>
        <w:t xml:space="preserve"> </w:t>
      </w:r>
      <w:r>
        <w:t xml:space="preserve">(Cleveland et al., 1990)</w:t>
      </w:r>
      <w:r>
        <w:t xml:space="preserve">. Base R implements it in</w:t>
      </w:r>
      <w:r>
        <w:t xml:space="preserve"> </w:t>
      </w:r>
      <w:r>
        <w:rPr>
          <w:rStyle w:val="VerbatimChar"/>
        </w:rPr>
        <w:t xml:space="preserve">stl()</w:t>
      </w:r>
      <w:r>
        <w:t xml:space="preserve">, which needs the profile declared as a regular series with twelve observations per cycle:</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ts</w:t>
      </w:r>
      <w:r>
        <w:rPr>
          <w:rStyle w:val="NormalTok"/>
        </w:rPr>
        <w:t xml:space="preserve">(p_out,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2016</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stl</w:t>
      </w:r>
      <w:r>
        <w:rPr>
          <w:rStyle w:val="NormalTok"/>
        </w:rPr>
        <w:t xml:space="preserve">(s, </w:t>
      </w:r>
      <w:r>
        <w:rPr>
          <w:rStyle w:val="AttributeTok"/>
        </w:rPr>
        <w:t xml:space="preserve">s.window =</w:t>
      </w:r>
      <w:r>
        <w:rPr>
          <w:rStyle w:val="NormalTok"/>
        </w:rPr>
        <w:t xml:space="preserve"> </w:t>
      </w:r>
      <w:r>
        <w:rPr>
          <w:rStyle w:val="StringTok"/>
        </w:rPr>
        <w:t xml:space="preserve">"periodic"</w:t>
      </w:r>
      <w:r>
        <w:rPr>
          <w:rStyle w:val="NormalTok"/>
        </w:rPr>
        <w:t xml:space="preserve">)</w:t>
      </w:r>
      <w:r>
        <w:br/>
      </w:r>
      <w:r>
        <w:rPr>
          <w:rStyle w:val="FunctionTok"/>
        </w:rPr>
        <w:t xml:space="preserve">plot</w:t>
      </w:r>
      <w:r>
        <w:rPr>
          <w:rStyle w:val="NormalTok"/>
        </w:rPr>
        <w:t xml:space="preserve">(dec, </w:t>
      </w:r>
      <w:r>
        <w:rPr>
          <w:rStyle w:val="AttributeTok"/>
        </w:rPr>
        <w:t xml:space="preserve">main =</w:t>
      </w:r>
      <w:r>
        <w:rPr>
          <w:rStyle w:val="NormalTok"/>
        </w:rPr>
        <w:t xml:space="preserve"> </w:t>
      </w:r>
      <w:r>
        <w:rPr>
          <w:rStyle w:val="StringTok"/>
        </w:rPr>
        <w:t xml:space="preserve">"Seasonal-trend decomposition, undisturbed pixel"</w:t>
      </w:r>
      <w:r>
        <w:rPr>
          <w:rStyle w:val="NormalTok"/>
        </w:rPr>
        <w:t xml:space="preserve">)</w:t>
      </w:r>
    </w:p>
    <w:p>
      <w:pPr>
        <w:pStyle w:val="FirstParagraph"/>
      </w:pPr>
      <w:r>
        <w:drawing>
          <wp:inline>
            <wp:extent cx="5943600" cy="4754880"/>
            <wp:effectExtent b="0" l="0" r="0" t="0"/>
            <wp:docPr descr="" title="" id="180" name="Picture"/>
            <a:graphic>
              <a:graphicData uri="http://schemas.openxmlformats.org/drawingml/2006/picture">
                <pic:pic>
                  <pic:nvPicPr>
                    <pic:cNvPr descr="08-time-series_files/figure-docx/unnamed-chunk-5-1.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three panels beneath the data are the decomposition. Partitioning the variance among them says which one governs what an analyst sees:</w:t>
      </w:r>
    </w:p>
    <w:p>
      <w:pPr>
        <w:pStyle w:val="SourceCode"/>
      </w:pPr>
      <w:r>
        <w:rPr>
          <w:rStyle w:val="NormalTok"/>
        </w:rPr>
        <w:t xml:space="preserve">v </w:t>
      </w:r>
      <w:r>
        <w:rPr>
          <w:rStyle w:val="OtherTok"/>
        </w:rPr>
        <w:t xml:space="preserve">&lt;-</w:t>
      </w:r>
      <w:r>
        <w:rPr>
          <w:rStyle w:val="NormalTok"/>
        </w:rPr>
        <w:t xml:space="preserve"> </w:t>
      </w:r>
      <w:r>
        <w:rPr>
          <w:rStyle w:val="FunctionTok"/>
        </w:rPr>
        <w:t xml:space="preserve">apply</w:t>
      </w:r>
      <w:r>
        <w:rPr>
          <w:rStyle w:val="NormalTok"/>
        </w:rPr>
        <w:t xml:space="preserve">(dec</w:t>
      </w:r>
      <w:r>
        <w:rPr>
          <w:rStyle w:val="SpecialCharTok"/>
        </w:rPr>
        <w:t xml:space="preserve">$</w:t>
      </w:r>
      <w:r>
        <w:rPr>
          <w:rStyle w:val="NormalTok"/>
        </w:rPr>
        <w:t xml:space="preserve">time.series, </w:t>
      </w:r>
      <w:r>
        <w:rPr>
          <w:rStyle w:val="DecValTok"/>
        </w:rPr>
        <w:t xml:space="preserve">2</w:t>
      </w:r>
      <w:r>
        <w:rPr>
          <w:rStyle w:val="NormalTok"/>
        </w:rPr>
        <w:t xml:space="preserve">, var)</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FunctionTok"/>
        </w:rPr>
        <w:t xml:space="preserve">sum</w:t>
      </w:r>
      <w:r>
        <w:rPr>
          <w:rStyle w:val="NormalTok"/>
        </w:rPr>
        <w:t xml:space="preserve">(v), </w:t>
      </w:r>
      <w:r>
        <w:rPr>
          <w:rStyle w:val="DecValTok"/>
        </w:rPr>
        <w:t xml:space="preserve">1</w:t>
      </w:r>
      <w:r>
        <w:rPr>
          <w:rStyle w:val="NormalTok"/>
        </w:rPr>
        <w:t xml:space="preserve">)                 </w:t>
      </w:r>
      <w:r>
        <w:rPr>
          <w:rStyle w:val="CommentTok"/>
        </w:rPr>
        <w:t xml:space="preserve"># per cent of variance</w:t>
      </w:r>
      <w:r>
        <w:br/>
      </w:r>
      <w:r>
        <w:rPr>
          <w:rStyle w:val="CommentTok"/>
        </w:rPr>
        <w:t xml:space="preserve">#&gt;  seasonal     trend remainder </w:t>
      </w:r>
      <w:r>
        <w:br/>
      </w:r>
      <w:r>
        <w:rPr>
          <w:rStyle w:val="CommentTok"/>
        </w:rPr>
        <w:t xml:space="preserve">#&gt;      97.5       1.4       1.1</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remainder_sd =</w:t>
      </w:r>
      <w:r>
        <w:rPr>
          <w:rStyle w:val="NormalTok"/>
        </w:rPr>
        <w:t xml:space="preserve"> </w:t>
      </w:r>
      <w:r>
        <w:rPr>
          <w:rStyle w:val="FunctionTok"/>
        </w:rPr>
        <w:t xml:space="preserve">sd</w:t>
      </w:r>
      <w:r>
        <w:rPr>
          <w:rStyle w:val="NormalTok"/>
        </w:rPr>
        <w:t xml:space="preserve">(dec</w:t>
      </w:r>
      <w:r>
        <w:rPr>
          <w:rStyle w:val="SpecialCharTok"/>
        </w:rPr>
        <w:t xml:space="preserve">$</w:t>
      </w:r>
      <w:r>
        <w:rPr>
          <w:rStyle w:val="NormalTok"/>
        </w:rPr>
        <w:t xml:space="preserve">time.series[, </w:t>
      </w:r>
      <w:r>
        <w:rPr>
          <w:rStyle w:val="StringTok"/>
        </w:rPr>
        <w:t xml:space="preserve">"remainder"</w:t>
      </w:r>
      <w:r>
        <w:rPr>
          <w:rStyle w:val="NormalTok"/>
        </w:rPr>
        <w:t xml:space="preserve">])), </w:t>
      </w:r>
      <w:r>
        <w:rPr>
          <w:rStyle w:val="DecValTok"/>
        </w:rPr>
        <w:t xml:space="preserve">4</w:t>
      </w:r>
      <w:r>
        <w:rPr>
          <w:rStyle w:val="NormalTok"/>
        </w:rPr>
        <w:t xml:space="preserve">)</w:t>
      </w:r>
      <w:r>
        <w:br/>
      </w:r>
      <w:r>
        <w:rPr>
          <w:rStyle w:val="CommentTok"/>
        </w:rPr>
        <w:t xml:space="preserve">#&gt; remainder_sd </w:t>
      </w:r>
      <w:r>
        <w:br/>
      </w:r>
      <w:r>
        <w:rPr>
          <w:rStyle w:val="CommentTok"/>
        </w:rPr>
        <w:t xml:space="preserve">#&gt;       0.0191</w:t>
      </w:r>
    </w:p>
    <w:p>
      <w:pPr>
        <w:pStyle w:val="FirstParagraph"/>
      </w:pPr>
      <w:r>
        <w:t xml:space="preserve">Seasonality accounts for almost all of the variance in the record. The trend, the thing carbon monitoring exists to measure, is a percent or two. The remainder is smaller still, and its standard deviation recovers the observation noise that was put into the simulation, which is the check that the decomposition is doing what it claims.</w:t>
      </w:r>
    </w:p>
    <w:p>
      <w:pPr>
        <w:pStyle w:val="BodyText"/>
      </w:pPr>
      <w:r>
        <w:t xml:space="preserve">This is the distinction the whole chapter turns on. The seasonal component is nature’s oscillation: deterministic, repeating, and therefore removable, either by decomposition or simply by always comparing like with like. The remainder is nature’s randomness together with sensor error: irreducible, and the honest floor on how precisely any single observation can be known. Confusing the two is expensive. Seasonality mistaken for randomness inflates the error bars you report and costs credits to the uncertainty deduction. Seasonality mistaken for trend invents change that never happened.</w:t>
      </w:r>
    </w:p>
    <w:bookmarkEnd w:id="182"/>
    <w:bookmarkStart w:id="183" w:name="sampling-and-aliasing"/>
    <w:p>
      <w:pPr>
        <w:pStyle w:val="Heading2"/>
      </w:pPr>
      <w:r>
        <w:t xml:space="preserve">10.4 Sampling and aliasing</w:t>
      </w:r>
    </w:p>
    <w:p>
      <w:pPr>
        <w:pStyle w:val="FirstParagraph"/>
      </w:pPr>
      <w:r>
        <w:t xml:space="preserve">The practical consequence appears the moment you reduce a monthly record to an annual one, which every monitoring programme does. If each year is represented by an observation taken at the same point in the season, the seasonal component is a constant offset and cancels out of the comparison. If the dates drift, the seasonal component leaks into the difference between years and is indistinguishable from real change. Signal processing calls this aliasing. In forest monitoring it is the reason cloud cover biases change estimates, because the dates you can see are not a random sample of the dates you wanted</w:t>
      </w:r>
      <w:r>
        <w:t xml:space="preserve"> </w:t>
      </w:r>
      <w:r>
        <w:t xml:space="preserve">(Hansen et al., 2013)</w:t>
      </w:r>
      <w:r>
        <w:t xml:space="preserve">.</w:t>
      </w:r>
    </w:p>
    <w:p>
      <w:pPr>
        <w:pStyle w:val="BodyText"/>
      </w:pPr>
      <w:r>
        <w:t xml:space="preserve">Estimate the trend both ways on the same pixel. First from a consistent July observation each year, then from one observation per year taken at whatever month happened to be clear:</w:t>
      </w:r>
    </w:p>
    <w:p>
      <w:pPr>
        <w:pStyle w:val="SourceCode"/>
      </w:pPr>
      <w:r>
        <w:rPr>
          <w:rStyle w:val="NormalTok"/>
        </w:rPr>
        <w:t xml:space="preserve">yrs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julys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fixed_slope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(p_out[julys] </w:t>
      </w:r>
      <w:r>
        <w:rPr>
          <w:rStyle w:val="SpecialCharTok"/>
        </w:rPr>
        <w:t xml:space="preserve">~</w:t>
      </w:r>
      <w:r>
        <w:rPr>
          <w:rStyle w:val="NormalTok"/>
        </w:rPr>
        <w:t xml:space="preserve"> yrs))[</w:t>
      </w:r>
      <w:r>
        <w:rPr>
          <w:rStyle w:val="DecValTok"/>
        </w:rPr>
        <w:t xml:space="preserve">2</w:t>
      </w:r>
      <w:r>
        <w:rPr>
          <w:rStyle w:val="NormalTok"/>
        </w:rPr>
        <w:t xml:space="preserve">])</w:t>
      </w:r>
      <w:r>
        <w:br/>
      </w:r>
      <w:r>
        <w:br/>
      </w: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drift_slope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idx </w:t>
      </w:r>
      <w:r>
        <w:rPr>
          <w:rStyle w:val="OtherTok"/>
        </w:rPr>
        <w:t xml:space="preserve">&lt;-</w:t>
      </w:r>
      <w:r>
        <w:rPr>
          <w:rStyle w:val="NormalTok"/>
        </w:rPr>
        <w:t xml:space="preserve"> </w:t>
      </w:r>
      <w:r>
        <w:rPr>
          <w:rStyle w:val="FunctionTok"/>
        </w:rPr>
        <w:t xml:space="preserve">sapply</w:t>
      </w:r>
      <w:r>
        <w:rPr>
          <w:rStyle w:val="NormalTok"/>
        </w:rPr>
        <w:t xml:space="preserve">(yrs, </w:t>
      </w:r>
      <w:r>
        <w:rPr>
          <w:rStyle w:val="ControlFlowTok"/>
        </w:rPr>
        <w:t xml:space="preserve">function</w:t>
      </w:r>
      <w:r>
        <w:rPr>
          <w:rStyle w:val="NormalTok"/>
        </w:rPr>
        <w:t xml:space="preserve">(y)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(p_out[idx] </w:t>
      </w:r>
      <w:r>
        <w:rPr>
          <w:rStyle w:val="SpecialCharTok"/>
        </w:rPr>
        <w:t xml:space="preserve">~</w:t>
      </w:r>
      <w:r>
        <w:rPr>
          <w:rStyle w:val="NormalTok"/>
        </w:rPr>
        <w:t xml:space="preserve"> yrs))[</w:t>
      </w:r>
      <w:r>
        <w:rPr>
          <w:rStyle w:val="DecValTok"/>
        </w:rPr>
        <w:t xml:space="preserve">2</w:t>
      </w:r>
      <w:r>
        <w:rPr>
          <w:rStyle w:val="NormalTok"/>
        </w:rPr>
        <w:t xml:space="preserve">]</w:t>
      </w:r>
      <w:r>
        <w:br/>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true          =</w:t>
      </w:r>
      <w:r>
        <w:rPr>
          <w:rStyle w:val="NormalTok"/>
        </w:rPr>
        <w:t xml:space="preserve"> </w:t>
      </w:r>
      <w:r>
        <w:rPr>
          <w:rStyle w:val="SpecialCharTok"/>
        </w:rPr>
        <w:t xml:space="preserve">-</w:t>
      </w:r>
      <w:r>
        <w:rPr>
          <w:rStyle w:val="FloatTok"/>
        </w:rPr>
        <w:t xml:space="preserve">0.008</w:t>
      </w:r>
      <w:r>
        <w:rPr>
          <w:rStyle w:val="NormalTok"/>
        </w:rPr>
        <w:t xml:space="preserve">,</w:t>
      </w:r>
      <w:r>
        <w:br/>
      </w:r>
      <w:r>
        <w:rPr>
          <w:rStyle w:val="NormalTok"/>
        </w:rPr>
        <w:t xml:space="preserve">        </w:t>
      </w:r>
      <w:r>
        <w:rPr>
          <w:rStyle w:val="AttributeTok"/>
        </w:rPr>
        <w:t xml:space="preserve">fixed_july    =</w:t>
      </w:r>
      <w:r>
        <w:rPr>
          <w:rStyle w:val="NormalTok"/>
        </w:rPr>
        <w:t xml:space="preserve"> fixed_slope,</w:t>
      </w:r>
      <w:r>
        <w:br/>
      </w:r>
      <w:r>
        <w:rPr>
          <w:rStyle w:val="NormalTok"/>
        </w:rPr>
        <w:t xml:space="preserve">        </w:t>
      </w:r>
      <w:r>
        <w:rPr>
          <w:rStyle w:val="AttributeTok"/>
        </w:rPr>
        <w:t xml:space="preserve">drift_mean    =</w:t>
      </w:r>
      <w:r>
        <w:rPr>
          <w:rStyle w:val="NormalTok"/>
        </w:rPr>
        <w:t xml:space="preserve"> </w:t>
      </w:r>
      <w:r>
        <w:rPr>
          <w:rStyle w:val="FunctionTok"/>
        </w:rPr>
        <w:t xml:space="preserve">mean</w:t>
      </w:r>
      <w:r>
        <w:rPr>
          <w:rStyle w:val="NormalTok"/>
        </w:rPr>
        <w:t xml:space="preserve">(drift_slope),</w:t>
      </w:r>
      <w:r>
        <w:br/>
      </w:r>
      <w:r>
        <w:rPr>
          <w:rStyle w:val="NormalTok"/>
        </w:rPr>
        <w:t xml:space="preserve">        </w:t>
      </w:r>
      <w:r>
        <w:rPr>
          <w:rStyle w:val="AttributeTok"/>
        </w:rPr>
        <w:t xml:space="preserve">drift_sd      =</w:t>
      </w:r>
      <w:r>
        <w:rPr>
          <w:rStyle w:val="NormalTok"/>
        </w:rPr>
        <w:t xml:space="preserve"> </w:t>
      </w:r>
      <w:r>
        <w:rPr>
          <w:rStyle w:val="FunctionTok"/>
        </w:rPr>
        <w:t xml:space="preserve">sd</w:t>
      </w:r>
      <w:r>
        <w:rPr>
          <w:rStyle w:val="NormalTok"/>
        </w:rPr>
        <w:t xml:space="preserve">(drift_slope)), </w:t>
      </w:r>
      <w:r>
        <w:rPr>
          <w:rStyle w:val="DecValTok"/>
        </w:rPr>
        <w:t xml:space="preserve">5</w:t>
      </w:r>
      <w:r>
        <w:rPr>
          <w:rStyle w:val="NormalTok"/>
        </w:rPr>
        <w:t xml:space="preserve">)</w:t>
      </w:r>
      <w:r>
        <w:br/>
      </w:r>
      <w:r>
        <w:rPr>
          <w:rStyle w:val="CommentTok"/>
        </w:rPr>
        <w:t xml:space="preserve">#&gt;       true fixed_july drift_mean   drift_sd </w:t>
      </w:r>
      <w:r>
        <w:br/>
      </w:r>
      <w:r>
        <w:rPr>
          <w:rStyle w:val="CommentTok"/>
        </w:rPr>
        <w:t xml:space="preserve">#&gt;   -0.00800   -0.00755   -0.00720    0.02265</w:t>
      </w:r>
      <w:r>
        <w:br/>
      </w:r>
      <w:r>
        <w:rPr>
          <w:rStyle w:val="FunctionTok"/>
        </w:rPr>
        <w:t xml:space="preserve">round</w:t>
      </w:r>
      <w:r>
        <w:rPr>
          <w:rStyle w:val="NormalTok"/>
        </w:rPr>
        <w:t xml:space="preserve">(</w:t>
      </w:r>
      <w:r>
        <w:rPr>
          <w:rStyle w:val="FunctionTok"/>
        </w:rPr>
        <w:t xml:space="preserve">quantile</w:t>
      </w:r>
      <w:r>
        <w:rPr>
          <w:rStyle w:val="NormalTok"/>
        </w:rPr>
        <w:t xml:space="preserve">(drift_slope,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4</w:t>
      </w:r>
      <w:r>
        <w:rPr>
          <w:rStyle w:val="NormalTok"/>
        </w:rPr>
        <w:t xml:space="preserve">)</w:t>
      </w:r>
      <w:r>
        <w:br/>
      </w:r>
      <w:r>
        <w:rPr>
          <w:rStyle w:val="CommentTok"/>
        </w:rPr>
        <w:t xml:space="preserve">#&gt;    2.5%   97.5% </w:t>
      </w:r>
      <w:r>
        <w:br/>
      </w:r>
      <w:r>
        <w:rPr>
          <w:rStyle w:val="CommentTok"/>
        </w:rPr>
        <w:t xml:space="preserve">#&gt; -0.0499  0.0365</w:t>
      </w:r>
    </w:p>
    <w:p>
      <w:pPr>
        <w:pStyle w:val="FirstParagraph"/>
      </w:pPr>
      <w:r>
        <w:t xml:space="preserve">Consistent sampling recovers the true rate of decline closely. Drifting sampling recovers it on average, because the seasonal error is centred rather than systematic, but the spread around that average is several times the size of the trend being measured. The interval spans zero comfortably in both directions: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(drift_slope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per cent of draws with the wrong sign</w:t>
      </w:r>
      <w:r>
        <w:br/>
      </w:r>
      <w:r>
        <w:rPr>
          <w:rStyle w:val="CommentTok"/>
        </w:rPr>
        <w:t xml:space="preserve">#&gt; [1] 37.9</w:t>
      </w:r>
    </w:p>
    <w:p>
      <w:pPr>
        <w:pStyle w:val="FirstParagraph"/>
      </w:pPr>
      <w:r>
        <w:t xml:space="preserve">More than a third of the time, an analyst sampling this way would report a pixel as greening when it is in fact declining. Nothing is wrong with the sensor, the algorithm, or the arithmetic. The error is entirely a consequence of sampling a periodic signal at inconsistent phase, and no amount of downstream statistics recovers what the sampling design threw away.</w:t>
      </w:r>
    </w:p>
    <w:p>
      <w:pPr>
        <w:pStyle w:val="BodyText"/>
      </w:pPr>
      <w:r>
        <w:t xml:space="preserve">This is where the chapter connects back to the previous one. The uncertainty chapter propagated error through an equation, taking the input distributions as given. Here the input distribution is itself a product of a design decision. Compositing to a fixed seasonal window before any comparison is not data cleaning, it is uncertainty reduction, and it is the cheapest available: it costs nothing but discipline and it removes a variance component that dwarfs the quantity being estimated.</w:t>
      </w:r>
    </w:p>
    <w:bookmarkEnd w:id="183"/>
    <w:bookmarkStart w:id="184" w:name="compositing-to-an-annual-cube"/>
    <w:p>
      <w:pPr>
        <w:pStyle w:val="Heading2"/>
      </w:pPr>
      <w:r>
        <w:t xml:space="preserve">10.5 Compositing to an annual cube</w:t>
      </w:r>
    </w:p>
    <w:p>
      <w:pPr>
        <w:pStyle w:val="FirstParagraph"/>
      </w:pPr>
      <w:r>
        <w:t xml:space="preserve">So we reduce the monthly cube to one layer per year, taking a consistent mid-summer window rather than an annual mean, which would average leaf-on against leaf-off and discard the contrast that makes disturbance visible. This is the temporal normalisation step that operational cube software performs with cloud-ranked compositing:</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sel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SpecialCharTok"/>
        </w:rPr>
        <w:t xml:space="preserve">&amp;</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%in%</w:t>
      </w:r>
      <w:r>
        <w:rPr>
          <w:rStyle w:val="NormalTok"/>
        </w:rPr>
        <w:t xml:space="preserve"> </w:t>
      </w:r>
      <w:r>
        <w:rPr>
          <w:rStyle w:val="DecValTok"/>
        </w:rPr>
        <w:t xml:space="preserve">6</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FunctionTok"/>
        </w:rPr>
        <w:t xml:space="preserve">app</w:t>
      </w:r>
      <w:r>
        <w:rPr>
          <w:rStyle w:val="NormalTok"/>
        </w:rPr>
        <w:t xml:space="preserve">(mcube[[sel]], median)</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184"/>
    <w:bookmarkStart w:id="188" w:name="temporal-reduction"/>
    <w:p>
      <w:pPr>
        <w:pStyle w:val="Heading2"/>
      </w:pPr>
      <w:r>
        <w:t xml:space="preserve">10.6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186" name="Picture"/>
            <a:graphic>
              <a:graphicData uri="http://schemas.openxmlformats.org/drawingml/2006/picture">
                <pic:pic>
                  <pic:nvPicPr>
                    <pic:cNvPr descr="08-time-series_files/figure-docx/unnamed-chunk-10-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once the season is controlled, so the burned block lights up.</w:t>
      </w:r>
    </w:p>
    <w:bookmarkEnd w:id="188"/>
    <w:bookmarkStart w:id="192" w:name="trends"/>
    <w:p>
      <w:pPr>
        <w:pStyle w:val="Heading2"/>
      </w:pPr>
      <w:r>
        <w:t xml:space="preserve">10.7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190" name="Picture"/>
            <a:graphic>
              <a:graphicData uri="http://schemas.openxmlformats.org/drawingml/2006/picture">
                <pic:pic>
                  <pic:nvPicPr>
                    <pic:cNvPr descr="08-time-series_files/figure-docx/unnamed-chunk-11-1.png" id="191" name="Picture"/>
                    <pic:cNvPicPr>
                      <a:picLocks noChangeArrowheads="1" noChangeAspect="1"/>
                    </pic:cNvPicPr>
                  </pic:nvPicPr>
                  <pic:blipFill>
                    <a:blip r:embed="rId18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192"/>
    <w:bookmarkStart w:id="193" w:name="detecting-the-event"/>
    <w:p>
      <w:pPr>
        <w:pStyle w:val="Heading2"/>
      </w:pPr>
      <w:r>
        <w:t xml:space="preserve">10.8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2.25</w:t>
      </w:r>
    </w:p>
    <w:bookmarkEnd w:id="193"/>
    <w:bookmarkStart w:id="194" w:name="keystone-ipcc-tier-1-fire-emissions"/>
    <w:p>
      <w:pPr>
        <w:pStyle w:val="Heading2"/>
      </w:pPr>
      <w:r>
        <w:t xml:space="preserve">10.9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2.3      190.8</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105   190   292</w:t>
      </w:r>
    </w:p>
    <w:p>
      <w:pPr>
        <w:pStyle w:val="FirstParagraph"/>
      </w:pPr>
      <w:r>
        <w:t xml:space="preserve">Note what that interval does and does not include. It propagates the uncertainty in the three emission factors while treating the burned area</w:t>
      </w:r>
      <w:r>
        <w:t xml:space="preserve"> </w:t>
      </w:r>
      <m:oMath>
        <m:r>
          <m:t>A</m:t>
        </m:r>
      </m:oMath>
      <w:r>
        <w:t xml:space="preserve"> </w:t>
      </w:r>
      <w:r>
        <w:t xml:space="preserve">as known exactly, which it is not: it came from a threshold applied to a differenced cube, and both the threshold and the dates feeding it are choices. The area-adjusted accuracy of the uncertainty chapter is how that term is estimated properly, and a complete Tier 2 statement would carry it into this same simulation alongside the factors.</w:t>
      </w:r>
    </w:p>
    <w:bookmarkEnd w:id="194"/>
    <w:bookmarkStart w:id="195" w:name="exercises-9"/>
    <w:p>
      <w:pPr>
        <w:pStyle w:val="Heading2"/>
      </w:pPr>
      <w:r>
        <w:t xml:space="preserve">10.10 Exercises</w:t>
      </w:r>
    </w:p>
    <w:p>
      <w:pPr>
        <w:pStyle w:val="Compact"/>
        <w:numPr>
          <w:ilvl w:val="0"/>
          <w:numId w:val="1011"/>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11"/>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11"/>
        </w:numPr>
      </w:pPr>
      <w:r>
        <w:t xml:space="preserve">Recompute burned area with a −0.2 threshold on the 2021 difference. How does the emission estimate move, and which term in the IPCC equation is it multiplying?</w:t>
      </w:r>
    </w:p>
    <w:p>
      <w:pPr>
        <w:pStyle w:val="Compact"/>
        <w:numPr>
          <w:ilvl w:val="0"/>
          <w:numId w:val="1011"/>
        </w:numPr>
      </w:pPr>
      <w:r>
        <w:t xml:space="preserve">Run</w:t>
      </w:r>
      <w:r>
        <w:t xml:space="preserve"> </w:t>
      </w:r>
      <w:r>
        <w:rPr>
          <w:rStyle w:val="VerbatimChar"/>
        </w:rPr>
        <w:t xml:space="preserve">stl()</w:t>
      </w:r>
      <w:r>
        <w:t xml:space="preserve"> </w:t>
      </w:r>
      <w:r>
        <w:t xml:space="preserve">on the burned pixel</w:t>
      </w:r>
      <w:r>
        <w:t xml:space="preserve"> </w:t>
      </w:r>
      <w:r>
        <w:rPr>
          <w:rStyle w:val="VerbatimChar"/>
        </w:rPr>
        <w:t xml:space="preserve">p_in</w:t>
      </w:r>
      <w:r>
        <w:t xml:space="preserve"> </w:t>
      </w:r>
      <w:r>
        <w:t xml:space="preserve">rather than the undisturbed one. Which component absorbs the 2021 step, and what does that tell you about applying seasonal decomposition across a disturbance?</w:t>
      </w:r>
    </w:p>
    <w:p>
      <w:pPr>
        <w:pStyle w:val="Compact"/>
        <w:numPr>
          <w:ilvl w:val="0"/>
          <w:numId w:val="1011"/>
        </w:numPr>
      </w:pPr>
      <w:r>
        <w:t xml:space="preserve">Rebuild the annual cube using an annual mean over all twelve months instead of a summer median. How do the temporal SD map and the detected burned area change, and why does averaging across the season blur the event?</w:t>
      </w:r>
    </w:p>
    <w:p>
      <w:pPr>
        <w:pStyle w:val="Compact"/>
        <w:numPr>
          <w:ilvl w:val="0"/>
          <w:numId w:val="1011"/>
        </w:numPr>
      </w:pPr>
      <w:r>
        <w:t xml:space="preserve">Repeat the drifting-date experiment restricting the sampled months to June through September, as a cloud-screened archive in a seasonal climate might allow. How much of the variance inflation survives, and what does that imply about how tight a compositing window needs to be?</w:t>
      </w:r>
    </w:p>
    <w:p>
      <w:pPr>
        <w:pStyle w:val="Compact"/>
        <w:numPr>
          <w:ilvl w:val="0"/>
          <w:numId w:val="1011"/>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195"/>
    <w:bookmarkEnd w:id="196"/>
    <w:bookmarkStart w:id="213" w:name="spatial-patterns"/>
    <w:p>
      <w:pPr>
        <w:pStyle w:val="Heading1"/>
      </w:pPr>
      <w:r>
        <w:t xml:space="preserve">11. Spatial Patterns</w:t>
      </w:r>
    </w:p>
    <w:bookmarkStart w:id="197" w:name="point-patterns"/>
    <w:p>
      <w:pPr>
        <w:pStyle w:val="Heading2"/>
      </w:pPr>
      <w:r>
        <w:t xml:space="preserve">11.1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197"/>
    <w:bookmarkStart w:id="201" w:name="spatial-randomness"/>
    <w:p>
      <w:pPr>
        <w:pStyle w:val="Heading2"/>
      </w:pPr>
      <w:r>
        <w:t xml:space="preserve">11.2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199" name="Picture"/>
            <a:graphic>
              <a:graphicData uri="http://schemas.openxmlformats.org/drawingml/2006/picture">
                <pic:pic>
                  <pic:nvPicPr>
                    <pic:cNvPr descr="09-spatial-patterns_files/figure-docx/unnamed-chunk-2-1.png" id="200" name="Picture"/>
                    <pic:cNvPicPr>
                      <a:picLocks noChangeArrowheads="1" noChangeAspect="1"/>
                    </pic:cNvPicPr>
                  </pic:nvPicPr>
                  <pic:blipFill>
                    <a:blip r:embed="rId198"/>
                    <a:stretch>
                      <a:fillRect/>
                    </a:stretch>
                  </pic:blipFill>
                  <pic:spPr bwMode="auto">
                    <a:xfrm>
                      <a:off x="0" y="0"/>
                      <a:ext cx="5943600" cy="4754880"/>
                    </a:xfrm>
                    <a:prstGeom prst="rect">
                      <a:avLst/>
                    </a:prstGeom>
                    <a:noFill/>
                    <a:ln w="9525">
                      <a:noFill/>
                      <a:headEnd/>
                      <a:tailEnd/>
                    </a:ln>
                  </pic:spPr>
                </pic:pic>
              </a:graphicData>
            </a:graphic>
          </wp:inline>
        </w:drawing>
      </w:r>
    </w:p>
    <w:bookmarkEnd w:id="201"/>
    <w:bookmarkStart w:id="205" w:name="intensity"/>
    <w:p>
      <w:pPr>
        <w:pStyle w:val="Heading2"/>
      </w:pPr>
      <w:r>
        <w:t xml:space="preserve">11.3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203" name="Picture"/>
            <a:graphic>
              <a:graphicData uri="http://schemas.openxmlformats.org/drawingml/2006/picture">
                <pic:pic>
                  <pic:nvPicPr>
                    <pic:cNvPr descr="09-spatial-patterns_files/figure-docx/unnamed-chunk-3-1.png" id="204" name="Picture"/>
                    <pic:cNvPicPr>
                      <a:picLocks noChangeArrowheads="1" noChangeAspect="1"/>
                    </pic:cNvPicPr>
                  </pic:nvPicPr>
                  <pic:blipFill>
                    <a:blip r:embed="rId20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205"/>
    <w:bookmarkStart w:id="206" w:name="nearest-neighbour"/>
    <w:p>
      <w:pPr>
        <w:pStyle w:val="Heading2"/>
      </w:pPr>
      <w:r>
        <w:t xml:space="preserve">11.4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206"/>
    <w:bookmarkStart w:id="210" w:name="ripleys-k"/>
    <w:p>
      <w:pPr>
        <w:pStyle w:val="Heading2"/>
      </w:pPr>
      <w:r>
        <w:t xml:space="preserve">11.5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208" name="Picture"/>
            <a:graphic>
              <a:graphicData uri="http://schemas.openxmlformats.org/drawingml/2006/picture">
                <pic:pic>
                  <pic:nvPicPr>
                    <pic:cNvPr descr="09-spatial-patterns_files/figure-docx/unnamed-chunk-5-1.png" id="209" name="Picture"/>
                    <pic:cNvPicPr>
                      <a:picLocks noChangeArrowheads="1" noChangeAspect="1"/>
                    </pic:cNvPicPr>
                  </pic:nvPicPr>
                  <pic:blipFill>
                    <a:blip r:embed="rId2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210"/>
    <w:bookmarkStart w:id="211" w:name="keystone-seedlings"/>
    <w:p>
      <w:pPr>
        <w:pStyle w:val="Heading2"/>
      </w:pPr>
      <w:r>
        <w:t xml:space="preserve">11.6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211"/>
    <w:bookmarkStart w:id="212" w:name="exercises-10"/>
    <w:p>
      <w:pPr>
        <w:pStyle w:val="Heading2"/>
      </w:pPr>
      <w:r>
        <w:t xml:space="preserve">11.7 Exercises</w:t>
      </w:r>
    </w:p>
    <w:p>
      <w:pPr>
        <w:pStyle w:val="Compact"/>
        <w:numPr>
          <w:ilvl w:val="0"/>
          <w:numId w:val="1012"/>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2"/>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2"/>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2"/>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212"/>
    <w:bookmarkEnd w:id="213"/>
    <w:bookmarkStart w:id="219" w:name="automation-protocols-and-registries"/>
    <w:p>
      <w:pPr>
        <w:pStyle w:val="Heading1"/>
      </w:pPr>
      <w:r>
        <w:t xml:space="preserve">Appendix A — Automation, Protocols and Registries</w:t>
      </w:r>
    </w:p>
    <w:bookmarkStart w:id="214"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214"/>
    <w:bookmarkStart w:id="215"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215"/>
    <w:bookmarkStart w:id="216"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216"/>
    <w:bookmarkStart w:id="217"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217"/>
    <w:bookmarkStart w:id="218"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218"/>
    <w:bookmarkEnd w:id="219"/>
    <w:bookmarkStart w:id="253" w:name="references"/>
    <w:p>
      <w:pPr>
        <w:pStyle w:val="Heading1"/>
      </w:pPr>
      <w:r>
        <w:t xml:space="preserve">Appendix B — References</w:t>
      </w:r>
    </w:p>
    <w:bookmarkStart w:id="252" w:name="refs"/>
    <w:bookmarkStart w:id="221" w:name="ref-appel2019gdalcubes"/>
    <w:p>
      <w:pPr>
        <w:pStyle w:val="Bibliography"/>
      </w:pPr>
      <w:r>
        <w:t xml:space="preserve">Appel, M., &amp; Pebesma, E. (2019). On-demand processing of data cubes from satellite image collections with the gdalcubes library.</w:t>
      </w:r>
      <w:r>
        <w:t xml:space="preserve"> </w:t>
      </w:r>
      <w:r>
        <w:rPr>
          <w:i/>
          <w:iCs/>
        </w:rPr>
        <w:t xml:space="preserve">Data</w:t>
      </w:r>
      <w:r>
        <w:t xml:space="preserve">,</w:t>
      </w:r>
      <w:r>
        <w:t xml:space="preserve"> </w:t>
      </w:r>
      <w:r>
        <w:rPr>
          <w:i/>
          <w:iCs/>
        </w:rPr>
        <w:t xml:space="preserve">4</w:t>
      </w:r>
      <w:r>
        <w:t xml:space="preserve">(3), 92.</w:t>
      </w:r>
      <w:r>
        <w:t xml:space="preserve"> </w:t>
      </w:r>
      <w:hyperlink r:id="rId220">
        <w:r>
          <w:rPr>
            <w:rStyle w:val="Hyperlink"/>
          </w:rPr>
          <w:t xml:space="preserve">https://doi.org/10.3390/data4030092</w:t>
        </w:r>
      </w:hyperlink>
    </w:p>
    <w:bookmarkEnd w:id="221"/>
    <w:bookmarkStart w:id="223" w:name="ref-baskerville1972"/>
    <w:p>
      <w:pPr>
        <w:pStyle w:val="Bibliography"/>
      </w:pPr>
      <w:r>
        <w:t xml:space="preserve">Baskerville, G. L.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r>
        <w:t xml:space="preserve"> </w:t>
      </w:r>
      <w:hyperlink r:id="rId222">
        <w:r>
          <w:rPr>
            <w:rStyle w:val="Hyperlink"/>
          </w:rPr>
          <w:t xml:space="preserve">https://doi.org/10.1139/x72-009</w:t>
        </w:r>
      </w:hyperlink>
    </w:p>
    <w:bookmarkEnd w:id="223"/>
    <w:bookmarkStart w:id="225" w:name="ref-batjes2011"/>
    <w:p>
      <w:pPr>
        <w:pStyle w:val="Bibliography"/>
      </w:pPr>
      <w:r>
        <w:t xml:space="preserve">Batjes, N. H. (2011). Soil organic carbon stocks under native vegetation: Revised estimates for use with the simple assessment option of the carbon benefits project system.</w:t>
      </w:r>
      <w:r>
        <w:t xml:space="preserve"> </w:t>
      </w:r>
      <w:r>
        <w:rPr>
          <w:i/>
          <w:iCs/>
        </w:rPr>
        <w:t xml:space="preserve">Agriculture, Ecosystems and Environment</w:t>
      </w:r>
      <w:r>
        <w:t xml:space="preserve">,</w:t>
      </w:r>
      <w:r>
        <w:t xml:space="preserve"> </w:t>
      </w:r>
      <w:r>
        <w:rPr>
          <w:i/>
          <w:iCs/>
        </w:rPr>
        <w:t xml:space="preserve">142</w:t>
      </w:r>
      <w:r>
        <w:t xml:space="preserve">(3–4), 365–373.</w:t>
      </w:r>
      <w:r>
        <w:t xml:space="preserve"> </w:t>
      </w:r>
      <w:hyperlink r:id="rId224">
        <w:r>
          <w:rPr>
            <w:rStyle w:val="Hyperlink"/>
          </w:rPr>
          <w:t xml:space="preserve">https://doi.org/10.1016/j.agee.2011.06.007</w:t>
        </w:r>
      </w:hyperlink>
    </w:p>
    <w:bookmarkEnd w:id="225"/>
    <w:bookmarkStart w:id="226"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226"/>
    <w:bookmarkStart w:id="228" w:name="ref-chave2014"/>
    <w:p>
      <w:pPr>
        <w:pStyle w:val="Bibliography"/>
      </w:pPr>
      <w:r>
        <w:t xml:space="preserve">Chave, J., Réjou-Méchain, M., Búrquez, A., Chidumayo, E., Colgan, M. S., Delitti, W. B. C., Duque, A., Eid, T., Fearnside, P. M., Goodman, R. C., Henry, M., Martínez-Yrízar, A., Mugasha, W. A., Muller-Landau, H. C., Mencuccini, M., Nelson, B. W., Ngomanda, A., Nogueira, E. M., Ortiz-Malavassi, E., … Vieilledent, G.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r>
        <w:t xml:space="preserve"> </w:t>
      </w:r>
      <w:hyperlink r:id="rId227">
        <w:r>
          <w:rPr>
            <w:rStyle w:val="Hyperlink"/>
          </w:rPr>
          <w:t xml:space="preserve">https://doi.org/10.1111/gcb.12629</w:t>
        </w:r>
      </w:hyperlink>
    </w:p>
    <w:bookmarkEnd w:id="228"/>
    <w:bookmarkStart w:id="229" w:name="ref-cleveland1990stl"/>
    <w:p>
      <w:pPr>
        <w:pStyle w:val="Bibliography"/>
      </w:pPr>
      <w:r>
        <w:t xml:space="preserve">Cleveland, R. B., Cleveland, W. S., McRae, J. E., &amp; Terpenning, I. (1990).</w:t>
      </w:r>
      <w:r>
        <w:t xml:space="preserve"> </w:t>
      </w:r>
      <w:r>
        <w:t xml:space="preserve">STL</w:t>
      </w:r>
      <w:r>
        <w:t xml:space="preserve">: A seasonal-trend decomposition procedure based on loess.</w:t>
      </w:r>
      <w:r>
        <w:t xml:space="preserve"> </w:t>
      </w:r>
      <w:r>
        <w:rPr>
          <w:i/>
          <w:iCs/>
        </w:rPr>
        <w:t xml:space="preserve">Journal of Official Statistics</w:t>
      </w:r>
      <w:r>
        <w:t xml:space="preserve">,</w:t>
      </w:r>
      <w:r>
        <w:t xml:space="preserve"> </w:t>
      </w:r>
      <w:r>
        <w:rPr>
          <w:i/>
          <w:iCs/>
        </w:rPr>
        <w:t xml:space="preserve">6</w:t>
      </w:r>
      <w:r>
        <w:t xml:space="preserve">(1), 3–73.</w:t>
      </w:r>
    </w:p>
    <w:bookmarkEnd w:id="229"/>
    <w:bookmarkStart w:id="231" w:name="ref-hansen2013forest"/>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230">
        <w:r>
          <w:rPr>
            <w:rStyle w:val="Hyperlink"/>
          </w:rPr>
          <w:t xml:space="preserve">https://doi.org/10.1126/science.1244693</w:t>
        </w:r>
      </w:hyperlink>
    </w:p>
    <w:bookmarkEnd w:id="231"/>
    <w:bookmarkStart w:id="232" w:name="ref-hastie2009esl"/>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w:t>
      </w:r>
    </w:p>
    <w:bookmarkEnd w:id="232"/>
    <w:bookmarkStart w:id="234"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233">
        <w:r>
          <w:rPr>
            <w:rStyle w:val="Hyperlink"/>
          </w:rPr>
          <w:t xml:space="preserve">https://CRAN.R-project.org/package=terra</w:t>
        </w:r>
      </w:hyperlink>
    </w:p>
    <w:bookmarkEnd w:id="234"/>
    <w:bookmarkStart w:id="235"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235"/>
    <w:bookmarkStart w:id="236" w:name="ref-ipcc2019refinement"/>
    <w:p>
      <w:pPr>
        <w:pStyle w:val="Bibliography"/>
      </w:pPr>
      <w:r>
        <w:t xml:space="preserve">IPCC. (2019).</w:t>
      </w:r>
      <w:r>
        <w:t xml:space="preserve"> </w:t>
      </w:r>
      <w:r>
        <w:rPr>
          <w:i/>
          <w:iCs/>
        </w:rPr>
        <w:t xml:space="preserve">2019 refinement to the 2006 IPCC guidelines for national greenhouse gas inventories, volume 4: Agriculture, forestry and other land use</w:t>
      </w:r>
      <w:r>
        <w:t xml:space="preserve"> </w:t>
      </w:r>
      <w:r>
        <w:t xml:space="preserve">(E. Calvo Buendia, K. Tanabe, A. Kranjc, J. Baasansuren, M. Fukuda, S. Ngarize, A. Osako, Y. Pyrozhenko, P. Shermanau, &amp; S. Federici, Eds.). IPCC.</w:t>
      </w:r>
    </w:p>
    <w:bookmarkEnd w:id="236"/>
    <w:bookmarkStart w:id="238"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237">
        <w:r>
          <w:rPr>
            <w:rStyle w:val="Hyperlink"/>
          </w:rPr>
          <w:t xml:space="preserve">https://doi.org/10.1093/forestscience/49.1.12</w:t>
        </w:r>
      </w:hyperlink>
    </w:p>
    <w:bookmarkEnd w:id="238"/>
    <w:bookmarkStart w:id="239"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239"/>
    <w:bookmarkStart w:id="241"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240">
        <w:r>
          <w:rPr>
            <w:rStyle w:val="Hyperlink"/>
          </w:rPr>
          <w:t xml:space="preserve">https://doi.org/10.1016/j.foreco.2026.123985</w:t>
        </w:r>
      </w:hyperlink>
    </w:p>
    <w:bookmarkEnd w:id="241"/>
    <w:bookmarkStart w:id="243" w:name="ref-neeff2021"/>
    <w:p>
      <w:pPr>
        <w:pStyle w:val="Bibliography"/>
      </w:pPr>
      <w:r>
        <w:t xml:space="preserve">Neeff, T. (2021). How uncertainty in emissions estimates affects the integrity of carbon credits.</w:t>
      </w:r>
      <w:r>
        <w:t xml:space="preserve"> </w:t>
      </w:r>
      <w:r>
        <w:rPr>
          <w:i/>
          <w:iCs/>
        </w:rPr>
        <w:t xml:space="preserve">Climatic Change</w:t>
      </w:r>
      <w:r>
        <w:t xml:space="preserve">,</w:t>
      </w:r>
      <w:r>
        <w:t xml:space="preserve"> </w:t>
      </w:r>
      <w:r>
        <w:rPr>
          <w:i/>
          <w:iCs/>
        </w:rPr>
        <w:t xml:space="preserve">166</w:t>
      </w:r>
      <w:r>
        <w:t xml:space="preserve">(1–2), 26.</w:t>
      </w:r>
      <w:r>
        <w:t xml:space="preserve"> </w:t>
      </w:r>
      <w:hyperlink r:id="rId242">
        <w:r>
          <w:rPr>
            <w:rStyle w:val="Hyperlink"/>
          </w:rPr>
          <w:t xml:space="preserve">https://doi.org/10.1007/s10584-021-03123-y</w:t>
        </w:r>
      </w:hyperlink>
    </w:p>
    <w:bookmarkEnd w:id="243"/>
    <w:bookmarkStart w:id="24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244">
        <w:r>
          <w:rPr>
            <w:rStyle w:val="Hyperlink"/>
          </w:rPr>
          <w:t xml:space="preserve">https://doi.org/10.1016/j.rse.2014.02.015</w:t>
        </w:r>
      </w:hyperlink>
    </w:p>
    <w:bookmarkEnd w:id="245"/>
    <w:bookmarkStart w:id="24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246">
        <w:r>
          <w:rPr>
            <w:rStyle w:val="Hyperlink"/>
          </w:rPr>
          <w:t xml:space="preserve">https://doi.org/10.32614/RJ-2018-009</w:t>
        </w:r>
      </w:hyperlink>
    </w:p>
    <w:bookmarkEnd w:id="247"/>
    <w:bookmarkStart w:id="24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248">
        <w:r>
          <w:rPr>
            <w:rStyle w:val="Hyperlink"/>
          </w:rPr>
          <w:t xml:space="preserve">https://doi.org/10.1201/9780429459016</w:t>
        </w:r>
      </w:hyperlink>
    </w:p>
    <w:bookmarkEnd w:id="249"/>
    <w:bookmarkStart w:id="251" w:name="ref-simoes2021sits"/>
    <w:p>
      <w:pPr>
        <w:pStyle w:val="Bibliography"/>
      </w:pPr>
      <w:r>
        <w:t xml:space="preserve">Simões,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r>
        <w:t xml:space="preserve"> </w:t>
      </w:r>
      <w:hyperlink r:id="rId250">
        <w:r>
          <w:rPr>
            <w:rStyle w:val="Hyperlink"/>
          </w:rPr>
          <w:t xml:space="preserve">https://doi.org/10.3390/rs13132428</w:t>
        </w:r>
      </w:hyperlink>
    </w:p>
    <w:bookmarkEnd w:id="251"/>
    <w:bookmarkEnd w:id="252"/>
    <w:bookmarkEnd w:id="253"/>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98" Target="media/rId198.png" /><Relationship Type="http://schemas.openxmlformats.org/officeDocument/2006/relationships/image" Id="rId202" Target="media/rId202.png" /><Relationship Type="http://schemas.openxmlformats.org/officeDocument/2006/relationships/image" Id="rId207" Target="media/rId207.png" /><Relationship Type="http://schemas.openxmlformats.org/officeDocument/2006/relationships/image" Id="rId121" Target="media/rId121.png" /><Relationship Type="http://schemas.openxmlformats.org/officeDocument/2006/relationships/hyperlink" Id="rId233" Target="https://CRAN.R-project.org/package=terra" TargetMode="External" /><Relationship Type="http://schemas.openxmlformats.org/officeDocument/2006/relationships/hyperlink" Id="rId242" Target="https://doi.org/10.1007/s10584-021-03123-y" TargetMode="External" /><Relationship Type="http://schemas.openxmlformats.org/officeDocument/2006/relationships/hyperlink" Id="rId224" Target="https://doi.org/10.1016/j.agee.2011.06.007" TargetMode="External" /><Relationship Type="http://schemas.openxmlformats.org/officeDocument/2006/relationships/hyperlink" Id="rId240" Target="https://doi.org/10.1016/j.foreco.2026.123985" TargetMode="External" /><Relationship Type="http://schemas.openxmlformats.org/officeDocument/2006/relationships/hyperlink" Id="rId244" Target="https://doi.org/10.1016/j.rse.2014.02.015" TargetMode="External" /><Relationship Type="http://schemas.openxmlformats.org/officeDocument/2006/relationships/hyperlink" Id="rId237" Target="https://doi.org/10.1093/forestscience/49.1.12" TargetMode="External" /><Relationship Type="http://schemas.openxmlformats.org/officeDocument/2006/relationships/hyperlink" Id="rId227" Target="https://doi.org/10.1111/gcb.12629" TargetMode="External" /><Relationship Type="http://schemas.openxmlformats.org/officeDocument/2006/relationships/hyperlink" Id="rId230" Target="https://doi.org/10.1126/science.1244693" TargetMode="External" /><Relationship Type="http://schemas.openxmlformats.org/officeDocument/2006/relationships/hyperlink" Id="rId222" Target="https://doi.org/10.1139/x72-009" TargetMode="External" /><Relationship Type="http://schemas.openxmlformats.org/officeDocument/2006/relationships/hyperlink" Id="rId248" Target="https://doi.org/10.1201/9780429459016" TargetMode="External" /><Relationship Type="http://schemas.openxmlformats.org/officeDocument/2006/relationships/hyperlink" Id="rId246" Target="https://doi.org/10.32614/RJ-2018-009" TargetMode="External" /><Relationship Type="http://schemas.openxmlformats.org/officeDocument/2006/relationships/hyperlink" Id="rId220" Target="https://doi.org/10.3390/data4030092" TargetMode="External" /><Relationship Type="http://schemas.openxmlformats.org/officeDocument/2006/relationships/hyperlink" Id="rId250" Target="https://doi.org/10.3390/rs13132428" TargetMode="External" /><Relationship Type="http://schemas.openxmlformats.org/officeDocument/2006/relationships/hyperlink" Id="rId254"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233" Target="https://CRAN.R-project.org/package=terra" TargetMode="External" /><Relationship Type="http://schemas.openxmlformats.org/officeDocument/2006/relationships/hyperlink" Id="rId242" Target="https://doi.org/10.1007/s10584-021-03123-y" TargetMode="External" /><Relationship Type="http://schemas.openxmlformats.org/officeDocument/2006/relationships/hyperlink" Id="rId224" Target="https://doi.org/10.1016/j.agee.2011.06.007" TargetMode="External" /><Relationship Type="http://schemas.openxmlformats.org/officeDocument/2006/relationships/hyperlink" Id="rId240" Target="https://doi.org/10.1016/j.foreco.2026.123985" TargetMode="External" /><Relationship Type="http://schemas.openxmlformats.org/officeDocument/2006/relationships/hyperlink" Id="rId244" Target="https://doi.org/10.1016/j.rse.2014.02.015" TargetMode="External" /><Relationship Type="http://schemas.openxmlformats.org/officeDocument/2006/relationships/hyperlink" Id="rId237" Target="https://doi.org/10.1093/forestscience/49.1.12" TargetMode="External" /><Relationship Type="http://schemas.openxmlformats.org/officeDocument/2006/relationships/hyperlink" Id="rId227" Target="https://doi.org/10.1111/gcb.12629" TargetMode="External" /><Relationship Type="http://schemas.openxmlformats.org/officeDocument/2006/relationships/hyperlink" Id="rId230" Target="https://doi.org/10.1126/science.1244693" TargetMode="External" /><Relationship Type="http://schemas.openxmlformats.org/officeDocument/2006/relationships/hyperlink" Id="rId222" Target="https://doi.org/10.1139/x72-009" TargetMode="External" /><Relationship Type="http://schemas.openxmlformats.org/officeDocument/2006/relationships/hyperlink" Id="rId248" Target="https://doi.org/10.1201/9780429459016" TargetMode="External" /><Relationship Type="http://schemas.openxmlformats.org/officeDocument/2006/relationships/hyperlink" Id="rId246" Target="https://doi.org/10.32614/RJ-2018-009" TargetMode="External" /><Relationship Type="http://schemas.openxmlformats.org/officeDocument/2006/relationships/hyperlink" Id="rId220" Target="https://doi.org/10.3390/data4030092" TargetMode="External" /><Relationship Type="http://schemas.openxmlformats.org/officeDocument/2006/relationships/hyperlink" Id="rId250" Target="https://doi.org/10.3390/rs13132428" TargetMode="External" /><Relationship Type="http://schemas.openxmlformats.org/officeDocument/2006/relationships/hyperlink" Id="rId254"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2026-07-31T00:57:13Z</dcterms:created>
  <dcterms:modified xsi:type="dcterms:W3CDTF">2026-07-31T00:57:13Z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