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24_774647446">
            <w:r>
              <w:rPr>
                <w:webHidden/>
                <w:rStyle w:val="IndexLink"/>
              </w:rPr>
              <w:t>1 Document Information</w:t>
              <w:tab/>
              <w:t>8</w:t>
            </w:r>
          </w:hyperlink>
        </w:p>
        <w:p>
          <w:pPr>
            <w:pStyle w:val="TOC2"/>
            <w:tabs>
              <w:tab w:val="clear" w:pos="9077"/>
              <w:tab w:val="right" w:pos="9359" w:leader="dot"/>
            </w:tabs>
            <w:rPr/>
          </w:pPr>
          <w:hyperlink w:anchor="__RefHeading___Toc4226_774647446">
            <w:r>
              <w:rPr>
                <w:webHidden/>
                <w:rStyle w:val="IndexLink"/>
              </w:rPr>
              <w:t>1.1 Revision History</w:t>
              <w:tab/>
              <w:t>8</w:t>
            </w:r>
          </w:hyperlink>
        </w:p>
        <w:p>
          <w:pPr>
            <w:pStyle w:val="TOC2"/>
            <w:tabs>
              <w:tab w:val="clear" w:pos="9077"/>
              <w:tab w:val="right" w:pos="9359" w:leader="dot"/>
            </w:tabs>
            <w:rPr/>
          </w:pPr>
          <w:hyperlink w:anchor="__RefHeading___Toc4228_774647446">
            <w:r>
              <w:rPr>
                <w:webHidden/>
                <w:rStyle w:val="IndexLink"/>
              </w:rPr>
              <w:t>1.2 How to read this book</w:t>
              <w:tab/>
              <w:t>9</w:t>
            </w:r>
          </w:hyperlink>
        </w:p>
        <w:p>
          <w:pPr>
            <w:pStyle w:val="TOC1"/>
            <w:tabs>
              <w:tab w:val="clear" w:pos="9360"/>
              <w:tab w:val="right" w:pos="9359" w:leader="dot"/>
            </w:tabs>
            <w:rPr/>
          </w:pPr>
          <w:hyperlink w:anchor="__RefHeading___Toc4230_774647446">
            <w:r>
              <w:rPr>
                <w:webHidden/>
                <w:rStyle w:val="IndexLink"/>
              </w:rPr>
              <w:t>2 The System</w:t>
              <w:tab/>
              <w:t>10</w:t>
            </w:r>
          </w:hyperlink>
        </w:p>
        <w:p>
          <w:pPr>
            <w:pStyle w:val="TOC2"/>
            <w:tabs>
              <w:tab w:val="clear" w:pos="9077"/>
              <w:tab w:val="right" w:pos="9359" w:leader="dot"/>
            </w:tabs>
            <w:rPr/>
          </w:pPr>
          <w:hyperlink w:anchor="__RefHeading___Toc4232_774647446">
            <w:r>
              <w:rPr>
                <w:webHidden/>
                <w:rStyle w:val="IndexLink"/>
              </w:rPr>
              <w:t>2.1 What it is</w:t>
              <w:tab/>
              <w:t>10</w:t>
            </w:r>
          </w:hyperlink>
        </w:p>
        <w:p>
          <w:pPr>
            <w:pStyle w:val="TOC3"/>
            <w:tabs>
              <w:tab w:val="clear" w:pos="8793"/>
              <w:tab w:val="right" w:pos="9359" w:leader="dot"/>
            </w:tabs>
            <w:rPr/>
          </w:pPr>
          <w:hyperlink w:anchor="__RefHeading___Toc4234_774647446">
            <w:r>
              <w:rPr>
                <w:webHidden/>
                <w:rStyle w:val="IndexLink"/>
              </w:rPr>
              <w:t>2.1.1 Figure 1.1: The bench</w:t>
              <w:tab/>
              <w:t>10</w:t>
            </w:r>
          </w:hyperlink>
        </w:p>
        <w:p>
          <w:pPr>
            <w:pStyle w:val="TOC2"/>
            <w:tabs>
              <w:tab w:val="clear" w:pos="9077"/>
              <w:tab w:val="right" w:pos="9359" w:leader="dot"/>
            </w:tabs>
            <w:rPr/>
          </w:pPr>
          <w:hyperlink w:anchor="__RefHeading___Toc4236_774647446">
            <w:r>
              <w:rPr>
                <w:webHidden/>
                <w:rStyle w:val="IndexLink"/>
              </w:rPr>
              <w:t>2.2 The board</w:t>
              <w:tab/>
              <w:t>11</w:t>
            </w:r>
          </w:hyperlink>
        </w:p>
        <w:p>
          <w:pPr>
            <w:pStyle w:val="TOC2"/>
            <w:tabs>
              <w:tab w:val="clear" w:pos="9077"/>
              <w:tab w:val="right" w:pos="9359" w:leader="dot"/>
            </w:tabs>
            <w:rPr/>
          </w:pPr>
          <w:hyperlink w:anchor="__RefHeading___Toc4238_774647446">
            <w:r>
              <w:rPr>
                <w:webHidden/>
                <w:rStyle w:val="IndexLink"/>
              </w:rPr>
              <w:t>2.3 The two USB chips</w:t>
              <w:tab/>
              <w:t>11</w:t>
            </w:r>
          </w:hyperlink>
        </w:p>
        <w:p>
          <w:pPr>
            <w:pStyle w:val="TOC2"/>
            <w:tabs>
              <w:tab w:val="clear" w:pos="9077"/>
              <w:tab w:val="right" w:pos="9359" w:leader="dot"/>
            </w:tabs>
            <w:rPr/>
          </w:pPr>
          <w:hyperlink w:anchor="__RefHeading___Toc4240_774647446">
            <w:r>
              <w:rPr>
                <w:webHidden/>
                <w:rStyle w:val="IndexLink"/>
              </w:rPr>
              <w:t>2.4 The stack, top to bottom</w:t>
              <w:tab/>
              <w:t>12</w:t>
            </w:r>
          </w:hyperlink>
        </w:p>
        <w:p>
          <w:pPr>
            <w:pStyle w:val="TOC2"/>
            <w:tabs>
              <w:tab w:val="clear" w:pos="9077"/>
              <w:tab w:val="right" w:pos="9359" w:leader="dot"/>
            </w:tabs>
            <w:rPr/>
          </w:pPr>
          <w:hyperlink w:anchor="__RefHeading___Toc4242_774647446">
            <w:r>
              <w:rPr>
                <w:webHidden/>
                <w:rStyle w:val="IndexLink"/>
              </w:rPr>
              <w:t>2.5 What the host sees</w:t>
              <w:tab/>
              <w:t>12</w:t>
            </w:r>
          </w:hyperlink>
        </w:p>
        <w:p>
          <w:pPr>
            <w:pStyle w:val="TOC1"/>
            <w:tabs>
              <w:tab w:val="clear" w:pos="9360"/>
              <w:tab w:val="right" w:pos="9359" w:leader="dot"/>
            </w:tabs>
            <w:rPr/>
          </w:pPr>
          <w:hyperlink w:anchor="__RefHeading___Toc4244_774647446">
            <w:r>
              <w:rPr>
                <w:webHidden/>
                <w:rStyle w:val="IndexLink"/>
              </w:rPr>
              <w:t>3 The Harness</w:t>
              <w:tab/>
              <w:t>14</w:t>
            </w:r>
          </w:hyperlink>
        </w:p>
        <w:p>
          <w:pPr>
            <w:pStyle w:val="TOC3"/>
            <w:tabs>
              <w:tab w:val="clear" w:pos="8793"/>
              <w:tab w:val="right" w:pos="9359" w:leader="dot"/>
            </w:tabs>
            <w:rPr/>
          </w:pPr>
          <w:hyperlink w:anchor="__RefHeading___Toc4246_774647446">
            <w:r>
              <w:rPr>
                <w:webHidden/>
                <w:rStyle w:val="IndexLink"/>
              </w:rPr>
              <w:t>3.0.1 Figure 2.1: The harness block map</w:t>
              <w:tab/>
              <w:t>14</w:t>
            </w:r>
          </w:hyperlink>
        </w:p>
        <w:p>
          <w:pPr>
            <w:pStyle w:val="TOC2"/>
            <w:tabs>
              <w:tab w:val="clear" w:pos="9077"/>
              <w:tab w:val="right" w:pos="9359" w:leader="dot"/>
            </w:tabs>
            <w:rPr/>
          </w:pPr>
          <w:hyperlink w:anchor="__RefHeading___Toc4248_774647446">
            <w:r>
              <w:rPr>
                <w:webHidden/>
                <w:rStyle w:val="IndexLink"/>
              </w:rPr>
              <w:t>3.1 The host front-end and the bridge</w:t>
              <w:tab/>
              <w:t>14</w:t>
            </w:r>
          </w:hyperlink>
        </w:p>
        <w:p>
          <w:pPr>
            <w:pStyle w:val="TOC2"/>
            <w:tabs>
              <w:tab w:val="clear" w:pos="9077"/>
              <w:tab w:val="right" w:pos="9359" w:leader="dot"/>
            </w:tabs>
            <w:rPr/>
          </w:pPr>
          <w:hyperlink w:anchor="__RefHeading___Toc4250_774647446">
            <w:r>
              <w:rPr>
                <w:webHidden/>
                <w:rStyle w:val="IndexLink"/>
              </w:rPr>
              <w:t>3.2 The harness CSR</w:t>
              <w:tab/>
              <w:t>15</w:t>
            </w:r>
          </w:hyperlink>
        </w:p>
        <w:p>
          <w:pPr>
            <w:pStyle w:val="TOC2"/>
            <w:tabs>
              <w:tab w:val="clear" w:pos="9077"/>
              <w:tab w:val="right" w:pos="9359" w:leader="dot"/>
            </w:tabs>
            <w:rPr/>
          </w:pPr>
          <w:hyperlink w:anchor="__RefHeading___Toc4252_774647446">
            <w:r>
              <w:rPr>
                <w:webHidden/>
                <w:rStyle w:val="IndexLink"/>
              </w:rPr>
              <w:t>3.3 The run timer and the verdict</w:t>
              <w:tab/>
              <w:t>16</w:t>
            </w:r>
          </w:hyperlink>
        </w:p>
        <w:p>
          <w:pPr>
            <w:pStyle w:val="TOC2"/>
            <w:tabs>
              <w:tab w:val="clear" w:pos="9077"/>
              <w:tab w:val="right" w:pos="9359" w:leader="dot"/>
            </w:tabs>
            <w:rPr/>
          </w:pPr>
          <w:hyperlink w:anchor="__RefHeading___Toc4254_774647446">
            <w:r>
              <w:rPr>
                <w:webHidden/>
                <w:rStyle w:val="IndexLink"/>
              </w:rPr>
              <w:t>3.4 Stimulus and the memory model</w:t>
              <w:tab/>
              <w:t>16</w:t>
            </w:r>
          </w:hyperlink>
        </w:p>
        <w:p>
          <w:pPr>
            <w:pStyle w:val="TOC2"/>
            <w:tabs>
              <w:tab w:val="clear" w:pos="9077"/>
              <w:tab w:val="right" w:pos="9359" w:leader="dot"/>
            </w:tabs>
            <w:rPr/>
          </w:pPr>
          <w:hyperlink w:anchor="__RefHeading___Toc4256_774647446">
            <w:r>
              <w:rPr>
                <w:webHidden/>
                <w:rStyle w:val="IndexLink"/>
              </w:rPr>
              <w:t>3.5 The three instruments</w:t>
              <w:tab/>
              <w:t>17</w:t>
            </w:r>
          </w:hyperlink>
        </w:p>
        <w:p>
          <w:pPr>
            <w:pStyle w:val="TOC1"/>
            <w:tabs>
              <w:tab w:val="clear" w:pos="9360"/>
              <w:tab w:val="right" w:pos="9359" w:leader="dot"/>
            </w:tabs>
            <w:rPr/>
          </w:pPr>
          <w:hyperlink w:anchor="__RefHeading___Toc4258_774647446">
            <w:r>
              <w:rPr>
                <w:webHidden/>
                <w:rStyle w:val="IndexLink"/>
              </w:rPr>
              <w:t>4 The Address Map</w:t>
              <w:tab/>
              <w:t>19</w:t>
            </w:r>
          </w:hyperlink>
        </w:p>
        <w:p>
          <w:pPr>
            <w:pStyle w:val="TOC3"/>
            <w:tabs>
              <w:tab w:val="clear" w:pos="8793"/>
              <w:tab w:val="right" w:pos="9359" w:leader="dot"/>
            </w:tabs>
            <w:rPr/>
          </w:pPr>
          <w:hyperlink w:anchor="__RefHeading___Toc4260_774647446">
            <w:r>
              <w:rPr>
                <w:webHidden/>
                <w:rStyle w:val="IndexLink"/>
              </w:rPr>
              <w:t>4.0.1 Figure 2.2: Host address map</w:t>
              <w:tab/>
              <w:t>19</w:t>
            </w:r>
          </w:hyperlink>
        </w:p>
        <w:p>
          <w:pPr>
            <w:pStyle w:val="TOC2"/>
            <w:tabs>
              <w:tab w:val="clear" w:pos="9077"/>
              <w:tab w:val="right" w:pos="9359" w:leader="dot"/>
            </w:tabs>
            <w:rPr/>
          </w:pPr>
          <w:hyperlink w:anchor="__RefHeading___Toc4262_774647446">
            <w:r>
              <w:rPr>
                <w:webHidden/>
                <w:rStyle w:val="IndexLink"/>
              </w:rPr>
              <w:t>4.1 Bridge slave map</w:t>
              <w:tab/>
              <w:t>19</w:t>
            </w:r>
          </w:hyperlink>
        </w:p>
        <w:p>
          <w:pPr>
            <w:pStyle w:val="TOC2"/>
            <w:tabs>
              <w:tab w:val="clear" w:pos="9077"/>
              <w:tab w:val="right" w:pos="9359" w:leader="dot"/>
            </w:tabs>
            <w:rPr/>
          </w:pPr>
          <w:hyperlink w:anchor="__RefHeading___Toc4264_774647446">
            <w:r>
              <w:rPr>
                <w:webHidden/>
                <w:rStyle w:val="IndexLink"/>
              </w:rPr>
              <w:t>4.2 Harness CSR detail</w:t>
              <w:tab/>
              <w:t>21</w:t>
            </w:r>
          </w:hyperlink>
        </w:p>
        <w:p>
          <w:pPr>
            <w:pStyle w:val="TOC2"/>
            <w:tabs>
              <w:tab w:val="clear" w:pos="9077"/>
              <w:tab w:val="right" w:pos="9359" w:leader="dot"/>
            </w:tabs>
            <w:rPr/>
          </w:pPr>
          <w:hyperlink w:anchor="__RefHeading___Toc4266_774647446">
            <w:r>
              <w:rPr>
                <w:webHidden/>
                <w:rStyle w:val="IndexLink"/>
              </w:rPr>
              <w:t>4.3 By-name access</w:t>
              <w:tab/>
              <w:t>24</w:t>
            </w:r>
          </w:hyperlink>
        </w:p>
        <w:p>
          <w:pPr>
            <w:pStyle w:val="TOC1"/>
            <w:tabs>
              <w:tab w:val="clear" w:pos="9360"/>
              <w:tab w:val="right" w:pos="9359" w:leader="dot"/>
            </w:tabs>
            <w:rPr/>
          </w:pPr>
          <w:hyperlink w:anchor="__RefHeading___Toc4268_774647446">
            <w:r>
              <w:rPr>
                <w:webHidden/>
                <w:rStyle w:val="IndexLink"/>
              </w:rPr>
              <w:t>5 One RTL, Three Builds</w:t>
              <w:tab/>
              <w:t>25</w:t>
            </w:r>
          </w:hyperlink>
        </w:p>
        <w:p>
          <w:pPr>
            <w:pStyle w:val="TOC2"/>
            <w:tabs>
              <w:tab w:val="clear" w:pos="9077"/>
              <w:tab w:val="right" w:pos="9359" w:leader="dot"/>
            </w:tabs>
            <w:rPr/>
          </w:pPr>
          <w:hyperlink w:anchor="__RefHeading___Toc4270_774647446">
            <w:r>
              <w:rPr>
                <w:webHidden/>
                <w:rStyle w:val="IndexLink"/>
              </w:rPr>
              <w:t>5.1 The rule</w:t>
              <w:tab/>
              <w:t>25</w:t>
            </w:r>
          </w:hyperlink>
        </w:p>
        <w:p>
          <w:pPr>
            <w:pStyle w:val="TOC3"/>
            <w:tabs>
              <w:tab w:val="clear" w:pos="8793"/>
              <w:tab w:val="right" w:pos="9359" w:leader="dot"/>
            </w:tabs>
            <w:rPr/>
          </w:pPr>
          <w:hyperlink w:anchor="__RefHeading___Toc4272_774647446">
            <w:r>
              <w:rPr>
                <w:webHidden/>
                <w:rStyle w:val="IndexLink"/>
              </w:rPr>
              <w:t>5.1.1 Figure 3.1: One source tree, three bitstreams</w:t>
              <w:tab/>
              <w:t>26</w:t>
            </w:r>
          </w:hyperlink>
        </w:p>
        <w:p>
          <w:pPr>
            <w:pStyle w:val="TOC2"/>
            <w:tabs>
              <w:tab w:val="clear" w:pos="9077"/>
              <w:tab w:val="right" w:pos="9359" w:leader="dot"/>
            </w:tabs>
            <w:rPr/>
          </w:pPr>
          <w:hyperlink w:anchor="__RefHeading___Toc4274_774647446">
            <w:r>
              <w:rPr>
                <w:webHidden/>
                <w:rStyle w:val="IndexLink"/>
              </w:rPr>
              <w:t>5.2 Why three, and why not two</w:t>
              <w:tab/>
              <w:t>26</w:t>
            </w:r>
          </w:hyperlink>
        </w:p>
        <w:p>
          <w:pPr>
            <w:pStyle w:val="TOC2"/>
            <w:tabs>
              <w:tab w:val="clear" w:pos="9077"/>
              <w:tab w:val="right" w:pos="9359" w:leader="dot"/>
            </w:tabs>
            <w:rPr/>
          </w:pPr>
          <w:hyperlink w:anchor="__RefHeading___Toc4276_774647446">
            <w:r>
              <w:rPr>
                <w:webHidden/>
                <w:rStyle w:val="IndexLink"/>
              </w:rPr>
              <w:t>5.3 What the builds measured</w:t>
              <w:tab/>
              <w:t>27</w:t>
            </w:r>
          </w:hyperlink>
        </w:p>
        <w:p>
          <w:pPr>
            <w:pStyle w:val="TOC2"/>
            <w:tabs>
              <w:tab w:val="clear" w:pos="9077"/>
              <w:tab w:val="right" w:pos="9359" w:leader="dot"/>
            </w:tabs>
            <w:rPr/>
          </w:pPr>
          <w:hyperlink w:anchor="__RefHeading___Toc4278_774647446">
            <w:r>
              <w:rPr>
                <w:webHidden/>
                <w:rStyle w:val="IndexLink"/>
              </w:rPr>
              <w:t>5.4 The knobs behind the rows</w:t>
              <w:tab/>
              <w:t>29</w:t>
            </w:r>
          </w:hyperlink>
        </w:p>
        <w:p>
          <w:pPr>
            <w:pStyle w:val="TOC1"/>
            <w:tabs>
              <w:tab w:val="clear" w:pos="9360"/>
              <w:tab w:val="right" w:pos="9359" w:leader="dot"/>
            </w:tabs>
            <w:rPr/>
          </w:pPr>
          <w:hyperlink w:anchor="__RefHeading___Toc4280_774647446">
            <w:r>
              <w:rPr>
                <w:webHidden/>
                <w:rStyle w:val="IndexLink"/>
              </w:rPr>
              <w:t>6 Host Tools and Flow</w:t>
              <w:tab/>
              <w:t>31</w:t>
            </w:r>
          </w:hyperlink>
        </w:p>
        <w:p>
          <w:pPr>
            <w:pStyle w:val="TOC2"/>
            <w:tabs>
              <w:tab w:val="clear" w:pos="9077"/>
              <w:tab w:val="right" w:pos="9359" w:leader="dot"/>
            </w:tabs>
            <w:rPr/>
          </w:pPr>
          <w:hyperlink w:anchor="__RefHeading___Toc4282_774647446">
            <w:r>
              <w:rPr>
                <w:webHidden/>
                <w:rStyle w:val="IndexLink"/>
              </w:rPr>
              <w:t>6.1 The shared flow</w:t>
              <w:tab/>
              <w:t>31</w:t>
            </w:r>
          </w:hyperlink>
        </w:p>
        <w:p>
          <w:pPr>
            <w:pStyle w:val="TOC2"/>
            <w:tabs>
              <w:tab w:val="clear" w:pos="9077"/>
              <w:tab w:val="right" w:pos="9359" w:leader="dot"/>
            </w:tabs>
            <w:rPr/>
          </w:pPr>
          <w:hyperlink w:anchor="__RefHeading___Toc4284_774647446">
            <w:r>
              <w:rPr>
                <w:webHidden/>
                <w:rStyle w:val="IndexLink"/>
              </w:rPr>
              <w:t>6.2 The host layers</w:t>
              <w:tab/>
              <w:t>31</w:t>
            </w:r>
          </w:hyperlink>
        </w:p>
        <w:p>
          <w:pPr>
            <w:pStyle w:val="TOC3"/>
            <w:tabs>
              <w:tab w:val="clear" w:pos="8793"/>
              <w:tab w:val="right" w:pos="9359" w:leader="dot"/>
            </w:tabs>
            <w:rPr/>
          </w:pPr>
          <w:hyperlink w:anchor="__RefHeading___Toc4286_774647446">
            <w:r>
              <w:rPr>
                <w:webHidden/>
                <w:rStyle w:val="IndexLink"/>
              </w:rPr>
              <w:t>6.2.1 Figure 4.1: What each build measures, end to end</w:t>
              <w:tab/>
              <w:t>33</w:t>
            </w:r>
          </w:hyperlink>
        </w:p>
        <w:p>
          <w:pPr>
            <w:pStyle w:val="TOC2"/>
            <w:tabs>
              <w:tab w:val="clear" w:pos="9077"/>
              <w:tab w:val="right" w:pos="9359" w:leader="dot"/>
            </w:tabs>
            <w:rPr/>
          </w:pPr>
          <w:hyperlink w:anchor="__RefHeading___Toc4288_774647446">
            <w:r>
              <w:rPr>
                <w:webHidden/>
                <w:rStyle w:val="IndexLink"/>
              </w:rPr>
              <w:t>6.3 One program, two targets</w:t>
              <w:tab/>
              <w:t>33</w:t>
            </w:r>
          </w:hyperlink>
        </w:p>
        <w:p>
          <w:pPr>
            <w:pStyle w:val="TOC2"/>
            <w:tabs>
              <w:tab w:val="clear" w:pos="9077"/>
              <w:tab w:val="right" w:pos="9359" w:leader="dot"/>
            </w:tabs>
            <w:rPr/>
          </w:pPr>
          <w:hyperlink w:anchor="__RefHeading___Toc4290_774647446">
            <w:r>
              <w:rPr>
                <w:webHidden/>
                <w:rStyle w:val="IndexLink"/>
              </w:rPr>
              <w:t>6.4 Where the results go</w:t>
              <w:tab/>
              <w:t>33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Host_address_map">
        <w:r>
          <w:rPr>
            <w:rStyle w:val="ListLabel1"/>
            <w:color w:val="000000"/>
            <w:sz w:val="24"/>
          </w:rPr>
          <w:t>Figure 2.2: Host address map</w:t>
        </w:r>
        <w:r>
          <w:rPr>
            <w:rStyle w:val="ListLabel1"/>
          </w:rPr>
          <w:tab/>
        </w:r>
        <w:r>
          <w:rPr>
            <w:rStyle w:val="ListLabel1"/>
          </w:rPr>
          <w:fldChar w:fldCharType="begin"/>
        </w:r>
        <w:r>
          <w:rPr>
            <w:rStyle w:val="ListLabel1"/>
          </w:rPr>
          <w:instrText xml:space="preserve"> PAGEREF _Fig_3_Host_address_map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_Fig_4_One_source_tree__thr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Fig_5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_Fig_5_What_each_build_meas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Harness_C">
        <w:r>
          <w:rPr>
            <w:rStyle w:val="ListLabel1"/>
            <w:color w:val="000000"/>
            <w:sz w:val="24"/>
          </w:rPr>
          <w:t>Table 5: Table 2.1: Harness CSR, the registers that define a run</w:t>
        </w:r>
        <w:r>
          <w:rPr>
            <w:rStyle w:val="ListLabel1"/>
          </w:rPr>
          <w:tab/>
        </w:r>
        <w:r>
          <w:rPr>
            <w:rStyle w:val="ListLabel1"/>
          </w:rPr>
          <w:fldChar w:fldCharType="begin"/>
        </w:r>
        <w:r>
          <w:rPr>
            <w:rStyle w:val="ListLabel1"/>
          </w:rPr>
          <w:instrText xml:space="preserve"> PAGEREF _Tab_5_Table_2_1__Harness_C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memory model</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Bridge_ad">
        <w:r>
          <w:rPr>
            <w:rStyle w:val="ListLabel1"/>
            <w:color w:val="000000"/>
            <w:sz w:val="24"/>
          </w:rPr>
          <w:t>Table 7: Table 2.3: Bridge address map (from bridge_stream_mon_axil.toml)</w:t>
        </w:r>
        <w:r>
          <w:rPr>
            <w:rStyle w:val="ListLabel1"/>
          </w:rPr>
          <w:tab/>
        </w:r>
        <w:r>
          <w:rPr>
            <w:rStyle w:val="ListLabel1"/>
          </w:rPr>
          <w:fldChar w:fldCharType="begin"/>
        </w:r>
        <w:r>
          <w:rPr>
            <w:rStyle w:val="ListLabel1"/>
          </w:rPr>
          <w:instrText xml:space="preserve"> PAGEREF _Tab_7_Table_2_3__Bridge_ad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Table_2_4__harness_c">
        <w:r>
          <w:rPr>
            <w:rStyle w:val="ListLabel1"/>
            <w:color w:val="000000"/>
            <w:sz w:val="24"/>
          </w:rPr>
          <w:t>Table 8: Table 2.4: harness_csr register map (base 0x0001_0000)</w:t>
        </w:r>
        <w:r>
          <w:rPr>
            <w:rStyle w:val="ListLabel1"/>
          </w:rPr>
          <w:tab/>
        </w:r>
        <w:r>
          <w:rPr>
            <w:rStyle w:val="ListLabel1"/>
          </w:rPr>
          <w:fldChar w:fldCharType="begin"/>
        </w:r>
        <w:r>
          <w:rPr>
            <w:rStyle w:val="ListLabel1"/>
          </w:rPr>
          <w:instrText xml:space="preserve"> PAGEREF _Tab_8_Table_2_4__harness_c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Table_3_1__The_three">
        <w:r>
          <w:rPr>
            <w:rStyle w:val="ListLabel1"/>
            <w:color w:val="000000"/>
            <w:sz w:val="24"/>
          </w:rPr>
          <w:t>Table 9: Table 3.1: The three builds</w:t>
        </w:r>
        <w:r>
          <w:rPr>
            <w:rStyle w:val="ListLabel1"/>
          </w:rPr>
          <w:tab/>
        </w:r>
        <w:r>
          <w:rPr>
            <w:rStyle w:val="ListLabel1"/>
          </w:rPr>
          <w:fldChar w:fldCharType="begin"/>
        </w:r>
        <w:r>
          <w:rPr>
            <w:rStyle w:val="ListLabel1"/>
          </w:rPr>
          <w:instrText xml:space="preserve"> PAGEREF _Tab_9_Table_3_1__The_three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0_Table_3_2__Sign_off_">
        <w:r>
          <w:rPr>
            <w:rStyle w:val="ListLabel1"/>
            <w:color w:val="000000"/>
            <w:sz w:val="24"/>
          </w:rPr>
          <w:t>Table 10: Table 3.2: Sign-off builds</w:t>
        </w:r>
        <w:r>
          <w:rPr>
            <w:rStyle w:val="ListLabel1"/>
          </w:rPr>
          <w:tab/>
        </w:r>
        <w:r>
          <w:rPr>
            <w:rStyle w:val="ListLabel1"/>
          </w:rPr>
          <w:fldChar w:fldCharType="begin"/>
        </w:r>
        <w:r>
          <w:rPr>
            <w:rStyle w:val="ListLabel1"/>
          </w:rPr>
          <w:instrText xml:space="preserve"> PAGEREF _Tab_10_Table_3_2__Sign_off_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Table_3_3__The_knobs">
        <w:r>
          <w:rPr>
            <w:rStyle w:val="ListLabel1"/>
            <w:color w:val="000000"/>
            <w:sz w:val="24"/>
          </w:rPr>
          <w:t>Table 11: Table 3.3: The knobs</w:t>
        </w:r>
        <w:r>
          <w:rPr>
            <w:rStyle w:val="ListLabel1"/>
          </w:rPr>
          <w:tab/>
        </w:r>
        <w:r>
          <w:rPr>
            <w:rStyle w:val="ListLabel1"/>
          </w:rPr>
          <w:fldChar w:fldCharType="begin"/>
        </w:r>
        <w:r>
          <w:rPr>
            <w:rStyle w:val="ListLabel1"/>
          </w:rPr>
          <w:instrText xml:space="preserve"> PAGEREF _Tab_11_Table_3_3__The_knobs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4_1__Flow_targ">
        <w:r>
          <w:rPr>
            <w:rStyle w:val="ListLabel1"/>
            <w:color w:val="000000"/>
            <w:sz w:val="24"/>
          </w:rPr>
          <w:t>Table 12: Table 4.1: Flow targets (from make/fpga_flow.mk)</w:t>
        </w:r>
        <w:r>
          <w:rPr>
            <w:rStyle w:val="ListLabel1"/>
          </w:rPr>
          <w:tab/>
        </w:r>
        <w:r>
          <w:rPr>
            <w:rStyle w:val="ListLabel1"/>
          </w:rPr>
          <w:fldChar w:fldCharType="begin"/>
        </w:r>
        <w:r>
          <w:rPr>
            <w:rStyle w:val="ListLabel1"/>
          </w:rPr>
          <w:instrText xml:space="preserve"> PAGEREF _Tab_12_Table_4_1__Flow_targ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Table_4_2__Per_build">
        <w:r>
          <w:rPr>
            <w:rStyle w:val="ListLabel1"/>
            <w:color w:val="000000"/>
            <w:sz w:val="24"/>
          </w:rPr>
          <w:t>Table 13: Table 4.2: Per-build host programs</w:t>
        </w:r>
        <w:r>
          <w:rPr>
            <w:rStyle w:val="ListLabel1"/>
          </w:rPr>
          <w:tab/>
        </w:r>
        <w:r>
          <w:rPr>
            <w:rStyle w:val="ListLabel1"/>
          </w:rPr>
          <w:fldChar w:fldCharType="begin"/>
        </w:r>
        <w:r>
          <w:rPr>
            <w:rStyle w:val="ListLabel1"/>
          </w:rPr>
          <w:instrText xml:space="preserve"> PAGEREF _Tab_13_Table_4_2__Per_build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Table_4_3__Reports">
        <w:r>
          <w:rPr>
            <w:rStyle w:val="ListLabel1"/>
            <w:color w:val="000000"/>
            <w:sz w:val="24"/>
          </w:rPr>
          <w:t>Table 14: Table 4.3: Reports</w:t>
        </w:r>
        <w:r>
          <w:rPr>
            <w:rStyle w:val="ListLabel1"/>
          </w:rPr>
          <w:tab/>
        </w:r>
        <w:r>
          <w:rPr>
            <w:rStyle w:val="ListLabel1"/>
          </w:rPr>
          <w:fldChar w:fldCharType="begin"/>
        </w:r>
        <w:r>
          <w:rPr>
            <w:rStyle w:val="ListLabel1"/>
          </w:rPr>
          <w:instrText xml:space="preserve"> PAGEREF _Tab_14_Table_4_3__Reports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4224_774647446"/>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three builds,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 run timer updated 2026-10-15</w:t>
            </w:r>
          </w:p>
        </w:tc>
      </w:tr>
    </w:tbl>
    <w:p>
      <w:pPr>
        <w:pStyle w:val="Heading2"/>
        <w:pBdr>
          <w:bottom w:val="single" w:sz="12" w:space="0" w:color="228B22"/>
        </w:pBdr>
        <w:spacing w:before="280" w:after="80"/>
        <w:rPr/>
      </w:pPr>
      <w:bookmarkStart w:id="3" w:name="__RefHeading___Toc4226_774647446"/>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run timer and CRC verdict are now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utility-ip/misc</w:t>
            </w:r>
            <w:r>
              <w:rPr>
                <w:rFonts w:eastAsia="Cambria" w:cs=""/>
                <w:kern w:val="0"/>
                <w:sz w:val="24"/>
                <w:szCs w:val="24"/>
                <w:lang w:val="en-US" w:eastAsia="en-US" w:bidi="ar-SA"/>
              </w:rPr>
              <w:t xml:space="preserve">, shared with the RAPIDS harnesses: Figure 2.1 adds the block, Section 2 describes it, Figure 4.1’s verdict names it, and the address map no longer calls </w:t>
            </w:r>
            <w:r>
              <w:rPr>
                <w:rStyle w:val="VerbatimChar"/>
                <w:rFonts w:eastAsia="Cambria" w:cs=""/>
                <w:kern w:val="0"/>
                <w:szCs w:val="24"/>
                <w:lang w:val="en-US" w:eastAsia="en-US" w:bidi="ar-SA"/>
              </w:rPr>
              <w:t>TIMER_CYCLES</w:t>
            </w:r>
            <w:r>
              <w:rPr>
                <w:rFonts w:eastAsia="Cambria" w:cs=""/>
                <w:kern w:val="0"/>
                <w:sz w:val="24"/>
                <w:szCs w:val="24"/>
                <w:lang w:val="en-US" w:eastAsia="en-US" w:bidi="ar-SA"/>
              </w:rPr>
              <w:t xml:space="preserve"> free-running.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bookmarkStart w:id="5" w:name="__RefHeading___Toc4228_774647446"/>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4230_774647446"/>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4232_774647446"/>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4234_774647446"/>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3204845"/>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3204845"/>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4236_774647446"/>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bookmarkStart w:id="17" w:name="__RefHeading___Toc4238_774647446"/>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p>
    <w:p>
      <w:pPr>
        <w:pStyle w:val="Heading2"/>
        <w:pBdr>
          <w:bottom w:val="single" w:sz="12" w:space="0" w:color="228B22"/>
        </w:pBdr>
        <w:spacing w:before="280" w:after="80"/>
        <w:rPr/>
      </w:pPr>
      <w:bookmarkStart w:id="18" w:name="__RefHeading___Toc4240_774647446"/>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p>
    <w:p>
      <w:pPr>
        <w:pStyle w:val="Heading2"/>
        <w:pBdr>
          <w:bottom w:val="single" w:sz="12" w:space="0" w:color="228B22"/>
        </w:pBdr>
        <w:spacing w:before="280" w:after="80"/>
        <w:rPr/>
      </w:pPr>
      <w:bookmarkStart w:id="21" w:name="__RefHeading___Toc4242_774647446"/>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4244_774647446"/>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4246_774647446"/>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79412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79412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bookmarkEnd w:id="28"/>
    </w:p>
    <w:p>
      <w:pPr>
        <w:pStyle w:val="Heading2"/>
        <w:pBdr>
          <w:bottom w:val="single" w:sz="12" w:space="0" w:color="228B22"/>
        </w:pBdr>
        <w:spacing w:before="280" w:after="80"/>
        <w:rPr/>
      </w:pPr>
      <w:bookmarkStart w:id="30" w:name="__RefHeading___Toc4248_774647446"/>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 The complete host address map – bridge slaves and the harness CSR register detail – is drawn in </w:t>
      </w:r>
      <w:hyperlink r:id="rId7">
        <w:r>
          <w:rPr>
            <w:rStyle w:val="Hyperlink"/>
          </w:rPr>
          <w:t>The Address Map</w:t>
        </w:r>
      </w:hyperlink>
      <w:r>
        <w:rPr>
          <w:sz w:val="20"/>
        </w:rPr>
        <w:t>.</w:t>
      </w:r>
    </w:p>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p>
    <w:p>
      <w:pPr>
        <w:pStyle w:val="Heading2"/>
        <w:pBdr>
          <w:bottom w:val="single" w:sz="12" w:space="0" w:color="228B22"/>
        </w:pBdr>
        <w:spacing w:before="280" w:after="80"/>
        <w:rPr/>
      </w:pPr>
      <w:bookmarkStart w:id="32" w:name="__RefHeading___Toc4250_774647446"/>
      <w:bookmarkStart w:id="33" w:name="the-harness-csr"/>
      <w:bookmarkEnd w:id="32"/>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4" w:name="_Tab_5_Table_2_1__Harness_C"/>
      <w:r>
        <w:rPr/>
        <w:t>Table 2.1: Harness CSR, the registers that define a run</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3"/>
    </w:p>
    <w:p>
      <w:pPr>
        <w:pStyle w:val="Heading2"/>
        <w:pBdr>
          <w:bottom w:val="single" w:sz="12" w:space="0" w:color="228B22"/>
        </w:pBdr>
        <w:spacing w:before="280" w:after="80"/>
        <w:rPr/>
      </w:pPr>
      <w:bookmarkStart w:id="35" w:name="__RefHeading___Toc4252_774647446"/>
      <w:bookmarkStart w:id="36" w:name="the-run-timer-and-the-verdict"/>
      <w:bookmarkEnd w:id="35"/>
      <w:r>
        <w:rPr>
          <w:rStyle w:val="SectionNumber"/>
          <w:b/>
          <w:color w:val="228B22"/>
          <w:sz w:val="28"/>
        </w:rPr>
        <w:t>3.3</w:t>
      </w:r>
      <w:r>
        <w:rPr>
          <w:b/>
          <w:color w:val="228B22"/>
          <w:sz w:val="28"/>
        </w:rPr>
        <w:tab/>
        <w:t>The run timer and the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times each run and judges it. It lives in </w:t>
      </w:r>
      <w:r>
        <w:rPr>
          <w:rStyle w:val="VerbatimChar"/>
          <w:sz w:val="20"/>
        </w:rPr>
        <w:t>projects/components/utility-ip/misc/rtl/</w:t>
      </w:r>
      <w:r>
        <w:rPr>
          <w:sz w:val="20"/>
        </w:rPr>
        <w:t>. The two Genesys 2 RAPIDS harnesses use the same module and the fabric benchmark harness will, so every harness built on the LFSR source and CRC sink measures and judges a run the same way.</w:t>
      </w:r>
    </w:p>
    <w:p>
      <w:pPr>
        <w:pStyle w:val="Compact"/>
        <w:numPr>
          <w:ilvl w:val="0"/>
          <w:numId w:val="1"/>
        </w:numPr>
        <w:rPr/>
      </w:pPr>
      <w:r>
        <w:rPr>
          <w:b/>
          <w:bCs/>
        </w:rPr>
        <w:t>Start:</w:t>
      </w:r>
      <w:r>
        <w:rPr/>
        <w:t xml:space="preserve"> the first </w:t>
      </w:r>
      <w:r>
        <w:rPr>
          <w:rStyle w:val="VerbatimChar"/>
        </w:rPr>
        <w:t>m_axi_desc</w:t>
      </w:r>
      <w:r>
        <w:rPr/>
        <w:t xml:space="preserve"> AR handshake after a </w:t>
      </w:r>
      <w:r>
        <w:rPr>
          <w:rStyle w:val="VerbatimChar"/>
        </w:rPr>
        <w:t>TIMER_CTRL</w:t>
      </w:r>
      <w:r>
        <w:rPr/>
        <w:t xml:space="preserve"> clear, so the run begins with the first descriptor fetch.</w:t>
      </w:r>
    </w:p>
    <w:p>
      <w:pPr>
        <w:pStyle w:val="Compact"/>
        <w:numPr>
          <w:ilvl w:val="0"/>
          <w:numId w:val="1"/>
        </w:numPr>
        <w:rPr/>
      </w:pPr>
      <w:r>
        <w:rPr>
          <w:b/>
          <w:bCs/>
        </w:rPr>
        <w:t>Stop:</w:t>
      </w:r>
      <w:r>
        <w:rPr/>
        <w:t xml:space="preserve"> the sink’s write-beat count reaching </w:t>
      </w:r>
      <w:r>
        <w:rPr>
          <w:rStyle w:val="VerbatimChar"/>
        </w:rPr>
        <w:t>TIMER_EXPECTED_BEATS</w:t>
      </w:r>
      <w:r>
        <w:rPr/>
        <w:t xml:space="preserve">. </w:t>
      </w:r>
      <w:r>
        <w:rPr>
          <w:rStyle w:val="VerbatimChar"/>
        </w:rPr>
        <w:t>TIMER_CYCLES</w:t>
      </w:r>
      <w:r>
        <w:rPr/>
        <w:t xml:space="preserve"> freezes there, so the throughput is exact.</w:t>
      </w:r>
    </w:p>
    <w:p>
      <w:pPr>
        <w:pStyle w:val="Compact"/>
        <w:numPr>
          <w:ilvl w:val="0"/>
          <w:numId w:val="1"/>
        </w:numPr>
        <w:rPr/>
      </w:pPr>
      <w:r>
        <w:rPr>
          <w:b/>
          <w:bCs/>
        </w:rPr>
        <w:t>Pass:</w:t>
      </w:r>
      <w:r>
        <w:rPr/>
        <w:t xml:space="preserve"> sampled 5 cycles after the stop, once the last beat’s CRC has settled. Every channel that ran must have a valid sink CRC equal to its source CRC; a channel that never ran neither passes nor fails. No channel is masked out of the verdict.</w:t>
      </w:r>
    </w:p>
    <w:p>
      <w:pPr>
        <w:pStyle w:val="Compact"/>
        <w:numPr>
          <w:ilvl w:val="0"/>
          <w:numId w:val="1"/>
        </w:numPr>
        <w:rPr/>
      </w:pPr>
      <w:r>
        <w:rPr>
          <w:b/>
          <w:bCs/>
        </w:rPr>
        <w:t>Stamps:</w:t>
      </w:r>
      <w:r>
        <w:rPr/>
        <w:t xml:space="preserve"> the cycle of the first and last read and write beat, so the host can separate steady-state engine throughput from descriptor fill and drain.</w:t>
      </w:r>
    </w:p>
    <w:p>
      <w:pPr>
        <w:pStyle w:val="FirstParagraph"/>
        <w:rPr/>
      </w:pPr>
      <w:r>
        <w:rPr>
          <w:rStyle w:val="VerbatimChar"/>
          <w:sz w:val="20"/>
        </w:rPr>
        <w:t>TIMER_STATUS.pass</w:t>
      </w:r>
      <w:r>
        <w:rPr>
          <w:sz w:val="20"/>
        </w:rPr>
        <w:t xml:space="preserve"> and the per-channel CRC registers in Table 2.1 are this block’s outputs.</w:t>
      </w:r>
      <w:bookmarkEnd w:id="36"/>
    </w:p>
    <w:p>
      <w:pPr>
        <w:pStyle w:val="Heading2"/>
        <w:pBdr>
          <w:bottom w:val="single" w:sz="12" w:space="0" w:color="228B22"/>
        </w:pBdr>
        <w:spacing w:before="280" w:after="80"/>
        <w:rPr/>
      </w:pPr>
      <w:bookmarkStart w:id="37" w:name="__RefHeading___Toc4254_774647446"/>
      <w:bookmarkEnd w:id="37"/>
      <w:r>
        <w:rPr>
          <w:rStyle w:val="SectionNumber"/>
          <w:b/>
          <w:color w:val="228B22"/>
          <w:sz w:val="28"/>
        </w:rPr>
        <w:t>3.4</w:t>
      </w:r>
      <w:r>
        <w:rPr>
          <w:b/>
          <w:color w:val="228B22"/>
          <w:sz w:val="28"/>
        </w:rPr>
        <w:tab/>
        <w:t>Stimulus and the memory model</w:t>
      </w:r>
    </w:p>
    <w:p>
      <w:pPr>
        <w:pStyle w:val="TableCaption"/>
        <w:rPr/>
      </w:pPr>
      <w:bookmarkStart w:id="38" w:name="_Tab_6_Table_2_2__Stimulus_"/>
      <w:r>
        <w:rPr/>
        <w:t>Table 2.2: Stimulus and memory model</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9" w:name="stimulus-and-the-memory-model"/>
            <w:bookmarkEnd w:id="39"/>
          </w:p>
        </w:tc>
      </w:tr>
    </w:tbl>
    <w:p>
      <w:pPr>
        <w:pStyle w:val="Heading2"/>
        <w:pBdr>
          <w:bottom w:val="single" w:sz="12" w:space="0" w:color="228B22"/>
        </w:pBdr>
        <w:spacing w:before="280" w:after="80"/>
        <w:rPr/>
      </w:pPr>
      <w:bookmarkStart w:id="40" w:name="__RefHeading___Toc4256_774647446"/>
      <w:bookmarkEnd w:id="40"/>
      <w:r>
        <w:rPr>
          <w:rStyle w:val="SectionNumber"/>
          <w:b/>
          <w:color w:val="228B22"/>
          <w:sz w:val="28"/>
        </w:rPr>
        <w:t>3.5</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5"/>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6"/>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7"/>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4258_774647446"/>
      <w:bookmarkStart w:id="43" w:name="the-address-map"/>
      <w:bookmarkEnd w:id="42"/>
      <w:r>
        <w:rPr>
          <w:rStyle w:val="SectionNumber"/>
          <w:b/>
          <w:color w:val="FFFFFF"/>
          <w:sz w:val="32"/>
        </w:rPr>
        <w:t>4</w:t>
      </w:r>
      <w:r>
        <w:rPr>
          <w:b/>
          <w:color w:val="FFFFFF"/>
          <w:sz w:val="32"/>
        </w:rPr>
        <w:tab/>
        <w:t>The Address Map</w:t>
      </w:r>
    </w:p>
    <w:p>
      <w:pPr>
        <w:pStyle w:val="FirstParagraph"/>
        <w:rPr/>
      </w:pPr>
      <w:r>
        <w:rPr>
          <w:sz w:val="20"/>
        </w:rPr>
        <w:t xml:space="preserve">The host sees one 32-bit AXI4-Lite master. </w:t>
      </w:r>
      <w:r>
        <w:rPr>
          <w:rStyle w:val="VerbatimChar"/>
          <w:sz w:val="20"/>
        </w:rPr>
        <w:t>uart_axil_bridge</w:t>
      </w:r>
      <w:r>
        <w:rPr>
          <w:sz w:val="20"/>
        </w:rPr>
        <w:t xml:space="preserve"> turns the ASCII </w:t>
      </w:r>
      <w:r>
        <w:rPr>
          <w:rStyle w:val="VerbatimChar"/>
          <w:sz w:val="20"/>
        </w:rPr>
        <w:t>W addr data</w:t>
      </w:r>
      <w:r>
        <w:rPr>
          <w:sz w:val="20"/>
        </w:rPr>
        <w:t xml:space="preserve"> / </w:t>
      </w:r>
      <w:r>
        <w:rPr>
          <w:rStyle w:val="VerbatimChar"/>
          <w:sz w:val="20"/>
        </w:rPr>
        <w:t>R addr</w:t>
      </w:r>
      <w:r>
        <w:rPr>
          <w:sz w:val="20"/>
        </w:rPr>
        <w:t xml:space="preserve"> lines into that master, and the generated </w:t>
      </w:r>
      <w:r>
        <w:rPr>
          <w:rStyle w:val="VerbatimChar"/>
          <w:sz w:val="20"/>
        </w:rPr>
        <w:t>bridge_stream_mon_axil</w:t>
      </w:r>
      <w:r>
        <w:rPr>
          <w:sz w:val="20"/>
        </w:rPr>
        <w:t xml:space="preserve"> fans it out to every slave in the harness. The bridge is generated from </w:t>
      </w:r>
      <w:r>
        <w:rPr>
          <w:rStyle w:val="VerbatimChar"/>
          <w:sz w:val="20"/>
        </w:rPr>
        <w:t>rtl/bridges/configs/bridge_stream_mon_axil.toml</w:t>
      </w:r>
      <w:r>
        <w:rPr>
          <w:sz w:val="20"/>
        </w:rPr>
        <w:t xml:space="preserve">; the table below is the as-built map from that file. Anything not listed decodes to a tied-off </w:t>
      </w:r>
      <w:r>
        <w:rPr>
          <w:rStyle w:val="VerbatimChar"/>
          <w:sz w:val="20"/>
        </w:rPr>
        <w:t>dma_axil</w:t>
      </w:r>
      <w:r>
        <w:rPr>
          <w:sz w:val="20"/>
        </w:rPr>
        <w:t xml:space="preserve"> port or returns DECERR.</w:t>
      </w:r>
    </w:p>
    <w:p>
      <w:pPr>
        <w:pStyle w:val="Heading3"/>
        <w:spacing w:before="200" w:after="80"/>
        <w:rPr/>
      </w:pPr>
      <w:bookmarkStart w:id="44" w:name="__RefHeading___Toc4260_774647446"/>
      <w:bookmarkStart w:id="45" w:name="figure-2.2-host-address-map"/>
      <w:bookmarkStart w:id="46" w:name="_Fig_3_Host_address_map"/>
      <w:bookmarkEnd w:id="44"/>
      <w:r>
        <w:rPr>
          <w:rStyle w:val="SectionNumber"/>
          <w:b/>
          <w:color w:val="404040"/>
          <w:sz w:val="24"/>
        </w:rPr>
        <w:t>4.0.1</w:t>
      </w:r>
      <w:r>
        <w:rPr>
          <w:b/>
          <w:color w:val="404040"/>
          <w:sz w:val="24"/>
        </w:rPr>
        <w:tab/>
        <w:t>Figure 2.2: Host address map</w:t>
      </w:r>
      <w:bookmarkEnd w:id="46"/>
    </w:p>
    <w:p>
      <w:pPr>
        <w:pStyle w:val="CaptionedFigure"/>
        <w:rPr/>
      </w:pPr>
      <w:r>
        <w:rPr/>
        <w:drawing>
          <wp:inline distT="0" distB="0" distL="0" distR="0">
            <wp:extent cx="5334000" cy="2094230"/>
            <wp:effectExtent l="0" t="0" r="0" b="0"/>
            <wp:docPr id="14" name="Image3" descr="Host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Host address map"/>
                    <pic:cNvPicPr>
                      <a:picLocks noChangeAspect="1" noChangeArrowheads="1"/>
                    </pic:cNvPicPr>
                  </pic:nvPicPr>
                  <pic:blipFill>
                    <a:blip r:embed="rId8"/>
                    <a:stretch>
                      <a:fillRect/>
                    </a:stretch>
                  </pic:blipFill>
                  <pic:spPr bwMode="auto">
                    <a:xfrm>
                      <a:off x="0" y="0"/>
                      <a:ext cx="5334000" cy="2094230"/>
                    </a:xfrm>
                    <a:prstGeom prst="rect">
                      <a:avLst/>
                    </a:prstGeom>
                  </pic:spPr>
                </pic:pic>
              </a:graphicData>
            </a:graphic>
          </wp:inline>
        </w:drawing>
      </w:r>
    </w:p>
    <w:p>
      <w:pPr>
        <w:pStyle w:val="ImageCaption"/>
        <w:rPr/>
      </w:pPr>
      <w:r>
        <w:rPr/>
        <w:t>Host address map</w:t>
      </w:r>
    </w:p>
    <w:p>
      <w:pPr>
        <w:pStyle w:val="BodyText"/>
        <w:rPr/>
      </w:pPr>
      <w:r>
        <w:rPr>
          <w:b/>
          <w:bCs/>
          <w:sz w:val="20"/>
        </w:rPr>
        <w:t>Source:</w:t>
      </w:r>
      <w:r>
        <w:rPr>
          <w:sz w:val="20"/>
        </w:rPr>
        <w:t xml:space="preserve"> </w:t>
      </w:r>
      <w:hyperlink r:id="rId9">
        <w:r>
          <w:rPr>
            <w:rStyle w:val="Hyperlink"/>
          </w:rPr>
          <w:t>05_address_map.dot</w:t>
        </w:r>
      </w:hyperlink>
      <w:bookmarkEnd w:id="45"/>
    </w:p>
    <w:p>
      <w:pPr>
        <w:pStyle w:val="Heading2"/>
        <w:pBdr>
          <w:bottom w:val="single" w:sz="12" w:space="0" w:color="228B22"/>
        </w:pBdr>
        <w:spacing w:before="280" w:after="80"/>
        <w:rPr/>
      </w:pPr>
      <w:bookmarkStart w:id="47" w:name="__RefHeading___Toc4262_774647446"/>
      <w:bookmarkStart w:id="48" w:name="bridge-slave-map"/>
      <w:bookmarkEnd w:id="47"/>
      <w:r>
        <w:rPr>
          <w:rStyle w:val="SectionNumber"/>
          <w:b/>
          <w:color w:val="228B22"/>
          <w:sz w:val="28"/>
        </w:rPr>
        <w:t>4.1</w:t>
      </w:r>
      <w:r>
        <w:rPr>
          <w:b/>
          <w:color w:val="228B22"/>
          <w:sz w:val="28"/>
        </w:rPr>
        <w:tab/>
        <w:t>Bridge slave map</w:t>
      </w:r>
    </w:p>
    <w:p>
      <w:pPr>
        <w:pStyle w:val="TableCaption"/>
        <w:rPr/>
      </w:pPr>
      <w:bookmarkStart w:id="49" w:name="_Tab_7_Table_2_3__Bridge_ad"/>
      <w:r>
        <w:rPr/>
        <w:t xml:space="preserve">Table 2.3: Bridge address map (from </w:t>
      </w:r>
      <w:r>
        <w:rPr>
          <w:rStyle w:val="VerbatimChar"/>
        </w:rPr>
        <w:t>bridge_stream_mon_axil.toml</w:t>
      </w:r>
      <w:r>
        <w:rPr/>
        <w:t>)</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478"/>
        <w:gridCol w:w="2464"/>
        <w:gridCol w:w="1724"/>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7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DUT config and in-core monitor perf CSRs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control/status/timer/CRC/build identity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preload: host writes 32-bit, STREAM reads 256-bit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in-core monitor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DECERR – not used in this harness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Compressed MonBus capture memory, host download</w:t>
            </w:r>
          </w:p>
        </w:tc>
      </w:tr>
    </w:tbl>
    <w:p>
      <w:pPr>
        <w:pStyle w:val="BodyText"/>
        <w:rPr/>
      </w:pPr>
      <w:r>
        <w:rPr>
          <w:sz w:val="20"/>
        </w:rPr>
        <w:t>The two tally windows (</w:t>
      </w:r>
      <w:r>
        <w:rPr>
          <w:rStyle w:val="VerbatimChar"/>
          <w:sz w:val="20"/>
        </w:rPr>
        <w:t>stream_tally</w:t>
      </w:r>
      <w:r>
        <w:rPr>
          <w:sz w:val="20"/>
        </w:rPr>
        <w:t xml:space="preserve"> / </w:t>
      </w:r>
      <w:r>
        <w:rPr>
          <w:rStyle w:val="VerbatimChar"/>
          <w:sz w:val="20"/>
        </w:rPr>
        <w:t>slave_tally</w:t>
      </w:r>
      <w:r>
        <w:rPr>
          <w:sz w:val="20"/>
        </w:rPr>
        <w:t xml:space="preserve">) are read-only for the host in normal use: records arrive directly from the observers or in-core monitors, and the host reads the resulting histogram. Their companion </w:t>
      </w:r>
      <w:r>
        <w:rPr>
          <w:rStyle w:val="VerbatimChar"/>
          <w:sz w:val="20"/>
        </w:rPr>
        <w:t>_cfg</w:t>
      </w:r>
      <w:r>
        <w:rPr>
          <w:sz w:val="20"/>
        </w:rPr>
        <w:t xml:space="preserve"> windows are where the host loads the legal </w:t>
      </w:r>
      <w:r>
        <w:rPr>
          <w:rStyle w:val="VerbatimChar"/>
          <w:sz w:val="20"/>
        </w:rPr>
        <w:t>{agent, protocol, type, event}</w:t>
      </w:r>
      <w:r>
        <w:rPr>
          <w:sz w:val="20"/>
        </w:rPr>
        <w:t xml:space="preserve"> CAM profile and where direct bin readback also lives.</w:t>
      </w:r>
      <w:bookmarkEnd w:id="48"/>
    </w:p>
    <w:p>
      <w:pPr>
        <w:pStyle w:val="Heading2"/>
        <w:pBdr>
          <w:bottom w:val="single" w:sz="12" w:space="0" w:color="228B22"/>
        </w:pBdr>
        <w:spacing w:before="280" w:after="80"/>
        <w:rPr/>
      </w:pPr>
      <w:bookmarkStart w:id="50" w:name="__RefHeading___Toc4264_774647446"/>
      <w:bookmarkEnd w:id="50"/>
      <w:r>
        <w:rPr>
          <w:rStyle w:val="SectionNumber"/>
          <w:b/>
          <w:color w:val="228B22"/>
          <w:sz w:val="28"/>
        </w:rPr>
        <w:t>4.2</w:t>
      </w:r>
      <w:r>
        <w:rPr>
          <w:b/>
          <w:color w:val="228B22"/>
          <w:sz w:val="28"/>
        </w:rPr>
        <w:tab/>
        <w:t>Harness CSR detail</w:t>
      </w:r>
    </w:p>
    <w:p>
      <w:pPr>
        <w:pStyle w:val="FirstParagraph"/>
        <w:rPr/>
      </w:pPr>
      <w:r>
        <w:rPr>
          <w:rStyle w:val="VerbatimChar"/>
          <w:sz w:val="20"/>
        </w:rPr>
        <w:t>harness_csr</w:t>
      </w:r>
      <w:r>
        <w:rPr>
          <w:sz w:val="20"/>
        </w:rPr>
        <w:t xml:space="preserve"> occupies </w:t>
      </w:r>
      <w:r>
        <w:rPr>
          <w:rStyle w:val="VerbatimChar"/>
          <w:sz w:val="20"/>
        </w:rPr>
        <w:t>0x0001_0000</w:t>
      </w:r>
      <w:r>
        <w:rPr>
          <w:sz w:val="20"/>
        </w:rPr>
        <w:t xml:space="preserve"> and is the source of truth for run control, build identity, and the memory-latency knob. The map is generated from </w:t>
      </w:r>
      <w:r>
        <w:rPr>
          <w:rStyle w:val="VerbatimChar"/>
          <w:sz w:val="20"/>
        </w:rPr>
        <w:t>regs/harness_csr_regs.rdl</w:t>
      </w:r>
      <w:r>
        <w:rPr>
          <w:sz w:val="20"/>
        </w:rPr>
        <w:t xml:space="preserve"> and decoded by hand in </w:t>
      </w:r>
      <w:r>
        <w:rPr>
          <w:rStyle w:val="VerbatimChar"/>
          <w:sz w:val="20"/>
        </w:rPr>
        <w:t>rtl/harness_csr.sv</w:t>
      </w:r>
      <w:r>
        <w:rPr>
          <w:sz w:val="20"/>
        </w:rPr>
        <w:t>; a test (</w:t>
      </w:r>
      <w:r>
        <w:rPr>
          <w:rStyle w:val="VerbatimChar"/>
          <w:sz w:val="20"/>
        </w:rPr>
        <w:t>bin/tests/test_harness_regmap.py</w:t>
      </w:r>
      <w:r>
        <w:rPr>
          <w:sz w:val="20"/>
        </w:rPr>
        <w:t>) asserts every RDL register has a matching hardware decode.</w:t>
      </w:r>
    </w:p>
    <w:p>
      <w:pPr>
        <w:pStyle w:val="TableCaption"/>
        <w:rPr/>
      </w:pPr>
      <w:bookmarkStart w:id="51" w:name="_Tab_8_Table_2_4__harness_c"/>
      <w:r>
        <w:rPr/>
        <w:t xml:space="preserve">Table 2.4: </w:t>
      </w:r>
      <w:r>
        <w:rPr>
          <w:rStyle w:val="VerbatimChar"/>
        </w:rPr>
        <w:t>harness_csr</w:t>
      </w:r>
      <w:r>
        <w:rPr/>
        <w:t xml:space="preserve"> register map (base </w:t>
      </w:r>
      <w:r>
        <w:rPr>
          <w:rStyle w:val="VerbatimChar"/>
        </w:rPr>
        <w:t>0x0001_0000</w:t>
      </w:r>
      <w:r>
        <w:rPr/>
        <w:t>)</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674"/>
        <w:gridCol w:w="2140"/>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1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pulses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SRAM write pointer (words)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overflow flag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read-source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write-sink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CRC_WR_COMPUTED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CRC computed by write sink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ping / port autodetect (magic </w:t>
            </w:r>
            <w:r>
              <w:rPr>
                <w:rStyle w:val="VerbatimChar"/>
                <w:rFonts w:eastAsia="Cambria" w:cs=""/>
                <w:kern w:val="0"/>
                <w:szCs w:val="24"/>
                <w:lang w:val="en-US" w:eastAsia="en-US" w:bidi="ar-SA"/>
              </w:rPr>
              <w:t>0xC0FFEE5A</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0x5354_5243</w:t>
            </w:r>
            <w:r>
              <w:rPr>
                <w:rFonts w:eastAsia="Cambria" w:cs=""/>
                <w:kern w:val="0"/>
                <w:sz w:val="24"/>
                <w:szCs w:val="24"/>
                <w:lang w:val="en-US" w:eastAsia="en-US" w:bidi="ar-SA"/>
              </w:rPr>
              <w:t xml:space="preserve"> (“STRC”) – harness family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clear pulse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length in cycles, first descriptor AR to the expected write beat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frozen at the end of the run, not free-running)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TIMER_EXPECTED_BEATS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beat count that stops the timer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rd_delay[15:0]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wr_delay[31:16]</w:t>
            </w:r>
            <w:r>
              <w:rPr>
                <w:rFonts w:eastAsia="Cambria" w:cs=""/>
                <w:kern w:val="0"/>
                <w:sz w:val="24"/>
                <w:szCs w:val="24"/>
                <w:lang w:val="en-US" w:eastAsia="en-US" w:bidi="ar-SA"/>
              </w:rPr>
              <w:t xml:space="preserve"> latency knobs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0x05C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TIMER_R_LAST_*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TIMER_W_LAST_*</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first/last beat cycle stamps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0x07C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0x09C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0x0A4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CRC_VALID_MASK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CRC_MATCH_MASK</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valid/match bitmasks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0x0D4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DESC_SRAM_AR_HS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DESC_SRAM_R_HS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SRAM AXIL handshake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DESC_B_HS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DESC_VR_LIVE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descriptor AXI4 handshake + live valid/ready snapshot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0x1CF</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(retired AXI bus-meter readback)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main_cones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BUILD_N_PROFILE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legal-set size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clock frequency in Hz</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COMP_TIER1_A/B/C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COMP_TIER0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COMP_CAM_MISS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COMP_DELTA_TS_OVF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COMP_EVENT_DATA_OVF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COMP_ED_DELTA_OVF</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compressor statistics (0 unless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bookmarkStart w:id="52" w:name="harness-csr-detail"/>
            <w:bookmarkEnd w:id="52"/>
          </w:p>
        </w:tc>
      </w:tr>
    </w:tbl>
    <w:p>
      <w:pPr>
        <w:pStyle w:val="Heading2"/>
        <w:pBdr>
          <w:bottom w:val="single" w:sz="12" w:space="0" w:color="228B22"/>
        </w:pBdr>
        <w:spacing w:before="280" w:after="80"/>
        <w:rPr/>
      </w:pPr>
      <w:bookmarkStart w:id="53" w:name="__RefHeading___Toc4266_774647446"/>
      <w:bookmarkEnd w:id="53"/>
      <w:r>
        <w:rPr>
          <w:rStyle w:val="SectionNumber"/>
          <w:b/>
          <w:color w:val="228B22"/>
          <w:sz w:val="28"/>
        </w:rPr>
        <w:t>4.3</w:t>
      </w:r>
      <w:r>
        <w:rPr>
          <w:b/>
          <w:color w:val="228B22"/>
          <w:sz w:val="28"/>
        </w:rPr>
        <w:tab/>
        <w:t>By-name access</w:t>
      </w:r>
    </w:p>
    <w:p>
      <w:pPr>
        <w:pStyle w:val="FirstParagraph"/>
        <w:rPr/>
      </w:pPr>
      <w:r>
        <w:rPr>
          <w:sz w:val="20"/>
        </w:rPr>
        <w:t>Host tools must resolve addresses by name, not by hardcoded offset:</w:t>
      </w:r>
    </w:p>
    <w:p>
      <w:pPr>
        <w:pStyle w:val="Compact"/>
        <w:numPr>
          <w:ilvl w:val="0"/>
          <w:numId w:val="8"/>
        </w:numPr>
        <w:rPr/>
      </w:pPr>
      <w:r>
        <w:rPr>
          <w:rStyle w:val="VerbatimChar"/>
        </w:rPr>
        <w:t>bin/harness_addrs.py</w:t>
      </w:r>
      <w:r>
        <w:rPr/>
        <w:t xml:space="preserve"> </w:t>
      </w:r>
      <w:r>
        <w:rPr>
          <w:rStyle w:val="VerbatimChar"/>
        </w:rPr>
        <w:t>H("CTRL")</w:t>
      </w:r>
      <w:r>
        <w:rPr/>
        <w:t xml:space="preserve"> resolves harness CSR registers against </w:t>
      </w:r>
      <w:r>
        <w:rPr>
          <w:rStyle w:val="VerbatimChar"/>
        </w:rPr>
        <w:t>rtl/harness_csr_regmap.py</w:t>
      </w:r>
      <w:r>
        <w:rPr/>
        <w:t xml:space="preserve"> (generated from the RDL).</w:t>
      </w:r>
    </w:p>
    <w:p>
      <w:pPr>
        <w:pStyle w:val="Compact"/>
        <w:numPr>
          <w:ilvl w:val="0"/>
          <w:numId w:val="9"/>
        </w:numPr>
        <w:rPr/>
      </w:pPr>
      <w:r>
        <w:rPr>
          <w:rStyle w:val="VerbatimChar"/>
        </w:rPr>
        <w:t>bin/stream_addrs.py</w:t>
      </w:r>
      <w:r>
        <w:rPr/>
        <w:t xml:space="preserve"> </w:t>
      </w:r>
      <w:r>
        <w:rPr>
          <w:rStyle w:val="VerbatimChar"/>
        </w:rPr>
        <w:t>A("SCHED_CONFIG")</w:t>
      </w:r>
      <w:r>
        <w:rPr/>
        <w:t xml:space="preserve"> resolves STREAM APB registers against the component-level </w:t>
      </w:r>
      <w:r>
        <w:rPr>
          <w:rStyle w:val="VerbatimChar"/>
        </w:rPr>
        <w:t>stream_regmap.py</w:t>
      </w:r>
      <w:r>
        <w:rPr/>
        <w:t>.</w:t>
      </w:r>
    </w:p>
    <w:p>
      <w:pPr>
        <w:pStyle w:val="Compact"/>
        <w:numPr>
          <w:ilvl w:val="0"/>
          <w:numId w:val="10"/>
        </w:numPr>
        <w:rPr/>
      </w:pPr>
      <w:r>
        <w:rPr>
          <w:rStyle w:val="VerbatimChar"/>
        </w:rPr>
        <w:t>bin/obs_addrs.py</w:t>
      </w:r>
      <w:r>
        <w:rPr/>
        <w:t xml:space="preserve"> </w:t>
      </w:r>
      <w:r>
        <w:rPr>
          <w:rStyle w:val="VerbatimChar"/>
        </w:rPr>
        <w:t>O("MON_CTRL")</w:t>
      </w:r>
      <w:r>
        <w:rPr/>
        <w:t xml:space="preserve"> resolves observer APB registers against </w:t>
      </w:r>
      <w:r>
        <w:rPr>
          <w:rStyle w:val="VerbatimChar"/>
        </w:rPr>
        <w:t>obs_regs_top_regmap.py</w:t>
      </w:r>
      <w:r>
        <w:rPr/>
        <w:t xml:space="preserve">; use </w:t>
      </w:r>
      <w:r>
        <w:rPr>
          <w:rStyle w:val="VerbatimChar"/>
        </w:rPr>
        <w:t>base=SLAVE_OBS_APB_BASE</w:t>
      </w:r>
      <w:r>
        <w:rPr/>
        <w:t xml:space="preserve"> (</w:t>
      </w:r>
      <w:r>
        <w:rPr>
          <w:rStyle w:val="VerbatimChar"/>
        </w:rPr>
        <w:t>0x0018_0000</w:t>
      </w:r>
      <w:r>
        <w:rPr/>
        <w:t>) for the slave-role observer.</w:t>
      </w:r>
    </w:p>
    <w:p>
      <w:pPr>
        <w:pStyle w:val="FirstParagraph"/>
        <w:rPr/>
      </w:pPr>
      <w:r>
        <w:rPr>
          <w:sz w:val="20"/>
        </w:rPr>
        <w:t>This indirection is what keeps host scripts valid when a register moves inside its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the-address-map"/>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4268_774647446"/>
      <w:bookmarkStart w:id="56" w:name="one-rtl-three-builds"/>
      <w:bookmarkEnd w:id="55"/>
      <w:r>
        <w:rPr>
          <w:rStyle w:val="SectionNumber"/>
          <w:b/>
          <w:color w:val="FFFFFF"/>
          <w:sz w:val="32"/>
        </w:rPr>
        <w:t>5</w:t>
      </w:r>
      <w:r>
        <w:rPr>
          <w:b/>
          <w:color w:val="FFFFFF"/>
          <w:sz w:val="32"/>
        </w:rPr>
        <w:tab/>
        <w:t>One RTL, Three Builds</w:t>
      </w:r>
    </w:p>
    <w:p>
      <w:pPr>
        <w:pStyle w:val="Heading2"/>
        <w:pBdr>
          <w:bottom w:val="single" w:sz="12" w:space="0" w:color="228B22"/>
        </w:pBdr>
        <w:spacing w:before="280" w:after="80"/>
        <w:rPr/>
      </w:pPr>
      <w:bookmarkStart w:id="57" w:name="__RefHeading___Toc4270_774647446"/>
      <w:bookmarkStart w:id="58" w:name="the-rule"/>
      <w:bookmarkEnd w:id="57"/>
      <w:r>
        <w:rPr>
          <w:rStyle w:val="SectionNumber"/>
          <w:b/>
          <w:color w:val="228B22"/>
          <w:sz w:val="28"/>
        </w:rPr>
        <w:t>5.1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59" w:name="_Tab_9_Table_3_1__The_three"/>
      <w:r>
        <w:rPr/>
        <w:t>Table 3.1: The three builds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60" w:name="__RefHeading___Toc4272_774647446"/>
      <w:bookmarkStart w:id="61" w:name="Xc226b0c44a2c50f0e553011facdd3c0f482dd71"/>
      <w:bookmarkStart w:id="62" w:name="_Fig_4_One_source_tree__thr"/>
      <w:bookmarkEnd w:id="60"/>
      <w:r>
        <w:rPr>
          <w:rStyle w:val="SectionNumber"/>
          <w:b/>
          <w:color w:val="404040"/>
          <w:sz w:val="24"/>
        </w:rPr>
        <w:t>5.1.1</w:t>
      </w:r>
      <w:r>
        <w:rPr>
          <w:b/>
          <w:color w:val="404040"/>
          <w:sz w:val="24"/>
        </w:rPr>
        <w:tab/>
        <w:t>Figure 3.1: One source tree, three bitstreams</w:t>
      </w:r>
      <w:bookmarkEnd w:id="62"/>
    </w:p>
    <w:p>
      <w:pPr>
        <w:pStyle w:val="CaptionedFigure"/>
        <w:rPr/>
      </w:pPr>
      <w:r>
        <w:rPr/>
        <w:drawing>
          <wp:inline distT="0" distB="0" distL="0" distR="0">
            <wp:extent cx="5334000" cy="2635250"/>
            <wp:effectExtent l="0" t="0" r="0" b="0"/>
            <wp:docPr id="17" name="Image4"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RTL, the knobs, the three builds"/>
                    <pic:cNvPicPr>
                      <a:picLocks noChangeAspect="1" noChangeArrowheads="1"/>
                    </pic:cNvPicPr>
                  </pic:nvPicPr>
                  <pic:blipFill>
                    <a:blip r:embed="rId10"/>
                    <a:stretch>
                      <a:fillRect/>
                    </a:stretch>
                  </pic:blipFill>
                  <pic:spPr bwMode="auto">
                    <a:xfrm>
                      <a:off x="0" y="0"/>
                      <a:ext cx="5334000" cy="263525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11">
        <w:r>
          <w:rPr>
            <w:rStyle w:val="Hyperlink"/>
          </w:rPr>
          <w:t>03_build_variants.dot</w:t>
        </w:r>
      </w:hyperlink>
      <w:bookmarkEnd w:id="58"/>
      <w:bookmarkEnd w:id="61"/>
    </w:p>
    <w:p>
      <w:pPr>
        <w:pStyle w:val="Heading2"/>
        <w:pBdr>
          <w:bottom w:val="single" w:sz="12" w:space="0" w:color="228B22"/>
        </w:pBdr>
        <w:spacing w:before="280" w:after="80"/>
        <w:rPr/>
      </w:pPr>
      <w:bookmarkStart w:id="63" w:name="__RefHeading___Toc4274_774647446"/>
      <w:bookmarkStart w:id="64" w:name="why-three-and-why-not-two"/>
      <w:bookmarkEnd w:id="63"/>
      <w:r>
        <w:rPr>
          <w:rStyle w:val="SectionNumber"/>
          <w:b/>
          <w:color w:val="228B22"/>
          <w:sz w:val="28"/>
        </w:rPr>
        <w:t>5.2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65"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65"/>
    </w:p>
    <w:p>
      <w:pPr>
        <w:pStyle w:val="Heading2"/>
        <w:pBdr>
          <w:bottom w:val="single" w:sz="12" w:space="0" w:color="228B22"/>
        </w:pBdr>
        <w:spacing w:before="280" w:after="80"/>
        <w:rPr/>
      </w:pPr>
      <w:bookmarkStart w:id="66" w:name="__RefHeading___Toc4276_774647446"/>
      <w:bookmarkStart w:id="67" w:name="what-the-builds-measured"/>
      <w:bookmarkEnd w:id="66"/>
      <w:r>
        <w:rPr>
          <w:rStyle w:val="SectionNumber"/>
          <w:b/>
          <w:color w:val="228B22"/>
          <w:sz w:val="28"/>
        </w:rPr>
        <w:t>5.3</w:t>
      </w:r>
      <w:r>
        <w:rPr>
          <w:b/>
          <w:color w:val="228B22"/>
          <w:sz w:val="28"/>
        </w:rPr>
        <w:tab/>
        <w:t>What the builds measured</w:t>
      </w:r>
    </w:p>
    <w:p>
      <w:pPr>
        <w:pStyle w:val="TableCaption"/>
        <w:rPr/>
      </w:pPr>
      <w:bookmarkStart w:id="68" w:name="_Tab_10_Table_3_2__Sign_off_"/>
      <w:r>
        <w:rPr/>
        <w:t>Table 3.2: Sign-off builds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67"/>
    </w:p>
    <w:p>
      <w:pPr>
        <w:pStyle w:val="Heading2"/>
        <w:pBdr>
          <w:bottom w:val="single" w:sz="12" w:space="0" w:color="228B22"/>
        </w:pBdr>
        <w:spacing w:before="280" w:after="80"/>
        <w:rPr/>
      </w:pPr>
      <w:bookmarkStart w:id="69" w:name="__RefHeading___Toc4278_774647446"/>
      <w:bookmarkStart w:id="70" w:name="the-knobs-behind-the-rows"/>
      <w:bookmarkEnd w:id="69"/>
      <w:r>
        <w:rPr>
          <w:rStyle w:val="SectionNumber"/>
          <w:b/>
          <w:color w:val="228B22"/>
          <w:sz w:val="28"/>
        </w:rPr>
        <w:t>5.4</w:t>
      </w:r>
      <w:r>
        <w:rPr>
          <w:b/>
          <w:color w:val="228B22"/>
          <w:sz w:val="28"/>
        </w:rPr>
        <w:tab/>
        <w:t>The knobs behind the rows</w:t>
      </w:r>
    </w:p>
    <w:p>
      <w:pPr>
        <w:pStyle w:val="TableCaption"/>
        <w:rPr/>
      </w:pPr>
      <w:bookmarkStart w:id="71" w:name="_Tab_11_Table_3_3__The_knobs"/>
      <w:r>
        <w:rPr/>
        <w:t>Table 3.3: The knobs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one-rtl-three-builds"/>
      <w:bookmarkStart w:id="73" w:name="the-knobs-behind-the-row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4280_774647446"/>
      <w:bookmarkStart w:id="75" w:name="host-tools-and-flow"/>
      <w:bookmarkEnd w:id="74"/>
      <w:r>
        <w:rPr>
          <w:rStyle w:val="SectionNumber"/>
          <w:b/>
          <w:color w:val="FFFFFF"/>
          <w:sz w:val="32"/>
        </w:rPr>
        <w:t>6</w:t>
      </w:r>
      <w:r>
        <w:rPr>
          <w:b/>
          <w:color w:val="FFFFFF"/>
          <w:sz w:val="32"/>
        </w:rPr>
        <w:tab/>
        <w:t>Host Tools and Flow</w:t>
      </w:r>
    </w:p>
    <w:p>
      <w:pPr>
        <w:pStyle w:val="Heading2"/>
        <w:pBdr>
          <w:bottom w:val="single" w:sz="12" w:space="0" w:color="228B22"/>
        </w:pBdr>
        <w:spacing w:before="280" w:after="80"/>
        <w:rPr/>
      </w:pPr>
      <w:bookmarkStart w:id="76" w:name="__RefHeading___Toc4282_774647446"/>
      <w:bookmarkEnd w:id="76"/>
      <w:r>
        <w:rPr>
          <w:rStyle w:val="SectionNumber"/>
          <w:b/>
          <w:color w:val="228B22"/>
          <w:sz w:val="28"/>
        </w:rPr>
        <w:t>6.1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77" w:name="_Tab_12_Table_4_1__Flow_targ"/>
      <w:r>
        <w:rPr/>
        <w:t xml:space="preserve">Table 4.1: Flow targets (from </w:t>
      </w:r>
      <w:r>
        <w:rPr>
          <w:rStyle w:val="VerbatimChar"/>
        </w:rPr>
        <w:t>make/fpga_flow.mk</w:t>
      </w:r>
      <w:r>
        <w:rPr/>
        <w:t>)</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78" w:name="the-shared-flow"/>
            <w:bookmarkEnd w:id="78"/>
          </w:p>
        </w:tc>
      </w:tr>
    </w:tbl>
    <w:p>
      <w:pPr>
        <w:pStyle w:val="Heading2"/>
        <w:pBdr>
          <w:bottom w:val="single" w:sz="12" w:space="0" w:color="228B22"/>
        </w:pBdr>
        <w:spacing w:before="280" w:after="80"/>
        <w:rPr/>
      </w:pPr>
      <w:bookmarkStart w:id="79" w:name="__RefHeading___Toc4284_774647446"/>
      <w:bookmarkEnd w:id="79"/>
      <w:r>
        <w:rPr>
          <w:rStyle w:val="SectionNumber"/>
          <w:b/>
          <w:color w:val="228B22"/>
          <w:sz w:val="28"/>
        </w:rPr>
        <w:t>6.2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80" w:name="_Tab_13_Table_4_2__Per_build"/>
      <w:r>
        <w:rPr/>
        <w:t>Table 4.2: Per-build host programs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81" w:name="__RefHeading___Toc4286_774647446"/>
      <w:bookmarkStart w:id="82" w:name="Xd69c0e83a63449e03c27ce5d7596f669cc080e3"/>
      <w:bookmarkStart w:id="83" w:name="_Fig_5_What_each_build_meas"/>
      <w:bookmarkEnd w:id="81"/>
      <w:r>
        <w:rPr>
          <w:rStyle w:val="SectionNumber"/>
          <w:b/>
          <w:color w:val="404040"/>
          <w:sz w:val="24"/>
        </w:rPr>
        <w:t>6.2.1</w:t>
      </w:r>
      <w:r>
        <w:rPr>
          <w:b/>
          <w:color w:val="404040"/>
          <w:sz w:val="24"/>
        </w:rPr>
        <w:tab/>
        <w:t>Figure 4.1: What each build measures, end to end</w:t>
      </w:r>
      <w:bookmarkEnd w:id="83"/>
    </w:p>
    <w:p>
      <w:pPr>
        <w:pStyle w:val="CaptionedFigure"/>
        <w:rPr/>
      </w:pPr>
      <w:r>
        <w:rPr/>
        <w:drawing>
          <wp:inline distT="0" distB="0" distL="0" distR="0">
            <wp:extent cx="5334000" cy="3133725"/>
            <wp:effectExtent l="0" t="0" r="0" b="0"/>
            <wp:docPr id="20" name="Image5"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The three measurement paths"/>
                    <pic:cNvPicPr>
                      <a:picLocks noChangeAspect="1" noChangeArrowheads="1"/>
                    </pic:cNvPicPr>
                  </pic:nvPicPr>
                  <pic:blipFill>
                    <a:blip r:embed="rId12"/>
                    <a:stretch>
                      <a:fillRect/>
                    </a:stretch>
                  </pic:blipFill>
                  <pic:spPr bwMode="auto">
                    <a:xfrm>
                      <a:off x="0" y="0"/>
                      <a:ext cx="5334000" cy="313372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3">
        <w:r>
          <w:rPr>
            <w:rStyle w:val="Hyperlink"/>
          </w:rPr>
          <w:t>04_measurement_path.dot</w:t>
        </w:r>
      </w:hyperlink>
      <w:bookmarkEnd w:id="82"/>
    </w:p>
    <w:p>
      <w:pPr>
        <w:pStyle w:val="Heading2"/>
        <w:pBdr>
          <w:bottom w:val="single" w:sz="12" w:space="0" w:color="228B22"/>
        </w:pBdr>
        <w:spacing w:before="280" w:after="80"/>
        <w:rPr/>
      </w:pPr>
      <w:bookmarkStart w:id="84" w:name="__RefHeading___Toc4288_774647446"/>
      <w:bookmarkStart w:id="85" w:name="one-program-two-targets"/>
      <w:bookmarkEnd w:id="84"/>
      <w:r>
        <w:rPr>
          <w:rStyle w:val="SectionNumber"/>
          <w:b/>
          <w:color w:val="228B22"/>
          <w:sz w:val="28"/>
        </w:rPr>
        <w:t>6.3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86"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86"/>
    </w:p>
    <w:p>
      <w:pPr>
        <w:pStyle w:val="Heading2"/>
        <w:pBdr>
          <w:bottom w:val="single" w:sz="12" w:space="0" w:color="228B22"/>
        </w:pBdr>
        <w:spacing w:before="280" w:after="80"/>
        <w:rPr/>
      </w:pPr>
      <w:bookmarkStart w:id="87" w:name="__RefHeading___Toc4290_774647446"/>
      <w:bookmarkStart w:id="88" w:name="where-the-results-go"/>
      <w:bookmarkEnd w:id="87"/>
      <w:r>
        <w:rPr>
          <w:rStyle w:val="SectionNumber"/>
          <w:b/>
          <w:color w:val="228B22"/>
          <w:sz w:val="28"/>
        </w:rPr>
        <w:t>6.4</w:t>
      </w:r>
      <w:r>
        <w:rPr>
          <w:b/>
          <w:color w:val="228B22"/>
          <w:sz w:val="28"/>
        </w:rPr>
        <w:tab/>
        <w:t>Where the results go</w:t>
      </w:r>
    </w:p>
    <w:p>
      <w:pPr>
        <w:pStyle w:val="TableCaption"/>
        <w:rPr/>
      </w:pPr>
      <w:bookmarkStart w:id="89" w:name="_Tab_14_Table_4_3__Reports"/>
      <w:r>
        <w:rPr/>
        <w:t>Table 4.3: Reports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spacing w:before="180" w:after="180"/>
        <w:rPr/>
      </w:pPr>
      <w:bookmarkStart w:id="90" w:name="host-tools-and-flow"/>
      <w:bookmarkStart w:id="91" w:name="where-the-results-go"/>
      <w:r>
        <w:rPr>
          <w:sz w:val="20"/>
        </w:rPr>
        <w:t>Each report directory has its own README and, where a deliverable exists, the versioned DOCX and PDF built through the house pipeline.</w:t>
      </w:r>
      <w:bookmarkEnd w:id="90"/>
      <w:bookmarkEnd w:id="91"/>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hyperlink" Target="02_address_map.md" TargetMode="External"/><Relationship Id="rId8" Type="http://schemas.openxmlformats.org/officeDocument/2006/relationships/image" Target="media/image4.png"/><Relationship Id="rId9" Type="http://schemas.openxmlformats.org/officeDocument/2006/relationships/hyperlink" Target="../assets/graphviz/05_address_map.dot"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2026-10-20T11:14:11Z</dcterms:created>
  <dc:creator/>
  <dc:description/>
  <dc:language>en-US</dc:language>
  <cp:lastModifiedBy/>
  <dcterms:modified xsi:type="dcterms:W3CDTF">2026-10-20T04:14:15Z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