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Binary BCH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27_3172332256">
            <w:r>
              <w:rPr>
                <w:webHidden/>
                <w:rStyle w:val="IndexLink"/>
              </w:rPr>
              <w:t>1 Document Information</w:t>
              <w:tab/>
              <w:t>7</w:t>
            </w:r>
          </w:hyperlink>
        </w:p>
        <w:p>
          <w:pPr>
            <w:pStyle w:val="TOC2"/>
            <w:tabs>
              <w:tab w:val="clear" w:pos="9077"/>
              <w:tab w:val="right" w:pos="9359" w:leader="dot"/>
            </w:tabs>
            <w:rPr/>
          </w:pPr>
          <w:hyperlink w:anchor="__RefHeading___Toc2229_3172332256">
            <w:r>
              <w:rPr>
                <w:webHidden/>
                <w:rStyle w:val="IndexLink"/>
              </w:rPr>
              <w:t>1.1 Revision History</w:t>
              <w:tab/>
              <w:t>7</w:t>
            </w:r>
          </w:hyperlink>
        </w:p>
        <w:p>
          <w:pPr>
            <w:pStyle w:val="TOC2"/>
            <w:tabs>
              <w:tab w:val="clear" w:pos="9077"/>
              <w:tab w:val="right" w:pos="9359" w:leader="dot"/>
            </w:tabs>
            <w:rPr/>
          </w:pPr>
          <w:hyperlink w:anchor="__RefHeading___Toc2231_3172332256">
            <w:r>
              <w:rPr>
                <w:webHidden/>
                <w:rStyle w:val="IndexLink"/>
              </w:rPr>
              <w:t>1.2 Scope</w:t>
              <w:tab/>
              <w:t>8</w:t>
            </w:r>
          </w:hyperlink>
        </w:p>
        <w:p>
          <w:pPr>
            <w:pStyle w:val="TOC2"/>
            <w:tabs>
              <w:tab w:val="clear" w:pos="9077"/>
              <w:tab w:val="right" w:pos="9359" w:leader="dot"/>
            </w:tabs>
            <w:rPr/>
          </w:pPr>
          <w:hyperlink w:anchor="__RefHeading___Toc2233_3172332256">
            <w:r>
              <w:rPr>
                <w:webHidden/>
                <w:rStyle w:val="IndexLink"/>
              </w:rPr>
              <w:t>1.3 Provenance</w:t>
              <w:tab/>
              <w:t>9</w:t>
            </w:r>
          </w:hyperlink>
        </w:p>
        <w:p>
          <w:pPr>
            <w:pStyle w:val="TOC1"/>
            <w:tabs>
              <w:tab w:val="clear" w:pos="9360"/>
              <w:tab w:val="right" w:pos="9359" w:leader="dot"/>
            </w:tabs>
            <w:rPr/>
          </w:pPr>
          <w:hyperlink w:anchor="__RefHeading___Toc2235_3172332256">
            <w:r>
              <w:rPr>
                <w:webHidden/>
                <w:rStyle w:val="IndexLink"/>
              </w:rPr>
              <w:t>2 Scope and Claims</w:t>
              <w:tab/>
              <w:t>10</w:t>
            </w:r>
          </w:hyperlink>
        </w:p>
        <w:p>
          <w:pPr>
            <w:pStyle w:val="TOC2"/>
            <w:tabs>
              <w:tab w:val="clear" w:pos="9077"/>
              <w:tab w:val="right" w:pos="9359" w:leader="dot"/>
            </w:tabs>
            <w:rPr/>
          </w:pPr>
          <w:hyperlink w:anchor="__RefHeading___Toc2237_3172332256">
            <w:r>
              <w:rPr>
                <w:webHidden/>
                <w:rStyle w:val="IndexLink"/>
              </w:rPr>
              <w:t>2.1 What this book is</w:t>
              <w:tab/>
              <w:t>10</w:t>
            </w:r>
          </w:hyperlink>
        </w:p>
        <w:p>
          <w:pPr>
            <w:pStyle w:val="TOC2"/>
            <w:tabs>
              <w:tab w:val="clear" w:pos="9077"/>
              <w:tab w:val="right" w:pos="9359" w:leader="dot"/>
            </w:tabs>
            <w:rPr/>
          </w:pPr>
          <w:hyperlink w:anchor="__RefHeading___Toc2239_3172332256">
            <w:r>
              <w:rPr>
                <w:webHidden/>
                <w:rStyle w:val="IndexLink"/>
              </w:rPr>
              <w:t>2.2 What is claimed</w:t>
              <w:tab/>
              <w:t>11</w:t>
            </w:r>
          </w:hyperlink>
        </w:p>
        <w:p>
          <w:pPr>
            <w:pStyle w:val="TOC2"/>
            <w:tabs>
              <w:tab w:val="clear" w:pos="9077"/>
              <w:tab w:val="right" w:pos="9359" w:leader="dot"/>
            </w:tabs>
            <w:rPr/>
          </w:pPr>
          <w:hyperlink w:anchor="__RefHeading___Toc2241_3172332256">
            <w:r>
              <w:rPr>
                <w:webHidden/>
                <w:rStyle w:val="IndexLink"/>
              </w:rPr>
              <w:t>2.3 What is not claimed</w:t>
              <w:tab/>
              <w:t>12</w:t>
            </w:r>
          </w:hyperlink>
        </w:p>
        <w:p>
          <w:pPr>
            <w:pStyle w:val="TOC1"/>
            <w:tabs>
              <w:tab w:val="clear" w:pos="9360"/>
              <w:tab w:val="right" w:pos="9359" w:leader="dot"/>
            </w:tabs>
            <w:rPr/>
          </w:pPr>
          <w:hyperlink w:anchor="__RefHeading___Toc2243_3172332256">
            <w:r>
              <w:rPr>
                <w:webHidden/>
                <w:rStyle w:val="IndexLink"/>
              </w:rPr>
              <w:t>3 Images and Codec Profile</w:t>
              <w:tab/>
              <w:t>13</w:t>
            </w:r>
          </w:hyperlink>
        </w:p>
        <w:p>
          <w:pPr>
            <w:pStyle w:val="TOC2"/>
            <w:tabs>
              <w:tab w:val="clear" w:pos="9077"/>
              <w:tab w:val="right" w:pos="9359" w:leader="dot"/>
            </w:tabs>
            <w:rPr/>
          </w:pPr>
          <w:hyperlink w:anchor="__RefHeading___Toc2245_3172332256">
            <w:r>
              <w:rPr>
                <w:webHidden/>
                <w:rStyle w:val="IndexLink"/>
              </w:rPr>
              <w:t>3.1 Image matrix</w:t>
              <w:tab/>
              <w:t>13</w:t>
            </w:r>
          </w:hyperlink>
        </w:p>
        <w:p>
          <w:pPr>
            <w:pStyle w:val="TOC2"/>
            <w:tabs>
              <w:tab w:val="clear" w:pos="9077"/>
              <w:tab w:val="right" w:pos="9359" w:leader="dot"/>
            </w:tabs>
            <w:rPr/>
          </w:pPr>
          <w:hyperlink w:anchor="__RefHeading___Toc2247_3172332256">
            <w:r>
              <w:rPr>
                <w:webHidden/>
                <w:rStyle w:val="IndexLink"/>
              </w:rPr>
              <w:t>3.2 Codec profile</w:t>
              <w:tab/>
              <w:t>14</w:t>
            </w:r>
          </w:hyperlink>
        </w:p>
        <w:p>
          <w:pPr>
            <w:pStyle w:val="TOC1"/>
            <w:tabs>
              <w:tab w:val="clear" w:pos="9360"/>
              <w:tab w:val="right" w:pos="9359" w:leader="dot"/>
            </w:tabs>
            <w:rPr/>
          </w:pPr>
          <w:hyperlink w:anchor="__RefHeading___Toc2249_3172332256">
            <w:r>
              <w:rPr>
                <w:webHidden/>
                <w:rStyle w:val="IndexLink"/>
              </w:rPr>
              <w:t>4 Harness Architecture</w:t>
              <w:tab/>
              <w:t>15</w:t>
            </w:r>
          </w:hyperlink>
        </w:p>
        <w:p>
          <w:pPr>
            <w:pStyle w:val="TOC2"/>
            <w:tabs>
              <w:tab w:val="clear" w:pos="9077"/>
              <w:tab w:val="right" w:pos="9359" w:leader="dot"/>
            </w:tabs>
            <w:rPr/>
          </w:pPr>
          <w:hyperlink w:anchor="__RefHeading___Toc2251_3172332256">
            <w:r>
              <w:rPr>
                <w:webHidden/>
                <w:rStyle w:val="IndexLink"/>
              </w:rPr>
              <w:t>4.1 RTL inventory</w:t>
              <w:tab/>
              <w:t>15</w:t>
            </w:r>
          </w:hyperlink>
        </w:p>
        <w:p>
          <w:pPr>
            <w:pStyle w:val="TOC2"/>
            <w:tabs>
              <w:tab w:val="clear" w:pos="9077"/>
              <w:tab w:val="right" w:pos="9359" w:leader="dot"/>
            </w:tabs>
            <w:rPr/>
          </w:pPr>
          <w:hyperlink w:anchor="__RefHeading___Toc2253_3172332256">
            <w:r>
              <w:rPr>
                <w:webHidden/>
                <w:rStyle w:val="IndexLink"/>
              </w:rPr>
              <w:t>4.2 Host and build inventory</w:t>
              <w:tab/>
              <w:t>17</w:t>
            </w:r>
          </w:hyperlink>
        </w:p>
        <w:p>
          <w:pPr>
            <w:pStyle w:val="TOC2"/>
            <w:tabs>
              <w:tab w:val="clear" w:pos="9077"/>
              <w:tab w:val="right" w:pos="9359" w:leader="dot"/>
            </w:tabs>
            <w:rPr/>
          </w:pPr>
          <w:hyperlink w:anchor="__RefHeading___Toc2255_3172332256">
            <w:r>
              <w:rPr>
                <w:webHidden/>
                <w:rStyle w:val="IndexLink"/>
              </w:rPr>
              <w:t>4.3 Datapath diagram</w:t>
              <w:tab/>
              <w:t>18</w:t>
            </w:r>
          </w:hyperlink>
        </w:p>
        <w:p>
          <w:pPr>
            <w:pStyle w:val="TOC3"/>
            <w:tabs>
              <w:tab w:val="clear" w:pos="8793"/>
              <w:tab w:val="right" w:pos="9359" w:leader="dot"/>
            </w:tabs>
            <w:rPr/>
          </w:pPr>
          <w:hyperlink w:anchor="__RefHeading___Toc2257_3172332256">
            <w:r>
              <w:rPr>
                <w:webHidden/>
                <w:rStyle w:val="IndexLink"/>
              </w:rPr>
              <w:t>4.3.1 Figure 2.1: BCH AXIS datapath and register path.</w:t>
              <w:tab/>
              <w:t>18</w:t>
            </w:r>
          </w:hyperlink>
        </w:p>
        <w:p>
          <w:pPr>
            <w:pStyle w:val="TOC3"/>
            <w:tabs>
              <w:tab w:val="clear" w:pos="8793"/>
              <w:tab w:val="right" w:pos="9359" w:leader="dot"/>
            </w:tabs>
            <w:rPr/>
          </w:pPr>
          <w:hyperlink w:anchor="__RefHeading___Toc2259_3172332256">
            <w:r>
              <w:rPr>
                <w:webHidden/>
                <w:rStyle w:val="IndexLink"/>
              </w:rPr>
              <w:t>4.3.2 Figure 2.2: BCH AXI4 memory-to-memory datapath.</w:t>
              <w:tab/>
              <w:t>20</w:t>
            </w:r>
          </w:hyperlink>
        </w:p>
        <w:p>
          <w:pPr>
            <w:pStyle w:val="TOC2"/>
            <w:tabs>
              <w:tab w:val="clear" w:pos="9077"/>
              <w:tab w:val="right" w:pos="9359" w:leader="dot"/>
            </w:tabs>
            <w:rPr/>
          </w:pPr>
          <w:hyperlink w:anchor="__RefHeading___Toc2261_3172332256">
            <w:r>
              <w:rPr>
                <w:webHidden/>
                <w:rStyle w:val="IndexLink"/>
              </w:rPr>
              <w:t>4.4 Register path, clock, and reset</w:t>
              <w:tab/>
              <w:t>21</w:t>
            </w:r>
          </w:hyperlink>
        </w:p>
        <w:p>
          <w:pPr>
            <w:pStyle w:val="TOC1"/>
            <w:tabs>
              <w:tab w:val="clear" w:pos="9360"/>
              <w:tab w:val="right" w:pos="9359" w:leader="dot"/>
            </w:tabs>
            <w:rPr/>
          </w:pPr>
          <w:hyperlink w:anchor="__RefHeading___Toc2263_3172332256">
            <w:r>
              <w:rPr>
                <w:webHidden/>
                <w:rStyle w:val="IndexLink"/>
              </w:rPr>
              <w:t>5 Campaigns and the Oracle Argument</w:t>
              <w:tab/>
              <w:t>22</w:t>
            </w:r>
          </w:hyperlink>
        </w:p>
        <w:p>
          <w:pPr>
            <w:pStyle w:val="TOC2"/>
            <w:tabs>
              <w:tab w:val="clear" w:pos="9077"/>
              <w:tab w:val="right" w:pos="9359" w:leader="dot"/>
            </w:tabs>
            <w:rPr/>
          </w:pPr>
          <w:hyperlink w:anchor="__RefHeading___Toc2265_3172332256">
            <w:r>
              <w:rPr>
                <w:webHidden/>
                <w:rStyle w:val="IndexLink"/>
              </w:rPr>
              <w:t>5.1 Campaign inventory</w:t>
              <w:tab/>
              <w:t>22</w:t>
            </w:r>
          </w:hyperlink>
        </w:p>
        <w:p>
          <w:pPr>
            <w:pStyle w:val="TOC2"/>
            <w:tabs>
              <w:tab w:val="clear" w:pos="9077"/>
              <w:tab w:val="right" w:pos="9359" w:leader="dot"/>
            </w:tabs>
            <w:rPr/>
          </w:pPr>
          <w:hyperlink w:anchor="__RefHeading___Toc2267_3172332256">
            <w:r>
              <w:rPr>
                <w:webHidden/>
                <w:rStyle w:val="IndexLink"/>
              </w:rPr>
              <w:t>5.2 Determinism</w:t>
              <w:tab/>
              <w:t>23</w:t>
            </w:r>
          </w:hyperlink>
        </w:p>
        <w:p>
          <w:pPr>
            <w:pStyle w:val="TOC2"/>
            <w:tabs>
              <w:tab w:val="clear" w:pos="9077"/>
              <w:tab w:val="right" w:pos="9359" w:leader="dot"/>
            </w:tabs>
            <w:rPr/>
          </w:pPr>
          <w:hyperlink w:anchor="__RefHeading___Toc2269_3172332256">
            <w:r>
              <w:rPr>
                <w:webHidden/>
                <w:rStyle w:val="IndexLink"/>
              </w:rPr>
              <w:t>5.3 The on-chip oracle</w:t>
              <w:tab/>
              <w:t>24</w:t>
            </w:r>
          </w:hyperlink>
        </w:p>
        <w:p>
          <w:pPr>
            <w:pStyle w:val="TOC1"/>
            <w:tabs>
              <w:tab w:val="clear" w:pos="9360"/>
              <w:tab w:val="right" w:pos="9359" w:leader="dot"/>
            </w:tabs>
            <w:rPr/>
          </w:pPr>
          <w:hyperlink w:anchor="__RefHeading___Toc2271_3172332256">
            <w:r>
              <w:rPr>
                <w:webHidden/>
                <w:rStyle w:val="IndexLink"/>
              </w:rPr>
              <w:t>6 Testing Choices</w:t>
              <w:tab/>
              <w:t>25</w:t>
            </w:r>
          </w:hyperlink>
        </w:p>
        <w:p>
          <w:pPr>
            <w:pStyle w:val="TOC2"/>
            <w:tabs>
              <w:tab w:val="clear" w:pos="9077"/>
              <w:tab w:val="right" w:pos="9359" w:leader="dot"/>
            </w:tabs>
            <w:rPr/>
          </w:pPr>
          <w:hyperlink w:anchor="__RefHeading___Toc2273_3172332256">
            <w:r>
              <w:rPr>
                <w:webHidden/>
                <w:rStyle w:val="IndexLink"/>
              </w:rPr>
              <w:t>6.1 Injector modes mapped to failure mechanisms</w:t>
              <w:tab/>
              <w:t>25</w:t>
            </w:r>
          </w:hyperlink>
        </w:p>
        <w:p>
          <w:pPr>
            <w:pStyle w:val="TOC2"/>
            <w:tabs>
              <w:tab w:val="clear" w:pos="9077"/>
              <w:tab w:val="right" w:pos="9359" w:leader="dot"/>
            </w:tabs>
            <w:rPr/>
          </w:pPr>
          <w:hyperlink w:anchor="__RefHeading___Toc2275_3172332256">
            <w:r>
              <w:rPr>
                <w:webHidden/>
                <w:rStyle w:val="IndexLink"/>
              </w:rPr>
              <w:t>6.2 Post-encoder injection</w:t>
              <w:tab/>
              <w:t>26</w:t>
            </w:r>
          </w:hyperlink>
        </w:p>
        <w:p>
          <w:pPr>
            <w:pStyle w:val="TOC2"/>
            <w:tabs>
              <w:tab w:val="clear" w:pos="9077"/>
              <w:tab w:val="right" w:pos="9359" w:leader="dot"/>
            </w:tabs>
            <w:rPr/>
          </w:pPr>
          <w:hyperlink w:anchor="__RefHeading___Toc2277_3172332256">
            <w:r>
              <w:rPr>
                <w:webHidden/>
                <w:rStyle w:val="IndexLink"/>
              </w:rPr>
              <w:t>6.3 UART and the safety pair</w:t>
              <w:tab/>
              <w:t>27</w:t>
            </w:r>
          </w:hyperlink>
        </w:p>
        <w:p>
          <w:pPr>
            <w:pStyle w:val="TOC2"/>
            <w:tabs>
              <w:tab w:val="clear" w:pos="9077"/>
              <w:tab w:val="right" w:pos="9359" w:leader="dot"/>
            </w:tabs>
            <w:rPr/>
          </w:pPr>
          <w:hyperlink w:anchor="__RefHeading___Toc2279_3172332256">
            <w:r>
              <w:rPr>
                <w:webHidden/>
                <w:rStyle w:val="IndexLink"/>
              </w:rPr>
              <w:t>6.4 Genesys 2 vs Nexys A7</w:t>
              <w:tab/>
              <w:t>28</w:t>
            </w:r>
          </w:hyperlink>
        </w:p>
        <w:p>
          <w:pPr>
            <w:pStyle w:val="TOC2"/>
            <w:tabs>
              <w:tab w:val="clear" w:pos="9077"/>
              <w:tab w:val="right" w:pos="9359" w:leader="dot"/>
            </w:tabs>
            <w:rPr/>
          </w:pPr>
          <w:hyperlink w:anchor="__RefHeading___Toc2281_3172332256">
            <w:r>
              <w:rPr>
                <w:webHidden/>
                <w:rStyle w:val="IndexLink"/>
              </w:rPr>
              <w:t>6.5 AXIS vs AXI4</w:t>
              <w:tab/>
              <w:t>29</w:t>
            </w:r>
          </w:hyperlink>
        </w:p>
        <w:p>
          <w:pPr>
            <w:pStyle w:val="TOC2"/>
            <w:tabs>
              <w:tab w:val="clear" w:pos="9077"/>
              <w:tab w:val="right" w:pos="9359" w:leader="dot"/>
            </w:tabs>
            <w:rPr/>
          </w:pPr>
          <w:hyperlink w:anchor="__RefHeading___Toc2283_3172332256">
            <w:r>
              <w:rPr>
                <w:webHidden/>
                <w:rStyle w:val="IndexLink"/>
              </w:rPr>
              <w:t>6.6 Deliberately not board-tested</w:t>
              <w:tab/>
              <w:t>30</w:t>
            </w:r>
          </w:hyperlink>
        </w:p>
        <w:p>
          <w:pPr>
            <w:pStyle w:val="TOC1"/>
            <w:tabs>
              <w:tab w:val="clear" w:pos="9360"/>
              <w:tab w:val="right" w:pos="9359" w:leader="dot"/>
            </w:tabs>
            <w:rPr/>
          </w:pPr>
          <w:hyperlink w:anchor="__RefHeading___Toc2285_3172332256">
            <w:r>
              <w:rPr>
                <w:webHidden/>
                <w:rStyle w:val="IndexLink"/>
              </w:rPr>
              <w:t>7 Soak Results</w:t>
              <w:tab/>
              <w:t>31</w:t>
            </w:r>
          </w:hyperlink>
        </w:p>
        <w:p>
          <w:pPr>
            <w:pStyle w:val="TOC2"/>
            <w:tabs>
              <w:tab w:val="clear" w:pos="9077"/>
              <w:tab w:val="right" w:pos="9359" w:leader="dot"/>
            </w:tabs>
            <w:rPr/>
          </w:pPr>
          <w:hyperlink w:anchor="__RefHeading___Toc2287_3172332256">
            <w:r>
              <w:rPr>
                <w:webHidden/>
                <w:rStyle w:val="IndexLink"/>
              </w:rPr>
              <w:t>7.1 One million blocks on the AXIS image</w:t>
              <w:tab/>
              <w:t>31</w:t>
            </w:r>
          </w:hyperlink>
        </w:p>
        <w:p>
          <w:pPr>
            <w:pStyle w:val="TOC2"/>
            <w:tabs>
              <w:tab w:val="clear" w:pos="9077"/>
              <w:tab w:val="right" w:pos="9359" w:leader="dot"/>
            </w:tabs>
            <w:rPr/>
          </w:pPr>
          <w:hyperlink w:anchor="__RefHeading___Toc2289_3172332256">
            <w:r>
              <w:rPr>
                <w:webHidden/>
                <w:rStyle w:val="IndexLink"/>
              </w:rPr>
              <w:t>7.2 Soak timeline</w:t>
              <w:tab/>
              <w:t>32</w:t>
            </w:r>
          </w:hyperlink>
        </w:p>
        <w:p>
          <w:pPr>
            <w:pStyle w:val="TOC3"/>
            <w:tabs>
              <w:tab w:val="clear" w:pos="8793"/>
              <w:tab w:val="right" w:pos="9359" w:leader="dot"/>
            </w:tabs>
            <w:rPr/>
          </w:pPr>
          <w:hyperlink w:anchor="__RefHeading___Toc2291_3172332256">
            <w:r>
              <w:rPr>
                <w:webHidden/>
                <w:rStyle w:val="IndexLink"/>
              </w:rPr>
              <w:t>7.2.1 Figure 4.1: BCH soak timeline over one million blocks.</w:t>
              <w:tab/>
              <w:t>32</w:t>
            </w:r>
          </w:hyperlink>
        </w:p>
        <w:p>
          <w:pPr>
            <w:pStyle w:val="TOC2"/>
            <w:tabs>
              <w:tab w:val="clear" w:pos="9077"/>
              <w:tab w:val="right" w:pos="9359" w:leader="dot"/>
            </w:tabs>
            <w:rPr/>
          </w:pPr>
          <w:hyperlink w:anchor="__RefHeading___Toc2293_3172332256">
            <w:r>
              <w:rPr>
                <w:webHidden/>
                <w:rStyle w:val="IndexLink"/>
              </w:rPr>
              <w:t>7.3 What 31 blk/s means</w:t>
              <w:tab/>
              <w:t>33</w:t>
            </w:r>
          </w:hyperlink>
        </w:p>
        <w:p>
          <w:pPr>
            <w:pStyle w:val="TOC1"/>
            <w:tabs>
              <w:tab w:val="clear" w:pos="9360"/>
              <w:tab w:val="right" w:pos="9359" w:leader="dot"/>
            </w:tabs>
            <w:rPr/>
          </w:pPr>
          <w:hyperlink w:anchor="__RefHeading___Toc2295_3172332256">
            <w:r>
              <w:rPr>
                <w:webHidden/>
                <w:rStyle w:val="IndexLink"/>
              </w:rPr>
              <w:t>8 Honest Limits</w:t>
              <w:tab/>
              <w:t>34</w:t>
            </w:r>
          </w:hyperlink>
        </w:p>
        <w:p>
          <w:pPr>
            <w:pStyle w:val="TOC2"/>
            <w:tabs>
              <w:tab w:val="clear" w:pos="9077"/>
              <w:tab w:val="right" w:pos="9359" w:leader="dot"/>
            </w:tabs>
            <w:rPr/>
          </w:pPr>
          <w:hyperlink w:anchor="__RefHeading___Toc2297_3172332256">
            <w:r>
              <w:rPr>
                <w:webHidden/>
                <w:rStyle w:val="IndexLink"/>
              </w:rPr>
              <w:t>8.1 What the board evidence does not cover</w:t>
              <w:tab/>
              <w:t>34</w:t>
            </w:r>
          </w:hyperlink>
        </w:p>
        <w:p>
          <w:pPr>
            <w:pStyle w:val="TOC2"/>
            <w:tabs>
              <w:tab w:val="clear" w:pos="9077"/>
              <w:tab w:val="right" w:pos="9359" w:leader="dot"/>
            </w:tabs>
            <w:rPr/>
          </w:pPr>
          <w:hyperlink w:anchor="__RefHeading___Toc2299_3172332256">
            <w:r>
              <w:rPr>
                <w:webHidden/>
                <w:rStyle w:val="IndexLink"/>
              </w:rPr>
              <w:t>8.2 Traceability</w:t>
              <w:tab/>
              <w:t>35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CH_AXIS_datapath_an">
        <w:r>
          <w:rPr>
            <w:rStyle w:val="ListLabel1"/>
            <w:color w:val="000000"/>
            <w:sz w:val="24"/>
          </w:rPr>
          <w:t>Figure 2.1: BCH AXIS datapath and register path.</w:t>
        </w:r>
        <w:r>
          <w:rPr>
            <w:rStyle w:val="ListLabel1"/>
          </w:rPr>
          <w:tab/>
        </w:r>
        <w:r>
          <w:rPr>
            <w:rStyle w:val="ListLabel1"/>
          </w:rPr>
          <w:fldChar w:fldCharType="begin"/>
        </w:r>
        <w:r>
          <w:rPr>
            <w:rStyle w:val="ListLabel1"/>
          </w:rPr>
          <w:instrText xml:space="preserve"> PAGEREF _Fig_1_BCH_AXIS_datapath_an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2_BCH_AXI4_memory_to_m">
        <w:r>
          <w:rPr>
            <w:rStyle w:val="ListLabel1"/>
            <w:color w:val="000000"/>
            <w:sz w:val="24"/>
          </w:rPr>
          <w:t>Figure 2.2: BCH AXI4 memory-to-memory datapath.</w:t>
        </w:r>
        <w:r>
          <w:rPr>
            <w:rStyle w:val="ListLabel1"/>
          </w:rPr>
          <w:tab/>
        </w:r>
        <w:r>
          <w:rPr>
            <w:rStyle w:val="ListLabel1"/>
          </w:rPr>
          <w:fldChar w:fldCharType="begin"/>
        </w:r>
        <w:r>
          <w:rPr>
            <w:rStyle w:val="ListLabel1"/>
          </w:rPr>
          <w:instrText xml:space="preserve"> PAGEREF _Fig_2_BCH_AXI4_memory_to_m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BCH_soak_timeline_ov">
        <w:r>
          <w:rPr>
            <w:rStyle w:val="ListLabel1"/>
            <w:color w:val="000000"/>
            <w:sz w:val="24"/>
          </w:rPr>
          <w:t>Figure 4.1: BCH soak timeline over one million blocks.</w:t>
        </w:r>
        <w:r>
          <w:rPr>
            <w:rStyle w:val="ListLabel1"/>
          </w:rPr>
          <w:tab/>
        </w:r>
        <w:r>
          <w:rPr>
            <w:rStyle w:val="ListLabel1"/>
          </w:rPr>
          <w:fldChar w:fldCharType="begin"/>
        </w:r>
        <w:r>
          <w:rPr>
            <w:rStyle w:val="ListLabel1"/>
          </w:rPr>
          <w:instrText xml:space="preserve"> PAGEREF _Fig_3_BCH_soak_timeline_ov \h </w:instrText>
        </w:r>
        <w:r>
          <w:rPr>
            <w:rStyle w:val="ListLabel1"/>
          </w:rPr>
          <w:fldChar w:fldCharType="separate"/>
        </w:r>
        <w:r>
          <w:rPr>
            <w:rStyle w:val="ListLabel1"/>
          </w:rPr>
          <w:t>32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Table_1_1__BCH_Genes">
        <w:r>
          <w:rPr>
            <w:rStyle w:val="ListLabel1"/>
            <w:color w:val="000000"/>
            <w:sz w:val="24"/>
          </w:rPr>
          <w:t>Table 2: Table 1.1: BCH Genesys 2 image matrix.</w:t>
        </w:r>
        <w:r>
          <w:rPr>
            <w:rStyle w:val="ListLabel1"/>
          </w:rPr>
          <w:tab/>
        </w:r>
        <w:r>
          <w:rPr>
            <w:rStyle w:val="ListLabel1"/>
          </w:rPr>
          <w:fldChar w:fldCharType="begin"/>
        </w:r>
        <w:r>
          <w:rPr>
            <w:rStyle w:val="ListLabel1"/>
          </w:rPr>
          <w:instrText xml:space="preserve"> PAGEREF _Tab_2_Table_1_1__BCH_Genes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BCH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3_1__BCH_board">
        <w:r>
          <w:rPr>
            <w:rStyle w:val="ListLabel1"/>
            <w:color w:val="000000"/>
            <w:sz w:val="24"/>
          </w:rPr>
          <w:t>Table 5: Table 3.1: BCH board campaign inventory.</w:t>
        </w:r>
        <w:r>
          <w:rPr>
            <w:rStyle w:val="ListLabel1"/>
          </w:rPr>
          <w:tab/>
        </w:r>
        <w:r>
          <w:rPr>
            <w:rStyle w:val="ListLabel1"/>
          </w:rPr>
          <w:fldChar w:fldCharType="begin"/>
        </w:r>
        <w:r>
          <w:rPr>
            <w:rStyle w:val="ListLabel1"/>
          </w:rPr>
          <w:instrText xml:space="preserve"> PAGEREF _Tab_5_Table_3_1__BCH_board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6_Table_3_2__Injector_">
        <w:r>
          <w:rPr>
            <w:rStyle w:val="ListLabel1"/>
            <w:color w:val="000000"/>
            <w:sz w:val="24"/>
          </w:rPr>
          <w:t>Table 6: Table 3.2: Injector modes and the physical questions they answer.</w:t>
        </w:r>
        <w:r>
          <w:rPr>
            <w:rStyle w:val="ListLabel1"/>
          </w:rPr>
          <w:tab/>
        </w:r>
        <w:r>
          <w:rPr>
            <w:rStyle w:val="ListLabel1"/>
          </w:rPr>
          <w:fldChar w:fldCharType="begin"/>
        </w:r>
        <w:r>
          <w:rPr>
            <w:rStyle w:val="ListLabel1"/>
          </w:rPr>
          <w:instrText xml:space="preserve"> PAGEREF _Tab_6_Table_3_2__Injector_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7_Table_4_1__BCH_soak_">
        <w:r>
          <w:rPr>
            <w:rStyle w:val="ListLabel1"/>
            <w:color w:val="000000"/>
            <w:sz w:val="24"/>
          </w:rPr>
          <w:t>Table 7: Table 4.1: BCH soak final counters.</w:t>
        </w:r>
        <w:r>
          <w:rPr>
            <w:rStyle w:val="ListLabel1"/>
          </w:rPr>
          <w:tab/>
        </w:r>
        <w:r>
          <w:rPr>
            <w:rStyle w:val="ListLabel1"/>
          </w:rPr>
          <w:fldChar w:fldCharType="begin"/>
        </w:r>
        <w:r>
          <w:rPr>
            <w:rStyle w:val="ListLabel1"/>
          </w:rPr>
          <w:instrText xml:space="preserve"> PAGEREF _Tab_7_Table_4_1__BCH_soak_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ble_5_1__Traceabil">
        <w:r>
          <w:rPr>
            <w:rStyle w:val="ListLabel1"/>
            <w:color w:val="000000"/>
            <w:sz w:val="24"/>
          </w:rPr>
          <w:t>Table 8: Table 5.1: Traceability from claim to stable artifact.</w:t>
        </w:r>
        <w:r>
          <w:rPr>
            <w:rStyle w:val="ListLabel1"/>
          </w:rPr>
          <w:tab/>
        </w:r>
        <w:r>
          <w:rPr>
            <w:rStyle w:val="ListLabel1"/>
          </w:rPr>
          <w:fldChar w:fldCharType="begin"/>
        </w:r>
        <w:r>
          <w:rPr>
            <w:rStyle w:val="ListLabel1"/>
          </w:rPr>
          <w:instrText xml:space="preserve"> PAGEREF _Tab_8_Table_5_1__Traceabil \h </w:instrText>
        </w:r>
        <w:r>
          <w:rPr>
            <w:rStyle w:val="ListLabel1"/>
          </w:rPr>
          <w:fldChar w:fldCharType="separate"/>
        </w:r>
        <w:r>
          <w:rPr>
            <w:rStyle w:val="ListLabel1"/>
          </w:rPr>
          <w:t>35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227_3172332256"/>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229_3172332256"/>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BCH Genesys 2 harness.</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2231_3172332256"/>
      <w:bookmarkEnd w:id="5"/>
      <w:r>
        <w:rPr>
          <w:rStyle w:val="SectionNumber"/>
          <w:b/>
          <w:color w:val="228B22"/>
          <w:sz w:val="28"/>
        </w:rPr>
        <w:t>1.2</w:t>
      </w:r>
      <w:r>
        <w:rPr>
          <w:b/>
          <w:color w:val="228B22"/>
          <w:sz w:val="28"/>
        </w:rPr>
        <w:tab/>
        <w:t>Scope</w:t>
      </w:r>
    </w:p>
    <w:p>
      <w:pPr>
        <w:pStyle w:val="FirstParagraph"/>
        <w:rPr/>
      </w:pPr>
      <w:r>
        <w:rPr>
          <w:sz w:val="20"/>
        </w:rPr>
        <w:t>This book covers the BCH(4224,4120) t=8 codec as exercised on the Digilent Genesys 2 board. It describes the harness, the campaign methodology, and the soak result that produced one million decoded blocks of board evidence.</w:t>
      </w:r>
      <w:r>
        <w:br w:type="page"/>
      </w:r>
    </w:p>
    <w:p>
      <w:pPr>
        <w:pStyle w:val="Heading2"/>
        <w:pBdr>
          <w:bottom w:val="single" w:sz="12" w:space="0" w:color="228B22"/>
        </w:pBdr>
        <w:spacing w:before="280" w:after="80"/>
        <w:rPr/>
      </w:pPr>
      <w:bookmarkStart w:id="6" w:name="__RefHeading___Toc2233_3172332256"/>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and </w:t>
      </w:r>
      <w:r>
        <w:rPr>
          <w:rStyle w:val="VerbatimChar"/>
          <w:sz w:val="20"/>
        </w:rPr>
        <w:t>stable/results/2026-10-05_soak/</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235_3172332256"/>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2237_3172332256"/>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BCH(4224,4120)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2239_3172332256"/>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 xml:space="preserve">The soak run demonstrates that the codec, as built into the </w:t>
      </w:r>
      <w:r>
        <w:rPr>
          <w:rStyle w:val="VerbatimChar"/>
          <w:sz w:val="20"/>
        </w:rPr>
        <w:t>genesys2_axis</w:t>
      </w:r>
      <w:r>
        <w:rPr>
          <w:sz w:val="20"/>
        </w:rPr>
        <w:t xml:space="preserve"> bitstream, corrects up to the design boundary and flags everything past it:</w:t>
      </w:r>
    </w:p>
    <w:p>
      <w:pPr>
        <w:pStyle w:val="Compact"/>
        <w:numPr>
          <w:ilvl w:val="0"/>
          <w:numId w:val="1"/>
        </w:numPr>
        <w:rPr/>
      </w:pPr>
      <w:r>
        <w:rPr/>
        <w:t>1,000,000 blocks were decoded.</w:t>
      </w:r>
    </w:p>
    <w:p>
      <w:pPr>
        <w:pStyle w:val="Compact"/>
        <w:numPr>
          <w:ilvl w:val="0"/>
          <w:numId w:val="1"/>
        </w:numPr>
        <w:rPr/>
      </w:pPr>
      <w:r>
        <w:rPr/>
        <w:t>0 blocks were silently mis-decoded.</w:t>
      </w:r>
    </w:p>
    <w:p>
      <w:pPr>
        <w:pStyle w:val="Compact"/>
        <w:numPr>
          <w:ilvl w:val="0"/>
          <w:numId w:val="1"/>
        </w:numPr>
        <w:rPr/>
      </w:pPr>
      <w:r>
        <w:rPr/>
        <w:t>74,560 blocks carried more than t=8 errors; every one was reported as uncorrectable.</w:t>
      </w:r>
    </w:p>
    <w:p>
      <w:pPr>
        <w:pStyle w:val="Compact"/>
        <w:numPr>
          <w:ilvl w:val="0"/>
          <w:numId w:val="1"/>
        </w:numPr>
        <w:rPr/>
      </w:pPr>
      <w:r>
        <w:rPr/>
        <w:t>3,119,679 bits were corrected across the run.</w:t>
      </w:r>
    </w:p>
    <w:p>
      <w:pPr>
        <w:pStyle w:val="FirstParagraph"/>
        <w:rPr/>
      </w:pPr>
      <w:bookmarkStart w:id="15" w:name="what-is-claimed"/>
      <w:r>
        <w:rPr>
          <w:sz w:val="20"/>
        </w:rPr>
        <w:t>That is a statistical, not exhaustive, proof that the decoder’s correction and uncorrectable verdicts hold under continuous random traffic on the board.</w:t>
      </w:r>
      <w:bookmarkEnd w:id="15"/>
      <w:r>
        <w:br w:type="page"/>
      </w:r>
    </w:p>
    <w:p>
      <w:pPr>
        <w:pStyle w:val="Heading2"/>
        <w:pBdr>
          <w:bottom w:val="single" w:sz="12" w:space="0" w:color="228B22"/>
        </w:pBdr>
        <w:spacing w:before="280" w:after="80"/>
        <w:rPr/>
      </w:pPr>
      <w:bookmarkStart w:id="16" w:name="__RefHeading___Toc2241_3172332256"/>
      <w:bookmarkStart w:id="17" w:name="what-is-not-claimed"/>
      <w:bookmarkEnd w:id="16"/>
      <w:r>
        <w:rPr>
          <w:rStyle w:val="SectionNumber"/>
          <w:b/>
          <w:color w:val="228B22"/>
          <w:sz w:val="28"/>
        </w:rPr>
        <w:t>2.3</w:t>
      </w:r>
      <w:r>
        <w:rPr>
          <w:b/>
          <w:color w:val="228B22"/>
          <w:sz w:val="28"/>
        </w:rPr>
        <w:tab/>
        <w:t>What is not claimed</w:t>
      </w:r>
    </w:p>
    <w:p>
      <w:pPr>
        <w:pStyle w:val="FirstParagraph"/>
        <w:rPr/>
      </w:pPr>
      <w:bookmarkStart w:id="18" w:name="scope-and-claims"/>
      <w:bookmarkStart w:id="19" w:name="what-is-not-claimed"/>
      <w:r>
        <w:rPr>
          <w:sz w:val="20"/>
        </w:rPr>
        <w:t>This book does not replace the component DV matrix. It does not prove every possible error pattern, every smaller BCH profile, or every corner of the AXI4 flavour at million-block depth. It also does not cover erasure decoding; the BCH harness has no erasure path by design. The limits in Chapter 5 say exactly what is left outside the board evidence.</w:t>
      </w:r>
      <w:bookmarkEnd w:id="18"/>
      <w:bookmarkEnd w:id="19"/>
      <w:r>
        <w:br w:type="page"/>
      </w:r>
    </w:p>
    <w:p>
      <w:pPr>
        <w:pStyle w:val="Heading1"/>
        <w:shd w:val="clear" w:color="auto" w:fill="404040"/>
        <w:spacing w:before="360" w:after="120"/>
        <w:rPr/>
      </w:pPr>
      <w:bookmarkStart w:id="20" w:name="__RefHeading___Toc2243_3172332256"/>
      <w:bookmarkStart w:id="21" w:name="images-and-codec-profile"/>
      <w:bookmarkEnd w:id="20"/>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2" w:name="__RefHeading___Toc2245_3172332256"/>
      <w:bookmarkStart w:id="23" w:name="image-matrix"/>
      <w:bookmarkEnd w:id="22"/>
      <w:r>
        <w:rPr>
          <w:rStyle w:val="SectionNumber"/>
          <w:b/>
          <w:color w:val="228B22"/>
          <w:sz w:val="28"/>
        </w:rPr>
        <w:t>3.1</w:t>
      </w:r>
      <w:r>
        <w:rPr>
          <w:b/>
          <w:color w:val="228B22"/>
          <w:sz w:val="28"/>
        </w:rPr>
        <w:tab/>
        <w:t>Image matrix</w:t>
      </w:r>
    </w:p>
    <w:p>
      <w:pPr>
        <w:pStyle w:val="FirstParagraph"/>
        <w:rPr/>
      </w:pPr>
      <w:r>
        <w:rPr>
          <w:sz w:val="20"/>
        </w:rPr>
        <w:t xml:space="preserve">Two Genesys 2 bitstreams were built and kept in </w:t>
      </w:r>
      <w:r>
        <w:rPr>
          <w:rStyle w:val="VerbatimChar"/>
          <w:sz w:val="20"/>
        </w:rPr>
        <w:t>stable/reports/</w:t>
      </w:r>
      <w:r>
        <w:rPr>
          <w:sz w:val="20"/>
        </w:rPr>
        <w:t>:</w:t>
      </w:r>
    </w:p>
    <w:p>
      <w:pPr>
        <w:pStyle w:val="TableCaption"/>
        <w:rPr/>
      </w:pPr>
      <w:bookmarkStart w:id="24" w:name="_Tab_2_Table_1_1__BCH_Genes"/>
      <w:r>
        <w:rPr/>
        <w:t>Table 1.1: BCH Genesys 2 image matrix.</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7"/>
        <w:gridCol w:w="1688"/>
        <w:gridCol w:w="1534"/>
        <w:gridCol w:w="2916"/>
        <w:gridCol w:w="921"/>
        <w:gridCol w:w="1073"/>
      </w:tblGrid>
      <w:tr>
        <w:trPr>
          <w:tblHeader w:val="true"/>
        </w:trPr>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Flavor</w:t>
            </w:r>
          </w:p>
        </w:tc>
        <w:tc>
          <w:tcPr>
            <w:tcW w:w="1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bch_loop_genesys2_axis.bit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+0.586</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39,953</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 used for the million-block soak.</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bch_loop_genesys2_axi4.bit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+0.493</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47,490</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 refuses runs that exceed job memory.</w:t>
            </w:r>
          </w:p>
        </w:tc>
      </w:tr>
    </w:tbl>
    <w:p>
      <w:pPr>
        <w:pStyle w:val="BodyText"/>
        <w:rPr/>
      </w:pPr>
      <w:r>
        <w:rPr>
          <w:sz w:val="20"/>
        </w:rPr>
        <w:t xml:space="preserve">Both images are timing-clean at 100 MHz on the </w:t>
      </w:r>
      <w:r>
        <w:rPr>
          <w:rStyle w:val="VerbatimChar"/>
          <w:sz w:val="20"/>
        </w:rPr>
        <w:t>k325t-2</w:t>
      </w:r>
      <w:r>
        <w:rPr>
          <w:sz w:val="20"/>
        </w:rPr>
        <w:t xml:space="preserve">. The WNS values were read from </w:t>
      </w:r>
      <w:r>
        <w:rPr>
          <w:rStyle w:val="VerbatimChar"/>
          <w:sz w:val="20"/>
        </w:rPr>
        <w:t>stable/reports/genesys2_axis/timing_summary.txt</w:t>
      </w:r>
      <w:r>
        <w:rPr>
          <w:sz w:val="20"/>
        </w:rPr>
        <w:t xml:space="preserve"> and </w:t>
      </w:r>
      <w:r>
        <w:rPr>
          <w:rStyle w:val="VerbatimChar"/>
          <w:sz w:val="20"/>
        </w:rPr>
        <w:t>stable/reports/genesys2_axi4/timing_summary.txt</w:t>
      </w:r>
      <w:r>
        <w:rPr>
          <w:sz w:val="20"/>
        </w:rPr>
        <w:t>.</w:t>
      </w:r>
      <w:bookmarkEnd w:id="23"/>
      <w:r>
        <w:br w:type="page"/>
      </w:r>
    </w:p>
    <w:p>
      <w:pPr>
        <w:pStyle w:val="Heading2"/>
        <w:pBdr>
          <w:bottom w:val="single" w:sz="12" w:space="0" w:color="228B22"/>
        </w:pBdr>
        <w:spacing w:before="280" w:after="80"/>
        <w:rPr/>
      </w:pPr>
      <w:bookmarkStart w:id="25" w:name="__RefHeading___Toc2247_3172332256"/>
      <w:bookmarkStart w:id="26" w:name="codec-profile"/>
      <w:bookmarkEnd w:id="25"/>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build-loop/rtl/bch_loop_cfg_pkg.sv</w:t>
      </w:r>
      <w:r>
        <w:rPr>
          <w:sz w:val="20"/>
        </w:rPr>
        <w:t>:</w:t>
      </w:r>
    </w:p>
    <w:p>
      <w:pPr>
        <w:pStyle w:val="Compact"/>
        <w:numPr>
          <w:ilvl w:val="0"/>
          <w:numId w:val="6"/>
        </w:numPr>
        <w:rPr/>
      </w:pPr>
      <w:r>
        <w:rPr/>
        <w:t>Code: BCH(4224,4120), t=8, m=13.</w:t>
      </w:r>
    </w:p>
    <w:p>
      <w:pPr>
        <w:pStyle w:val="Compact"/>
        <w:numPr>
          <w:ilvl w:val="0"/>
          <w:numId w:val="7"/>
        </w:numPr>
        <w:rPr/>
      </w:pPr>
      <w:r>
        <w:rPr/>
        <w:t>Shortened from n=8191 so the codeword fits the target block size.</w:t>
      </w:r>
    </w:p>
    <w:p>
      <w:pPr>
        <w:pStyle w:val="Compact"/>
        <w:numPr>
          <w:ilvl w:val="0"/>
          <w:numId w:val="8"/>
        </w:numPr>
        <w:rPr/>
      </w:pPr>
      <w:r>
        <w:rPr/>
        <w:t>Parity: 104 bits.</w:t>
      </w:r>
    </w:p>
    <w:p>
      <w:pPr>
        <w:pStyle w:val="Compact"/>
        <w:numPr>
          <w:ilvl w:val="0"/>
          <w:numId w:val="9"/>
        </w:numPr>
        <w:rPr/>
      </w:pPr>
      <w:r>
        <w:rPr/>
        <w:t>Beat width: 32 bits (4 symbols per beat).</w:t>
      </w:r>
    </w:p>
    <w:p>
      <w:pPr>
        <w:pStyle w:val="FirstParagraph"/>
        <w:rPr/>
      </w:pPr>
      <w:r>
        <w:rPr>
          <w:sz w:val="20"/>
        </w:rPr>
        <w:t xml:space="preserve">The AXIS flavour streams a full codeword in </w:t>
      </w:r>
      <w:r>
        <w:rPr>
          <w:rStyle w:val="VerbatimChar"/>
          <w:sz w:val="20"/>
        </w:rPr>
        <w:t>ceil(4224/32) = 132</w:t>
      </w:r>
      <w:r>
        <w:rPr>
          <w:sz w:val="20"/>
        </w:rPr>
        <w:t xml:space="preserve"> beats; the AXI4 flavour moves the same codeword through job memories.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is loaded, so the same campaign scripts drive both images without a command-line flag.</w:t>
      </w:r>
      <w:bookmarkEnd w:id="21"/>
      <w:bookmarkEnd w:id="26"/>
      <w:r>
        <w:br w:type="page"/>
      </w:r>
    </w:p>
    <w:p>
      <w:pPr>
        <w:pStyle w:val="Heading1"/>
        <w:shd w:val="clear" w:color="auto" w:fill="404040"/>
        <w:spacing w:before="360" w:after="120"/>
        <w:rPr/>
      </w:pPr>
      <w:bookmarkStart w:id="27" w:name="__RefHeading___Toc2249_3172332256"/>
      <w:bookmarkStart w:id="28" w:name="harness-architecture"/>
      <w:bookmarkEnd w:id="27"/>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9" w:name="__RefHeading___Toc2251_3172332256"/>
      <w:bookmarkEnd w:id="29"/>
      <w:r>
        <w:rPr>
          <w:rStyle w:val="SectionNumber"/>
          <w:b/>
          <w:color w:val="228B22"/>
          <w:sz w:val="28"/>
        </w:rPr>
        <w:t>4.1</w:t>
      </w:r>
      <w:r>
        <w:rPr>
          <w:b/>
          <w:color w:val="228B22"/>
          <w:sz w:val="28"/>
        </w:rPr>
        <w:tab/>
        <w:t>RTL inventory</w:t>
      </w:r>
    </w:p>
    <w:p>
      <w:pPr>
        <w:pStyle w:val="TableCaption"/>
        <w:rPr/>
      </w:pPr>
      <w:bookmarkStart w:id="30" w:name="_Tab_3_Table_2_1__RTL_block"/>
      <w:r>
        <w:rPr/>
        <w:t>Table 2.1: RTL blocks in the BCH harness.</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build-loop/rtl/bch_loop_genesys2_top.sv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 top: 200 MHz LVDS input, MMCM to 100 MHz, UART,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Nexys A7-100T board top, kept as the </w:t>
            </w:r>
            <w:r>
              <w:rPr>
                <w:rStyle w:val="VerbatimChar"/>
                <w:rFonts w:eastAsia="Cambria" w:cs=""/>
                <w:kern w:val="0"/>
                <w:szCs w:val="24"/>
                <w:lang w:val="en-US" w:eastAsia="en-US" w:bidi="ar-SA"/>
              </w:rPr>
              <w:t>nexys_a7_100t</w:t>
            </w:r>
            <w:r>
              <w:rPr>
                <w:rFonts w:eastAsia="Cambria" w:cs=""/>
                <w:kern w:val="0"/>
                <w:sz w:val="24"/>
                <w:szCs w:val="24"/>
                <w:lang w:val="en-US" w:eastAsia="en-US" w:bidi="ar-SA"/>
              </w:rPr>
              <w:t xml:space="preserve"> target option.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Board-agnostic datapath, CSR wiring, observer mux, status aggregation.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flavour: memory-to-memory codec chain over three job memories.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source of geometry, UART baud, build ID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bch_loop_regs_pkg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build-loop/rtl/bch_loop_regs.rdl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bridge_bch_loop_axil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AXIL-to-APB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byte stream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projects/components/utility-ip/converters/rtl/apb4_to_peakrdl.sv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slave to PeakRDL cpuif 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one packet per block, per-channel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encoder,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Repacks encoder output into </w:t>
            </w:r>
            <w:r>
              <w:rPr>
                <w:rStyle w:val="VerbatimChar"/>
                <w:rFonts w:eastAsia="Cambria" w:cs=""/>
                <w:kern w:val="0"/>
                <w:szCs w:val="24"/>
                <w:lang w:val="en-US" w:eastAsia="en-US" w:bidi="ar-SA"/>
              </w:rPr>
              <w:t>ceil(n/BITS_PER_BEAT)</w:t>
            </w:r>
            <w:r>
              <w:rPr>
                <w:rFonts w:eastAsia="Cambria" w:cs=""/>
                <w:kern w:val="0"/>
                <w:sz w:val="24"/>
                <w:szCs w:val="24"/>
                <w:lang w:val="en-US" w:eastAsia="en-US" w:bidi="ar-SA"/>
              </w:rPr>
              <w:t xml:space="preserve"> codeword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bit-granular injector, modes 0..7, sits after the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reference checker, byte-granular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four AXIS seams.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AXI4 pipeline ports (AXI4 flavour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rtl/amba/shared/axi_bus_meter.sv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windowed bandwidth meters inside the harness.</w:t>
            </w:r>
            <w:bookmarkStart w:id="31" w:name="rtl-inventory"/>
            <w:bookmarkEnd w:id="31"/>
          </w:p>
        </w:tc>
      </w:tr>
    </w:tbl>
    <w:p>
      <w:pPr>
        <w:pStyle w:val="Heading2"/>
        <w:pBdr>
          <w:bottom w:val="single" w:sz="12" w:space="0" w:color="228B22"/>
        </w:pBdr>
        <w:spacing w:before="280" w:after="80"/>
        <w:rPr/>
      </w:pPr>
      <w:r>
        <w:br w:type="page"/>
      </w:r>
      <w:bookmarkStart w:id="32" w:name="__RefHeading___Toc2253_3172332256"/>
      <w:bookmarkEnd w:id="32"/>
      <w:r>
        <w:rPr>
          <w:rStyle w:val="SectionNumber"/>
          <w:b/>
          <w:color w:val="228B22"/>
          <w:sz w:val="28"/>
        </w:rPr>
        <w:t>4.2</w:t>
      </w:r>
      <w:r>
        <w:rPr>
          <w:b/>
          <w:color w:val="228B22"/>
          <w:sz w:val="28"/>
        </w:rPr>
        <w:tab/>
        <w:t>Host and build inventory</w:t>
      </w:r>
    </w:p>
    <w:p>
      <w:pPr>
        <w:pStyle w:val="TableCaption"/>
        <w:rPr/>
      </w:pPr>
      <w:bookmarkStart w:id="33" w:name="_Tab_4_Table_2_2__Host_scri"/>
      <w:r>
        <w:rPr/>
        <w:t>Table 2.2: Host scripts and build flow.</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RandomCampaign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BchLoopDriver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RunResult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BCH_TARGET=genesys2</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BCH_IFACE={AXIS,AXI4}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build of both Genesys 2 bitstreams.</w:t>
            </w:r>
          </w:p>
        </w:tc>
      </w:tr>
    </w:tbl>
    <w:p>
      <w:pPr>
        <w:pStyle w:val="Heading2"/>
        <w:pBdr>
          <w:bottom w:val="single" w:sz="12" w:space="0" w:color="228B22"/>
        </w:pBdr>
        <w:spacing w:before="280" w:after="80"/>
        <w:rPr/>
      </w:pPr>
      <w:r>
        <w:br w:type="page"/>
      </w:r>
      <w:bookmarkStart w:id="34" w:name="__RefHeading___Toc2255_3172332256"/>
      <w:bookmarkEnd w:id="34"/>
      <w:r>
        <w:rPr>
          <w:rStyle w:val="SectionNumber"/>
          <w:b/>
          <w:color w:val="228B22"/>
          <w:sz w:val="28"/>
        </w:rPr>
        <w:t>4.3</w:t>
      </w:r>
      <w:r>
        <w:rPr>
          <w:b/>
          <w:color w:val="228B22"/>
          <w:sz w:val="28"/>
        </w:rPr>
        <w:tab/>
        <w:t>Datapath diagram</w:t>
      </w:r>
    </w:p>
    <w:p>
      <w:pPr>
        <w:pStyle w:val="CaptionedFigure"/>
        <w:rPr/>
      </w:pPr>
      <w:r>
        <w:rPr/>
        <w:drawing>
          <wp:inline distT="0" distB="0" distL="0" distR="0">
            <wp:extent cx="5334000" cy="5755005"/>
            <wp:effectExtent l="0" t="0" r="0" b="0"/>
            <wp:docPr id="4" name="Picture" descr="BCH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BCH AXIS datapath and register path"/>
                    <pic:cNvPicPr>
                      <a:picLocks noChangeAspect="1" noChangeArrowheads="1"/>
                    </pic:cNvPicPr>
                  </pic:nvPicPr>
                  <pic:blipFill>
                    <a:blip r:embed="rId3"/>
                    <a:stretch>
                      <a:fillRect/>
                    </a:stretch>
                  </pic:blipFill>
                  <pic:spPr bwMode="auto">
                    <a:xfrm>
                      <a:off x="0" y="0"/>
                      <a:ext cx="5334000" cy="5755005"/>
                    </a:xfrm>
                    <a:prstGeom prst="rect">
                      <a:avLst/>
                    </a:prstGeom>
                  </pic:spPr>
                </pic:pic>
              </a:graphicData>
            </a:graphic>
          </wp:inline>
        </w:drawing>
      </w:r>
    </w:p>
    <w:p>
      <w:pPr>
        <w:pStyle w:val="ImageCaption"/>
        <w:rPr/>
      </w:pPr>
      <w:r>
        <w:rPr/>
        <w:t>BCH AXIS datapath and register path</w:t>
      </w:r>
    </w:p>
    <w:p>
      <w:pPr>
        <w:pStyle w:val="Heading3"/>
        <w:spacing w:before="200" w:after="80"/>
        <w:rPr/>
      </w:pPr>
      <w:bookmarkStart w:id="35" w:name="__RefHeading___Toc2257_3172332256"/>
      <w:bookmarkStart w:id="36" w:name="X859291b48c605b80967bf066205320342bd3a81"/>
      <w:bookmarkStart w:id="37" w:name="_Fig_1_BCH_AXIS_datapath_an"/>
      <w:bookmarkEnd w:id="35"/>
      <w:r>
        <w:rPr>
          <w:rStyle w:val="SectionNumber"/>
          <w:b/>
          <w:color w:val="404040"/>
          <w:sz w:val="24"/>
        </w:rPr>
        <w:t>4.3.1</w:t>
      </w:r>
      <w:r>
        <w:rPr>
          <w:b/>
          <w:color w:val="404040"/>
          <w:sz w:val="24"/>
        </w:rPr>
        <w:tab/>
        <w:t>Figure 2.1: BCH AXIS datapath and register path.</w:t>
      </w:r>
      <w:bookmarkEnd w:id="37"/>
    </w:p>
    <w:p>
      <w:pPr>
        <w:pStyle w:val="FirstParagraph"/>
        <w:rPr/>
      </w:pPr>
      <w:r>
        <w:rPr>
          <w:b/>
          <w:bCs/>
          <w:sz w:val="20"/>
        </w:rPr>
        <w:t>Source:</w:t>
      </w:r>
      <w:r>
        <w:rPr>
          <w:sz w:val="20"/>
        </w:rPr>
        <w:t xml:space="preserve"> </w:t>
      </w:r>
      <w:hyperlink r:id="rId4">
        <w:r>
          <w:rPr>
            <w:rStyle w:val="Hyperlink"/>
          </w:rPr>
          <w:t>01_bch_axis_loop.dot</w:t>
        </w:r>
      </w:hyperlink>
    </w:p>
    <w:p>
      <w:pPr>
        <w:pStyle w:val="BodyText"/>
        <w:rPr/>
      </w:pPr>
      <w:r>
        <w:rPr>
          <w:sz w:val="20"/>
        </w:rPr>
        <w:t>The AXI4 flavour replaces the streaming seams with job memories; the codec itself is identical.</w:t>
      </w:r>
    </w:p>
    <w:p>
      <w:pPr>
        <w:pStyle w:val="CaptionedFigure"/>
        <w:rPr/>
      </w:pPr>
      <w:r>
        <w:rPr/>
        <w:drawing>
          <wp:inline distT="0" distB="0" distL="0" distR="0">
            <wp:extent cx="5111750" cy="7404100"/>
            <wp:effectExtent l="0" t="0" r="0" b="0"/>
            <wp:docPr id="5" name="Image2" descr="BCH AXI4 memory-to-memory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BCH AXI4 memory-to-memory datapath"/>
                    <pic:cNvPicPr>
                      <a:picLocks noChangeAspect="1" noChangeArrowheads="1"/>
                    </pic:cNvPicPr>
                  </pic:nvPicPr>
                  <pic:blipFill>
                    <a:blip r:embed="rId5"/>
                    <a:stretch>
                      <a:fillRect/>
                    </a:stretch>
                  </pic:blipFill>
                  <pic:spPr bwMode="auto">
                    <a:xfrm>
                      <a:off x="0" y="0"/>
                      <a:ext cx="5111750" cy="7404100"/>
                    </a:xfrm>
                    <a:prstGeom prst="rect">
                      <a:avLst/>
                    </a:prstGeom>
                  </pic:spPr>
                </pic:pic>
              </a:graphicData>
            </a:graphic>
          </wp:inline>
        </w:drawing>
      </w:r>
    </w:p>
    <w:p>
      <w:pPr>
        <w:pStyle w:val="ImageCaption"/>
        <w:rPr/>
      </w:pPr>
      <w:bookmarkStart w:id="38" w:name="X859291b48c605b80967bf066205320342bd3a81"/>
      <w:r>
        <w:rPr/>
        <w:t>BCH AXI4 memory-to-memory datapath</w:t>
      </w:r>
      <w:bookmarkEnd w:id="38"/>
    </w:p>
    <w:p>
      <w:pPr>
        <w:pStyle w:val="Heading3"/>
        <w:spacing w:before="200" w:after="80"/>
        <w:rPr/>
      </w:pPr>
      <w:bookmarkStart w:id="39" w:name="__RefHeading___Toc2259_3172332256"/>
      <w:bookmarkStart w:id="40" w:name="Xa06d3348a5e86d49595eba0432f73705375d758"/>
      <w:bookmarkStart w:id="41" w:name="_Fig_2_BCH_AXI4_memory_to_m"/>
      <w:bookmarkEnd w:id="39"/>
      <w:r>
        <w:rPr>
          <w:rStyle w:val="SectionNumber"/>
          <w:b/>
          <w:color w:val="404040"/>
          <w:sz w:val="24"/>
        </w:rPr>
        <w:t>4.3.2</w:t>
      </w:r>
      <w:r>
        <w:rPr>
          <w:b/>
          <w:color w:val="404040"/>
          <w:sz w:val="24"/>
        </w:rPr>
        <w:tab/>
        <w:t>Figure 2.2: BCH AXI4 memory-to-memory datapath.</w:t>
      </w:r>
      <w:bookmarkEnd w:id="41"/>
    </w:p>
    <w:p>
      <w:pPr>
        <w:pStyle w:val="FirstParagraph"/>
        <w:rPr/>
      </w:pPr>
      <w:r>
        <w:rPr>
          <w:b/>
          <w:bCs/>
          <w:sz w:val="20"/>
        </w:rPr>
        <w:t>Source:</w:t>
      </w:r>
      <w:r>
        <w:rPr>
          <w:sz w:val="20"/>
        </w:rPr>
        <w:t xml:space="preserve"> </w:t>
      </w:r>
      <w:hyperlink r:id="rId6">
        <w:r>
          <w:rPr>
            <w:rStyle w:val="Hyperlink"/>
          </w:rPr>
          <w:t>02_bch_axi4_loop.dot</w:t>
        </w:r>
      </w:hyperlink>
      <w:bookmarkEnd w:id="40"/>
      <w:r>
        <w:br w:type="page"/>
      </w:r>
    </w:p>
    <w:p>
      <w:pPr>
        <w:pStyle w:val="Heading2"/>
        <w:pBdr>
          <w:bottom w:val="single" w:sz="12" w:space="0" w:color="228B22"/>
        </w:pBdr>
        <w:spacing w:before="280" w:after="80"/>
        <w:rPr/>
      </w:pPr>
      <w:bookmarkStart w:id="42" w:name="__RefHeading___Toc2261_3172332256"/>
      <w:bookmarkStart w:id="43" w:name="register-path-clock-and-reset"/>
      <w:bookmarkEnd w:id="42"/>
      <w:r>
        <w:rPr>
          <w:rStyle w:val="SectionNumber"/>
          <w:b/>
          <w:color w:val="228B22"/>
          <w:sz w:val="28"/>
        </w:rPr>
        <w:t>4.4</w:t>
      </w:r>
      <w:r>
        <w:rPr>
          <w:b/>
          <w:color w:val="228B22"/>
          <w:sz w:val="28"/>
        </w:rPr>
        <w:tab/>
        <w:t>Register path, clock, and reset</w:t>
      </w:r>
    </w:p>
    <w:p>
      <w:pPr>
        <w:pStyle w:val="FirstParagraph"/>
        <w:rPr/>
      </w:pPr>
      <w:r>
        <w:rPr>
          <w:sz w:val="20"/>
        </w:rPr>
        <w:t xml:space="preserve">The host talks by name, not by offset: </w:t>
      </w:r>
      <w:r>
        <w:rPr>
          <w:rStyle w:val="VerbatimChar"/>
          <w:sz w:val="20"/>
        </w:rPr>
        <w:t>BchLoopDriver</w:t>
      </w:r>
      <w:r>
        <w:rPr>
          <w:sz w:val="20"/>
        </w:rPr>
        <w:t xml:space="preserve"> wraps </w:t>
      </w:r>
      <w:r>
        <w:rPr>
          <w:rStyle w:val="VerbatimChar"/>
          <w:sz w:val="20"/>
        </w:rPr>
        <w:t>UARTAxiBridge</w:t>
      </w:r>
      <w:r>
        <w:rPr>
          <w:sz w:val="20"/>
        </w:rPr>
        <w:t xml:space="preserve"> with </w:t>
      </w:r>
      <w:r>
        <w:rPr>
          <w:rStyle w:val="VerbatimChar"/>
          <w:sz w:val="20"/>
        </w:rPr>
        <w:t>UartRegisterMap</w:t>
      </w:r>
      <w:r>
        <w:rPr>
          <w:sz w:val="20"/>
        </w:rPr>
        <w:t xml:space="preserve"> over the generated </w:t>
      </w:r>
      <w:r>
        <w:rPr>
          <w:rStyle w:val="VerbatimChar"/>
          <w:sz w:val="20"/>
        </w:rPr>
        <w:t>bch_loop_regs_regmap.py</w:t>
      </w:r>
      <w:r>
        <w:rPr>
          <w:sz w:val="20"/>
        </w:rPr>
        <w:t>. The only raw addresses are the two expansion-window bases (</w:t>
      </w:r>
      <w:r>
        <w:rPr>
          <w:rStyle w:val="VerbatimChar"/>
          <w:sz w:val="20"/>
        </w:rPr>
        <w:t>OBS_AXI4_BASE = 0x00010000</w:t>
      </w:r>
      <w:r>
        <w:rPr>
          <w:sz w:val="20"/>
        </w:rPr>
        <w:t xml:space="preserve"> and </w:t>
      </w:r>
      <w:r>
        <w:rPr>
          <w:rStyle w:val="VerbatimChar"/>
          <w:sz w:val="20"/>
        </w:rPr>
        <w:t>OBS_AXIS_BASE = 0x00020000</w:t>
      </w:r>
      <w:r>
        <w:rPr>
          <w:sz w:val="20"/>
        </w:rPr>
        <w:t xml:space="preserve">), which match the bridge fabric definition. The full address map and register list live in the harness book: </w:t>
      </w:r>
      <w:hyperlink r:id="rId7">
        <w:r>
          <w:rPr>
            <w:rStyle w:val="Hyperlink"/>
          </w:rPr>
          <w:t>Address Map</w:t>
        </w:r>
      </w:hyperlink>
      <w:r>
        <w:rPr>
          <w:sz w:val="20"/>
        </w:rPr>
        <w:t>.</w:t>
      </w:r>
    </w:p>
    <w:p>
      <w:pPr>
        <w:pStyle w:val="BodyText"/>
        <w:rPr/>
      </w:pPr>
      <w:r>
        <w:rPr>
          <w:sz w:val="20"/>
        </w:rPr>
        <w:t xml:space="preserve">Clock and reset come from </w:t>
      </w:r>
      <w:r>
        <w:rPr>
          <w:rStyle w:val="VerbatimChar"/>
          <w:sz w:val="20"/>
        </w:rPr>
        <w:t>bch_loop_genesys2_top</w:t>
      </w:r>
      <w:r>
        <w:rPr>
          <w:sz w:val="20"/>
        </w:rPr>
        <w:t xml:space="preserve">: the 200 MHz LVDS system clock passes through </w:t>
      </w:r>
      <w:r>
        <w:rPr>
          <w:rStyle w:val="VerbatimChar"/>
          <w:sz w:val="20"/>
        </w:rPr>
        <w:t>IBUFDS</w:t>
      </w:r>
      <w:r>
        <w:rPr>
          <w:sz w:val="20"/>
        </w:rPr>
        <w:t xml:space="preserve"> and an </w:t>
      </w:r>
      <w:r>
        <w:rPr>
          <w:rStyle w:val="VerbatimChar"/>
          <w:sz w:val="20"/>
        </w:rPr>
        <w:t>MMCME2_BASE</w:t>
      </w:r>
      <w:r>
        <w:rPr>
          <w:sz w:val="20"/>
        </w:rPr>
        <w:t xml:space="preserve"> with </w:t>
      </w:r>
      <w:r>
        <w:rPr>
          <w:rStyle w:val="VerbatimChar"/>
          <w:sz w:val="20"/>
        </w:rPr>
        <w:t>CLKFBOUT_MULT_F = 6</w:t>
      </w:r>
      <w:r>
        <w:rPr>
          <w:sz w:val="20"/>
        </w:rPr>
        <w:t xml:space="preserve"> and </w:t>
      </w:r>
      <w:r>
        <w:rPr>
          <w:rStyle w:val="VerbatimChar"/>
          <w:sz w:val="20"/>
        </w:rPr>
        <w:t>CLKOUT0_DIVIDE_F = 12</w:t>
      </w:r>
      <w:r>
        <w:rPr>
          <w:sz w:val="20"/>
        </w:rPr>
        <w:t>, giving a 100 MHz harness clock. That frequency was chosen because the BCH loop and the UART divisor both close timing comfortably at 100 MHz on the k325t-2.</w:t>
      </w:r>
      <w:bookmarkEnd w:id="28"/>
      <w:bookmarkEnd w:id="43"/>
      <w:r>
        <w:br w:type="page"/>
      </w:r>
    </w:p>
    <w:p>
      <w:pPr>
        <w:pStyle w:val="Heading1"/>
        <w:shd w:val="clear" w:color="auto" w:fill="404040"/>
        <w:spacing w:before="360" w:after="120"/>
        <w:rPr/>
      </w:pPr>
      <w:bookmarkStart w:id="44" w:name="__RefHeading___Toc2263_3172332256"/>
      <w:bookmarkStart w:id="45" w:name="campaigns-and-the-oracle-argument"/>
      <w:bookmarkEnd w:id="44"/>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46" w:name="__RefHeading___Toc2265_3172332256"/>
      <w:bookmarkEnd w:id="46"/>
      <w:r>
        <w:rPr>
          <w:rStyle w:val="SectionNumber"/>
          <w:b/>
          <w:color w:val="228B22"/>
          <w:sz w:val="28"/>
        </w:rPr>
        <w:t>5.1</w:t>
      </w:r>
      <w:r>
        <w:rPr>
          <w:b/>
          <w:color w:val="228B22"/>
          <w:sz w:val="28"/>
        </w:rPr>
        <w:tab/>
        <w:t>Campaign inventory</w:t>
      </w:r>
    </w:p>
    <w:p>
      <w:pPr>
        <w:pStyle w:val="TableCaption"/>
        <w:rPr/>
      </w:pPr>
      <w:bookmarkStart w:id="47" w:name="_Tab_5_Table_3_1__BCH_board"/>
      <w:r>
        <w:rPr/>
        <w:t>Table 3.1: BCH board campaign inventory.</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Host-seeded </w:t>
            </w:r>
            <w:r>
              <w:rPr>
                <w:rStyle w:val="VerbatimChar"/>
                <w:rFonts w:eastAsia="Cambria" w:cs=""/>
                <w:kern w:val="0"/>
                <w:szCs w:val="24"/>
                <w:lang w:val="en-US" w:eastAsia="en-US" w:bidi="ar-SA"/>
              </w:rPr>
              <w:t>random.Random</w:t>
            </w:r>
            <w:r>
              <w:rPr>
                <w:rFonts w:eastAsia="Cambria" w:cs=""/>
                <w:kern w:val="0"/>
                <w:sz w:val="24"/>
                <w:szCs w:val="24"/>
                <w:lang w:val="en-US" w:eastAsia="en-US" w:bidi="ar-SA"/>
              </w:rPr>
              <w:t>;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 model a bad DRAM row or NAND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 model a half-plane failure.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blocks clean, a hard minority very bad.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8" w:name="campaign-inventory"/>
            <w:bookmarkEnd w:id="48"/>
          </w:p>
        </w:tc>
      </w:tr>
    </w:tbl>
    <w:p>
      <w:pPr>
        <w:pStyle w:val="Heading2"/>
        <w:pBdr>
          <w:bottom w:val="single" w:sz="12" w:space="0" w:color="228B22"/>
        </w:pBdr>
        <w:spacing w:before="280" w:after="80"/>
        <w:rPr/>
      </w:pPr>
      <w:r>
        <w:br w:type="page"/>
      </w:r>
      <w:bookmarkStart w:id="49" w:name="__RefHeading___Toc2267_3172332256"/>
      <w:bookmarkEnd w:id="49"/>
      <w:r>
        <w:rPr>
          <w:rStyle w:val="SectionNumber"/>
          <w:b/>
          <w:color w:val="228B22"/>
          <w:sz w:val="28"/>
        </w:rPr>
        <w:t>5.2</w:t>
      </w:r>
      <w:r>
        <w:rPr>
          <w:b/>
          <w:color w:val="228B22"/>
          <w:sz w:val="28"/>
        </w:rPr>
        <w:tab/>
        <w:t>Determinism</w:t>
      </w:r>
    </w:p>
    <w:p>
      <w:pPr>
        <w:pStyle w:val="FirstParagraph"/>
        <w:rPr/>
      </w:pPr>
      <w:r>
        <w:rPr>
          <w:sz w:val="20"/>
        </w:rPr>
        <w:t xml:space="preserve">Every board campaign is deterministic by default: </w:t>
      </w:r>
      <w:r>
        <w:rPr>
          <w:rStyle w:val="VerbatimChar"/>
          <w:sz w:val="20"/>
        </w:rPr>
        <w:t>gen_seed</w:t>
      </w:r>
      <w:r>
        <w:rPr>
          <w:sz w:val="20"/>
        </w:rPr>
        <w:t xml:space="preserve"> and </w:t>
      </w:r>
      <w:r>
        <w:rPr>
          <w:rStyle w:val="VerbatimChar"/>
          <w:sz w:val="20"/>
        </w:rPr>
        <w:t>inj_seed</w:t>
      </w:r>
      <w:r>
        <w:rPr>
          <w:sz w:val="20"/>
        </w:rPr>
        <w:t xml:space="preserve"> start at 1, and the </w:t>
      </w:r>
      <w:r>
        <w:rPr>
          <w:rStyle w:val="VerbatimChar"/>
          <w:sz w:val="20"/>
        </w:rPr>
        <w:t>seq_*.py</w:t>
      </w:r>
      <w:r>
        <w:rPr>
          <w:sz w:val="20"/>
        </w:rPr>
        <w:t xml:space="preserve"> scripts produce bit-exact runs in cocotb simulation and on the board. A failure you can replay is a failure you can fix. </w:t>
      </w:r>
      <w:r>
        <w:rPr>
          <w:rStyle w:val="VerbatimChar"/>
          <w:sz w:val="20"/>
        </w:rPr>
        <w:t>seq_random.py</w:t>
      </w:r>
      <w:r>
        <w:rPr>
          <w:sz w:val="20"/>
        </w:rPr>
        <w:t xml:space="preserve"> still varies its draws, but those draws come from a host-side </w:t>
      </w:r>
      <w:r>
        <w:rPr>
          <w:rStyle w:val="VerbatimChar"/>
          <w:sz w:val="20"/>
        </w:rPr>
        <w:t>random.Random(seed)</w:t>
      </w:r>
      <w:r>
        <w:rPr>
          <w:sz w:val="20"/>
        </w:rPr>
        <w:t xml:space="preserve"> seeded by the caller, so the variation is reproducible when needed.</w:t>
      </w:r>
      <w:r>
        <w:br w:type="page"/>
      </w:r>
    </w:p>
    <w:p>
      <w:pPr>
        <w:pStyle w:val="Heading2"/>
        <w:pBdr>
          <w:bottom w:val="single" w:sz="12" w:space="0" w:color="228B22"/>
        </w:pBdr>
        <w:spacing w:before="280" w:after="80"/>
        <w:rPr/>
      </w:pPr>
      <w:bookmarkStart w:id="50" w:name="__RefHeading___Toc2269_3172332256"/>
      <w:bookmarkStart w:id="51" w:name="the-on-chip-oracle"/>
      <w:bookmarkEnd w:id="50"/>
      <w:r>
        <w:rPr>
          <w:rStyle w:val="SectionNumber"/>
          <w:b/>
          <w:color w:val="228B22"/>
          <w:sz w:val="28"/>
        </w:rPr>
        <w:t>5.3</w:t>
      </w:r>
      <w:r>
        <w:rPr>
          <w:b/>
          <w:color w:val="228B22"/>
          <w:sz w:val="28"/>
        </w:rPr>
        <w:tab/>
        <w:t>The on-chip oracle</w:t>
      </w:r>
    </w:p>
    <w:p>
      <w:pPr>
        <w:pStyle w:val="FirstParagraph"/>
        <w:rPr/>
      </w:pPr>
      <w:r>
        <w:rPr>
          <w:sz w:val="20"/>
        </w:rPr>
        <w:t>The decoder uses riBM with odd-syndrome computation and even syndromes by squaring. It runs a second-syndrome recheck (</w:t>
      </w:r>
      <w:r>
        <w:rPr>
          <w:rStyle w:val="VerbatimChar"/>
          <w:sz w:val="20"/>
        </w:rPr>
        <w:t>ENABLE_RECHECK</w:t>
      </w:r>
      <w:r>
        <w:rPr>
          <w:sz w:val="20"/>
        </w:rPr>
        <w:t xml:space="preserve">) and performs flip-only correction. The checker independently regenerates the expected LFSR pattern and reports </w:t>
      </w:r>
      <w:r>
        <w:rPr>
          <w:rStyle w:val="VerbatimChar"/>
          <w:sz w:val="20"/>
        </w:rPr>
        <w:t>data_err</w:t>
      </w:r>
      <w:r>
        <w:rPr>
          <w:sz w:val="20"/>
        </w:rPr>
        <w:t xml:space="preserve"> on any mismatched beat. Together they form the on-chip oracle: the decoder decides whether it thinks it corrected the block, and the checker decides whether the recovered bytes actually match the reference. That pairing is what makes a silent mis-decode detectable.</w:t>
      </w:r>
      <w:bookmarkEnd w:id="45"/>
      <w:bookmarkEnd w:id="51"/>
      <w:r>
        <w:br w:type="page"/>
      </w:r>
    </w:p>
    <w:p>
      <w:pPr>
        <w:pStyle w:val="Heading1"/>
        <w:shd w:val="clear" w:color="auto" w:fill="404040"/>
        <w:spacing w:before="360" w:after="120"/>
        <w:rPr/>
      </w:pPr>
      <w:bookmarkStart w:id="52" w:name="__RefHeading___Toc2271_3172332256"/>
      <w:bookmarkStart w:id="53" w:name="testing-choices"/>
      <w:bookmarkEnd w:id="52"/>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54" w:name="__RefHeading___Toc2273_3172332256"/>
      <w:bookmarkEnd w:id="54"/>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exposes eight modes, and each one answers a different physical question:</w:t>
      </w:r>
    </w:p>
    <w:p>
      <w:pPr>
        <w:pStyle w:val="TableCaption"/>
        <w:rPr/>
      </w:pPr>
      <w:bookmarkStart w:id="55" w:name="_Tab_6_Table_3_2__Injector_"/>
      <w:r>
        <w:rPr/>
        <w:t>Table 3.2: Injector modes and the physical questions they answer.</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7755"/>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7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Failure mechanism exercised</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clean run baseline.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count: the e &lt;= t / e &gt; t correction boundary.</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raw bit-error behaviour on a noisy channel.</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continuous random bit-error rate.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Clusters: spatially correlated faults (bad DRAM row, disturbed NAND page).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Localized: windowed half-plane failure.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Badblock: retention tails and worn blocks.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deterministic walking bring-up pattern.</w:t>
            </w:r>
            <w:bookmarkStart w:id="56" w:name="X8d236ce34556ebaf33b14981fd5c50a974c9d5f"/>
            <w:bookmarkEnd w:id="56"/>
          </w:p>
        </w:tc>
      </w:tr>
    </w:tbl>
    <w:p>
      <w:pPr>
        <w:pStyle w:val="Heading2"/>
        <w:pBdr>
          <w:bottom w:val="single" w:sz="12" w:space="0" w:color="228B22"/>
        </w:pBdr>
        <w:spacing w:before="280" w:after="80"/>
        <w:rPr/>
      </w:pPr>
      <w:r>
        <w:br w:type="page"/>
      </w:r>
      <w:bookmarkStart w:id="57" w:name="__RefHeading___Toc2275_3172332256"/>
      <w:bookmarkEnd w:id="57"/>
      <w:r>
        <w:rPr>
          <w:rStyle w:val="SectionNumber"/>
          <w:b/>
          <w:color w:val="228B22"/>
          <w:sz w:val="28"/>
        </w:rPr>
        <w:t>6.2</w:t>
      </w:r>
      <w:r>
        <w:rPr>
          <w:b/>
          <w:color w:val="228B22"/>
          <w:sz w:val="28"/>
        </w:rPr>
        <w:tab/>
        <w:t>Post-encoder injection</w:t>
      </w:r>
    </w:p>
    <w:p>
      <w:pPr>
        <w:pStyle w:val="FirstParagraph"/>
        <w:rPr/>
      </w:pPr>
      <w:r>
        <w:rPr>
          <w:sz w:val="20"/>
        </w:rPr>
        <w:t>The injector sits after the encoder, not inside the generator. An error in the generator data would be encoded faithfully and the code would never see it. By corrupting the codeword, the parity bits are exposed to the same errors as the data, which is what happens when a real packet is stored, transmitted, or read back from memory.</w:t>
      </w:r>
      <w:r>
        <w:br w:type="page"/>
      </w:r>
    </w:p>
    <w:p>
      <w:pPr>
        <w:pStyle w:val="Heading2"/>
        <w:pBdr>
          <w:bottom w:val="single" w:sz="12" w:space="0" w:color="228B22"/>
        </w:pBdr>
        <w:spacing w:before="280" w:after="80"/>
        <w:rPr/>
      </w:pPr>
      <w:bookmarkStart w:id="58" w:name="__RefHeading___Toc2277_3172332256"/>
      <w:bookmarkStart w:id="59" w:name="uart-and-the-safety-pair"/>
      <w:bookmarkEnd w:id="58"/>
      <w:r>
        <w:rPr>
          <w:rStyle w:val="SectionNumber"/>
          <w:b/>
          <w:color w:val="228B22"/>
          <w:sz w:val="28"/>
        </w:rPr>
        <w:t>6.3</w:t>
      </w:r>
      <w:r>
        <w:rPr>
          <w:b/>
          <w:color w:val="228B22"/>
          <w:sz w:val="28"/>
        </w:rPr>
        <w:tab/>
        <w:t>UART and the safety pair</w:t>
      </w:r>
    </w:p>
    <w:p>
      <w:pPr>
        <w:pStyle w:val="FirstParagraph"/>
        <w:rPr/>
      </w:pPr>
      <w:r>
        <w:rPr>
          <w:sz w:val="20"/>
        </w:rPr>
        <w:t xml:space="preserve">The host link is a plain UART at 115200 baud, driven by </w:t>
      </w:r>
      <w:r>
        <w:rPr>
          <w:rStyle w:val="VerbatimChar"/>
          <w:sz w:val="20"/>
        </w:rPr>
        <w:t>uart_axil_bridge</w:t>
      </w:r>
      <w:r>
        <w:rPr>
          <w:sz w:val="20"/>
        </w:rPr>
        <w:t>. That keeps the harness scriptable from Python without a debug-core licence. Two pieces of shared tooling guard the board:</w:t>
      </w:r>
    </w:p>
    <w:p>
      <w:pPr>
        <w:pStyle w:val="Compact"/>
        <w:numPr>
          <w:ilvl w:val="0"/>
          <w:numId w:val="10"/>
        </w:numPr>
        <w:rPr/>
      </w:pPr>
      <w:r>
        <w:rPr>
          <w:rStyle w:val="VerbatimChar"/>
        </w:rPr>
        <w:t>projects/fpga-systems/bin/board_lock.sh</w:t>
      </w:r>
      <w:r>
        <w:rPr/>
        <w:t xml:space="preserve"> serializes programming flows by JTAG serial.</w:t>
      </w:r>
    </w:p>
    <w:p>
      <w:pPr>
        <w:pStyle w:val="Compact"/>
        <w:numPr>
          <w:ilvl w:val="0"/>
          <w:numId w:val="11"/>
        </w:numPr>
        <w:rPr/>
      </w:pPr>
      <w:r>
        <w:rPr>
          <w:rStyle w:val="VerbatimChar"/>
        </w:rPr>
        <w:t>projects/fpga-systems/bin/fpga_board.py</w:t>
      </w:r>
      <w:r>
        <w:rPr/>
        <w:t xml:space="preserve"> refuses to program until a JTAG readback confirms the expected Genesys 2 serial </w:t>
      </w:r>
      <w:r>
        <w:rPr>
          <w:rStyle w:val="VerbatimChar"/>
        </w:rPr>
        <w:t>200300B818A0</w:t>
      </w:r>
      <w:r>
        <w:rPr/>
        <w:t xml:space="preserve"> is present with a device behind it.</w:t>
      </w:r>
      <w:bookmarkEnd w:id="59"/>
      <w:r>
        <w:br w:type="page"/>
      </w:r>
    </w:p>
    <w:p>
      <w:pPr>
        <w:pStyle w:val="Heading2"/>
        <w:pBdr>
          <w:bottom w:val="single" w:sz="12" w:space="0" w:color="228B22"/>
        </w:pBdr>
        <w:spacing w:before="280" w:after="80"/>
        <w:rPr/>
      </w:pPr>
      <w:bookmarkStart w:id="60" w:name="__RefHeading___Toc2279_3172332256"/>
      <w:bookmarkStart w:id="61" w:name="genesys-2-vs-nexys-a7"/>
      <w:bookmarkEnd w:id="60"/>
      <w:r>
        <w:rPr>
          <w:rStyle w:val="SectionNumber"/>
          <w:b/>
          <w:color w:val="228B22"/>
          <w:sz w:val="28"/>
        </w:rPr>
        <w:t>6.4</w:t>
      </w:r>
      <w:r>
        <w:rPr>
          <w:b/>
          <w:color w:val="228B22"/>
          <w:sz w:val="28"/>
        </w:rPr>
        <w:tab/>
        <w:t>Genesys 2 vs Nexys A7</w:t>
      </w:r>
    </w:p>
    <w:p>
      <w:pPr>
        <w:pStyle w:val="FirstParagraph"/>
        <w:rPr/>
      </w:pPr>
      <w:r>
        <w:rPr>
          <w:sz w:val="20"/>
        </w:rPr>
        <w:t xml:space="preserve">The harness directory moved from </w:t>
      </w:r>
      <w:r>
        <w:rPr>
          <w:rStyle w:val="VerbatimChar"/>
          <w:sz w:val="20"/>
        </w:rPr>
        <w:t>NexysA7/</w:t>
      </w:r>
      <w:r>
        <w:rPr>
          <w:sz w:val="20"/>
        </w:rPr>
        <w:t xml:space="preserve"> to </w:t>
      </w:r>
      <w:r>
        <w:rPr>
          <w:rStyle w:val="VerbatimChar"/>
          <w:sz w:val="20"/>
        </w:rPr>
        <w:t>Genesys2/</w:t>
      </w:r>
      <w:r>
        <w:rPr>
          <w:sz w:val="20"/>
        </w:rPr>
        <w:t xml:space="preserve"> on 2026-10-05. </w:t>
      </w:r>
      <w:r>
        <w:rPr>
          <w:rStyle w:val="VerbatimChar"/>
          <w:sz w:val="20"/>
        </w:rPr>
        <w:t>BCH_TARGET</w:t>
      </w:r>
      <w:r>
        <w:rPr>
          <w:sz w:val="20"/>
        </w:rPr>
        <w:t xml:space="preserve"> still accepts </w:t>
      </w:r>
      <w:r>
        <w:rPr>
          <w:rStyle w:val="VerbatimChar"/>
          <w:sz w:val="20"/>
        </w:rPr>
        <w:t>nexys_a7_100t</w:t>
      </w:r>
      <w:r>
        <w:rPr>
          <w:sz w:val="20"/>
        </w:rPr>
        <w:t xml:space="preserve"> as a build option, but the Genesys 2 is the primary target. The k325t-2 has the room and timing margin to hold the full BCH(4224,4120) loop at 100 MHz with both AXIS and AXI4 flavours.</w:t>
      </w:r>
      <w:bookmarkEnd w:id="61"/>
      <w:r>
        <w:br w:type="page"/>
      </w:r>
    </w:p>
    <w:p>
      <w:pPr>
        <w:pStyle w:val="Heading2"/>
        <w:pBdr>
          <w:bottom w:val="single" w:sz="12" w:space="0" w:color="228B22"/>
        </w:pBdr>
        <w:spacing w:before="280" w:after="80"/>
        <w:rPr/>
      </w:pPr>
      <w:bookmarkStart w:id="62" w:name="__RefHeading___Toc2281_3172332256"/>
      <w:bookmarkStart w:id="63" w:name="axis-vs-axi4"/>
      <w:bookmarkEnd w:id="62"/>
      <w:r>
        <w:rPr>
          <w:rStyle w:val="SectionNumber"/>
          <w:b/>
          <w:color w:val="228B22"/>
          <w:sz w:val="28"/>
        </w:rPr>
        <w:t>6.5</w:t>
      </w:r>
      <w:r>
        <w:rPr>
          <w:b/>
          <w:color w:val="228B22"/>
          <w:sz w:val="28"/>
        </w:rPr>
        <w:tab/>
        <w:t>AXIS vs AXI4</w:t>
      </w:r>
    </w:p>
    <w:p>
      <w:pPr>
        <w:pStyle w:val="FirstParagraph"/>
        <w:rPr/>
      </w:pPr>
      <w:r>
        <w:rPr>
          <w:sz w:val="20"/>
        </w:rPr>
        <w:t xml:space="preserve">Two bitstreams are built: </w:t>
      </w:r>
      <w:r>
        <w:rPr>
          <w:rStyle w:val="VerbatimChar"/>
          <w:sz w:val="20"/>
        </w:rPr>
        <w:t>bch_loop_genesys2_axis.bit</w:t>
      </w:r>
      <w:r>
        <w:rPr>
          <w:sz w:val="20"/>
        </w:rPr>
        <w:t xml:space="preserve"> and </w:t>
      </w:r>
      <w:r>
        <w:rPr>
          <w:rStyle w:val="VerbatimChar"/>
          <w:sz w:val="20"/>
        </w:rPr>
        <w:t>bch_loop_genesys2_axi4.bit</w:t>
      </w:r>
      <w:r>
        <w:rPr>
          <w:sz w:val="20"/>
        </w:rPr>
        <w:t xml:space="preserve">. The AXIS flavour is a single streaming pipe; the AXI4 flavour is a memory-to-memory job chain across four AXI4 memories.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w:t>
      </w:r>
      <w:bookmarkEnd w:id="63"/>
      <w:r>
        <w:br w:type="page"/>
      </w:r>
    </w:p>
    <w:p>
      <w:pPr>
        <w:pStyle w:val="Heading2"/>
        <w:pBdr>
          <w:bottom w:val="single" w:sz="12" w:space="0" w:color="228B22"/>
        </w:pBdr>
        <w:spacing w:before="280" w:after="80"/>
        <w:rPr/>
      </w:pPr>
      <w:bookmarkStart w:id="64" w:name="__RefHeading___Toc2283_3172332256"/>
      <w:bookmarkStart w:id="65" w:name="deliberately-not-board-tested"/>
      <w:bookmarkEnd w:id="64"/>
      <w:r>
        <w:rPr>
          <w:rStyle w:val="SectionNumber"/>
          <w:b/>
          <w:color w:val="228B22"/>
          <w:sz w:val="28"/>
        </w:rPr>
        <w:t>6.6</w:t>
      </w:r>
      <w:r>
        <w:rPr>
          <w:b/>
          <w:color w:val="228B22"/>
          <w:sz w:val="28"/>
        </w:rPr>
        <w:tab/>
        <w:t>Deliberately not board-tested</w:t>
      </w:r>
    </w:p>
    <w:p>
      <w:pPr>
        <w:pStyle w:val="FirstParagraph"/>
        <w:rPr/>
      </w:pPr>
      <w:r>
        <w:rPr>
          <w:sz w:val="20"/>
        </w:rPr>
        <w:t xml:space="preserve">Some things are out of scope. The soak campaign ran to its default time budget and passed 1,000,000 mixed-mode blocks with zero mis-decodes, but that is a statistical sample, not every pattern. BCH has no erasure path in this harness: the injector’s </w:t>
      </w:r>
      <w:r>
        <w:rPr>
          <w:rStyle w:val="VerbatimChar"/>
          <w:sz w:val="20"/>
        </w:rPr>
        <w:t>out_erasure</w:t>
      </w:r>
      <w:r>
        <w:rPr>
          <w:sz w:val="20"/>
        </w:rPr>
        <w:t xml:space="preserve"> is tied off and </w:t>
      </w:r>
      <w:r>
        <w:rPr>
          <w:rStyle w:val="VerbatimChar"/>
          <w:sz w:val="20"/>
        </w:rPr>
        <w:t>cfg_mark_erasure</w:t>
      </w:r>
      <w:r>
        <w:rPr>
          <w:sz w:val="20"/>
        </w:rPr>
        <w:t xml:space="preserve"> is held low. The board validates only the </w:t>
      </w:r>
      <w:r>
        <w:rPr>
          <w:rStyle w:val="VerbatimChar"/>
          <w:sz w:val="20"/>
        </w:rPr>
        <w:t>BCH(4224,4120) t=8</w:t>
      </w:r>
      <w:r>
        <w:rPr>
          <w:sz w:val="20"/>
        </w:rPr>
        <w:t xml:space="preserve"> profile; smaller profiles are covered in simulation and component DV.</w:t>
      </w:r>
      <w:bookmarkEnd w:id="53"/>
      <w:bookmarkEnd w:id="65"/>
      <w:r>
        <w:br w:type="page"/>
      </w:r>
    </w:p>
    <w:p>
      <w:pPr>
        <w:pStyle w:val="Heading1"/>
        <w:shd w:val="clear" w:color="auto" w:fill="404040"/>
        <w:spacing w:before="360" w:after="120"/>
        <w:rPr/>
      </w:pPr>
      <w:bookmarkStart w:id="66" w:name="__RefHeading___Toc2285_3172332256"/>
      <w:bookmarkStart w:id="67" w:name="soak-results"/>
      <w:bookmarkEnd w:id="66"/>
      <w:r>
        <w:rPr>
          <w:rStyle w:val="SectionNumber"/>
          <w:b/>
          <w:color w:val="FFFFFF"/>
          <w:sz w:val="32"/>
        </w:rPr>
        <w:t>7</w:t>
      </w:r>
      <w:r>
        <w:rPr>
          <w:b/>
          <w:color w:val="FFFFFF"/>
          <w:sz w:val="32"/>
        </w:rPr>
        <w:tab/>
        <w:t>Soak Results</w:t>
      </w:r>
    </w:p>
    <w:p>
      <w:pPr>
        <w:pStyle w:val="Heading2"/>
        <w:pageBreakBefore w:val="false"/>
        <w:pBdr>
          <w:bottom w:val="single" w:sz="12" w:space="0" w:color="228B22"/>
        </w:pBdr>
        <w:spacing w:before="280" w:after="80"/>
        <w:rPr/>
      </w:pPr>
      <w:bookmarkStart w:id="68" w:name="__RefHeading___Toc2287_3172332256"/>
      <w:bookmarkStart w:id="69" w:name="one-million-blocks-on-the-axis-image"/>
      <w:bookmarkEnd w:id="68"/>
      <w:r>
        <w:rPr>
          <w:rStyle w:val="SectionNumber"/>
          <w:b/>
          <w:color w:val="228B22"/>
          <w:sz w:val="28"/>
        </w:rPr>
        <w:t>7.1</w:t>
      </w:r>
      <w:r>
        <w:rPr>
          <w:b/>
          <w:color w:val="228B22"/>
          <w:sz w:val="28"/>
        </w:rPr>
        <w:tab/>
        <w:t>One million blocks on the AXIS image</w:t>
      </w:r>
    </w:p>
    <w:p>
      <w:pPr>
        <w:pStyle w:val="FirstParagraph"/>
        <w:rPr/>
      </w:pPr>
      <w:r>
        <w:rPr>
          <w:sz w:val="20"/>
        </w:rPr>
        <w:t xml:space="preserve">The 2026-10-05 soak ran the </w:t>
      </w:r>
      <w:r>
        <w:rPr>
          <w:rStyle w:val="VerbatimChar"/>
          <w:sz w:val="20"/>
        </w:rPr>
        <w:t>genesys2_axis</w:t>
      </w:r>
      <w:r>
        <w:rPr>
          <w:sz w:val="20"/>
        </w:rPr>
        <w:t xml:space="preserve"> image on board serial </w:t>
      </w:r>
      <w:r>
        <w:rPr>
          <w:rStyle w:val="VerbatimChar"/>
          <w:sz w:val="20"/>
        </w:rPr>
        <w:t>200300B818A0</w:t>
      </w:r>
      <w:r>
        <w:rPr>
          <w:sz w:val="20"/>
        </w:rPr>
        <w:t xml:space="preserve">. Final counters from </w:t>
      </w:r>
      <w:r>
        <w:rPr>
          <w:rStyle w:val="VerbatimChar"/>
          <w:sz w:val="20"/>
        </w:rPr>
        <w:t>stable/results/2026-10-05_soak/battery.json</w:t>
      </w:r>
      <w:r>
        <w:rPr>
          <w:sz w:val="20"/>
        </w:rPr>
        <w:t>:</w:t>
      </w:r>
    </w:p>
    <w:p>
      <w:pPr>
        <w:pStyle w:val="TableCaption"/>
        <w:rPr/>
      </w:pPr>
      <w:bookmarkStart w:id="70" w:name="_Tab_7_Table_4_1__BCH_soak_"/>
      <w:r>
        <w:rPr/>
        <w:t>Table 4.1: BCH soak final counters.</w:t>
      </w:r>
      <w:bookmarkEnd w:id="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blocks_final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blk_per_s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768,922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119,121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bits_corrected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failing_runs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over_t_blocks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0.00e+00 (1 in 74,560)</w:t>
            </w:r>
          </w:p>
        </w:tc>
      </w:tr>
    </w:tbl>
    <w:p>
      <w:pPr>
        <w:pStyle w:val="BodyText"/>
        <w:rPr/>
      </w:pPr>
      <w:r>
        <w:rPr>
          <w:sz w:val="20"/>
        </w:rPr>
        <w:t>The confidence statement is:</w:t>
      </w:r>
    </w:p>
    <w:p>
      <w:pPr>
        <w:pStyle w:val="BlockText"/>
        <w:rPr/>
      </w:pPr>
      <w:bookmarkStart w:id="71" w:name="one-million-blocks-on-the-axis-image"/>
      <w:r>
        <w:rPr/>
        <w:t>1,000,000 blocks, 0 mis-decodes, 74,560 over-t blocks all flagged, 3,119,679 bits corrected, 8h52m at 31 blk/s UART-bound.</w:t>
      </w:r>
      <w:bookmarkEnd w:id="71"/>
      <w:r>
        <w:br w:type="page"/>
      </w:r>
    </w:p>
    <w:p>
      <w:pPr>
        <w:pStyle w:val="Heading2"/>
        <w:pBdr>
          <w:bottom w:val="single" w:sz="12" w:space="0" w:color="228B22"/>
        </w:pBdr>
        <w:spacing w:before="280" w:after="80"/>
        <w:rPr/>
      </w:pPr>
      <w:bookmarkStart w:id="72" w:name="__RefHeading___Toc2289_3172332256"/>
      <w:bookmarkStart w:id="73" w:name="soak-timeline"/>
      <w:bookmarkEnd w:id="72"/>
      <w:r>
        <w:rPr>
          <w:rStyle w:val="SectionNumber"/>
          <w:b/>
          <w:color w:val="228B22"/>
          <w:sz w:val="28"/>
        </w:rPr>
        <w:t>7.2</w:t>
      </w:r>
      <w:r>
        <w:rPr>
          <w:b/>
          <w:color w:val="228B22"/>
          <w:sz w:val="28"/>
        </w:rPr>
        <w:tab/>
        <w:t>Soak timeline</w:t>
      </w:r>
    </w:p>
    <w:p>
      <w:pPr>
        <w:pStyle w:val="CaptionedFigure"/>
        <w:rPr/>
      </w:pPr>
      <w:r>
        <w:rPr/>
        <w:drawing>
          <wp:inline distT="0" distB="0" distL="0" distR="0">
            <wp:extent cx="5334000" cy="3333750"/>
            <wp:effectExtent l="0" t="0" r="0" b="0"/>
            <wp:docPr id="6" name="Image3" descr="fig_3_soa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3_soak_timeline.png"/>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fig_3_soak_timeline.png</w:t>
      </w:r>
    </w:p>
    <w:p>
      <w:pPr>
        <w:pStyle w:val="Heading3"/>
        <w:spacing w:before="200" w:after="80"/>
        <w:rPr/>
      </w:pPr>
      <w:bookmarkStart w:id="74" w:name="__RefHeading___Toc2291_3172332256"/>
      <w:bookmarkStart w:id="75" w:name="X645f6758db3a43264b9916347c88c0fd23ae3a0"/>
      <w:bookmarkStart w:id="76" w:name="_Fig_3_BCH_soak_timeline_ov"/>
      <w:bookmarkEnd w:id="74"/>
      <w:r>
        <w:rPr>
          <w:rStyle w:val="SectionNumber"/>
          <w:b/>
          <w:color w:val="404040"/>
          <w:sz w:val="24"/>
        </w:rPr>
        <w:t>7.2.1</w:t>
      </w:r>
      <w:r>
        <w:rPr>
          <w:b/>
          <w:color w:val="404040"/>
          <w:sz w:val="24"/>
        </w:rPr>
        <w:tab/>
        <w:t>Figure 4.1: BCH soak timeline over one million blocks.</w:t>
      </w:r>
      <w:bookmarkEnd w:id="73"/>
      <w:bookmarkEnd w:id="75"/>
      <w:bookmarkEnd w:id="76"/>
      <w:r>
        <w:br w:type="page"/>
      </w:r>
    </w:p>
    <w:p>
      <w:pPr>
        <w:pStyle w:val="Heading2"/>
        <w:pBdr>
          <w:bottom w:val="single" w:sz="12" w:space="0" w:color="228B22"/>
        </w:pBdr>
        <w:spacing w:before="280" w:after="80"/>
        <w:rPr/>
      </w:pPr>
      <w:bookmarkStart w:id="77" w:name="__RefHeading___Toc2293_3172332256"/>
      <w:bookmarkStart w:id="78" w:name="what-31-blks-means"/>
      <w:bookmarkEnd w:id="77"/>
      <w:r>
        <w:rPr>
          <w:rStyle w:val="SectionNumber"/>
          <w:b/>
          <w:color w:val="228B22"/>
          <w:sz w:val="28"/>
        </w:rPr>
        <w:t>7.3</w:t>
      </w:r>
      <w:r>
        <w:rPr>
          <w:b/>
          <w:color w:val="228B22"/>
          <w:sz w:val="28"/>
        </w:rPr>
        <w:tab/>
        <w:t>What 31 blk/s means</w:t>
      </w:r>
    </w:p>
    <w:p>
      <w:pPr>
        <w:pStyle w:val="FirstParagraph"/>
        <w:rPr/>
      </w:pPr>
      <w:bookmarkStart w:id="79" w:name="soak-results"/>
      <w:bookmarkStart w:id="80" w:name="what-31-blks-means"/>
      <w:r>
        <w:rPr>
          <w:sz w:val="20"/>
        </w:rPr>
        <w:t>The codec itself can run at roughly 500k blocks per second at 100 MHz. The soak measured 31 blocks per second because the host poll loop, running over a 115200-baud UART, is the bottleneck. That is not a hardware limit; it is a fixture limit. Any future soak that wants to go deeper or faster should size the host interaction accordingly, or move to a faster host interface, rather than inferring decoder throughput from the soak rate.</w:t>
      </w:r>
      <w:bookmarkEnd w:id="79"/>
      <w:bookmarkEnd w:id="80"/>
      <w:r>
        <w:br w:type="page"/>
      </w:r>
    </w:p>
    <w:p>
      <w:pPr>
        <w:pStyle w:val="Heading1"/>
        <w:shd w:val="clear" w:color="auto" w:fill="404040"/>
        <w:spacing w:before="360" w:after="120"/>
        <w:rPr/>
      </w:pPr>
      <w:bookmarkStart w:id="81" w:name="__RefHeading___Toc2295_3172332256"/>
      <w:bookmarkEnd w:id="81"/>
      <w:r>
        <w:rPr>
          <w:rStyle w:val="SectionNumber"/>
          <w:b/>
          <w:color w:val="FFFFFF"/>
          <w:sz w:val="32"/>
        </w:rPr>
        <w:t>8</w:t>
      </w:r>
      <w:r>
        <w:rPr>
          <w:b/>
          <w:color w:val="FFFFFF"/>
          <w:sz w:val="32"/>
        </w:rPr>
        <w:tab/>
        <w:t>Honest Limits</w:t>
      </w:r>
    </w:p>
    <w:p>
      <w:pPr>
        <w:pStyle w:val="Heading2"/>
        <w:pageBreakBefore w:val="false"/>
        <w:pBdr>
          <w:bottom w:val="single" w:sz="12" w:space="0" w:color="228B22"/>
        </w:pBdr>
        <w:spacing w:before="280" w:after="80"/>
        <w:rPr/>
      </w:pPr>
      <w:bookmarkStart w:id="82" w:name="__RefHeading___Toc2297_3172332256"/>
      <w:bookmarkStart w:id="83" w:name="what-the-board-evidence-does-not-cover"/>
      <w:bookmarkEnd w:id="82"/>
      <w:r>
        <w:rPr>
          <w:rStyle w:val="SectionNumber"/>
          <w:b/>
          <w:color w:val="228B22"/>
          <w:sz w:val="28"/>
        </w:rPr>
        <w:t>8.1</w:t>
      </w:r>
      <w:r>
        <w:rPr>
          <w:b/>
          <w:color w:val="228B22"/>
          <w:sz w:val="28"/>
        </w:rPr>
        <w:tab/>
        <w:t>What the board evidence does not cover</w:t>
      </w:r>
    </w:p>
    <w:p>
      <w:pPr>
        <w:pStyle w:val="Compact"/>
        <w:numPr>
          <w:ilvl w:val="0"/>
          <w:numId w:val="12"/>
        </w:numPr>
        <w:rPr/>
      </w:pPr>
      <w:r>
        <w:rPr/>
        <w:t>The soak is statistical, not exhaustive. One million blocks is large, but it does not visit every possible error pattern.</w:t>
      </w:r>
    </w:p>
    <w:p>
      <w:pPr>
        <w:pStyle w:val="Compact"/>
        <w:numPr>
          <w:ilvl w:val="0"/>
          <w:numId w:val="13"/>
        </w:numPr>
        <w:rPr/>
      </w:pPr>
      <w:r>
        <w:rPr/>
        <w:t>The AXI4 flavour was not run to million-block depth. It refuses large runs because of job-memory capacity, so long soaks belong on AXIS.</w:t>
      </w:r>
    </w:p>
    <w:p>
      <w:pPr>
        <w:pStyle w:val="Compact"/>
        <w:numPr>
          <w:ilvl w:val="0"/>
          <w:numId w:val="14"/>
        </w:numPr>
        <w:rPr/>
      </w:pPr>
      <w:r>
        <w:rPr/>
        <w:t xml:space="preserve">BCH has no erasure path in this harness by design; the injector’s </w:t>
      </w:r>
      <w:r>
        <w:rPr>
          <w:rStyle w:val="VerbatimChar"/>
        </w:rPr>
        <w:t>out_erasure</w:t>
      </w:r>
      <w:r>
        <w:rPr/>
        <w:t xml:space="preserve"> is tied off.</w:t>
      </w:r>
    </w:p>
    <w:p>
      <w:pPr>
        <w:pStyle w:val="Compact"/>
        <w:numPr>
          <w:ilvl w:val="0"/>
          <w:numId w:val="15"/>
        </w:numPr>
        <w:rPr/>
      </w:pPr>
      <w:r>
        <w:rPr/>
        <w:t xml:space="preserve">The board validates only the </w:t>
      </w:r>
      <w:r>
        <w:rPr>
          <w:rStyle w:val="VerbatimChar"/>
        </w:rPr>
        <w:t>BCH(4224,4120) t=8</w:t>
      </w:r>
      <w:r>
        <w:rPr/>
        <w:t xml:space="preserve"> profile. Smaller profiles like </w:t>
      </w:r>
      <w:r>
        <w:rPr>
          <w:rStyle w:val="VerbatimChar"/>
        </w:rPr>
        <w:t>(63,57) t=1</w:t>
      </w:r>
      <w:r>
        <w:rPr/>
        <w:t xml:space="preserve"> are covered in simulation and component DV.</w:t>
      </w:r>
    </w:p>
    <w:p>
      <w:pPr>
        <w:pStyle w:val="Compact"/>
        <w:numPr>
          <w:ilvl w:val="0"/>
          <w:numId w:val="16"/>
        </w:numPr>
        <w:rPr/>
      </w:pPr>
      <w:bookmarkStart w:id="84" w:name="what-the-board-evidence-does-not-cover"/>
      <w:r>
        <w:rPr/>
        <w:t>The component DV matrix exercises the codec in ways the board harness does not replicate.</w:t>
      </w:r>
      <w:bookmarkEnd w:id="84"/>
      <w:r>
        <w:br w:type="page"/>
      </w:r>
    </w:p>
    <w:p>
      <w:pPr>
        <w:pStyle w:val="Heading2"/>
        <w:pBdr>
          <w:bottom w:val="single" w:sz="12" w:space="0" w:color="228B22"/>
        </w:pBdr>
        <w:spacing w:before="280" w:after="80"/>
        <w:rPr/>
      </w:pPr>
      <w:bookmarkStart w:id="85" w:name="__RefHeading___Toc2299_3172332256"/>
      <w:bookmarkEnd w:id="85"/>
      <w:r>
        <w:rPr>
          <w:rStyle w:val="SectionNumber"/>
          <w:b/>
          <w:color w:val="228B22"/>
          <w:sz w:val="28"/>
        </w:rPr>
        <w:t>8.2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86" w:name="_Tab_8_Table_5_1__Traceabil"/>
      <w:r>
        <w:rPr/>
        <w:t>Table 5.1: Traceability from claim to stable artifact.</w:t>
      </w:r>
      <w:bookmarkEnd w:id="86"/>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stable/reports/genesys2_axis/timing_summary.txt</w:t>
            </w:r>
            <w:r>
              <w:rPr>
                <w:rFonts w:eastAsia="Cambria" w:cs=""/>
                <w:kern w:val="0"/>
                <w:sz w:val="24"/>
                <w:szCs w:val="24"/>
                <w:lang w:val="en-US" w:eastAsia="en-US" w:bidi="ar-SA"/>
              </w:rPr>
              <w:t>, WNS +0.586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timing-clean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stable/reports/genesys2_axi4/timing_summary.txt</w:t>
            </w:r>
            <w:r>
              <w:rPr>
                <w:rFonts w:eastAsia="Cambria" w:cs=""/>
                <w:kern w:val="0"/>
                <w:sz w:val="24"/>
                <w:szCs w:val="24"/>
                <w:lang w:val="en-US" w:eastAsia="en-US" w:bidi="ar-SA"/>
              </w:rPr>
              <w:t>, WNS +0.493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million blocks, zero mis-decodes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 over-t blocks all flagged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soak_final.over_t_blocks</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 bits corrected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soak_final.bits_corrected</w:t>
            </w:r>
            <w:r>
              <w:rPr>
                <w:rFonts w:eastAsia="Cambria" w:cs=""/>
                <w:kern w:val="0"/>
                <w:sz w:val="24"/>
                <w:szCs w:val="24"/>
                <w:lang w:val="en-US" w:eastAsia="en-US" w:bidi="ar-SA"/>
              </w:rPr>
              <w:t>.</w:t>
            </w:r>
            <w:bookmarkStart w:id="87" w:name="honest-limits"/>
            <w:bookmarkStart w:id="88" w:name="traceability"/>
            <w:bookmarkEnd w:id="87"/>
            <w:bookmarkEnd w:id="88"/>
          </w:p>
        </w:tc>
      </w:tr>
    </w:tbl>
    <w:sectPr>
      <w:footerReference w:type="even"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ch_axis_loop.dot" TargetMode="External"/><Relationship Id="rId5" Type="http://schemas.openxmlformats.org/officeDocument/2006/relationships/image" Target="media/image3.png"/><Relationship Id="rId6" Type="http://schemas.openxmlformats.org/officeDocument/2006/relationships/hyperlink" Target="../assets/graphviz/02_bch_axi4_loop.dot" TargetMode="External"/><Relationship Id="rId7" Type="http://schemas.openxmlformats.org/officeDocument/2006/relationships/hyperlink" Target="../../bch_uart_harness/ch02_the_harness/03_address_map.md" TargetMode="External"/><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2026-10-20T11:14:18Z</dcterms:created>
  <dc:creator/>
  <dc:description/>
  <dc:language>en-US</dc:language>
  <cp:lastModifiedBy/>
  <dcterms:modified xsi:type="dcterms:W3CDTF">2026-10-20T04:14:22Z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