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9"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Reed-Solomon Board Validation Report Genesys 2 FPGA board evidence</w:t>
      </w:r>
    </w:p>
    <w:p>
      <w:pPr>
        <w:pStyle w:val="Normal"/>
        <w:keepNext w:val="true"/>
        <w:spacing w:before="400" w:after="200"/>
        <w:jc w:val="center"/>
        <w:rPr/>
      </w:pPr>
      <w:r>
        <w:rPr>
          <w:rFonts w:ascii="Calibri" w:hAnsi="Calibri"/>
          <w:b/>
          <w:color w:val="000000"/>
          <w:sz w:val="20"/>
        </w:rPr>
        <w:t>October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319_504502774">
            <w:r>
              <w:rPr>
                <w:webHidden/>
                <w:rStyle w:val="IndexLink"/>
              </w:rPr>
              <w:t>1 Document Information</w:t>
              <w:tab/>
              <w:t>8</w:t>
            </w:r>
          </w:hyperlink>
        </w:p>
        <w:p>
          <w:pPr>
            <w:pStyle w:val="TOC2"/>
            <w:tabs>
              <w:tab w:val="clear" w:pos="9077"/>
              <w:tab w:val="right" w:pos="9359" w:leader="dot"/>
            </w:tabs>
            <w:rPr/>
          </w:pPr>
          <w:hyperlink w:anchor="__RefHeading___Toc3321_504502774">
            <w:r>
              <w:rPr>
                <w:webHidden/>
                <w:rStyle w:val="IndexLink"/>
              </w:rPr>
              <w:t>1.1 Revision History</w:t>
              <w:tab/>
              <w:t>8</w:t>
            </w:r>
          </w:hyperlink>
        </w:p>
        <w:p>
          <w:pPr>
            <w:pStyle w:val="TOC2"/>
            <w:tabs>
              <w:tab w:val="clear" w:pos="9077"/>
              <w:tab w:val="right" w:pos="9359" w:leader="dot"/>
            </w:tabs>
            <w:rPr/>
          </w:pPr>
          <w:hyperlink w:anchor="__RefHeading___Toc3323_504502774">
            <w:r>
              <w:rPr>
                <w:webHidden/>
                <w:rStyle w:val="IndexLink"/>
              </w:rPr>
              <w:t>1.2 Scope</w:t>
              <w:tab/>
              <w:t>9</w:t>
            </w:r>
          </w:hyperlink>
        </w:p>
        <w:p>
          <w:pPr>
            <w:pStyle w:val="TOC2"/>
            <w:tabs>
              <w:tab w:val="clear" w:pos="9077"/>
              <w:tab w:val="right" w:pos="9359" w:leader="dot"/>
            </w:tabs>
            <w:rPr/>
          </w:pPr>
          <w:hyperlink w:anchor="__RefHeading___Toc3325_504502774">
            <w:r>
              <w:rPr>
                <w:webHidden/>
                <w:rStyle w:val="IndexLink"/>
              </w:rPr>
              <w:t>1.3 Provenance</w:t>
              <w:tab/>
              <w:t>10</w:t>
            </w:r>
          </w:hyperlink>
        </w:p>
        <w:p>
          <w:pPr>
            <w:pStyle w:val="TOC1"/>
            <w:tabs>
              <w:tab w:val="clear" w:pos="9360"/>
              <w:tab w:val="right" w:pos="9359" w:leader="dot"/>
            </w:tabs>
            <w:rPr/>
          </w:pPr>
          <w:hyperlink w:anchor="__RefHeading___Toc3327_504502774">
            <w:r>
              <w:rPr>
                <w:webHidden/>
                <w:rStyle w:val="IndexLink"/>
              </w:rPr>
              <w:t>2 Scope and Claims</w:t>
              <w:tab/>
              <w:t>11</w:t>
            </w:r>
          </w:hyperlink>
        </w:p>
        <w:p>
          <w:pPr>
            <w:pStyle w:val="TOC2"/>
            <w:tabs>
              <w:tab w:val="clear" w:pos="9077"/>
              <w:tab w:val="right" w:pos="9359" w:leader="dot"/>
            </w:tabs>
            <w:rPr/>
          </w:pPr>
          <w:hyperlink w:anchor="__RefHeading___Toc3329_504502774">
            <w:r>
              <w:rPr>
                <w:webHidden/>
                <w:rStyle w:val="IndexLink"/>
              </w:rPr>
              <w:t>2.1 What this book is</w:t>
              <w:tab/>
              <w:t>11</w:t>
            </w:r>
          </w:hyperlink>
        </w:p>
        <w:p>
          <w:pPr>
            <w:pStyle w:val="TOC2"/>
            <w:tabs>
              <w:tab w:val="clear" w:pos="9077"/>
              <w:tab w:val="right" w:pos="9359" w:leader="dot"/>
            </w:tabs>
            <w:rPr/>
          </w:pPr>
          <w:hyperlink w:anchor="__RefHeading___Toc3331_504502774">
            <w:r>
              <w:rPr>
                <w:webHidden/>
                <w:rStyle w:val="IndexLink"/>
              </w:rPr>
              <w:t>2.2 What is claimed</w:t>
              <w:tab/>
              <w:t>12</w:t>
            </w:r>
          </w:hyperlink>
        </w:p>
        <w:p>
          <w:pPr>
            <w:pStyle w:val="TOC2"/>
            <w:tabs>
              <w:tab w:val="clear" w:pos="9077"/>
              <w:tab w:val="right" w:pos="9359" w:leader="dot"/>
            </w:tabs>
            <w:rPr/>
          </w:pPr>
          <w:hyperlink w:anchor="__RefHeading___Toc3333_504502774">
            <w:r>
              <w:rPr>
                <w:webHidden/>
                <w:rStyle w:val="IndexLink"/>
              </w:rPr>
              <w:t>2.3 What is not claimed</w:t>
              <w:tab/>
              <w:t>13</w:t>
            </w:r>
          </w:hyperlink>
        </w:p>
        <w:p>
          <w:pPr>
            <w:pStyle w:val="TOC1"/>
            <w:tabs>
              <w:tab w:val="clear" w:pos="9360"/>
              <w:tab w:val="right" w:pos="9359" w:leader="dot"/>
            </w:tabs>
            <w:rPr/>
          </w:pPr>
          <w:hyperlink w:anchor="__RefHeading___Toc3335_504502774">
            <w:r>
              <w:rPr>
                <w:webHidden/>
                <w:rStyle w:val="IndexLink"/>
              </w:rPr>
              <w:t>3 Images and Codec Profile</w:t>
              <w:tab/>
              <w:t>14</w:t>
            </w:r>
          </w:hyperlink>
        </w:p>
        <w:p>
          <w:pPr>
            <w:pStyle w:val="TOC2"/>
            <w:tabs>
              <w:tab w:val="clear" w:pos="9077"/>
              <w:tab w:val="right" w:pos="9359" w:leader="dot"/>
            </w:tabs>
            <w:rPr/>
          </w:pPr>
          <w:hyperlink w:anchor="__RefHeading___Toc3337_504502774">
            <w:r>
              <w:rPr>
                <w:webHidden/>
                <w:rStyle w:val="IndexLink"/>
              </w:rPr>
              <w:t>3.1 Image matrix</w:t>
              <w:tab/>
              <w:t>14</w:t>
            </w:r>
          </w:hyperlink>
        </w:p>
        <w:p>
          <w:pPr>
            <w:pStyle w:val="TOC2"/>
            <w:tabs>
              <w:tab w:val="clear" w:pos="9077"/>
              <w:tab w:val="right" w:pos="9359" w:leader="dot"/>
            </w:tabs>
            <w:rPr/>
          </w:pPr>
          <w:hyperlink w:anchor="__RefHeading___Toc3339_504502774">
            <w:r>
              <w:rPr>
                <w:webHidden/>
                <w:rStyle w:val="IndexLink"/>
              </w:rPr>
              <w:t>3.2 Codec profile</w:t>
              <w:tab/>
              <w:t>15</w:t>
            </w:r>
          </w:hyperlink>
        </w:p>
        <w:p>
          <w:pPr>
            <w:pStyle w:val="TOC1"/>
            <w:tabs>
              <w:tab w:val="clear" w:pos="9360"/>
              <w:tab w:val="right" w:pos="9359" w:leader="dot"/>
            </w:tabs>
            <w:rPr/>
          </w:pPr>
          <w:hyperlink w:anchor="__RefHeading___Toc3341_504502774">
            <w:r>
              <w:rPr>
                <w:webHidden/>
                <w:rStyle w:val="IndexLink"/>
              </w:rPr>
              <w:t>4 Harness Architecture</w:t>
              <w:tab/>
              <w:t>16</w:t>
            </w:r>
          </w:hyperlink>
        </w:p>
        <w:p>
          <w:pPr>
            <w:pStyle w:val="TOC2"/>
            <w:tabs>
              <w:tab w:val="clear" w:pos="9077"/>
              <w:tab w:val="right" w:pos="9359" w:leader="dot"/>
            </w:tabs>
            <w:rPr/>
          </w:pPr>
          <w:hyperlink w:anchor="__RefHeading___Toc3343_504502774">
            <w:r>
              <w:rPr>
                <w:webHidden/>
                <w:rStyle w:val="IndexLink"/>
              </w:rPr>
              <w:t>4.1 RTL inventory</w:t>
              <w:tab/>
              <w:t>16</w:t>
            </w:r>
          </w:hyperlink>
        </w:p>
        <w:p>
          <w:pPr>
            <w:pStyle w:val="TOC2"/>
            <w:tabs>
              <w:tab w:val="clear" w:pos="9077"/>
              <w:tab w:val="right" w:pos="9359" w:leader="dot"/>
            </w:tabs>
            <w:rPr/>
          </w:pPr>
          <w:hyperlink w:anchor="__RefHeading___Toc3345_504502774">
            <w:r>
              <w:rPr>
                <w:webHidden/>
                <w:rStyle w:val="IndexLink"/>
              </w:rPr>
              <w:t>4.2 Host and build inventory</w:t>
              <w:tab/>
              <w:t>18</w:t>
            </w:r>
          </w:hyperlink>
        </w:p>
        <w:p>
          <w:pPr>
            <w:pStyle w:val="TOC2"/>
            <w:tabs>
              <w:tab w:val="clear" w:pos="9077"/>
              <w:tab w:val="right" w:pos="9359" w:leader="dot"/>
            </w:tabs>
            <w:rPr/>
          </w:pPr>
          <w:hyperlink w:anchor="__RefHeading___Toc3347_504502774">
            <w:r>
              <w:rPr>
                <w:webHidden/>
                <w:rStyle w:val="IndexLink"/>
              </w:rPr>
              <w:t>4.3 Datapath diagram</w:t>
              <w:tab/>
              <w:t>19</w:t>
            </w:r>
          </w:hyperlink>
        </w:p>
        <w:p>
          <w:pPr>
            <w:pStyle w:val="TOC3"/>
            <w:tabs>
              <w:tab w:val="clear" w:pos="8793"/>
              <w:tab w:val="right" w:pos="9359" w:leader="dot"/>
            </w:tabs>
            <w:rPr/>
          </w:pPr>
          <w:hyperlink w:anchor="__RefHeading___Toc3349_504502774">
            <w:r>
              <w:rPr>
                <w:webHidden/>
                <w:rStyle w:val="IndexLink"/>
              </w:rPr>
              <w:t>4.3.1 Figure 2.1: Reed-Solomon AXIS datapath and register path.</w:t>
              <w:tab/>
              <w:t>19</w:t>
            </w:r>
          </w:hyperlink>
        </w:p>
        <w:p>
          <w:pPr>
            <w:pStyle w:val="TOC2"/>
            <w:tabs>
              <w:tab w:val="clear" w:pos="9077"/>
              <w:tab w:val="right" w:pos="9359" w:leader="dot"/>
            </w:tabs>
            <w:rPr/>
          </w:pPr>
          <w:hyperlink w:anchor="__RefHeading___Toc3351_504502774">
            <w:r>
              <w:rPr>
                <w:webHidden/>
                <w:rStyle w:val="IndexLink"/>
              </w:rPr>
              <w:t>4.4 Register path, clock, and reset</w:t>
              <w:tab/>
              <w:t>20</w:t>
            </w:r>
          </w:hyperlink>
        </w:p>
        <w:p>
          <w:pPr>
            <w:pStyle w:val="TOC1"/>
            <w:tabs>
              <w:tab w:val="clear" w:pos="9360"/>
              <w:tab w:val="right" w:pos="9359" w:leader="dot"/>
            </w:tabs>
            <w:rPr/>
          </w:pPr>
          <w:hyperlink w:anchor="__RefHeading___Toc3353_504502774">
            <w:r>
              <w:rPr>
                <w:webHidden/>
                <w:rStyle w:val="IndexLink"/>
              </w:rPr>
              <w:t>5 Campaigns and the Oracle Argument</w:t>
              <w:tab/>
              <w:t>21</w:t>
            </w:r>
          </w:hyperlink>
        </w:p>
        <w:p>
          <w:pPr>
            <w:pStyle w:val="TOC2"/>
            <w:tabs>
              <w:tab w:val="clear" w:pos="9077"/>
              <w:tab w:val="right" w:pos="9359" w:leader="dot"/>
            </w:tabs>
            <w:rPr/>
          </w:pPr>
          <w:hyperlink w:anchor="__RefHeading___Toc3355_504502774">
            <w:r>
              <w:rPr>
                <w:webHidden/>
                <w:rStyle w:val="IndexLink"/>
              </w:rPr>
              <w:t>5.1 Campaign inventory</w:t>
              <w:tab/>
              <w:t>21</w:t>
            </w:r>
          </w:hyperlink>
        </w:p>
        <w:p>
          <w:pPr>
            <w:pStyle w:val="TOC2"/>
            <w:tabs>
              <w:tab w:val="clear" w:pos="9077"/>
              <w:tab w:val="right" w:pos="9359" w:leader="dot"/>
            </w:tabs>
            <w:rPr/>
          </w:pPr>
          <w:hyperlink w:anchor="__RefHeading___Toc3357_504502774">
            <w:r>
              <w:rPr>
                <w:webHidden/>
                <w:rStyle w:val="IndexLink"/>
              </w:rPr>
              <w:t>5.2 Determinism and cross-solver agreement</w:t>
              <w:tab/>
              <w:t>22</w:t>
            </w:r>
          </w:hyperlink>
        </w:p>
        <w:p>
          <w:pPr>
            <w:pStyle w:val="TOC2"/>
            <w:tabs>
              <w:tab w:val="clear" w:pos="9077"/>
              <w:tab w:val="right" w:pos="9359" w:leader="dot"/>
            </w:tabs>
            <w:rPr/>
          </w:pPr>
          <w:hyperlink w:anchor="__RefHeading___Toc3359_504502774">
            <w:r>
              <w:rPr>
                <w:webHidden/>
                <w:rStyle w:val="IndexLink"/>
              </w:rPr>
              <w:t>5.3 The dual-solver loop as oracle</w:t>
              <w:tab/>
              <w:t>23</w:t>
            </w:r>
          </w:hyperlink>
        </w:p>
        <w:p>
          <w:pPr>
            <w:pStyle w:val="TOC1"/>
            <w:tabs>
              <w:tab w:val="clear" w:pos="9360"/>
              <w:tab w:val="right" w:pos="9359" w:leader="dot"/>
            </w:tabs>
            <w:rPr/>
          </w:pPr>
          <w:hyperlink w:anchor="__RefHeading___Toc3361_504502774">
            <w:r>
              <w:rPr>
                <w:webHidden/>
                <w:rStyle w:val="IndexLink"/>
              </w:rPr>
              <w:t>6 Testing Choices</w:t>
              <w:tab/>
              <w:t>24</w:t>
            </w:r>
          </w:hyperlink>
        </w:p>
        <w:p>
          <w:pPr>
            <w:pStyle w:val="TOC2"/>
            <w:tabs>
              <w:tab w:val="clear" w:pos="9077"/>
              <w:tab w:val="right" w:pos="9359" w:leader="dot"/>
            </w:tabs>
            <w:rPr/>
          </w:pPr>
          <w:hyperlink w:anchor="__RefHeading___Toc3363_504502774">
            <w:r>
              <w:rPr>
                <w:webHidden/>
                <w:rStyle w:val="IndexLink"/>
              </w:rPr>
              <w:t>6.1 Injector modes mapped to failure mechanisms</w:t>
              <w:tab/>
              <w:t>24</w:t>
            </w:r>
          </w:hyperlink>
        </w:p>
        <w:p>
          <w:pPr>
            <w:pStyle w:val="TOC2"/>
            <w:tabs>
              <w:tab w:val="clear" w:pos="9077"/>
              <w:tab w:val="right" w:pos="9359" w:leader="dot"/>
            </w:tabs>
            <w:rPr/>
          </w:pPr>
          <w:hyperlink w:anchor="__RefHeading___Toc3365_504502774">
            <w:r>
              <w:rPr>
                <w:webHidden/>
                <w:rStyle w:val="IndexLink"/>
              </w:rPr>
              <w:t>6.2 Post-encoder injection protects parity symbols</w:t>
              <w:tab/>
              <w:t>25</w:t>
            </w:r>
          </w:hyperlink>
        </w:p>
        <w:p>
          <w:pPr>
            <w:pStyle w:val="TOC2"/>
            <w:tabs>
              <w:tab w:val="clear" w:pos="9077"/>
              <w:tab w:val="right" w:pos="9359" w:leader="dot"/>
            </w:tabs>
            <w:rPr/>
          </w:pPr>
          <w:hyperlink w:anchor="__RefHeading___Toc3367_504502774">
            <w:r>
              <w:rPr>
                <w:webHidden/>
                <w:rStyle w:val="IndexLink"/>
              </w:rPr>
              <w:t>6.3 UART and the safety pair</w:t>
              <w:tab/>
              <w:t>26</w:t>
            </w:r>
          </w:hyperlink>
        </w:p>
        <w:p>
          <w:pPr>
            <w:pStyle w:val="TOC2"/>
            <w:tabs>
              <w:tab w:val="clear" w:pos="9077"/>
              <w:tab w:val="right" w:pos="9359" w:leader="dot"/>
            </w:tabs>
            <w:rPr/>
          </w:pPr>
          <w:hyperlink w:anchor="__RefHeading___Toc3369_504502774">
            <w:r>
              <w:rPr>
                <w:webHidden/>
                <w:rStyle w:val="IndexLink"/>
              </w:rPr>
              <w:t>6.4 Genesys 2 vs Nexys A7</w:t>
              <w:tab/>
              <w:t>27</w:t>
            </w:r>
          </w:hyperlink>
        </w:p>
        <w:p>
          <w:pPr>
            <w:pStyle w:val="TOC2"/>
            <w:tabs>
              <w:tab w:val="clear" w:pos="9077"/>
              <w:tab w:val="right" w:pos="9359" w:leader="dot"/>
            </w:tabs>
            <w:rPr/>
          </w:pPr>
          <w:hyperlink w:anchor="__RefHeading___Toc3371_504502774">
            <w:r>
              <w:rPr>
                <w:webHidden/>
                <w:rStyle w:val="IndexLink"/>
              </w:rPr>
              <w:t>6.5 AXIS and AXI4 flavors cover both integration styles</w:t>
              <w:tab/>
              <w:t>28</w:t>
            </w:r>
          </w:hyperlink>
        </w:p>
        <w:p>
          <w:pPr>
            <w:pStyle w:val="TOC2"/>
            <w:tabs>
              <w:tab w:val="clear" w:pos="9077"/>
              <w:tab w:val="right" w:pos="9359" w:leader="dot"/>
            </w:tabs>
            <w:rPr/>
          </w:pPr>
          <w:hyperlink w:anchor="__RefHeading___Toc3373_504502774">
            <w:r>
              <w:rPr>
                <w:webHidden/>
                <w:rStyle w:val="IndexLink"/>
              </w:rPr>
              <w:t>6.6 Deliberately not board-tested</w:t>
              <w:tab/>
              <w:t>29</w:t>
            </w:r>
          </w:hyperlink>
        </w:p>
        <w:p>
          <w:pPr>
            <w:pStyle w:val="TOC1"/>
            <w:tabs>
              <w:tab w:val="clear" w:pos="9360"/>
              <w:tab w:val="right" w:pos="9359" w:leader="dot"/>
            </w:tabs>
            <w:rPr/>
          </w:pPr>
          <w:hyperlink w:anchor="__RefHeading___Toc3375_504502774">
            <w:r>
              <w:rPr>
                <w:webHidden/>
                <w:rStyle w:val="IndexLink"/>
              </w:rPr>
              <w:t>7 Erasure Campaign</w:t>
              <w:tab/>
              <w:t>30</w:t>
            </w:r>
          </w:hyperlink>
        </w:p>
        <w:p>
          <w:pPr>
            <w:pStyle w:val="TOC2"/>
            <w:tabs>
              <w:tab w:val="clear" w:pos="9077"/>
              <w:tab w:val="right" w:pos="9359" w:leader="dot"/>
            </w:tabs>
            <w:rPr/>
          </w:pPr>
          <w:hyperlink w:anchor="__RefHeading___Toc3377_504502774">
            <w:r>
              <w:rPr>
                <w:webHidden/>
                <w:rStyle w:val="IndexLink"/>
              </w:rPr>
              <w:t>7.1 What erasure decoding adds</w:t>
              <w:tab/>
              <w:t>30</w:t>
            </w:r>
          </w:hyperlink>
        </w:p>
        <w:p>
          <w:pPr>
            <w:pStyle w:val="TOC2"/>
            <w:tabs>
              <w:tab w:val="clear" w:pos="9077"/>
              <w:tab w:val="right" w:pos="9359" w:leader="dot"/>
            </w:tabs>
            <w:rPr/>
          </w:pPr>
          <w:hyperlink w:anchor="__RefHeading___Toc3379_504502774">
            <w:r>
              <w:rPr>
                <w:webHidden/>
                <w:rStyle w:val="IndexLink"/>
              </w:rPr>
              <w:t>7.2 Board findings</w:t>
              <w:tab/>
              <w:t>31</w:t>
            </w:r>
          </w:hyperlink>
        </w:p>
        <w:p>
          <w:pPr>
            <w:pStyle w:val="TOC2"/>
            <w:tabs>
              <w:tab w:val="clear" w:pos="9077"/>
              <w:tab w:val="right" w:pos="9359" w:leader="dot"/>
            </w:tabs>
            <w:rPr/>
          </w:pPr>
          <w:hyperlink w:anchor="__RefHeading___Toc3381_504502774">
            <w:r>
              <w:rPr>
                <w:webHidden/>
                <w:rStyle w:val="IndexLink"/>
              </w:rPr>
              <w:t>7.3 TASK-005 boundary</w:t>
              <w:tab/>
              <w:t>32</w:t>
            </w:r>
          </w:hyperlink>
        </w:p>
        <w:p>
          <w:pPr>
            <w:pStyle w:val="TOC1"/>
            <w:tabs>
              <w:tab w:val="clear" w:pos="9360"/>
              <w:tab w:val="right" w:pos="9359" w:leader="dot"/>
            </w:tabs>
            <w:rPr/>
          </w:pPr>
          <w:hyperlink w:anchor="__RefHeading___Toc3383_504502774">
            <w:r>
              <w:rPr>
                <w:webHidden/>
                <w:rStyle w:val="IndexLink"/>
              </w:rPr>
              <w:t>8 Battery Results</w:t>
              <w:tab/>
              <w:t>33</w:t>
            </w:r>
          </w:hyperlink>
        </w:p>
        <w:p>
          <w:pPr>
            <w:pStyle w:val="TOC2"/>
            <w:tabs>
              <w:tab w:val="clear" w:pos="9077"/>
              <w:tab w:val="right" w:pos="9359" w:leader="dot"/>
            </w:tabs>
            <w:rPr/>
          </w:pPr>
          <w:hyperlink w:anchor="__RefHeading___Toc3385_504502774">
            <w:r>
              <w:rPr>
                <w:webHidden/>
                <w:rStyle w:val="IndexLink"/>
              </w:rPr>
              <w:t>8.1 Per-image campaign status</w:t>
              <w:tab/>
              <w:t>33</w:t>
            </w:r>
          </w:hyperlink>
        </w:p>
        <w:p>
          <w:pPr>
            <w:pStyle w:val="TOC2"/>
            <w:tabs>
              <w:tab w:val="clear" w:pos="9077"/>
              <w:tab w:val="right" w:pos="9359" w:leader="dot"/>
            </w:tabs>
            <w:rPr/>
          </w:pPr>
          <w:hyperlink w:anchor="__RefHeading___Toc3387_504502774">
            <w:r>
              <w:rPr>
                <w:webHidden/>
                <w:rStyle w:val="IndexLink"/>
              </w:rPr>
              <w:t>8.2 Correction boundary</w:t>
              <w:tab/>
              <w:t>34</w:t>
            </w:r>
          </w:hyperlink>
        </w:p>
        <w:p>
          <w:pPr>
            <w:pStyle w:val="TOC3"/>
            <w:tabs>
              <w:tab w:val="clear" w:pos="8793"/>
              <w:tab w:val="right" w:pos="9359" w:leader="dot"/>
            </w:tabs>
            <w:rPr/>
          </w:pPr>
          <w:hyperlink w:anchor="__RefHeading___Toc3389_504502774">
            <w:r>
              <w:rPr>
                <w:webHidden/>
                <w:rStyle w:val="IndexLink"/>
              </w:rPr>
              <w:t>8.2.1 Figure 4.1: Reed-Solomon correction boundary across all four images.</w:t>
              <w:tab/>
              <w:t>34</w:t>
            </w:r>
          </w:hyperlink>
        </w:p>
        <w:p>
          <w:pPr>
            <w:pStyle w:val="TOC2"/>
            <w:tabs>
              <w:tab w:val="clear" w:pos="9077"/>
              <w:tab w:val="right" w:pos="9359" w:leader="dot"/>
            </w:tabs>
            <w:rPr/>
          </w:pPr>
          <w:hyperlink w:anchor="__RefHeading___Toc3391_504502774">
            <w:r>
              <w:rPr>
                <w:webHidden/>
                <w:rStyle w:val="IndexLink"/>
              </w:rPr>
              <w:t>8.3 Decode cost</w:t>
              <w:tab/>
              <w:t>35</w:t>
            </w:r>
          </w:hyperlink>
        </w:p>
        <w:p>
          <w:pPr>
            <w:pStyle w:val="TOC3"/>
            <w:tabs>
              <w:tab w:val="clear" w:pos="8793"/>
              <w:tab w:val="right" w:pos="9359" w:leader="dot"/>
            </w:tabs>
            <w:rPr/>
          </w:pPr>
          <w:hyperlink w:anchor="__RefHeading___Toc3393_504502774">
            <w:r>
              <w:rPr>
                <w:webHidden/>
                <w:rStyle w:val="IndexLink"/>
              </w:rPr>
              <w:t>8.3.1 Figure 4.2: Reed-Solomon decode cost across all four images.</w:t>
              <w:tab/>
              <w:t>35</w:t>
            </w:r>
          </w:hyperlink>
        </w:p>
        <w:p>
          <w:pPr>
            <w:pStyle w:val="TOC2"/>
            <w:tabs>
              <w:tab w:val="clear" w:pos="9077"/>
              <w:tab w:val="right" w:pos="9359" w:leader="dot"/>
            </w:tabs>
            <w:rPr/>
          </w:pPr>
          <w:hyperlink w:anchor="__RefHeading___Toc3395_504502774">
            <w:r>
              <w:rPr>
                <w:webHidden/>
                <w:rStyle w:val="IndexLink"/>
              </w:rPr>
              <w:t>8.4 Sweep verdict table</w:t>
              <w:tab/>
              <w:t>36</w:t>
            </w:r>
          </w:hyperlink>
        </w:p>
        <w:p>
          <w:pPr>
            <w:pStyle w:val="TOC2"/>
            <w:tabs>
              <w:tab w:val="clear" w:pos="9077"/>
              <w:tab w:val="right" w:pos="9359" w:leader="dot"/>
            </w:tabs>
            <w:rPr/>
          </w:pPr>
          <w:hyperlink w:anchor="__RefHeading___Toc3397_504502774">
            <w:r>
              <w:rPr>
                <w:webHidden/>
                <w:rStyle w:val="IndexLink"/>
              </w:rPr>
              <w:t>8.5 Solver agreement</w:t>
              <w:tab/>
              <w:t>38</w:t>
            </w:r>
          </w:hyperlink>
        </w:p>
        <w:p>
          <w:pPr>
            <w:pStyle w:val="TOC3"/>
            <w:tabs>
              <w:tab w:val="clear" w:pos="8793"/>
              <w:tab w:val="right" w:pos="9359" w:leader="dot"/>
            </w:tabs>
            <w:rPr/>
          </w:pPr>
          <w:hyperlink w:anchor="__RefHeading___Toc3399_504502774">
            <w:r>
              <w:rPr>
                <w:webHidden/>
                <w:rStyle w:val="IndexLink"/>
              </w:rPr>
              <w:t>8.5.1 Figure 4.3: Reed-Solomon solver agreement matrix (riBM vs Euclid).</w:t>
              <w:tab/>
              <w:t>38</w:t>
            </w:r>
          </w:hyperlink>
        </w:p>
        <w:p>
          <w:pPr>
            <w:pStyle w:val="TOC1"/>
            <w:tabs>
              <w:tab w:val="clear" w:pos="9360"/>
              <w:tab w:val="right" w:pos="9359" w:leader="dot"/>
            </w:tabs>
            <w:rPr/>
          </w:pPr>
          <w:hyperlink w:anchor="__RefHeading___Toc3401_504502774">
            <w:r>
              <w:rPr>
                <w:webHidden/>
                <w:rStyle w:val="IndexLink"/>
              </w:rPr>
              <w:t>9 Soak Results</w:t>
              <w:tab/>
              <w:t>39</w:t>
            </w:r>
          </w:hyperlink>
        </w:p>
        <w:p>
          <w:pPr>
            <w:pStyle w:val="TOC2"/>
            <w:tabs>
              <w:tab w:val="clear" w:pos="9077"/>
              <w:tab w:val="right" w:pos="9359" w:leader="dot"/>
            </w:tabs>
            <w:rPr/>
          </w:pPr>
          <w:hyperlink w:anchor="__RefHeading___Toc3403_504502774">
            <w:r>
              <w:rPr>
                <w:webHidden/>
                <w:rStyle w:val="IndexLink"/>
              </w:rPr>
              <w:t>9.1 One million blocks on the AXI4 image</w:t>
              <w:tab/>
              <w:t>39</w:t>
            </w:r>
          </w:hyperlink>
        </w:p>
        <w:p>
          <w:pPr>
            <w:pStyle w:val="TOC2"/>
            <w:tabs>
              <w:tab w:val="clear" w:pos="9077"/>
              <w:tab w:val="right" w:pos="9359" w:leader="dot"/>
            </w:tabs>
            <w:rPr/>
          </w:pPr>
          <w:hyperlink w:anchor="__RefHeading___Toc3405_504502774">
            <w:r>
              <w:rPr>
                <w:webHidden/>
                <w:rStyle w:val="IndexLink"/>
              </w:rPr>
              <w:t>9.2 Mis-decodes versus the model</w:t>
              <w:tab/>
              <w:t>40</w:t>
            </w:r>
          </w:hyperlink>
        </w:p>
        <w:p>
          <w:pPr>
            <w:pStyle w:val="TOC2"/>
            <w:tabs>
              <w:tab w:val="clear" w:pos="9077"/>
              <w:tab w:val="right" w:pos="9359" w:leader="dot"/>
            </w:tabs>
            <w:rPr/>
          </w:pPr>
          <w:hyperlink w:anchor="__RefHeading___Toc3407_504502774">
            <w:r>
              <w:rPr>
                <w:webHidden/>
                <w:rStyle w:val="IndexLink"/>
              </w:rPr>
              <w:t>9.3 Soak timeline</w:t>
              <w:tab/>
              <w:t>41</w:t>
            </w:r>
          </w:hyperlink>
        </w:p>
        <w:p>
          <w:pPr>
            <w:pStyle w:val="TOC3"/>
            <w:tabs>
              <w:tab w:val="clear" w:pos="8793"/>
              <w:tab w:val="right" w:pos="9359" w:leader="dot"/>
            </w:tabs>
            <w:rPr/>
          </w:pPr>
          <w:hyperlink w:anchor="__RefHeading___Toc3409_504502774">
            <w:r>
              <w:rPr>
                <w:webHidden/>
                <w:rStyle w:val="IndexLink"/>
              </w:rPr>
              <w:t>9.3.1 Figure 4.4: RS soak timeline over one million blocks.</w:t>
              <w:tab/>
              <w:t>41</w:t>
            </w:r>
          </w:hyperlink>
        </w:p>
        <w:p>
          <w:pPr>
            <w:pStyle w:val="TOC2"/>
            <w:tabs>
              <w:tab w:val="clear" w:pos="9077"/>
              <w:tab w:val="right" w:pos="9359" w:leader="dot"/>
            </w:tabs>
            <w:rPr/>
          </w:pPr>
          <w:hyperlink w:anchor="__RefHeading___Toc3411_504502774">
            <w:r>
              <w:rPr>
                <w:webHidden/>
                <w:rStyle w:val="IndexLink"/>
              </w:rPr>
              <w:t>9.4 What 29 blk/s means</w:t>
              <w:tab/>
              <w:t>42</w:t>
            </w:r>
          </w:hyperlink>
        </w:p>
        <w:p>
          <w:pPr>
            <w:pStyle w:val="TOC2"/>
            <w:tabs>
              <w:tab w:val="clear" w:pos="9077"/>
              <w:tab w:val="right" w:pos="9359" w:leader="dot"/>
            </w:tabs>
            <w:rPr/>
          </w:pPr>
          <w:hyperlink w:anchor="__RefHeading___Toc3413_504502774">
            <w:r>
              <w:rPr>
                <w:webHidden/>
                <w:rStyle w:val="IndexLink"/>
              </w:rPr>
              <w:t>9.5 Image notes</w:t>
              <w:tab/>
              <w:t>43</w:t>
            </w:r>
          </w:hyperlink>
        </w:p>
        <w:p>
          <w:pPr>
            <w:pStyle w:val="TOC1"/>
            <w:tabs>
              <w:tab w:val="clear" w:pos="9360"/>
              <w:tab w:val="right" w:pos="9359" w:leader="dot"/>
            </w:tabs>
            <w:rPr/>
          </w:pPr>
          <w:hyperlink w:anchor="__RefHeading___Toc3415_504502774">
            <w:r>
              <w:rPr>
                <w:webHidden/>
                <w:rStyle w:val="IndexLink"/>
              </w:rPr>
              <w:t>10 Honest Limits</w:t>
              <w:tab/>
              <w:t>44</w:t>
            </w:r>
          </w:hyperlink>
        </w:p>
        <w:p>
          <w:pPr>
            <w:pStyle w:val="TOC2"/>
            <w:tabs>
              <w:tab w:val="clear" w:pos="9077"/>
              <w:tab w:val="right" w:pos="9359" w:leader="dot"/>
            </w:tabs>
            <w:rPr/>
          </w:pPr>
          <w:hyperlink w:anchor="__RefHeading___Toc3417_504502774">
            <w:r>
              <w:rPr>
                <w:webHidden/>
                <w:rStyle w:val="IndexLink"/>
              </w:rPr>
              <w:t>10.1 What the board evidence does not cover</w:t>
              <w:tab/>
              <w:t>44</w:t>
            </w:r>
          </w:hyperlink>
        </w:p>
        <w:p>
          <w:pPr>
            <w:pStyle w:val="TOC2"/>
            <w:tabs>
              <w:tab w:val="clear" w:pos="9077"/>
              <w:tab w:val="right" w:pos="9359" w:leader="dot"/>
            </w:tabs>
            <w:rPr/>
          </w:pPr>
          <w:hyperlink w:anchor="__RefHeading___Toc3419_504502774">
            <w:r>
              <w:rPr>
                <w:webHidden/>
                <w:rStyle w:val="IndexLink"/>
              </w:rPr>
              <w:t>10.2 Traceability</w:t>
              <w:tab/>
              <w:t>45</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eed_Solomon_AXIS_da">
        <w:r>
          <w:rPr>
            <w:rStyle w:val="ListLabel1"/>
            <w:color w:val="000000"/>
            <w:sz w:val="24"/>
          </w:rPr>
          <w:t>Figure 2.1: Reed-Solomon AXIS datapath and register path.</w:t>
        </w:r>
        <w:r>
          <w:rPr>
            <w:rStyle w:val="ListLabel1"/>
          </w:rPr>
          <w:tab/>
        </w:r>
        <w:r>
          <w:rPr>
            <w:rStyle w:val="ListLabel1"/>
          </w:rPr>
          <w:fldChar w:fldCharType="begin"/>
        </w:r>
        <w:r>
          <w:rPr>
            <w:rStyle w:val="ListLabel1"/>
          </w:rPr>
          <w:instrText xml:space="preserve"> PAGEREF _Fig_1_Reed_Solomon_AXIS_da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Fig_2_Reed_Solomon_correct">
        <w:r>
          <w:rPr>
            <w:rStyle w:val="ListLabel1"/>
            <w:color w:val="000000"/>
            <w:sz w:val="24"/>
          </w:rPr>
          <w:t>Figure 4.1: Reed-Solomon correction boundary across all four images.</w:t>
        </w:r>
        <w:r>
          <w:rPr>
            <w:rStyle w:val="ListLabel1"/>
          </w:rPr>
          <w:tab/>
        </w:r>
        <w:r>
          <w:rPr>
            <w:rStyle w:val="ListLabel1"/>
          </w:rPr>
          <w:fldChar w:fldCharType="begin"/>
        </w:r>
        <w:r>
          <w:rPr>
            <w:rStyle w:val="ListLabel1"/>
          </w:rPr>
          <w:instrText xml:space="preserve"> PAGEREF _Fig_2_Reed_Solomon_correct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Fig_3_Reed_Solomon_decode_">
        <w:r>
          <w:rPr>
            <w:rStyle w:val="ListLabel1"/>
            <w:color w:val="000000"/>
            <w:sz w:val="24"/>
          </w:rPr>
          <w:t>Figure 4.2: Reed-Solomon decode cost across all four images.</w:t>
        </w:r>
        <w:r>
          <w:rPr>
            <w:rStyle w:val="ListLabel1"/>
          </w:rPr>
          <w:tab/>
        </w:r>
        <w:r>
          <w:rPr>
            <w:rStyle w:val="ListLabel1"/>
          </w:rPr>
          <w:fldChar w:fldCharType="begin"/>
        </w:r>
        <w:r>
          <w:rPr>
            <w:rStyle w:val="ListLabel1"/>
          </w:rPr>
          <w:instrText xml:space="preserve"> PAGEREF _Fig_3_Reed_Solomon_decode_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Fig_4_Reed_Solomon_solver_">
        <w:r>
          <w:rPr>
            <w:rStyle w:val="ListLabel1"/>
            <w:color w:val="000000"/>
            <w:sz w:val="24"/>
          </w:rPr>
          <w:t>Figure 4.3: Reed-Solomon solver agreement matrix (riBM vs Euclid).</w:t>
        </w:r>
        <w:r>
          <w:rPr>
            <w:rStyle w:val="ListLabel1"/>
          </w:rPr>
          <w:tab/>
        </w:r>
        <w:r>
          <w:rPr>
            <w:rStyle w:val="ListLabel1"/>
          </w:rPr>
          <w:fldChar w:fldCharType="begin"/>
        </w:r>
        <w:r>
          <w:rPr>
            <w:rStyle w:val="ListLabel1"/>
          </w:rPr>
          <w:instrText xml:space="preserve"> PAGEREF _Fig_4_Reed_Solomon_solver_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Fig_5_RS_soak_timeline_ove">
        <w:r>
          <w:rPr>
            <w:rStyle w:val="ListLabel1"/>
            <w:color w:val="000000"/>
            <w:sz w:val="24"/>
          </w:rPr>
          <w:t>Figure 4.4: RS soak timeline over one million blocks.</w:t>
        </w:r>
        <w:r>
          <w:rPr>
            <w:rStyle w:val="ListLabel1"/>
          </w:rPr>
          <w:tab/>
        </w:r>
        <w:r>
          <w:rPr>
            <w:rStyle w:val="ListLabel1"/>
          </w:rPr>
          <w:fldChar w:fldCharType="begin"/>
        </w:r>
        <w:r>
          <w:rPr>
            <w:rStyle w:val="ListLabel1"/>
          </w:rPr>
          <w:instrText xml:space="preserve"> PAGEREF _Fig_5_RS_soak_timeline_ove \h </w:instrText>
        </w:r>
        <w:r>
          <w:rPr>
            <w:rStyle w:val="ListLabel1"/>
          </w:rPr>
          <w:fldChar w:fldCharType="separate"/>
        </w:r>
        <w:r>
          <w:rPr>
            <w:rStyle w:val="ListLabel1"/>
          </w:rPr>
          <w:t>41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1_1__Reed_Solo">
        <w:r>
          <w:rPr>
            <w:rStyle w:val="ListLabel1"/>
            <w:color w:val="000000"/>
            <w:sz w:val="24"/>
          </w:rPr>
          <w:t>Table 2: Table 1.1: Reed-Solomon Genesys 2 image matrix.</w:t>
        </w:r>
        <w:r>
          <w:rPr>
            <w:rStyle w:val="ListLabel1"/>
          </w:rPr>
          <w:tab/>
        </w:r>
        <w:r>
          <w:rPr>
            <w:rStyle w:val="ListLabel1"/>
          </w:rPr>
          <w:fldChar w:fldCharType="begin"/>
        </w:r>
        <w:r>
          <w:rPr>
            <w:rStyle w:val="ListLabel1"/>
          </w:rPr>
          <w:instrText xml:space="preserve"> PAGEREF _Tab_2_Table_1_1__Reed_Solo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3_Table_2_1__RTL_block">
        <w:r>
          <w:rPr>
            <w:rStyle w:val="ListLabel1"/>
            <w:color w:val="000000"/>
            <w:sz w:val="24"/>
          </w:rPr>
          <w:t>Table 3: Table 2.1: RTL blocks in the Reed-Solomon harness.</w:t>
        </w:r>
        <w:r>
          <w:rPr>
            <w:rStyle w:val="ListLabel1"/>
          </w:rPr>
          <w:tab/>
        </w:r>
        <w:r>
          <w:rPr>
            <w:rStyle w:val="ListLabel1"/>
          </w:rPr>
          <w:fldChar w:fldCharType="begin"/>
        </w:r>
        <w:r>
          <w:rPr>
            <w:rStyle w:val="ListLabel1"/>
          </w:rPr>
          <w:instrText xml:space="preserve"> PAGEREF _Tab_3_Table_2_1__RTL_block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4_Table_2_2__Host_scri">
        <w:r>
          <w:rPr>
            <w:rStyle w:val="ListLabel1"/>
            <w:color w:val="000000"/>
            <w:sz w:val="24"/>
          </w:rPr>
          <w:t>Table 4: Table 2.2: Host scripts and build flow.</w:t>
        </w:r>
        <w:r>
          <w:rPr>
            <w:rStyle w:val="ListLabel1"/>
          </w:rPr>
          <w:tab/>
        </w:r>
        <w:r>
          <w:rPr>
            <w:rStyle w:val="ListLabel1"/>
          </w:rPr>
          <w:fldChar w:fldCharType="begin"/>
        </w:r>
        <w:r>
          <w:rPr>
            <w:rStyle w:val="ListLabel1"/>
          </w:rPr>
          <w:instrText xml:space="preserve"> PAGEREF _Tab_4_Table_2_2__Host_scri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5_Table_3_1__Reed_Solo">
        <w:r>
          <w:rPr>
            <w:rStyle w:val="ListLabel1"/>
            <w:color w:val="000000"/>
            <w:sz w:val="24"/>
          </w:rPr>
          <w:t>Table 5: Table 3.1: Reed-Solomon board campaign inventory.</w:t>
        </w:r>
        <w:r>
          <w:rPr>
            <w:rStyle w:val="ListLabel1"/>
          </w:rPr>
          <w:tab/>
        </w:r>
        <w:r>
          <w:rPr>
            <w:rStyle w:val="ListLabel1"/>
          </w:rPr>
          <w:fldChar w:fldCharType="begin"/>
        </w:r>
        <w:r>
          <w:rPr>
            <w:rStyle w:val="ListLabel1"/>
          </w:rPr>
          <w:instrText xml:space="preserve"> PAGEREF _Tab_5_Table_3_1__Reed_Solo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6_Table_3_2__Reed_Solo">
        <w:r>
          <w:rPr>
            <w:rStyle w:val="ListLabel1"/>
            <w:color w:val="000000"/>
            <w:sz w:val="24"/>
          </w:rPr>
          <w:t>Table 6: Table 3.2: Reed-Solomon erasure boundary results.</w:t>
        </w:r>
        <w:r>
          <w:rPr>
            <w:rStyle w:val="ListLabel1"/>
          </w:rPr>
          <w:tab/>
        </w:r>
        <w:r>
          <w:rPr>
            <w:rStyle w:val="ListLabel1"/>
          </w:rPr>
          <w:fldChar w:fldCharType="begin"/>
        </w:r>
        <w:r>
          <w:rPr>
            <w:rStyle w:val="ListLabel1"/>
          </w:rPr>
          <w:instrText xml:space="preserve"> PAGEREF _Tab_6_Table_3_2__Reed_Solo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7_Table_4_1__Reed_Solo">
        <w:r>
          <w:rPr>
            <w:rStyle w:val="ListLabel1"/>
            <w:color w:val="000000"/>
            <w:sz w:val="24"/>
          </w:rPr>
          <w:t>Table 7: Table 4.1: Reed-Solomon 2026-10-05 battery per-image status.</w:t>
        </w:r>
        <w:r>
          <w:rPr>
            <w:rStyle w:val="ListLabel1"/>
          </w:rPr>
          <w:tab/>
        </w:r>
        <w:r>
          <w:rPr>
            <w:rStyle w:val="ListLabel1"/>
          </w:rPr>
          <w:fldChar w:fldCharType="begin"/>
        </w:r>
        <w:r>
          <w:rPr>
            <w:rStyle w:val="ListLabel1"/>
          </w:rPr>
          <w:instrText xml:space="preserve"> PAGEREF _Tab_7_Table_4_1__Reed_Solo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8_Table_4_2__Reed_Solo">
        <w:r>
          <w:rPr>
            <w:rStyle w:val="ListLabel1"/>
            <w:color w:val="000000"/>
            <w:sz w:val="24"/>
          </w:rPr>
          <w:t>Table 8: Table 4.2: Reed-Solomon sweep verdicts.</w:t>
        </w:r>
        <w:r>
          <w:rPr>
            <w:rStyle w:val="ListLabel1"/>
          </w:rPr>
          <w:tab/>
        </w:r>
        <w:r>
          <w:rPr>
            <w:rStyle w:val="ListLabel1"/>
          </w:rPr>
          <w:fldChar w:fldCharType="begin"/>
        </w:r>
        <w:r>
          <w:rPr>
            <w:rStyle w:val="ListLabel1"/>
          </w:rPr>
          <w:instrText xml:space="preserve"> PAGEREF _Tab_8_Table_4_2__Reed_Solo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9_Table_4_1__RS_soak_f">
        <w:r>
          <w:rPr>
            <w:rStyle w:val="ListLabel1"/>
            <w:color w:val="000000"/>
            <w:sz w:val="24"/>
          </w:rPr>
          <w:t>Table 9: Table 4.1: RS soak final counters.</w:t>
        </w:r>
        <w:r>
          <w:rPr>
            <w:rStyle w:val="ListLabel1"/>
          </w:rPr>
          <w:tab/>
        </w:r>
        <w:r>
          <w:rPr>
            <w:rStyle w:val="ListLabel1"/>
          </w:rPr>
          <w:fldChar w:fldCharType="begin"/>
        </w:r>
        <w:r>
          <w:rPr>
            <w:rStyle w:val="ListLabel1"/>
          </w:rPr>
          <w:instrText xml:space="preserve"> PAGEREF _Tab_9_Table_4_1__RS_soak_f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0_Table_5_1__Traceabil">
        <w:r>
          <w:rPr>
            <w:rStyle w:val="ListLabel1"/>
            <w:color w:val="000000"/>
            <w:sz w:val="24"/>
          </w:rPr>
          <w:t>Table 10: Table 5.1: Traceability from claim to artifact.</w:t>
        </w:r>
        <w:r>
          <w:rPr>
            <w:rStyle w:val="ListLabel1"/>
          </w:rPr>
          <w:tab/>
        </w:r>
        <w:r>
          <w:rPr>
            <w:rStyle w:val="ListLabel1"/>
          </w:rPr>
          <w:fldChar w:fldCharType="begin"/>
        </w:r>
        <w:r>
          <w:rPr>
            <w:rStyle w:val="ListLabel1"/>
          </w:rPr>
          <w:instrText xml:space="preserve"> PAGEREF _Tab_10_Table_5_1__Traceabil \h </w:instrText>
        </w:r>
        <w:r>
          <w:rPr>
            <w:rStyle w:val="ListLabel1"/>
          </w:rPr>
          <w:fldChar w:fldCharType="separate"/>
        </w:r>
        <w:r>
          <w:rPr>
            <w:rStyle w:val="ListLabel1"/>
          </w:rPr>
          <w:t>45</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3319_504502774"/>
      <w:bookmarkStart w:id="1" w:name="document-information"/>
      <w:bookmarkEnd w:id="0"/>
      <w:r>
        <w:rPr>
          <w:rStyle w:val="SectionNumber"/>
          <w:b/>
          <w:color w:val="FFFFFF"/>
          <w:sz w:val="32"/>
        </w:rPr>
        <w:t>1</w:t>
      </w:r>
      <w:r>
        <w:rPr>
          <w:b/>
          <w:color w:val="FFFFFF"/>
          <w:sz w:val="32"/>
        </w:rPr>
        <w:tab/>
        <w:t>Document Information</w:t>
      </w:r>
    </w:p>
    <w:p>
      <w:pPr>
        <w:pStyle w:val="Heading2"/>
        <w:pageBreakBefore w:val="false"/>
        <w:pBdr>
          <w:bottom w:val="single" w:sz="12" w:space="0" w:color="228B22"/>
        </w:pBdr>
        <w:spacing w:before="280" w:after="80"/>
        <w:rPr/>
      </w:pPr>
      <w:bookmarkStart w:id="2" w:name="__RefHeading___Toc3321_504502774"/>
      <w:bookmarkEnd w:id="2"/>
      <w:r>
        <w:rPr>
          <w:rStyle w:val="SectionNumber"/>
          <w:b/>
          <w:color w:val="228B22"/>
          <w:sz w:val="28"/>
        </w:rPr>
        <w:t>1.1</w:t>
      </w:r>
      <w:r>
        <w:rPr>
          <w:b/>
          <w:color w:val="228B22"/>
          <w:sz w:val="28"/>
        </w:rPr>
        <w:tab/>
        <w:t>Revision History</w:t>
      </w:r>
    </w:p>
    <w:p>
      <w:pPr>
        <w:pStyle w:val="TableCaption"/>
        <w:rPr/>
      </w:pPr>
      <w:bookmarkStart w:id="3" w:name="_Tab_1_Table_0_1__Revision_"/>
      <w:r>
        <w:rPr/>
        <w:t>Table 0.1: Revision history.</w:t>
      </w:r>
      <w:bookmarkEnd w:id="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9"/>
        <w:gridCol w:w="1518"/>
        <w:gridCol w:w="2023"/>
        <w:gridCol w:w="3289"/>
      </w:tblGrid>
      <w:tr>
        <w:trPr>
          <w:tblHeader w:val="true"/>
        </w:trPr>
        <w:tc>
          <w:tcPr>
            <w:tcW w:w="2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Revision</w:t>
            </w:r>
          </w:p>
        </w:tc>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2026-10-05</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board validation roll-up for the Reed-Solomon Genesys 2 harness.</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bookmarkStart w:id="4" w:name="revision-history"/>
            <w:bookmarkEnd w:id="4"/>
          </w:p>
        </w:tc>
      </w:tr>
    </w:tbl>
    <w:p>
      <w:pPr>
        <w:pStyle w:val="Heading2"/>
        <w:pBdr>
          <w:bottom w:val="single" w:sz="12" w:space="0" w:color="228B22"/>
        </w:pBdr>
        <w:spacing w:before="280" w:after="80"/>
        <w:rPr/>
      </w:pPr>
      <w:r>
        <w:br w:type="page"/>
      </w:r>
      <w:bookmarkStart w:id="5" w:name="__RefHeading___Toc3323_504502774"/>
      <w:bookmarkEnd w:id="5"/>
      <w:r>
        <w:rPr>
          <w:rStyle w:val="SectionNumber"/>
          <w:b/>
          <w:color w:val="228B22"/>
          <w:sz w:val="28"/>
        </w:rPr>
        <w:t>1.2</w:t>
      </w:r>
      <w:r>
        <w:rPr>
          <w:b/>
          <w:color w:val="228B22"/>
          <w:sz w:val="28"/>
        </w:rPr>
        <w:tab/>
        <w:t>Scope</w:t>
      </w:r>
    </w:p>
    <w:p>
      <w:pPr>
        <w:pStyle w:val="FirstParagraph"/>
        <w:rPr/>
      </w:pPr>
      <w:r>
        <w:rPr>
          <w:sz w:val="20"/>
        </w:rPr>
        <w:t>This book covers the RS(252,236) t=8 codec as exercised on the Digilent Genesys 2 board. It describes the harness, the campaign methodology, the 2026-10-05 battery, the erasure boundary finding, and the completed million-block soak.</w:t>
      </w:r>
      <w:r>
        <w:br w:type="page"/>
      </w:r>
    </w:p>
    <w:p>
      <w:pPr>
        <w:pStyle w:val="Heading2"/>
        <w:pBdr>
          <w:bottom w:val="single" w:sz="12" w:space="0" w:color="228B22"/>
        </w:pBdr>
        <w:spacing w:before="280" w:after="80"/>
        <w:rPr/>
      </w:pPr>
      <w:bookmarkStart w:id="6" w:name="__RefHeading___Toc3325_504502774"/>
      <w:bookmarkStart w:id="7" w:name="provenance"/>
      <w:bookmarkEnd w:id="6"/>
      <w:r>
        <w:rPr>
          <w:rStyle w:val="SectionNumber"/>
          <w:b/>
          <w:color w:val="228B22"/>
          <w:sz w:val="28"/>
        </w:rPr>
        <w:t>1.3</w:t>
      </w:r>
      <w:r>
        <w:rPr>
          <w:b/>
          <w:color w:val="228B22"/>
          <w:sz w:val="28"/>
        </w:rPr>
        <w:tab/>
        <w:t>Provenance</w:t>
      </w:r>
    </w:p>
    <w:p>
      <w:pPr>
        <w:pStyle w:val="FirstParagraph"/>
        <w:rPr/>
      </w:pPr>
      <w:r>
        <w:rPr>
          <w:sz w:val="20"/>
        </w:rPr>
        <w:t xml:space="preserve">All timing and campaign results in this book come from </w:t>
      </w:r>
      <w:r>
        <w:rPr>
          <w:rStyle w:val="VerbatimChar"/>
          <w:sz w:val="20"/>
        </w:rPr>
        <w:t>stable/MANIFEST.md</w:t>
      </w:r>
      <w:r>
        <w:rPr>
          <w:sz w:val="20"/>
        </w:rPr>
        <w:t xml:space="preserve">, </w:t>
      </w:r>
      <w:r>
        <w:rPr>
          <w:rStyle w:val="VerbatimChar"/>
          <w:sz w:val="20"/>
        </w:rPr>
        <w:t>stable/results/2026-10-05_battery/</w:t>
      </w:r>
      <w:r>
        <w:rPr>
          <w:sz w:val="20"/>
        </w:rPr>
        <w:t xml:space="preserve">, and </w:t>
      </w:r>
      <w:r>
        <w:rPr>
          <w:rStyle w:val="VerbatimChar"/>
          <w:sz w:val="20"/>
        </w:rPr>
        <w:t>stable/results/2026-10-05_soak/</w:t>
      </w:r>
      <w:r>
        <w:rPr>
          <w:sz w:val="20"/>
        </w:rPr>
        <w:t xml:space="preserve">. The board used for the runs is Digilent Genesys 2 serial </w:t>
      </w:r>
      <w:r>
        <w:rPr>
          <w:rStyle w:val="VerbatimChar"/>
          <w:sz w:val="20"/>
        </w:rPr>
        <w:t>200300B818A0</w:t>
      </w:r>
      <w:r>
        <w:rPr>
          <w:sz w:val="20"/>
        </w:rPr>
        <w:t xml:space="preserve"> (Kintex-7 </w:t>
      </w:r>
      <w:r>
        <w:rPr>
          <w:rStyle w:val="VerbatimChar"/>
          <w:sz w:val="20"/>
        </w:rPr>
        <w:t>xc7k325t-2</w:t>
      </w:r>
      <w:r>
        <w:rPr>
          <w:sz w:val="20"/>
        </w:rPr>
        <w:t>), programmed and measured with Vivado 2025.1.</w:t>
      </w:r>
      <w:bookmarkEnd w:id="1"/>
      <w:bookmarkEnd w:id="7"/>
      <w:r>
        <w:br w:type="page"/>
      </w:r>
    </w:p>
    <w:p>
      <w:pPr>
        <w:pStyle w:val="Heading1"/>
        <w:shd w:val="clear" w:color="auto" w:fill="404040"/>
        <w:spacing w:before="360" w:after="120"/>
        <w:rPr/>
      </w:pPr>
      <w:bookmarkStart w:id="8" w:name="__RefHeading___Toc3327_504502774"/>
      <w:bookmarkStart w:id="9" w:name="scope-and-claims"/>
      <w:bookmarkEnd w:id="8"/>
      <w:r>
        <w:rPr>
          <w:rStyle w:val="SectionNumber"/>
          <w:b/>
          <w:color w:val="FFFFFF"/>
          <w:sz w:val="32"/>
        </w:rPr>
        <w:t>2</w:t>
      </w:r>
      <w:r>
        <w:rPr>
          <w:b/>
          <w:color w:val="FFFFFF"/>
          <w:sz w:val="32"/>
        </w:rPr>
        <w:tab/>
        <w:t>Scope and Claims</w:t>
      </w:r>
    </w:p>
    <w:p>
      <w:pPr>
        <w:pStyle w:val="Heading2"/>
        <w:pageBreakBefore w:val="false"/>
        <w:pBdr>
          <w:bottom w:val="single" w:sz="12" w:space="0" w:color="228B22"/>
        </w:pBdr>
        <w:spacing w:before="280" w:after="80"/>
        <w:rPr/>
      </w:pPr>
      <w:bookmarkStart w:id="10" w:name="__RefHeading___Toc3329_504502774"/>
      <w:bookmarkStart w:id="11" w:name="what-this-book-is"/>
      <w:bookmarkEnd w:id="10"/>
      <w:r>
        <w:rPr>
          <w:rStyle w:val="SectionNumber"/>
          <w:b/>
          <w:color w:val="228B22"/>
          <w:sz w:val="28"/>
        </w:rPr>
        <w:t>2.1</w:t>
      </w:r>
      <w:r>
        <w:rPr>
          <w:b/>
          <w:color w:val="228B22"/>
          <w:sz w:val="28"/>
        </w:rPr>
        <w:tab/>
        <w:t>What this book is</w:t>
      </w:r>
    </w:p>
    <w:p>
      <w:pPr>
        <w:pStyle w:val="FirstParagraph"/>
        <w:rPr/>
      </w:pPr>
      <w:bookmarkStart w:id="12" w:name="what-this-book-is"/>
      <w:r>
        <w:rPr>
          <w:sz w:val="20"/>
        </w:rPr>
        <w:t>This report is the board’s statement about the RS(252,236) t=8 codec. The Genesys 2 harness runs the same campaigns in cocotb simulation and on real silicon, so when the board passes we have evidence that simulation matches hardware at 100 MHz with real I/O, real clocks, and real register traffic.</w:t>
      </w:r>
      <w:bookmarkEnd w:id="12"/>
      <w:r>
        <w:br w:type="page"/>
      </w:r>
    </w:p>
    <w:p>
      <w:pPr>
        <w:pStyle w:val="Heading2"/>
        <w:pBdr>
          <w:bottom w:val="single" w:sz="12" w:space="0" w:color="228B22"/>
        </w:pBdr>
        <w:spacing w:before="280" w:after="80"/>
        <w:rPr/>
      </w:pPr>
      <w:bookmarkStart w:id="13" w:name="__RefHeading___Toc3331_504502774"/>
      <w:bookmarkStart w:id="14" w:name="what-is-claimed"/>
      <w:bookmarkEnd w:id="13"/>
      <w:r>
        <w:rPr>
          <w:rStyle w:val="SectionNumber"/>
          <w:b/>
          <w:color w:val="228B22"/>
          <w:sz w:val="28"/>
        </w:rPr>
        <w:t>2.2</w:t>
      </w:r>
      <w:r>
        <w:rPr>
          <w:b/>
          <w:color w:val="228B22"/>
          <w:sz w:val="28"/>
        </w:rPr>
        <w:tab/>
        <w:t>What is claimed</w:t>
      </w:r>
    </w:p>
    <w:p>
      <w:pPr>
        <w:pStyle w:val="FirstParagraph"/>
        <w:rPr/>
      </w:pPr>
      <w:r>
        <w:rPr>
          <w:sz w:val="20"/>
        </w:rPr>
        <w:t>The 2026-10-05 battery demonstrates that four single-decoder bitstreams (two flavours times two solvers) pass the same deterministic campaign set:</w:t>
      </w:r>
    </w:p>
    <w:p>
      <w:pPr>
        <w:pStyle w:val="Compact"/>
        <w:numPr>
          <w:ilvl w:val="0"/>
          <w:numId w:val="1"/>
        </w:numPr>
        <w:rPr/>
      </w:pPr>
      <w:r>
        <w:rPr>
          <w:rStyle w:val="VerbatimChar"/>
        </w:rPr>
        <w:t>init</w:t>
      </w:r>
      <w:r>
        <w:rPr/>
        <w:t xml:space="preserve">, </w:t>
      </w:r>
      <w:r>
        <w:rPr>
          <w:rStyle w:val="VerbatimChar"/>
        </w:rPr>
        <w:t>smoke</w:t>
      </w:r>
      <w:r>
        <w:rPr/>
        <w:t xml:space="preserve">, </w:t>
      </w:r>
      <w:r>
        <w:rPr>
          <w:rStyle w:val="VerbatimChar"/>
        </w:rPr>
        <w:t>sweep</w:t>
      </w:r>
      <w:r>
        <w:rPr/>
        <w:t xml:space="preserve">, </w:t>
      </w:r>
      <w:r>
        <w:rPr>
          <w:rStyle w:val="VerbatimChar"/>
        </w:rPr>
        <w:t>random</w:t>
      </w:r>
      <w:r>
        <w:rPr/>
        <w:t xml:space="preserve">, </w:t>
      </w:r>
      <w:r>
        <w:rPr>
          <w:rStyle w:val="VerbatimChar"/>
        </w:rPr>
        <w:t>clusters</w:t>
      </w:r>
      <w:r>
        <w:rPr/>
        <w:t xml:space="preserve">, </w:t>
      </w:r>
      <w:r>
        <w:rPr>
          <w:rStyle w:val="VerbatimChar"/>
        </w:rPr>
        <w:t>localized</w:t>
      </w:r>
      <w:r>
        <w:rPr/>
        <w:t xml:space="preserve">, and </w:t>
      </w:r>
      <w:r>
        <w:rPr>
          <w:rStyle w:val="VerbatimChar"/>
        </w:rPr>
        <w:t>badblock</w:t>
      </w:r>
      <w:r>
        <w:rPr/>
        <w:t xml:space="preserve"> all PASS on </w:t>
      </w:r>
      <w:r>
        <w:rPr>
          <w:rStyle w:val="VerbatimChar"/>
        </w:rPr>
        <w:t>axis_ribm</w:t>
      </w:r>
      <w:r>
        <w:rPr/>
        <w:t xml:space="preserve">, </w:t>
      </w:r>
      <w:r>
        <w:rPr>
          <w:rStyle w:val="VerbatimChar"/>
        </w:rPr>
        <w:t>axis_euclid</w:t>
      </w:r>
      <w:r>
        <w:rPr/>
        <w:t xml:space="preserve">, </w:t>
      </w:r>
      <w:r>
        <w:rPr>
          <w:rStyle w:val="VerbatimChar"/>
        </w:rPr>
        <w:t>axi4_ribm</w:t>
      </w:r>
      <w:r>
        <w:rPr/>
        <w:t xml:space="preserve">, and </w:t>
      </w:r>
      <w:r>
        <w:rPr>
          <w:rStyle w:val="VerbatimChar"/>
        </w:rPr>
        <w:t>axi4_euclid</w:t>
      </w:r>
      <w:r>
        <w:rPr/>
        <w:t>.</w:t>
      </w:r>
    </w:p>
    <w:p>
      <w:pPr>
        <w:pStyle w:val="Compact"/>
        <w:numPr>
          <w:ilvl w:val="0"/>
          <w:numId w:val="1"/>
        </w:numPr>
        <w:rPr/>
      </w:pPr>
      <w:r>
        <w:rPr/>
        <w:t>The sweep shows e &lt;= 8 corrected, e = 9 .. 18 uncorrectable, on every image.</w:t>
      </w:r>
    </w:p>
    <w:p>
      <w:pPr>
        <w:pStyle w:val="Compact"/>
        <w:numPr>
          <w:ilvl w:val="0"/>
          <w:numId w:val="1"/>
        </w:numPr>
        <w:rPr/>
      </w:pPr>
      <w:r>
        <w:rPr/>
        <w:t>The random campaign recorded 64 runs x 16 blocks with 0 failing runs across all images.</w:t>
      </w:r>
    </w:p>
    <w:p>
      <w:pPr>
        <w:pStyle w:val="Compact"/>
        <w:numPr>
          <w:ilvl w:val="0"/>
          <w:numId w:val="1"/>
        </w:numPr>
        <w:rPr/>
      </w:pPr>
      <w:r>
        <w:rPr/>
        <w:t>The matching verdict counts between riBM and Euclid images are themselves a cross-solver check.</w:t>
      </w:r>
    </w:p>
    <w:p>
      <w:pPr>
        <w:pStyle w:val="Compact"/>
        <w:numPr>
          <w:ilvl w:val="0"/>
          <w:numId w:val="1"/>
        </w:numPr>
        <w:rPr/>
      </w:pPr>
      <w:r>
        <w:rPr/>
        <w:t xml:space="preserve">The 2026-10-05 million-block soak on </w:t>
      </w:r>
      <w:r>
        <w:rPr>
          <w:rStyle w:val="VerbatimChar"/>
        </w:rPr>
        <w:t>axi4_ribm</w:t>
      </w:r>
      <w:r>
        <w:rPr/>
        <w:t xml:space="preserve"> passed: 0 failing runs, and 2 mis-decodes out of 74,240 over-t blocks, below the model’s approximately 1-in-20,000 bound at e = t + 1.</w:t>
      </w:r>
    </w:p>
    <w:p>
      <w:pPr>
        <w:pStyle w:val="FirstParagraph"/>
        <w:rPr/>
      </w:pPr>
      <w:bookmarkStart w:id="15" w:name="what-is-claimed"/>
      <w:r>
        <w:rPr>
          <w:sz w:val="20"/>
        </w:rPr>
        <w:t>That is board evidence that both key-equation solvers behave identically under the same workload and that the codec honours the correction boundary.</w:t>
      </w:r>
      <w:bookmarkEnd w:id="15"/>
      <w:r>
        <w:br w:type="page"/>
      </w:r>
    </w:p>
    <w:p>
      <w:pPr>
        <w:pStyle w:val="Heading2"/>
        <w:pBdr>
          <w:bottom w:val="single" w:sz="12" w:space="0" w:color="228B22"/>
        </w:pBdr>
        <w:spacing w:before="280" w:after="80"/>
        <w:rPr/>
      </w:pPr>
      <w:bookmarkStart w:id="16" w:name="__RefHeading___Toc3333_504502774"/>
      <w:bookmarkStart w:id="17" w:name="what-is-not-claimed"/>
      <w:bookmarkEnd w:id="16"/>
      <w:r>
        <w:rPr>
          <w:rStyle w:val="SectionNumber"/>
          <w:b/>
          <w:color w:val="228B22"/>
          <w:sz w:val="28"/>
        </w:rPr>
        <w:t>2.3</w:t>
      </w:r>
      <w:r>
        <w:rPr>
          <w:b/>
          <w:color w:val="228B22"/>
          <w:sz w:val="28"/>
        </w:rPr>
        <w:tab/>
        <w:t>What is not claimed</w:t>
      </w:r>
    </w:p>
    <w:p>
      <w:pPr>
        <w:pStyle w:val="FirstParagraph"/>
        <w:rPr/>
      </w:pPr>
      <w:r>
        <w:rPr>
          <w:sz w:val="20"/>
        </w:rPr>
        <w:t xml:space="preserve">This book does not replace the component DV matrix. It does not prove every possible error pattern or every smaller RS profile. The dual-decoder on-chip comparator is present in simulation but not in the production board matrix; agreement is proven by running identical deterministic campaigns on the two single-decoder images. The erasure </w:t>
      </w:r>
      <w:r>
        <w:rPr>
          <w:rStyle w:val="VerbatimChar"/>
          <w:sz w:val="20"/>
        </w:rPr>
        <w:t>f = 2t</w:t>
      </w:r>
      <w:r>
        <w:rPr>
          <w:sz w:val="20"/>
        </w:rPr>
        <w:t xml:space="preserve"> boundary is a known open issue (TASK-005) and is called out in Chapter 3 and Chapter 5. The million-block soak completed on 2026-10-06; Chapter 4 reports its counters.</w:t>
      </w:r>
      <w:bookmarkEnd w:id="9"/>
      <w:bookmarkEnd w:id="17"/>
      <w:r>
        <w:br w:type="page"/>
      </w:r>
    </w:p>
    <w:p>
      <w:pPr>
        <w:pStyle w:val="Heading1"/>
        <w:shd w:val="clear" w:color="auto" w:fill="404040"/>
        <w:spacing w:before="360" w:after="120"/>
        <w:rPr/>
      </w:pPr>
      <w:bookmarkStart w:id="18" w:name="__RefHeading___Toc3335_504502774"/>
      <w:bookmarkStart w:id="19" w:name="images-and-codec-profile"/>
      <w:bookmarkEnd w:id="18"/>
      <w:r>
        <w:rPr>
          <w:rStyle w:val="SectionNumber"/>
          <w:b/>
          <w:color w:val="FFFFFF"/>
          <w:sz w:val="32"/>
        </w:rPr>
        <w:t>3</w:t>
      </w:r>
      <w:r>
        <w:rPr>
          <w:b/>
          <w:color w:val="FFFFFF"/>
          <w:sz w:val="32"/>
        </w:rPr>
        <w:tab/>
        <w:t>Images and Codec Profile</w:t>
      </w:r>
    </w:p>
    <w:p>
      <w:pPr>
        <w:pStyle w:val="Heading2"/>
        <w:pageBreakBefore w:val="false"/>
        <w:pBdr>
          <w:bottom w:val="single" w:sz="12" w:space="0" w:color="228B22"/>
        </w:pBdr>
        <w:spacing w:before="280" w:after="80"/>
        <w:rPr/>
      </w:pPr>
      <w:bookmarkStart w:id="20" w:name="__RefHeading___Toc3337_504502774"/>
      <w:bookmarkStart w:id="21" w:name="image-matrix"/>
      <w:bookmarkEnd w:id="20"/>
      <w:r>
        <w:rPr>
          <w:rStyle w:val="SectionNumber"/>
          <w:b/>
          <w:color w:val="228B22"/>
          <w:sz w:val="28"/>
        </w:rPr>
        <w:t>3.1</w:t>
      </w:r>
      <w:r>
        <w:rPr>
          <w:b/>
          <w:color w:val="228B22"/>
          <w:sz w:val="28"/>
        </w:rPr>
        <w:tab/>
        <w:t>Image matrix</w:t>
      </w:r>
    </w:p>
    <w:p>
      <w:pPr>
        <w:pStyle w:val="FirstParagraph"/>
        <w:rPr/>
      </w:pPr>
      <w:r>
        <w:rPr>
          <w:sz w:val="20"/>
        </w:rPr>
        <w:t xml:space="preserve">Four Genesys 2 bitstreams were built and kept in </w:t>
      </w:r>
      <w:r>
        <w:rPr>
          <w:rStyle w:val="VerbatimChar"/>
          <w:sz w:val="20"/>
        </w:rPr>
        <w:t>stable/reports/</w:t>
      </w:r>
      <w:r>
        <w:rPr>
          <w:sz w:val="20"/>
        </w:rPr>
        <w:t>:</w:t>
      </w:r>
    </w:p>
    <w:p>
      <w:pPr>
        <w:pStyle w:val="TableCaption"/>
        <w:rPr/>
      </w:pPr>
      <w:bookmarkStart w:id="22" w:name="_Tab_2_Table_1_1__Reed_Solo"/>
      <w:r>
        <w:rPr/>
        <w:t>Table 1.1: Reed-Solomon Genesys 2 image matrix.</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6"/>
        <w:gridCol w:w="1208"/>
        <w:gridCol w:w="1660"/>
        <w:gridCol w:w="1510"/>
        <w:gridCol w:w="2869"/>
        <w:gridCol w:w="1056"/>
      </w:tblGrid>
      <w:tr>
        <w:trPr>
          <w:tblHeader w:val="true"/>
        </w:trPr>
        <w:tc>
          <w:tcPr>
            <w:tcW w:w="1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Image</w:t>
            </w:r>
          </w:p>
        </w:tc>
        <w:tc>
          <w:tcPr>
            <w:tcW w:w="12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Solver</w:t>
            </w:r>
          </w:p>
        </w:tc>
        <w:tc>
          <w:tcPr>
            <w:tcW w:w="16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Bitstream</w:t>
            </w:r>
          </w:p>
        </w:tc>
        <w:tc>
          <w:tcPr>
            <w:tcW w:w="1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WNS (ns)</w:t>
            </w:r>
          </w:p>
        </w:tc>
        <w:tc>
          <w:tcPr>
            <w:tcW w:w="28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Failing endpoints</w:t>
            </w:r>
          </w:p>
        </w:tc>
        <w:tc>
          <w:tcPr>
            <w:tcW w:w="1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axis_ribm</w:t>
            </w:r>
          </w:p>
        </w:tc>
        <w:tc>
          <w:tcPr>
            <w:tcW w:w="1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w:t>
            </w:r>
          </w:p>
        </w:tc>
        <w:tc>
          <w:tcPr>
            <w:tcW w:w="16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rs_loop_genesys2_axis_ribm.bit</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+1.072</w:t>
            </w:r>
          </w:p>
        </w:tc>
        <w:tc>
          <w:tcPr>
            <w:tcW w:w="2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pipe.</w:t>
            </w:r>
          </w:p>
        </w:tc>
      </w:tr>
      <w:tr>
        <w:trPr/>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axis_euclid</w:t>
            </w:r>
          </w:p>
        </w:tc>
        <w:tc>
          <w:tcPr>
            <w:tcW w:w="1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w:t>
            </w:r>
          </w:p>
        </w:tc>
        <w:tc>
          <w:tcPr>
            <w:tcW w:w="16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rs_loop_genesys2_axis_euclid.bit</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+0.875</w:t>
            </w:r>
          </w:p>
        </w:tc>
        <w:tc>
          <w:tcPr>
            <w:tcW w:w="2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pipe.</w:t>
            </w:r>
          </w:p>
        </w:tc>
      </w:tr>
      <w:tr>
        <w:trPr/>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axi4_ribm</w:t>
            </w:r>
          </w:p>
        </w:tc>
        <w:tc>
          <w:tcPr>
            <w:tcW w:w="1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w:t>
            </w:r>
          </w:p>
        </w:tc>
        <w:tc>
          <w:tcPr>
            <w:tcW w:w="16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rs_loop_genesys2_axi4_ribm.bit</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+1.822</w:t>
            </w:r>
          </w:p>
        </w:tc>
        <w:tc>
          <w:tcPr>
            <w:tcW w:w="2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chain.</w:t>
            </w:r>
          </w:p>
        </w:tc>
      </w:tr>
      <w:tr>
        <w:trPr/>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axi4_euclid</w:t>
            </w:r>
          </w:p>
        </w:tc>
        <w:tc>
          <w:tcPr>
            <w:tcW w:w="1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w:t>
            </w:r>
          </w:p>
        </w:tc>
        <w:tc>
          <w:tcPr>
            <w:tcW w:w="16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rs_loop_genesys2_axi4_euclid.bit</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+1.431</w:t>
            </w:r>
          </w:p>
        </w:tc>
        <w:tc>
          <w:tcPr>
            <w:tcW w:w="2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chain.</w:t>
            </w:r>
          </w:p>
        </w:tc>
      </w:tr>
    </w:tbl>
    <w:p>
      <w:pPr>
        <w:pStyle w:val="BodyText"/>
        <w:rPr/>
      </w:pPr>
      <w:r>
        <w:rPr>
          <w:sz w:val="20"/>
        </w:rPr>
        <w:t xml:space="preserve">All four images are timing-clean at 100 MHz on the </w:t>
      </w:r>
      <w:r>
        <w:rPr>
          <w:rStyle w:val="VerbatimChar"/>
          <w:sz w:val="20"/>
        </w:rPr>
        <w:t>k325t-2</w:t>
      </w:r>
      <w:r>
        <w:rPr>
          <w:sz w:val="20"/>
        </w:rPr>
        <w:t xml:space="preserve">. The WNS values were read from the four </w:t>
      </w:r>
      <w:r>
        <w:rPr>
          <w:rStyle w:val="VerbatimChar"/>
          <w:sz w:val="20"/>
        </w:rPr>
        <w:t>stable/reports/genesys2_*/timing_summary.txt</w:t>
      </w:r>
      <w:r>
        <w:rPr>
          <w:sz w:val="20"/>
        </w:rPr>
        <w:t xml:space="preserve"> files.</w:t>
      </w:r>
      <w:bookmarkEnd w:id="21"/>
      <w:r>
        <w:br w:type="page"/>
      </w:r>
    </w:p>
    <w:p>
      <w:pPr>
        <w:pStyle w:val="Heading2"/>
        <w:pBdr>
          <w:bottom w:val="single" w:sz="12" w:space="0" w:color="228B22"/>
        </w:pBdr>
        <w:spacing w:before="280" w:after="80"/>
        <w:rPr/>
      </w:pPr>
      <w:bookmarkStart w:id="23" w:name="__RefHeading___Toc3339_504502774"/>
      <w:bookmarkStart w:id="24" w:name="codec-profile"/>
      <w:bookmarkEnd w:id="23"/>
      <w:r>
        <w:rPr>
          <w:rStyle w:val="SectionNumber"/>
          <w:b/>
          <w:color w:val="228B22"/>
          <w:sz w:val="28"/>
        </w:rPr>
        <w:t>3.2</w:t>
      </w:r>
      <w:r>
        <w:rPr>
          <w:b/>
          <w:color w:val="228B22"/>
          <w:sz w:val="28"/>
        </w:rPr>
        <w:tab/>
        <w:t>Codec profile</w:t>
      </w:r>
    </w:p>
    <w:p>
      <w:pPr>
        <w:pStyle w:val="FirstParagraph"/>
        <w:rPr/>
      </w:pPr>
      <w:r>
        <w:rPr>
          <w:sz w:val="20"/>
        </w:rPr>
        <w:t xml:space="preserve">The geometry is frozen in </w:t>
      </w:r>
      <w:r>
        <w:rPr>
          <w:rStyle w:val="VerbatimChar"/>
          <w:sz w:val="20"/>
        </w:rPr>
        <w:t>build-loop/rtl/rs_loop_cfg_pkg.sv</w:t>
      </w:r>
      <w:r>
        <w:rPr>
          <w:sz w:val="20"/>
        </w:rPr>
        <w:t>:</w:t>
      </w:r>
    </w:p>
    <w:p>
      <w:pPr>
        <w:pStyle w:val="Compact"/>
        <w:numPr>
          <w:ilvl w:val="0"/>
          <w:numId w:val="6"/>
        </w:numPr>
        <w:rPr/>
      </w:pPr>
      <w:r>
        <w:rPr/>
        <w:t>Code: RS(252,236), t=8, m=8.</w:t>
      </w:r>
    </w:p>
    <w:p>
      <w:pPr>
        <w:pStyle w:val="Compact"/>
        <w:numPr>
          <w:ilvl w:val="0"/>
          <w:numId w:val="7"/>
        </w:numPr>
        <w:rPr/>
      </w:pPr>
      <w:r>
        <w:rPr/>
        <w:t>Symbols per beat: 4 (S=4), so a 32-bit beat carries four 8-bit symbols.</w:t>
      </w:r>
    </w:p>
    <w:p>
      <w:pPr>
        <w:pStyle w:val="Compact"/>
        <w:numPr>
          <w:ilvl w:val="0"/>
          <w:numId w:val="8"/>
        </w:numPr>
        <w:rPr/>
      </w:pPr>
      <w:r>
        <w:rPr/>
        <w:t>Shortened from the natural 255-symbol RS block so that n=252 and k=236 are both multiples of the beat size. A full codeword is 63 beats; the message is 59 beats.</w:t>
      </w:r>
    </w:p>
    <w:p>
      <w:pPr>
        <w:pStyle w:val="FirstParagraph"/>
        <w:rPr/>
      </w:pPr>
      <w:r>
        <w:rPr>
          <w:sz w:val="20"/>
        </w:rPr>
        <w:t xml:space="preserve">The shortening was deliberate: it makes the AXIS datapath line-rate at 63 cycles per block and keeps the AXI4 memory alignment clean. The host reads </w:t>
      </w:r>
      <w:r>
        <w:rPr>
          <w:rStyle w:val="VerbatimChar"/>
          <w:sz w:val="20"/>
        </w:rPr>
        <w:t>PROFILE</w:t>
      </w:r>
      <w:r>
        <w:rPr>
          <w:sz w:val="20"/>
        </w:rPr>
        <w:t xml:space="preserve"> to discover the geometry and </w:t>
      </w:r>
      <w:r>
        <w:rPr>
          <w:rStyle w:val="VerbatimChar"/>
          <w:sz w:val="20"/>
        </w:rPr>
        <w:t>TOPOLOGY</w:t>
      </w:r>
      <w:r>
        <w:rPr>
          <w:sz w:val="20"/>
        </w:rPr>
        <w:t xml:space="preserve"> to discover which datapath and solver are loaded.</w:t>
      </w:r>
      <w:bookmarkEnd w:id="19"/>
      <w:bookmarkEnd w:id="24"/>
      <w:r>
        <w:br w:type="page"/>
      </w:r>
    </w:p>
    <w:p>
      <w:pPr>
        <w:pStyle w:val="Heading1"/>
        <w:shd w:val="clear" w:color="auto" w:fill="404040"/>
        <w:spacing w:before="360" w:after="120"/>
        <w:rPr/>
      </w:pPr>
      <w:bookmarkStart w:id="25" w:name="__RefHeading___Toc3341_504502774"/>
      <w:bookmarkStart w:id="26" w:name="harness-architecture"/>
      <w:bookmarkEnd w:id="25"/>
      <w:r>
        <w:rPr>
          <w:rStyle w:val="SectionNumber"/>
          <w:b/>
          <w:color w:val="FFFFFF"/>
          <w:sz w:val="32"/>
        </w:rPr>
        <w:t>4</w:t>
      </w:r>
      <w:r>
        <w:rPr>
          <w:b/>
          <w:color w:val="FFFFFF"/>
          <w:sz w:val="32"/>
        </w:rPr>
        <w:tab/>
        <w:t>Harness Architecture</w:t>
      </w:r>
    </w:p>
    <w:p>
      <w:pPr>
        <w:pStyle w:val="Heading2"/>
        <w:pageBreakBefore w:val="false"/>
        <w:pBdr>
          <w:bottom w:val="single" w:sz="12" w:space="0" w:color="228B22"/>
        </w:pBdr>
        <w:spacing w:before="280" w:after="80"/>
        <w:rPr/>
      </w:pPr>
      <w:bookmarkStart w:id="27" w:name="__RefHeading___Toc3343_504502774"/>
      <w:bookmarkEnd w:id="27"/>
      <w:r>
        <w:rPr>
          <w:rStyle w:val="SectionNumber"/>
          <w:b/>
          <w:color w:val="228B22"/>
          <w:sz w:val="28"/>
        </w:rPr>
        <w:t>4.1</w:t>
      </w:r>
      <w:r>
        <w:rPr>
          <w:b/>
          <w:color w:val="228B22"/>
          <w:sz w:val="28"/>
        </w:rPr>
        <w:tab/>
        <w:t>RTL inventory</w:t>
      </w:r>
    </w:p>
    <w:p>
      <w:pPr>
        <w:pStyle w:val="TableCaption"/>
        <w:rPr/>
      </w:pPr>
      <w:bookmarkStart w:id="28" w:name="_Tab_3_Table_2_1__RTL_block"/>
      <w:r>
        <w:rPr/>
        <w:t>Table 2.1: RTL blocks in the Reed-Solomon harness.</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projects/components/utility-ip/converters/rtl/uart_to_axil4/uart_axil_bridge.sv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115200 8N1 to AXI4-Lite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bridge_rs_loop_axil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fabric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1-master x 3-slave AXI4-Lite/APB fabric.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rs_loop_top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build-loop/rtl/rs_loop_genesys2_top.sv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build-loop/rtl/rs_loop_top.sv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Genesys 2 MMCM wrapper, or Nexys A7 100 MHz direct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rs_loop_harness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build-loop/rtl/rs_loop_harness.sv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Codec loop, register decode, bandwidth meters, observers, verdict tallies.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rs_loop_cfg_pkg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build-loop/rtl/rs_loop_cfg_pkg.sv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source of geometry: RS(252,236), 4 symbols/beat.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rs_loop_regs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from </w:t>
            </w:r>
            <w:r>
              <w:rPr>
                <w:rStyle w:val="VerbatimChar"/>
                <w:rFonts w:eastAsia="Cambria" w:cs=""/>
                <w:kern w:val="0"/>
                <w:szCs w:val="24"/>
                <w:lang w:val="en-US" w:eastAsia="en-US" w:bidi="ar-SA"/>
              </w:rPr>
              <w:t>build-loop/rtl/rs_loop_regs.rdl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Host-visible CSR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rtl/amba/shared/axis4_master_injector.sv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data source plus expected CRC-32, one packet per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axis4_slave_pattern_check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rtl/amba/shared/axis4_slave_pattern_check.sv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Regenerates the same LFSR pattern and compares beats per decoder.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RS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RS(252,236) encoder.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utility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Post-encoder corruption: modes 0..7 plus erasure mark.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RS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with selectable KES_ALGO and erasure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rs_erasure_unit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RS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Erasure locator / transform used when </w:t>
            </w:r>
            <w:r>
              <w:rPr>
                <w:rStyle w:val="VerbatimChar"/>
                <w:rFonts w:eastAsia="Cambria" w:cs=""/>
                <w:kern w:val="0"/>
                <w:szCs w:val="24"/>
                <w:lang w:val="en-US" w:eastAsia="en-US" w:bidi="ar-SA"/>
              </w:rPr>
              <w:t>ERASURE_SUPPORT=1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rs_axi4_pipeline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build-loop/rtl/rs_axi4_pipeline.sv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job chain for the AXI4 flavor.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axis4_intf_observer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utility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AXIS seam observer on window 0x20000.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axi4_intf_master_observer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utility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codec AXI4 master-port observer on window 0x10000.</w:t>
            </w:r>
            <w:bookmarkStart w:id="29" w:name="rtl-inventory"/>
            <w:bookmarkEnd w:id="29"/>
          </w:p>
        </w:tc>
      </w:tr>
    </w:tbl>
    <w:p>
      <w:pPr>
        <w:pStyle w:val="Heading2"/>
        <w:pBdr>
          <w:bottom w:val="single" w:sz="12" w:space="0" w:color="228B22"/>
        </w:pBdr>
        <w:spacing w:before="280" w:after="80"/>
        <w:rPr/>
      </w:pPr>
      <w:r>
        <w:br w:type="page"/>
      </w:r>
      <w:bookmarkStart w:id="30" w:name="__RefHeading___Toc3345_504502774"/>
      <w:bookmarkEnd w:id="30"/>
      <w:r>
        <w:rPr>
          <w:rStyle w:val="SectionNumber"/>
          <w:b/>
          <w:color w:val="228B22"/>
          <w:sz w:val="28"/>
        </w:rPr>
        <w:t>4.2</w:t>
      </w:r>
      <w:r>
        <w:rPr>
          <w:b/>
          <w:color w:val="228B22"/>
          <w:sz w:val="28"/>
        </w:rPr>
        <w:tab/>
        <w:t>Host and build inventory</w:t>
      </w:r>
    </w:p>
    <w:p>
      <w:pPr>
        <w:pStyle w:val="TableCaption"/>
        <w:rPr/>
      </w:pPr>
      <w:bookmarkStart w:id="31" w:name="_Tab_4_Table_2_2__Host_scri"/>
      <w:r>
        <w:rPr/>
        <w:t>Table 2.2: Host scripts and build flow.</w:t>
      </w:r>
      <w:bookmarkEnd w:id="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Script / target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bin/rs_env.py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anchor for shared host code.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Campaign runner.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smoke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sweep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random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soak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erasure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campaign sequences.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RsLoopDriver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By-name register access and status collection.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rs_loop_programs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build-loop/host/rs_loop_programs.py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authored-once programs.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build-loop/host/host_rs_loop.py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 front-end.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 build-loop bitstream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Vivado build; set </w:t>
            </w:r>
            <w:r>
              <w:rPr>
                <w:rStyle w:val="VerbatimChar"/>
                <w:rFonts w:eastAsia="Cambria" w:cs=""/>
                <w:kern w:val="0"/>
                <w:szCs w:val="24"/>
                <w:lang w:val="en-US" w:eastAsia="en-US" w:bidi="ar-SA"/>
              </w:rPr>
              <w:t>RS_TARGET=genesys2</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w:t>
            </w:r>
            <w:r>
              <w:rPr>
                <w:rStyle w:val="VerbatimChar"/>
                <w:rFonts w:eastAsia="Cambria" w:cs=""/>
                <w:kern w:val="0"/>
                <w:szCs w:val="24"/>
                <w:lang w:val="en-US" w:eastAsia="en-US" w:bidi="ar-SA"/>
              </w:rPr>
              <w:t>{axis,axi4}</w:t>
            </w:r>
            <w:r>
              <w:rPr>
                <w:rFonts w:eastAsia="Cambria" w:cs=""/>
                <w:kern w:val="0"/>
                <w:sz w:val="24"/>
                <w:szCs w:val="24"/>
                <w:lang w:val="en-US" w:eastAsia="en-US" w:bidi="ar-SA"/>
              </w:rPr>
              <w:t xml:space="preserve"> x </w:t>
            </w:r>
            <w:r>
              <w:rPr>
                <w:rStyle w:val="VerbatimChar"/>
                <w:rFonts w:eastAsia="Cambria" w:cs=""/>
                <w:kern w:val="0"/>
                <w:szCs w:val="24"/>
                <w:lang w:val="en-US" w:eastAsia="en-US" w:bidi="ar-SA"/>
              </w:rPr>
              <w:t>{riBM,Euclid}</w:t>
            </w: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32" w:name="__RefHeading___Toc3347_504502774"/>
      <w:bookmarkEnd w:id="32"/>
      <w:r>
        <w:rPr>
          <w:rStyle w:val="SectionNumber"/>
          <w:b/>
          <w:color w:val="228B22"/>
          <w:sz w:val="28"/>
        </w:rPr>
        <w:t>4.3</w:t>
      </w:r>
      <w:r>
        <w:rPr>
          <w:b/>
          <w:color w:val="228B22"/>
          <w:sz w:val="28"/>
        </w:rPr>
        <w:tab/>
        <w:t>Datapath diagram</w:t>
      </w:r>
    </w:p>
    <w:p>
      <w:pPr>
        <w:pStyle w:val="CaptionedFigure"/>
        <w:rPr/>
      </w:pPr>
      <w:r>
        <w:rPr/>
        <w:drawing>
          <wp:inline distT="0" distB="0" distL="0" distR="0">
            <wp:extent cx="5334000" cy="4013835"/>
            <wp:effectExtent l="0" t="0" r="0" b="0"/>
            <wp:docPr id="4" name="Picture" descr="Reed-Solomon AXIS datapath and register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Reed-Solomon AXIS datapath and register path"/>
                    <pic:cNvPicPr>
                      <a:picLocks noChangeAspect="1" noChangeArrowheads="1"/>
                    </pic:cNvPicPr>
                  </pic:nvPicPr>
                  <pic:blipFill>
                    <a:blip r:embed="rId3"/>
                    <a:stretch>
                      <a:fillRect/>
                    </a:stretch>
                  </pic:blipFill>
                  <pic:spPr bwMode="auto">
                    <a:xfrm>
                      <a:off x="0" y="0"/>
                      <a:ext cx="5334000" cy="4013835"/>
                    </a:xfrm>
                    <a:prstGeom prst="rect">
                      <a:avLst/>
                    </a:prstGeom>
                  </pic:spPr>
                </pic:pic>
              </a:graphicData>
            </a:graphic>
          </wp:inline>
        </w:drawing>
      </w:r>
    </w:p>
    <w:p>
      <w:pPr>
        <w:pStyle w:val="ImageCaption"/>
        <w:rPr/>
      </w:pPr>
      <w:r>
        <w:rPr/>
        <w:t>Reed-Solomon AXIS datapath and register path</w:t>
      </w:r>
    </w:p>
    <w:p>
      <w:pPr>
        <w:pStyle w:val="Heading3"/>
        <w:spacing w:before="200" w:after="80"/>
        <w:rPr/>
      </w:pPr>
      <w:bookmarkStart w:id="33" w:name="__RefHeading___Toc3349_504502774"/>
      <w:bookmarkStart w:id="34" w:name="X68792c9258fca26be422d89b352eb4e736ef16d"/>
      <w:bookmarkStart w:id="35" w:name="_Fig_1_Reed_Solomon_AXIS_da"/>
      <w:bookmarkEnd w:id="33"/>
      <w:r>
        <w:rPr>
          <w:rStyle w:val="SectionNumber"/>
          <w:b/>
          <w:color w:val="404040"/>
          <w:sz w:val="24"/>
        </w:rPr>
        <w:t>4.3.1</w:t>
      </w:r>
      <w:r>
        <w:rPr>
          <w:b/>
          <w:color w:val="404040"/>
          <w:sz w:val="24"/>
        </w:rPr>
        <w:tab/>
        <w:t>Figure 2.1: Reed-Solomon AXIS datapath and register path.</w:t>
      </w:r>
      <w:bookmarkEnd w:id="35"/>
    </w:p>
    <w:p>
      <w:pPr>
        <w:pStyle w:val="FirstParagraph"/>
        <w:rPr/>
      </w:pPr>
      <w:r>
        <w:rPr>
          <w:b/>
          <w:bCs/>
          <w:sz w:val="20"/>
        </w:rPr>
        <w:t>Source:</w:t>
      </w:r>
      <w:r>
        <w:rPr>
          <w:sz w:val="20"/>
        </w:rPr>
        <w:t xml:space="preserve"> </w:t>
      </w:r>
      <w:hyperlink r:id="rId4">
        <w:r>
          <w:rPr>
            <w:rStyle w:val="Hyperlink"/>
          </w:rPr>
          <w:t>01_rs_axis_loop.dot</w:t>
        </w:r>
      </w:hyperlink>
      <w:bookmarkEnd w:id="34"/>
      <w:r>
        <w:br w:type="page"/>
      </w:r>
    </w:p>
    <w:p>
      <w:pPr>
        <w:pStyle w:val="Heading2"/>
        <w:pBdr>
          <w:bottom w:val="single" w:sz="12" w:space="0" w:color="228B22"/>
        </w:pBdr>
        <w:spacing w:before="280" w:after="80"/>
        <w:rPr/>
      </w:pPr>
      <w:bookmarkStart w:id="36" w:name="__RefHeading___Toc3351_504502774"/>
      <w:bookmarkStart w:id="37" w:name="register-path-clock-and-reset"/>
      <w:bookmarkEnd w:id="36"/>
      <w:r>
        <w:rPr>
          <w:rStyle w:val="SectionNumber"/>
          <w:b/>
          <w:color w:val="228B22"/>
          <w:sz w:val="28"/>
        </w:rPr>
        <w:t>4.4</w:t>
      </w:r>
      <w:r>
        <w:rPr>
          <w:b/>
          <w:color w:val="228B22"/>
          <w:sz w:val="28"/>
        </w:rPr>
        <w:tab/>
        <w:t>Register path, clock, and reset</w:t>
      </w:r>
    </w:p>
    <w:p>
      <w:pPr>
        <w:pStyle w:val="FirstParagraph"/>
        <w:rPr/>
      </w:pPr>
      <w:r>
        <w:rPr>
          <w:sz w:val="20"/>
        </w:rPr>
        <w:t xml:space="preserve">The host register path is Python over pyserial to the UART, into </w:t>
      </w:r>
      <w:r>
        <w:rPr>
          <w:rStyle w:val="VerbatimChar"/>
          <w:sz w:val="20"/>
        </w:rPr>
        <w:t>uart_axil_bridge</w:t>
      </w:r>
      <w:r>
        <w:rPr>
          <w:sz w:val="20"/>
        </w:rPr>
        <w:t xml:space="preserve">, through the generated </w:t>
      </w:r>
      <w:r>
        <w:rPr>
          <w:rStyle w:val="VerbatimChar"/>
          <w:sz w:val="20"/>
        </w:rPr>
        <w:t>bridge_rs_loop_axil</w:t>
      </w:r>
      <w:r>
        <w:rPr>
          <w:sz w:val="20"/>
        </w:rPr>
        <w:t xml:space="preserve"> 1x3 fabric, and out as three APB windows. Window 0 at </w:t>
      </w:r>
      <w:r>
        <w:rPr>
          <w:rStyle w:val="VerbatimChar"/>
          <w:sz w:val="20"/>
        </w:rPr>
        <w:t>0x00000000</w:t>
      </w:r>
      <w:r>
        <w:rPr>
          <w:sz w:val="20"/>
        </w:rPr>
        <w:t xml:space="preserve"> holds </w:t>
      </w:r>
      <w:r>
        <w:rPr>
          <w:rStyle w:val="VerbatimChar"/>
          <w:sz w:val="20"/>
        </w:rPr>
        <w:t>rs_loop_regs</w:t>
      </w:r>
      <w:r>
        <w:rPr>
          <w:sz w:val="20"/>
        </w:rPr>
        <w:t xml:space="preserve"> (BUILD_ID, SCRATCH, PROFILE, TOPOLOGY, INJ_CFG, etc.). Window 1 at </w:t>
      </w:r>
      <w:r>
        <w:rPr>
          <w:rStyle w:val="VerbatimChar"/>
          <w:sz w:val="20"/>
        </w:rPr>
        <w:t>0x00010000</w:t>
      </w:r>
      <w:r>
        <w:rPr>
          <w:sz w:val="20"/>
        </w:rPr>
        <w:t xml:space="preserve"> hosts the AXI4 master observer on AXI4 flavours and is a read-zero stub on AXIS. Window 2 at </w:t>
      </w:r>
      <w:r>
        <w:rPr>
          <w:rStyle w:val="VerbatimChar"/>
          <w:sz w:val="20"/>
        </w:rPr>
        <w:t>0x00020000</w:t>
      </w:r>
      <w:r>
        <w:rPr>
          <w:sz w:val="20"/>
        </w:rPr>
        <w:t xml:space="preserve"> is always live and hosts the AXIS seam observer.</w:t>
      </w:r>
    </w:p>
    <w:p>
      <w:pPr>
        <w:pStyle w:val="BodyText"/>
        <w:rPr/>
      </w:pPr>
      <w:r>
        <w:rPr>
          <w:sz w:val="20"/>
        </w:rPr>
        <w:t xml:space="preserve">On the Genesys 2 the 200 MHz LVDS system clock passes through </w:t>
      </w:r>
      <w:r>
        <w:rPr>
          <w:rStyle w:val="VerbatimChar"/>
          <w:sz w:val="20"/>
        </w:rPr>
        <w:t>IBUFDS</w:t>
      </w:r>
      <w:r>
        <w:rPr>
          <w:sz w:val="20"/>
        </w:rPr>
        <w:t xml:space="preserve"> into an </w:t>
      </w:r>
      <w:r>
        <w:rPr>
          <w:rStyle w:val="VerbatimChar"/>
          <w:sz w:val="20"/>
        </w:rPr>
        <w:t>MMCME2_BASE</w:t>
      </w:r>
      <w:r>
        <w:rPr>
          <w:sz w:val="20"/>
        </w:rPr>
        <w:t xml:space="preserve"> with VCO = 1200 MHz and </w:t>
      </w:r>
      <w:r>
        <w:rPr>
          <w:rStyle w:val="VerbatimChar"/>
          <w:sz w:val="20"/>
        </w:rPr>
        <w:t>CLKOUT0_DIVIDE_F = 12</w:t>
      </w:r>
      <w:r>
        <w:rPr>
          <w:sz w:val="20"/>
        </w:rPr>
        <w:t>, producing the 100 MHz harness clock. The Nexys A7 top uses the on-board 100 MHz clock directly.</w:t>
      </w:r>
      <w:bookmarkEnd w:id="26"/>
      <w:bookmarkEnd w:id="37"/>
      <w:r>
        <w:br w:type="page"/>
      </w:r>
    </w:p>
    <w:p>
      <w:pPr>
        <w:pStyle w:val="Heading1"/>
        <w:shd w:val="clear" w:color="auto" w:fill="404040"/>
        <w:spacing w:before="360" w:after="120"/>
        <w:rPr/>
      </w:pPr>
      <w:bookmarkStart w:id="38" w:name="__RefHeading___Toc3353_504502774"/>
      <w:bookmarkStart w:id="39" w:name="campaigns-and-the-oracle-argument"/>
      <w:bookmarkEnd w:id="38"/>
      <w:r>
        <w:rPr>
          <w:rStyle w:val="SectionNumber"/>
          <w:b/>
          <w:color w:val="FFFFFF"/>
          <w:sz w:val="32"/>
        </w:rPr>
        <w:t>5</w:t>
      </w:r>
      <w:r>
        <w:rPr>
          <w:b/>
          <w:color w:val="FFFFFF"/>
          <w:sz w:val="32"/>
        </w:rPr>
        <w:tab/>
        <w:t>Campaigns and the Oracle Argument</w:t>
      </w:r>
    </w:p>
    <w:p>
      <w:pPr>
        <w:pStyle w:val="Heading2"/>
        <w:pageBreakBefore w:val="false"/>
        <w:pBdr>
          <w:bottom w:val="single" w:sz="12" w:space="0" w:color="228B22"/>
        </w:pBdr>
        <w:spacing w:before="280" w:after="80"/>
        <w:rPr/>
      </w:pPr>
      <w:bookmarkStart w:id="40" w:name="__RefHeading___Toc3355_504502774"/>
      <w:bookmarkEnd w:id="40"/>
      <w:r>
        <w:rPr>
          <w:rStyle w:val="SectionNumber"/>
          <w:b/>
          <w:color w:val="228B22"/>
          <w:sz w:val="28"/>
        </w:rPr>
        <w:t>5.1</w:t>
      </w:r>
      <w:r>
        <w:rPr>
          <w:b/>
          <w:color w:val="228B22"/>
          <w:sz w:val="28"/>
        </w:rPr>
        <w:tab/>
        <w:t>Campaign inventory</w:t>
      </w:r>
    </w:p>
    <w:p>
      <w:pPr>
        <w:pStyle w:val="TableCaption"/>
        <w:rPr/>
      </w:pPr>
      <w:bookmarkStart w:id="41" w:name="_Tab_5_Table_3_1__Reed_Solo"/>
      <w:r>
        <w:rPr/>
        <w:t>Table 3.1: Reed-Solomon board campaign inventory.</w:t>
      </w:r>
      <w:bookmarkEnd w:id="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8"/>
        <w:gridCol w:w="3842"/>
        <w:gridCol w:w="3120"/>
      </w:tblGrid>
      <w:tr>
        <w:trPr>
          <w:tblHeader w:val="true"/>
        </w:trPr>
        <w:tc>
          <w:tcPr>
            <w:tcW w:w="2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Campaign</w:t>
            </w:r>
          </w:p>
        </w:tc>
        <w:tc>
          <w:tcPr>
            <w:tcW w:w="3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Determinism</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BUILD_ID, SCRATCH round-trip, PROFILE, TOPOLOGY.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smoke</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Bypass, clean, e=t, e=t+1, deterministic DEBUG walk.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sweep</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 correction counts for e = 0 .. 2t+2.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Fresh seeds, mixed injector modes, 64 runs x 16 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Host-seeded; reproducible on demand.</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clusters</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Spatially correlated errors.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localized</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Windowed errors.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badblock</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Retention-tail / worn-block behaviour.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erasure</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Marked-symbol runs at f = t, 2t, 2t+1.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soak</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Long-running mixed-mode stress; the million-block 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Host-seeded; replayable.</w:t>
            </w:r>
            <w:bookmarkStart w:id="42" w:name="campaign-inventory"/>
            <w:bookmarkEnd w:id="42"/>
          </w:p>
        </w:tc>
      </w:tr>
    </w:tbl>
    <w:p>
      <w:pPr>
        <w:pStyle w:val="Heading2"/>
        <w:pBdr>
          <w:bottom w:val="single" w:sz="12" w:space="0" w:color="228B22"/>
        </w:pBdr>
        <w:spacing w:before="280" w:after="80"/>
        <w:rPr/>
      </w:pPr>
      <w:r>
        <w:br w:type="page"/>
      </w:r>
      <w:bookmarkStart w:id="43" w:name="__RefHeading___Toc3357_504502774"/>
      <w:bookmarkEnd w:id="43"/>
      <w:r>
        <w:rPr>
          <w:rStyle w:val="SectionNumber"/>
          <w:b/>
          <w:color w:val="228B22"/>
          <w:sz w:val="28"/>
        </w:rPr>
        <w:t>5.2</w:t>
      </w:r>
      <w:r>
        <w:rPr>
          <w:b/>
          <w:color w:val="228B22"/>
          <w:sz w:val="28"/>
        </w:rPr>
        <w:tab/>
        <w:t>Determinism and cross-solver agreement</w:t>
      </w:r>
    </w:p>
    <w:p>
      <w:pPr>
        <w:pStyle w:val="FirstParagraph"/>
        <w:rPr/>
      </w:pPr>
      <w:r>
        <w:rPr>
          <w:sz w:val="20"/>
        </w:rPr>
        <w:t>The host-side RNG seed defaults to 1. With that default, the random, soak, clusters, localized, and badblock campaigns are fully deterministic. Because the riBM and Euclid images run bit-identical workloads, the matching verdict counts between them are the cross-check. You do not need the on-chip comparator to know the two solvers agree; the campaigns prove it.</w:t>
      </w:r>
      <w:r>
        <w:br w:type="page"/>
      </w:r>
    </w:p>
    <w:p>
      <w:pPr>
        <w:pStyle w:val="Heading2"/>
        <w:pBdr>
          <w:bottom w:val="single" w:sz="12" w:space="0" w:color="228B22"/>
        </w:pBdr>
        <w:spacing w:before="280" w:after="80"/>
        <w:rPr/>
      </w:pPr>
      <w:bookmarkStart w:id="44" w:name="__RefHeading___Toc3359_504502774"/>
      <w:bookmarkStart w:id="45" w:name="the-dual-solver-loop-as-oracle"/>
      <w:bookmarkEnd w:id="44"/>
      <w:r>
        <w:rPr>
          <w:rStyle w:val="SectionNumber"/>
          <w:b/>
          <w:color w:val="228B22"/>
          <w:sz w:val="28"/>
        </w:rPr>
        <w:t>5.3</w:t>
      </w:r>
      <w:r>
        <w:rPr>
          <w:b/>
          <w:color w:val="228B22"/>
          <w:sz w:val="28"/>
        </w:rPr>
        <w:tab/>
        <w:t>The dual-solver loop as oracle</w:t>
      </w:r>
    </w:p>
    <w:p>
      <w:pPr>
        <w:pStyle w:val="FirstParagraph"/>
        <w:rPr/>
      </w:pPr>
      <w:r>
        <w:rPr>
          <w:sz w:val="20"/>
        </w:rPr>
        <w:t xml:space="preserve">The AXIS datapath in simulation feeds the same corrupted blocks to two </w:t>
      </w:r>
      <w:r>
        <w:rPr>
          <w:rStyle w:val="VerbatimChar"/>
          <w:sz w:val="20"/>
        </w:rPr>
        <w:t>rs_decoder_core</w:t>
      </w:r>
      <w:r>
        <w:rPr>
          <w:sz w:val="20"/>
        </w:rPr>
        <w:t xml:space="preserve"> instances, one with </w:t>
      </w:r>
      <w:r>
        <w:rPr>
          <w:rStyle w:val="VerbatimChar"/>
          <w:sz w:val="20"/>
        </w:rPr>
        <w:t>KES_ALGO=RIBM</w:t>
      </w:r>
      <w:r>
        <w:rPr>
          <w:sz w:val="20"/>
        </w:rPr>
        <w:t xml:space="preserve"> and one with </w:t>
      </w:r>
      <w:r>
        <w:rPr>
          <w:rStyle w:val="VerbatimChar"/>
          <w:sz w:val="20"/>
        </w:rPr>
        <w:t>KES_ALGO=EUCLID</w:t>
      </w:r>
      <w:r>
        <w:rPr>
          <w:sz w:val="20"/>
        </w:rPr>
        <w:t xml:space="preserve">. Each decoder’s output is compared beat-by-beat against the generator’s regenerated LFSR pattern in its own </w:t>
      </w:r>
      <w:r>
        <w:rPr>
          <w:rStyle w:val="VerbatimChar"/>
          <w:sz w:val="20"/>
        </w:rPr>
        <w:t>axis4_slave_pattern_check</w:t>
      </w:r>
      <w:r>
        <w:rPr>
          <w:sz w:val="20"/>
        </w:rPr>
        <w:t>, so a correction is judged by a reference that never saw the errors. A separate comparator then requires the two decoders to agree on every beat and on every block’s verdict. On the board images this comparator is absent by construction; the cross-check is the deterministic campaign battery.</w:t>
      </w:r>
      <w:bookmarkEnd w:id="39"/>
      <w:bookmarkEnd w:id="45"/>
      <w:r>
        <w:br w:type="page"/>
      </w:r>
    </w:p>
    <w:p>
      <w:pPr>
        <w:pStyle w:val="Heading1"/>
        <w:shd w:val="clear" w:color="auto" w:fill="404040"/>
        <w:spacing w:before="360" w:after="120"/>
        <w:rPr/>
      </w:pPr>
      <w:bookmarkStart w:id="46" w:name="__RefHeading___Toc3361_504502774"/>
      <w:bookmarkStart w:id="47" w:name="testing-choices"/>
      <w:bookmarkEnd w:id="46"/>
      <w:r>
        <w:rPr>
          <w:rStyle w:val="SectionNumber"/>
          <w:b/>
          <w:color w:val="FFFFFF"/>
          <w:sz w:val="32"/>
        </w:rPr>
        <w:t>6</w:t>
      </w:r>
      <w:r>
        <w:rPr>
          <w:b/>
          <w:color w:val="FFFFFF"/>
          <w:sz w:val="32"/>
        </w:rPr>
        <w:tab/>
        <w:t>Testing Choices</w:t>
      </w:r>
    </w:p>
    <w:p>
      <w:pPr>
        <w:pStyle w:val="Heading2"/>
        <w:pageBreakBefore w:val="false"/>
        <w:pBdr>
          <w:bottom w:val="single" w:sz="12" w:space="0" w:color="228B22"/>
        </w:pBdr>
        <w:spacing w:before="280" w:after="80"/>
        <w:rPr/>
      </w:pPr>
      <w:bookmarkStart w:id="48" w:name="__RefHeading___Toc3363_504502774"/>
      <w:bookmarkStart w:id="49" w:name="X8d236ce34556ebaf33b14981fd5c50a974c9d5f"/>
      <w:bookmarkEnd w:id="48"/>
      <w:r>
        <w:rPr>
          <w:rStyle w:val="SectionNumber"/>
          <w:b/>
          <w:color w:val="228B22"/>
          <w:sz w:val="28"/>
        </w:rPr>
        <w:t>6.1</w:t>
      </w:r>
      <w:r>
        <w:rPr>
          <w:b/>
          <w:color w:val="228B22"/>
          <w:sz w:val="28"/>
        </w:rPr>
        <w:tab/>
        <w:t>Injector modes mapped to failure mechanisms</w:t>
      </w:r>
    </w:p>
    <w:p>
      <w:pPr>
        <w:pStyle w:val="FirstParagraph"/>
        <w:rPr/>
      </w:pPr>
      <w:r>
        <w:rPr>
          <w:sz w:val="20"/>
        </w:rPr>
        <w:t xml:space="preserve">The shared </w:t>
      </w:r>
      <w:r>
        <w:rPr>
          <w:rStyle w:val="VerbatimChar"/>
          <w:sz w:val="20"/>
        </w:rPr>
        <w:t>error_injector</w:t>
      </w:r>
      <w:r>
        <w:rPr>
          <w:sz w:val="20"/>
        </w:rPr>
        <w:t xml:space="preserve"> operates on 8-bit symbols. Mode 1 exact-count places exactly e errors per block at uniformly random distinct positions, which is what makes the e = t / e = t + 1 boundary sharp. Mode 2 burst and mode 3 rate model raw channel bit-error behaviour. Modes 4 clusters and 5 localized model spatially correlated faults. Mode 6 badblock models the tail of NAND retention. Mode 7 debug is the deterministic bring-up walk.</w:t>
      </w:r>
      <w:bookmarkEnd w:id="49"/>
      <w:r>
        <w:br w:type="page"/>
      </w:r>
    </w:p>
    <w:p>
      <w:pPr>
        <w:pStyle w:val="Heading2"/>
        <w:pBdr>
          <w:bottom w:val="single" w:sz="12" w:space="0" w:color="228B22"/>
        </w:pBdr>
        <w:spacing w:before="280" w:after="80"/>
        <w:rPr/>
      </w:pPr>
      <w:bookmarkStart w:id="50" w:name="__RefHeading___Toc3365_504502774"/>
      <w:bookmarkStart w:id="51" w:name="X39b5670bd0cc349c34063d439e0ead0eedf07cb"/>
      <w:bookmarkEnd w:id="50"/>
      <w:r>
        <w:rPr>
          <w:rStyle w:val="SectionNumber"/>
          <w:b/>
          <w:color w:val="228B22"/>
          <w:sz w:val="28"/>
        </w:rPr>
        <w:t>6.2</w:t>
      </w:r>
      <w:r>
        <w:rPr>
          <w:b/>
          <w:color w:val="228B22"/>
          <w:sz w:val="28"/>
        </w:rPr>
        <w:tab/>
        <w:t>Post-encoder injection protects parity symbols</w:t>
      </w:r>
    </w:p>
    <w:p>
      <w:pPr>
        <w:pStyle w:val="FirstParagraph"/>
        <w:rPr/>
      </w:pPr>
      <w:bookmarkStart w:id="52" w:name="X39b5670bd0cc349c34063d439e0ead0eedf07cb"/>
      <w:r>
        <w:rPr>
          <w:sz w:val="20"/>
        </w:rPr>
        <w:t>Errors are injected after the encoder, not in the generator. An error in the generator’s data would be encoded faithfully and would be invisible to the code. Placing the injector on the coded stream means parity symbols are corrupted too, which is the workload the decoder actually has to handle.</w:t>
      </w:r>
      <w:bookmarkEnd w:id="52"/>
      <w:r>
        <w:br w:type="page"/>
      </w:r>
    </w:p>
    <w:p>
      <w:pPr>
        <w:pStyle w:val="Heading2"/>
        <w:pBdr>
          <w:bottom w:val="single" w:sz="12" w:space="0" w:color="228B22"/>
        </w:pBdr>
        <w:spacing w:before="280" w:after="80"/>
        <w:rPr/>
      </w:pPr>
      <w:bookmarkStart w:id="53" w:name="__RefHeading___Toc3367_504502774"/>
      <w:bookmarkStart w:id="54" w:name="uart-and-the-safety-pair"/>
      <w:bookmarkEnd w:id="53"/>
      <w:r>
        <w:rPr>
          <w:rStyle w:val="SectionNumber"/>
          <w:b/>
          <w:color w:val="228B22"/>
          <w:sz w:val="28"/>
        </w:rPr>
        <w:t>6.3</w:t>
      </w:r>
      <w:r>
        <w:rPr>
          <w:b/>
          <w:color w:val="228B22"/>
          <w:sz w:val="28"/>
        </w:rPr>
        <w:tab/>
        <w:t>UART and the safety pair</w:t>
      </w:r>
    </w:p>
    <w:p>
      <w:pPr>
        <w:pStyle w:val="FirstParagraph"/>
        <w:rPr/>
      </w:pPr>
      <w:r>
        <w:rPr>
          <w:sz w:val="20"/>
        </w:rPr>
        <w:t xml:space="preserve">The harness uses a plain UART instead of a proprietary debug core, so the host side is just pyserial and Python scripts. Board safety is a pair: </w:t>
      </w:r>
      <w:r>
        <w:rPr>
          <w:rStyle w:val="VerbatimChar"/>
          <w:sz w:val="20"/>
        </w:rPr>
        <w:t>board_lock.sh</w:t>
      </w:r>
      <w:r>
        <w:rPr>
          <w:sz w:val="20"/>
        </w:rPr>
        <w:t xml:space="preserve"> serializes programming flows by JTAG serial, and </w:t>
      </w:r>
      <w:r>
        <w:rPr>
          <w:rStyle w:val="VerbatimChar"/>
          <w:sz w:val="20"/>
        </w:rPr>
        <w:t>fpga_board.py</w:t>
      </w:r>
      <w:r>
        <w:rPr>
          <w:sz w:val="20"/>
        </w:rPr>
        <w:t xml:space="preserve"> reads the JTAG chain before programming to confirm the expected Genesys 2 serial (</w:t>
      </w:r>
      <w:r>
        <w:rPr>
          <w:rStyle w:val="VerbatimChar"/>
          <w:sz w:val="20"/>
        </w:rPr>
        <w:t>200300B818A0</w:t>
      </w:r>
      <w:r>
        <w:rPr>
          <w:sz w:val="20"/>
        </w:rPr>
        <w:t>) is present with a device behind it.</w:t>
      </w:r>
      <w:bookmarkEnd w:id="54"/>
      <w:r>
        <w:br w:type="page"/>
      </w:r>
    </w:p>
    <w:p>
      <w:pPr>
        <w:pStyle w:val="Heading2"/>
        <w:pBdr>
          <w:bottom w:val="single" w:sz="12" w:space="0" w:color="228B22"/>
        </w:pBdr>
        <w:spacing w:before="280" w:after="80"/>
        <w:rPr/>
      </w:pPr>
      <w:bookmarkStart w:id="55" w:name="__RefHeading___Toc3369_504502774"/>
      <w:bookmarkStart w:id="56" w:name="genesys-2-vs-nexys-a7"/>
      <w:bookmarkEnd w:id="55"/>
      <w:r>
        <w:rPr>
          <w:rStyle w:val="SectionNumber"/>
          <w:b/>
          <w:color w:val="228B22"/>
          <w:sz w:val="28"/>
        </w:rPr>
        <w:t>6.4</w:t>
      </w:r>
      <w:r>
        <w:rPr>
          <w:b/>
          <w:color w:val="228B22"/>
          <w:sz w:val="28"/>
        </w:rPr>
        <w:tab/>
        <w:t>Genesys 2 vs Nexys A7</w:t>
      </w:r>
    </w:p>
    <w:p>
      <w:pPr>
        <w:pStyle w:val="FirstParagraph"/>
        <w:rPr/>
      </w:pPr>
      <w:r>
        <w:rPr>
          <w:sz w:val="20"/>
        </w:rPr>
        <w:t>The Kintex-7 XC7K325T-2 was chosen because it has room for the full harness plus observers and still closes timing with positive slack. The Nexys A7-100T flow is kept as a target option (</w:t>
      </w:r>
      <w:r>
        <w:rPr>
          <w:rStyle w:val="VerbatimChar"/>
          <w:sz w:val="20"/>
        </w:rPr>
        <w:t>RS_TARGET=nexys_a7_100t</w:t>
      </w:r>
      <w:r>
        <w:rPr>
          <w:sz w:val="20"/>
        </w:rPr>
        <w:t>) but the Genesys 2 is the primary target for harness-class work.</w:t>
      </w:r>
      <w:bookmarkEnd w:id="56"/>
      <w:r>
        <w:br w:type="page"/>
      </w:r>
    </w:p>
    <w:p>
      <w:pPr>
        <w:pStyle w:val="Heading2"/>
        <w:pBdr>
          <w:bottom w:val="single" w:sz="12" w:space="0" w:color="228B22"/>
        </w:pBdr>
        <w:spacing w:before="280" w:after="80"/>
        <w:rPr/>
      </w:pPr>
      <w:bookmarkStart w:id="57" w:name="__RefHeading___Toc3371_504502774"/>
      <w:bookmarkStart w:id="58" w:name="X795ba1d5d597264028343fd225a136bc41bb7e4"/>
      <w:bookmarkEnd w:id="57"/>
      <w:r>
        <w:rPr>
          <w:rStyle w:val="SectionNumber"/>
          <w:b/>
          <w:color w:val="228B22"/>
          <w:sz w:val="28"/>
        </w:rPr>
        <w:t>6.5</w:t>
      </w:r>
      <w:r>
        <w:rPr>
          <w:b/>
          <w:color w:val="228B22"/>
          <w:sz w:val="28"/>
        </w:rPr>
        <w:tab/>
        <w:t>AXIS and AXI4 flavors cover both integration styles</w:t>
      </w:r>
    </w:p>
    <w:p>
      <w:pPr>
        <w:pStyle w:val="FirstParagraph"/>
        <w:rPr/>
      </w:pPr>
      <w:r>
        <w:rPr>
          <w:sz w:val="20"/>
        </w:rPr>
        <w:t xml:space="preserve">The AXIS flavor is a single streaming pipe; the AXI4 flavor replaces the middle with </w:t>
      </w:r>
      <w:r>
        <w:rPr>
          <w:rStyle w:val="VerbatimChar"/>
          <w:sz w:val="20"/>
        </w:rPr>
        <w:t>rs_axi4_pipeline</w:t>
      </w:r>
      <w:r>
        <w:rPr>
          <w:sz w:val="20"/>
        </w:rPr>
        <w:t xml:space="preserve">, a memory-to-memory job chain over block RAM. Both use the same generator, checker, CSRs, and verdict logic, so a run reports itself identically whichever middle is built. Running the same deterministic campaign on both flavours is a free sanity check. The AXI4 flavor refuses a </w:t>
      </w:r>
      <w:r>
        <w:rPr>
          <w:rStyle w:val="VerbatimChar"/>
          <w:sz w:val="20"/>
        </w:rPr>
        <w:t>GEN_BLOCKS</w:t>
      </w:r>
      <w:r>
        <w:rPr>
          <w:sz w:val="20"/>
        </w:rPr>
        <w:t xml:space="preserve"> value that would exceed the job memories.</w:t>
      </w:r>
      <w:bookmarkEnd w:id="58"/>
      <w:r>
        <w:br w:type="page"/>
      </w:r>
    </w:p>
    <w:p>
      <w:pPr>
        <w:pStyle w:val="Heading2"/>
        <w:pBdr>
          <w:bottom w:val="single" w:sz="12" w:space="0" w:color="228B22"/>
        </w:pBdr>
        <w:spacing w:before="280" w:after="80"/>
        <w:rPr/>
      </w:pPr>
      <w:bookmarkStart w:id="59" w:name="__RefHeading___Toc3373_504502774"/>
      <w:bookmarkStart w:id="60" w:name="deliberately-not-board-tested"/>
      <w:bookmarkEnd w:id="59"/>
      <w:r>
        <w:rPr>
          <w:rStyle w:val="SectionNumber"/>
          <w:b/>
          <w:color w:val="228B22"/>
          <w:sz w:val="28"/>
        </w:rPr>
        <w:t>6.6</w:t>
      </w:r>
      <w:r>
        <w:rPr>
          <w:b/>
          <w:color w:val="228B22"/>
          <w:sz w:val="28"/>
        </w:rPr>
        <w:tab/>
        <w:t>Deliberately not board-tested</w:t>
      </w:r>
    </w:p>
    <w:p>
      <w:pPr>
        <w:pStyle w:val="FirstParagraph"/>
        <w:rPr/>
      </w:pPr>
      <w:r>
        <w:rPr>
          <w:sz w:val="20"/>
        </w:rPr>
        <w:t xml:space="preserve">The dual-decoder comparator with </w:t>
      </w:r>
      <w:r>
        <w:rPr>
          <w:rStyle w:val="VerbatimChar"/>
          <w:sz w:val="20"/>
        </w:rPr>
        <w:t>ENABLE_COMPARE=1</w:t>
      </w:r>
      <w:r>
        <w:rPr>
          <w:sz w:val="20"/>
        </w:rPr>
        <w:t xml:space="preserve"> is the sim/DV domain. The soak campaign runs separately from the battery because of its wall time — hours at UART rates; it completed on 2026-10-06 and is reported in Chapter 4. The component DV matrix exercises the codec in ways the board harness does not replicate. The erasure </w:t>
      </w:r>
      <w:r>
        <w:rPr>
          <w:rStyle w:val="VerbatimChar"/>
          <w:sz w:val="20"/>
        </w:rPr>
        <w:t>f = 2t</w:t>
      </w:r>
      <w:r>
        <w:rPr>
          <w:sz w:val="20"/>
        </w:rPr>
        <w:t xml:space="preserve"> boundary is a known open issue, detailed in the next section.</w:t>
      </w:r>
      <w:bookmarkEnd w:id="47"/>
      <w:bookmarkEnd w:id="60"/>
      <w:r>
        <w:br w:type="page"/>
      </w:r>
    </w:p>
    <w:p>
      <w:pPr>
        <w:pStyle w:val="Heading1"/>
        <w:shd w:val="clear" w:color="auto" w:fill="404040"/>
        <w:spacing w:before="360" w:after="120"/>
        <w:rPr/>
      </w:pPr>
      <w:bookmarkStart w:id="61" w:name="__RefHeading___Toc3375_504502774"/>
      <w:bookmarkStart w:id="62" w:name="erasure-campaign"/>
      <w:bookmarkEnd w:id="61"/>
      <w:r>
        <w:rPr>
          <w:rStyle w:val="SectionNumber"/>
          <w:b/>
          <w:color w:val="FFFFFF"/>
          <w:sz w:val="32"/>
        </w:rPr>
        <w:t>7</w:t>
      </w:r>
      <w:r>
        <w:rPr>
          <w:b/>
          <w:color w:val="FFFFFF"/>
          <w:sz w:val="32"/>
        </w:rPr>
        <w:tab/>
        <w:t>Erasure Campaign</w:t>
      </w:r>
    </w:p>
    <w:p>
      <w:pPr>
        <w:pStyle w:val="Heading2"/>
        <w:pageBreakBefore w:val="false"/>
        <w:pBdr>
          <w:bottom w:val="single" w:sz="12" w:space="0" w:color="228B22"/>
        </w:pBdr>
        <w:spacing w:before="280" w:after="80"/>
        <w:rPr/>
      </w:pPr>
      <w:bookmarkStart w:id="63" w:name="__RefHeading___Toc3377_504502774"/>
      <w:bookmarkStart w:id="64" w:name="what-erasure-decoding-adds"/>
      <w:bookmarkEnd w:id="63"/>
      <w:r>
        <w:rPr>
          <w:rStyle w:val="SectionNumber"/>
          <w:b/>
          <w:color w:val="228B22"/>
          <w:sz w:val="28"/>
        </w:rPr>
        <w:t>7.1</w:t>
      </w:r>
      <w:r>
        <w:rPr>
          <w:b/>
          <w:color w:val="228B22"/>
          <w:sz w:val="28"/>
        </w:rPr>
        <w:tab/>
        <w:t>What erasure decoding adds</w:t>
      </w:r>
    </w:p>
    <w:p>
      <w:pPr>
        <w:pStyle w:val="FirstParagraph"/>
        <w:rPr/>
      </w:pPr>
      <w:r>
        <w:rPr>
          <w:sz w:val="20"/>
        </w:rPr>
        <w:t xml:space="preserve">When </w:t>
      </w:r>
      <w:r>
        <w:rPr>
          <w:rStyle w:val="VerbatimChar"/>
          <w:sz w:val="20"/>
        </w:rPr>
        <w:t>INJ_CFG.mark</w:t>
      </w:r>
      <w:r>
        <w:rPr>
          <w:sz w:val="20"/>
        </w:rPr>
        <w:t xml:space="preserve"> is set, the injector’s hit mask rides the decoder </w:t>
      </w:r>
      <w:r>
        <w:rPr>
          <w:rStyle w:val="VerbatimChar"/>
          <w:sz w:val="20"/>
        </w:rPr>
        <w:t>in_erasure</w:t>
      </w:r>
      <w:r>
        <w:rPr>
          <w:sz w:val="20"/>
        </w:rPr>
        <w:t xml:space="preserve"> sideband. The decoder is then told which symbols were corrupted, so the correction bound doubles: the decoder can correct e errors plus f erasures whenever 2e + f &lt;= 2t. For RS(252,236) t=8, that means:</w:t>
      </w:r>
    </w:p>
    <w:p>
      <w:pPr>
        <w:pStyle w:val="Compact"/>
        <w:numPr>
          <w:ilvl w:val="0"/>
          <w:numId w:val="9"/>
        </w:numPr>
        <w:rPr/>
      </w:pPr>
      <w:r>
        <w:rPr/>
        <w:t>f = t = 8 erasures alone should correct.</w:t>
      </w:r>
    </w:p>
    <w:p>
      <w:pPr>
        <w:pStyle w:val="Compact"/>
        <w:numPr>
          <w:ilvl w:val="0"/>
          <w:numId w:val="10"/>
        </w:numPr>
        <w:rPr/>
      </w:pPr>
      <w:r>
        <w:rPr/>
        <w:t>f = 2t = 16 erasures alone should correct.</w:t>
      </w:r>
    </w:p>
    <w:p>
      <w:pPr>
        <w:pStyle w:val="Compact"/>
        <w:numPr>
          <w:ilvl w:val="0"/>
          <w:numId w:val="11"/>
        </w:numPr>
        <w:rPr/>
      </w:pPr>
      <w:bookmarkStart w:id="65" w:name="what-erasure-decoding-adds"/>
      <w:r>
        <w:rPr/>
        <w:t>f = 2t + 1 = 17 erasures should be refused by inspection.</w:t>
      </w:r>
      <w:bookmarkEnd w:id="65"/>
      <w:r>
        <w:br w:type="page"/>
      </w:r>
    </w:p>
    <w:p>
      <w:pPr>
        <w:pStyle w:val="Heading2"/>
        <w:pBdr>
          <w:bottom w:val="single" w:sz="12" w:space="0" w:color="228B22"/>
        </w:pBdr>
        <w:spacing w:before="280" w:after="80"/>
        <w:rPr/>
      </w:pPr>
      <w:bookmarkStart w:id="66" w:name="__RefHeading___Toc3379_504502774"/>
      <w:bookmarkEnd w:id="66"/>
      <w:r>
        <w:rPr>
          <w:rStyle w:val="SectionNumber"/>
          <w:b/>
          <w:color w:val="228B22"/>
          <w:sz w:val="28"/>
        </w:rPr>
        <w:t>7.2</w:t>
      </w:r>
      <w:r>
        <w:rPr>
          <w:b/>
          <w:color w:val="228B22"/>
          <w:sz w:val="28"/>
        </w:rPr>
        <w:tab/>
        <w:t>Board findings</w:t>
      </w:r>
    </w:p>
    <w:p>
      <w:pPr>
        <w:pStyle w:val="FirstParagraph"/>
        <w:rPr/>
      </w:pPr>
      <w:r>
        <w:rPr>
          <w:sz w:val="20"/>
        </w:rPr>
        <w:t xml:space="preserve">The </w:t>
      </w:r>
      <w:r>
        <w:rPr>
          <w:rStyle w:val="VerbatimChar"/>
          <w:sz w:val="20"/>
        </w:rPr>
        <w:t>erasure</w:t>
      </w:r>
      <w:r>
        <w:rPr>
          <w:sz w:val="20"/>
        </w:rPr>
        <w:t xml:space="preserve"> sequence was run on the Genesys 2 board:</w:t>
      </w:r>
    </w:p>
    <w:p>
      <w:pPr>
        <w:pStyle w:val="TableCaption"/>
        <w:rPr/>
      </w:pPr>
      <w:bookmarkStart w:id="67" w:name="_Tab_6_Table_3_2__Reed_Solo"/>
      <w:r>
        <w:rPr/>
        <w:t>Table 3.2: Reed-Solomon erasure boundary results.</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0"/>
        <w:gridCol w:w="4070"/>
        <w:gridCol w:w="4070"/>
      </w:tblGrid>
      <w:tr>
        <w:trPr>
          <w:tblHeader w:val="true"/>
        </w:trPr>
        <w:tc>
          <w:tcPr>
            <w:tcW w:w="12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Observed</w:t>
            </w:r>
          </w:p>
        </w:tc>
      </w:tr>
      <w:tr>
        <w:trPr/>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 16/16 blocks corrected, A=B solver agreement.</w:t>
            </w:r>
          </w:p>
        </w:tc>
      </w:tr>
      <w:tr>
        <w:trPr/>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(2t)</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Flagged uncorrectable: </w:t>
            </w:r>
            <w:r>
              <w:rPr>
                <w:rStyle w:val="VerbatimChar"/>
                <w:rFonts w:eastAsia="Cambria" w:cs=""/>
                <w:kern w:val="0"/>
                <w:szCs w:val="24"/>
                <w:lang w:val="en-US" w:eastAsia="en-US" w:bidi="ar-SA"/>
              </w:rPr>
              <w:t>ok/corr/unc = 0/0/16</w:t>
            </w:r>
            <w:r>
              <w:rPr>
                <w:rFonts w:eastAsia="Cambria" w:cs=""/>
                <w:kern w:val="0"/>
                <w:sz w:val="24"/>
                <w:szCs w:val="24"/>
                <w:lang w:val="en-US" w:eastAsia="en-US" w:bidi="ar-SA"/>
              </w:rPr>
              <w:t>.</w:t>
            </w:r>
          </w:p>
        </w:tc>
      </w:tr>
      <w:tr>
        <w:trPr/>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 (2t+1)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Refuse by inspection</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Refused: 16/16 blocks uncorrectable.</w:t>
            </w:r>
            <w:bookmarkStart w:id="68" w:name="board-findings"/>
            <w:bookmarkEnd w:id="68"/>
          </w:p>
        </w:tc>
      </w:tr>
    </w:tbl>
    <w:p>
      <w:pPr>
        <w:pStyle w:val="Heading2"/>
        <w:pBdr>
          <w:bottom w:val="single" w:sz="12" w:space="0" w:color="228B22"/>
        </w:pBdr>
        <w:spacing w:before="280" w:after="80"/>
        <w:rPr/>
      </w:pPr>
      <w:r>
        <w:br w:type="page"/>
      </w:r>
      <w:bookmarkStart w:id="69" w:name="__RefHeading___Toc3381_504502774"/>
      <w:bookmarkEnd w:id="69"/>
      <w:r>
        <w:rPr>
          <w:rStyle w:val="SectionNumber"/>
          <w:b/>
          <w:color w:val="228B22"/>
          <w:sz w:val="28"/>
        </w:rPr>
        <w:t>7.3</w:t>
      </w:r>
      <w:r>
        <w:rPr>
          <w:b/>
          <w:color w:val="228B22"/>
          <w:sz w:val="28"/>
        </w:rPr>
        <w:tab/>
        <w:t>TASK-005 boundary</w:t>
      </w:r>
    </w:p>
    <w:p>
      <w:pPr>
        <w:pStyle w:val="FirstParagraph"/>
        <w:rPr/>
      </w:pPr>
      <w:r>
        <w:rPr>
          <w:sz w:val="20"/>
        </w:rPr>
        <w:t>The f = 2t case is the known open issue TASK-005 (</w:t>
      </w:r>
      <w:r>
        <w:rPr>
          <w:rStyle w:val="VerbatimChar"/>
          <w:sz w:val="20"/>
        </w:rPr>
        <w:t>vault/tracking/projects/components/ecc-ip/reed-solomon/task/open/TASK-005.md</w:t>
      </w:r>
      <w:r>
        <w:rPr>
          <w:sz w:val="20"/>
        </w:rPr>
        <w:t xml:space="preserve">): the B-stage </w:t>
      </w:r>
      <w:r>
        <w:rPr>
          <w:rStyle w:val="VerbatimChar"/>
          <w:sz w:val="20"/>
        </w:rPr>
        <w:t>t_zero</w:t>
      </w:r>
      <w:r>
        <w:rPr>
          <w:sz w:val="20"/>
        </w:rPr>
        <w:t xml:space="preserve"> bypass intends to pass f = 16, but the final verdict fires downstream. The f = t and f = 2t+1 paths are correct; the f = 2t path must be fixed in the component DV and then re-run on the board. This report documents the finding exactly as measured and does not fabricate a corrected result.</w:t>
      </w:r>
      <w:bookmarkEnd w:id="62"/>
      <w:r>
        <w:br w:type="page"/>
      </w:r>
    </w:p>
    <w:p>
      <w:pPr>
        <w:pStyle w:val="Heading1"/>
        <w:shd w:val="clear" w:color="auto" w:fill="404040"/>
        <w:spacing w:before="360" w:after="120"/>
        <w:rPr/>
      </w:pPr>
      <w:bookmarkStart w:id="70" w:name="__RefHeading___Toc3383_504502774"/>
      <w:bookmarkStart w:id="71" w:name="battery-results"/>
      <w:bookmarkEnd w:id="70"/>
      <w:r>
        <w:rPr>
          <w:rStyle w:val="SectionNumber"/>
          <w:b/>
          <w:color w:val="FFFFFF"/>
          <w:sz w:val="32"/>
        </w:rPr>
        <w:t>8</w:t>
      </w:r>
      <w:r>
        <w:rPr>
          <w:b/>
          <w:color w:val="FFFFFF"/>
          <w:sz w:val="32"/>
        </w:rPr>
        <w:tab/>
        <w:t>Battery Results</w:t>
      </w:r>
    </w:p>
    <w:p>
      <w:pPr>
        <w:pStyle w:val="Heading2"/>
        <w:pageBreakBefore w:val="false"/>
        <w:pBdr>
          <w:bottom w:val="single" w:sz="12" w:space="0" w:color="228B22"/>
        </w:pBdr>
        <w:spacing w:before="280" w:after="80"/>
        <w:rPr/>
      </w:pPr>
      <w:bookmarkStart w:id="72" w:name="__RefHeading___Toc3385_504502774"/>
      <w:bookmarkEnd w:id="72"/>
      <w:r>
        <w:rPr>
          <w:rStyle w:val="SectionNumber"/>
          <w:b/>
          <w:color w:val="228B22"/>
          <w:sz w:val="28"/>
        </w:rPr>
        <w:t>8.1</w:t>
      </w:r>
      <w:r>
        <w:rPr>
          <w:b/>
          <w:color w:val="228B22"/>
          <w:sz w:val="28"/>
        </w:rPr>
        <w:tab/>
        <w:t>Per-image campaign status</w:t>
      </w:r>
    </w:p>
    <w:p>
      <w:pPr>
        <w:pStyle w:val="FirstParagraph"/>
        <w:rPr/>
      </w:pPr>
      <w:r>
        <w:rPr>
          <w:sz w:val="20"/>
        </w:rPr>
        <w:t>All four images passed every campaign in the 2026-10-05 battery:</w:t>
      </w:r>
    </w:p>
    <w:p>
      <w:pPr>
        <w:pStyle w:val="TableCaption"/>
        <w:rPr/>
      </w:pPr>
      <w:bookmarkStart w:id="73" w:name="_Tab_7_Table_4_1__Reed_Solo"/>
      <w:r>
        <w:rPr/>
        <w:t>Table 4.1: Reed-Solomon 2026-10-05 battery per-image status.</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012"/>
        <w:gridCol w:w="759"/>
        <w:gridCol w:w="885"/>
        <w:gridCol w:w="886"/>
        <w:gridCol w:w="1012"/>
        <w:gridCol w:w="1264"/>
        <w:gridCol w:w="1392"/>
        <w:gridCol w:w="1264"/>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Image</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Solver</w:t>
            </w:r>
          </w:p>
        </w:tc>
        <w:tc>
          <w:tcPr>
            <w:tcW w:w="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Init</w:t>
            </w:r>
          </w:p>
        </w:tc>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Smoke</w:t>
            </w:r>
          </w:p>
        </w:tc>
        <w:tc>
          <w:tcPr>
            <w:tcW w:w="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Random</w:t>
            </w:r>
          </w:p>
        </w:tc>
        <w:tc>
          <w:tcPr>
            <w:tcW w:w="1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Clusters</w:t>
            </w:r>
          </w:p>
        </w:tc>
        <w:tc>
          <w:tcPr>
            <w:tcW w:w="13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Localized</w:t>
            </w:r>
          </w:p>
        </w:tc>
        <w:tc>
          <w:tcPr>
            <w:tcW w:w="1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Badblock</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axis_ribm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axis_euclid</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axi4_ribm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axi4_euclid</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74" w:name="per-image-campaign-status"/>
            <w:bookmarkEnd w:id="74"/>
          </w:p>
        </w:tc>
      </w:tr>
    </w:tbl>
    <w:p>
      <w:pPr>
        <w:pStyle w:val="Heading2"/>
        <w:pBdr>
          <w:bottom w:val="single" w:sz="12" w:space="0" w:color="228B22"/>
        </w:pBdr>
        <w:spacing w:before="280" w:after="80"/>
        <w:rPr/>
      </w:pPr>
      <w:r>
        <w:br w:type="page"/>
      </w:r>
      <w:bookmarkStart w:id="75" w:name="__RefHeading___Toc3387_504502774"/>
      <w:bookmarkEnd w:id="75"/>
      <w:r>
        <w:rPr>
          <w:rStyle w:val="SectionNumber"/>
          <w:b/>
          <w:color w:val="228B22"/>
          <w:sz w:val="28"/>
        </w:rPr>
        <w:t>8.2</w:t>
      </w:r>
      <w:r>
        <w:rPr>
          <w:b/>
          <w:color w:val="228B22"/>
          <w:sz w:val="28"/>
        </w:rPr>
        <w:tab/>
        <w:t>Correction boundary</w:t>
      </w:r>
    </w:p>
    <w:p>
      <w:pPr>
        <w:pStyle w:val="CaptionedFigure"/>
        <w:rPr/>
      </w:pPr>
      <w:r>
        <w:rPr/>
        <w:drawing>
          <wp:inline distT="0" distB="0" distL="0" distR="0">
            <wp:extent cx="5334000" cy="4417695"/>
            <wp:effectExtent l="0" t="0" r="0" b="0"/>
            <wp:docPr id="5" name="Image2" descr="fig_1_correction_bound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fig_1_correction_boundary.png"/>
                    <pic:cNvPicPr>
                      <a:picLocks noChangeAspect="1" noChangeArrowheads="1"/>
                    </pic:cNvPicPr>
                  </pic:nvPicPr>
                  <pic:blipFill>
                    <a:blip r:embed="rId5"/>
                    <a:stretch>
                      <a:fillRect/>
                    </a:stretch>
                  </pic:blipFill>
                  <pic:spPr bwMode="auto">
                    <a:xfrm>
                      <a:off x="0" y="0"/>
                      <a:ext cx="5334000" cy="4417695"/>
                    </a:xfrm>
                    <a:prstGeom prst="rect">
                      <a:avLst/>
                    </a:prstGeom>
                  </pic:spPr>
                </pic:pic>
              </a:graphicData>
            </a:graphic>
          </wp:inline>
        </w:drawing>
      </w:r>
    </w:p>
    <w:p>
      <w:pPr>
        <w:pStyle w:val="ImageCaption"/>
        <w:rPr/>
      </w:pPr>
      <w:r>
        <w:rPr/>
        <w:t>fig_1_correction_boundary.png</w:t>
      </w:r>
    </w:p>
    <w:p>
      <w:pPr>
        <w:pStyle w:val="Heading3"/>
        <w:spacing w:before="200" w:after="80"/>
        <w:rPr/>
      </w:pPr>
      <w:bookmarkStart w:id="76" w:name="__RefHeading___Toc3389_504502774"/>
      <w:bookmarkStart w:id="77" w:name="X58bbb23f7f0f279aa358d7d60f440641ac1834b"/>
      <w:bookmarkStart w:id="78" w:name="_Fig_2_Reed_Solomon_correct"/>
      <w:bookmarkEnd w:id="76"/>
      <w:r>
        <w:rPr>
          <w:rStyle w:val="SectionNumber"/>
          <w:b/>
          <w:color w:val="404040"/>
          <w:sz w:val="24"/>
        </w:rPr>
        <w:t>8.2.1</w:t>
      </w:r>
      <w:r>
        <w:rPr>
          <w:b/>
          <w:color w:val="404040"/>
          <w:sz w:val="24"/>
        </w:rPr>
        <w:tab/>
        <w:t>Figure 4.1: Reed-Solomon correction boundary across all four images.</w:t>
      </w:r>
      <w:bookmarkEnd w:id="77"/>
      <w:bookmarkEnd w:id="78"/>
      <w:r>
        <w:br w:type="page"/>
      </w:r>
    </w:p>
    <w:p>
      <w:pPr>
        <w:pStyle w:val="Heading2"/>
        <w:pBdr>
          <w:bottom w:val="single" w:sz="12" w:space="0" w:color="228B22"/>
        </w:pBdr>
        <w:spacing w:before="280" w:after="80"/>
        <w:rPr/>
      </w:pPr>
      <w:bookmarkStart w:id="79" w:name="__RefHeading___Toc3391_504502774"/>
      <w:bookmarkStart w:id="80" w:name="decode-cost"/>
      <w:bookmarkEnd w:id="79"/>
      <w:r>
        <w:rPr>
          <w:rStyle w:val="SectionNumber"/>
          <w:b/>
          <w:color w:val="228B22"/>
          <w:sz w:val="28"/>
        </w:rPr>
        <w:t>8.3</w:t>
      </w:r>
      <w:r>
        <w:rPr>
          <w:b/>
          <w:color w:val="228B22"/>
          <w:sz w:val="28"/>
        </w:rPr>
        <w:tab/>
        <w:t>Decode cost</w:t>
      </w:r>
    </w:p>
    <w:p>
      <w:pPr>
        <w:pStyle w:val="CaptionedFigure"/>
        <w:rPr/>
      </w:pPr>
      <w:r>
        <w:rPr/>
        <w:drawing>
          <wp:inline distT="0" distB="0" distL="0" distR="0">
            <wp:extent cx="5334000" cy="3333750"/>
            <wp:effectExtent l="0" t="0" r="0" b="0"/>
            <wp:docPr id="6" name="Image3" descr="fig_2_decode_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fig_2_decode_cost.png"/>
                    <pic:cNvPicPr>
                      <a:picLocks noChangeAspect="1" noChangeArrowheads="1"/>
                    </pic:cNvPicPr>
                  </pic:nvPicPr>
                  <pic:blipFill>
                    <a:blip r:embed="rId6"/>
                    <a:stretch>
                      <a:fillRect/>
                    </a:stretch>
                  </pic:blipFill>
                  <pic:spPr bwMode="auto">
                    <a:xfrm>
                      <a:off x="0" y="0"/>
                      <a:ext cx="5334000" cy="3333750"/>
                    </a:xfrm>
                    <a:prstGeom prst="rect">
                      <a:avLst/>
                    </a:prstGeom>
                  </pic:spPr>
                </pic:pic>
              </a:graphicData>
            </a:graphic>
          </wp:inline>
        </w:drawing>
      </w:r>
    </w:p>
    <w:p>
      <w:pPr>
        <w:pStyle w:val="ImageCaption"/>
        <w:rPr/>
      </w:pPr>
      <w:r>
        <w:rPr/>
        <w:t>fig_2_decode_cost.png</w:t>
      </w:r>
    </w:p>
    <w:p>
      <w:pPr>
        <w:pStyle w:val="Heading3"/>
        <w:spacing w:before="200" w:after="80"/>
        <w:rPr/>
      </w:pPr>
      <w:bookmarkStart w:id="81" w:name="__RefHeading___Toc3393_504502774"/>
      <w:bookmarkStart w:id="82" w:name="Xbd76f93528fb9398249af7b8793150605e473fb"/>
      <w:bookmarkStart w:id="83" w:name="_Fig_3_Reed_Solomon_decode_"/>
      <w:bookmarkEnd w:id="81"/>
      <w:r>
        <w:rPr>
          <w:rStyle w:val="SectionNumber"/>
          <w:b/>
          <w:color w:val="404040"/>
          <w:sz w:val="24"/>
        </w:rPr>
        <w:t>8.3.1</w:t>
      </w:r>
      <w:r>
        <w:rPr>
          <w:b/>
          <w:color w:val="404040"/>
          <w:sz w:val="24"/>
        </w:rPr>
        <w:tab/>
        <w:t>Figure 4.2: Reed-Solomon decode cost across all four images.</w:t>
      </w:r>
      <w:bookmarkEnd w:id="80"/>
      <w:bookmarkEnd w:id="82"/>
      <w:bookmarkEnd w:id="83"/>
      <w:r>
        <w:br w:type="page"/>
      </w:r>
    </w:p>
    <w:p>
      <w:pPr>
        <w:pStyle w:val="Heading2"/>
        <w:pBdr>
          <w:bottom w:val="single" w:sz="12" w:space="0" w:color="228B22"/>
        </w:pBdr>
        <w:spacing w:before="280" w:after="80"/>
        <w:rPr/>
      </w:pPr>
      <w:bookmarkStart w:id="84" w:name="__RefHeading___Toc3395_504502774"/>
      <w:bookmarkEnd w:id="84"/>
      <w:r>
        <w:rPr>
          <w:rStyle w:val="SectionNumber"/>
          <w:b/>
          <w:color w:val="228B22"/>
          <w:sz w:val="28"/>
        </w:rPr>
        <w:t>8.4</w:t>
      </w:r>
      <w:r>
        <w:rPr>
          <w:b/>
          <w:color w:val="228B22"/>
          <w:sz w:val="28"/>
        </w:rPr>
        <w:tab/>
        <w:t>Sweep verdict table</w:t>
      </w:r>
    </w:p>
    <w:p>
      <w:pPr>
        <w:pStyle w:val="FirstParagraph"/>
        <w:rPr/>
      </w:pPr>
      <w:r>
        <w:rPr>
          <w:sz w:val="20"/>
        </w:rPr>
        <w:t>The sweep ran e = 0 .. 18 with 16 blocks per count on every image:</w:t>
      </w:r>
    </w:p>
    <w:p>
      <w:pPr>
        <w:pStyle w:val="TableCaption"/>
        <w:rPr/>
      </w:pPr>
      <w:bookmarkStart w:id="85" w:name="_Tab_8_Table_4_2__Reed_Solo"/>
      <w:r>
        <w:rPr/>
        <w:t>Table 4.2: Reed-Solomon sweep verdicts.</w:t>
      </w:r>
      <w:bookmarkEnd w:id="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decode.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bookmarkStart w:id="86" w:name="sweep-verdict-table"/>
            <w:bookmarkEnd w:id="86"/>
          </w:p>
        </w:tc>
      </w:tr>
    </w:tbl>
    <w:p>
      <w:pPr>
        <w:pStyle w:val="Heading2"/>
        <w:pBdr>
          <w:bottom w:val="single" w:sz="12" w:space="0" w:color="228B22"/>
        </w:pBdr>
        <w:spacing w:before="280" w:after="80"/>
        <w:rPr/>
      </w:pPr>
      <w:r>
        <w:br w:type="page"/>
      </w:r>
      <w:bookmarkStart w:id="87" w:name="__RefHeading___Toc3397_504502774"/>
      <w:bookmarkEnd w:id="87"/>
      <w:r>
        <w:rPr>
          <w:rStyle w:val="SectionNumber"/>
          <w:b/>
          <w:color w:val="228B22"/>
          <w:sz w:val="28"/>
        </w:rPr>
        <w:t>8.5</w:t>
      </w:r>
      <w:r>
        <w:rPr>
          <w:b/>
          <w:color w:val="228B22"/>
          <w:sz w:val="28"/>
        </w:rPr>
        <w:tab/>
        <w:t>Solver agreement</w:t>
      </w:r>
    </w:p>
    <w:p>
      <w:pPr>
        <w:pStyle w:val="CaptionedFigure"/>
        <w:rPr/>
      </w:pPr>
      <w:r>
        <w:rPr/>
        <w:drawing>
          <wp:inline distT="0" distB="0" distL="0" distR="0">
            <wp:extent cx="5334000" cy="3333750"/>
            <wp:effectExtent l="0" t="0" r="0" b="0"/>
            <wp:docPr id="7" name="Image4" descr="fig_5_solver_agre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fig_5_solver_agreement.png"/>
                    <pic:cNvPicPr>
                      <a:picLocks noChangeAspect="1" noChangeArrowheads="1"/>
                    </pic:cNvPicPr>
                  </pic:nvPicPr>
                  <pic:blipFill>
                    <a:blip r:embed="rId7"/>
                    <a:stretch>
                      <a:fillRect/>
                    </a:stretch>
                  </pic:blipFill>
                  <pic:spPr bwMode="auto">
                    <a:xfrm>
                      <a:off x="0" y="0"/>
                      <a:ext cx="5334000" cy="3333750"/>
                    </a:xfrm>
                    <a:prstGeom prst="rect">
                      <a:avLst/>
                    </a:prstGeom>
                  </pic:spPr>
                </pic:pic>
              </a:graphicData>
            </a:graphic>
          </wp:inline>
        </w:drawing>
      </w:r>
    </w:p>
    <w:p>
      <w:pPr>
        <w:pStyle w:val="ImageCaption"/>
        <w:rPr/>
      </w:pPr>
      <w:r>
        <w:rPr/>
        <w:t>fig_5_solver_agreement.png</w:t>
      </w:r>
    </w:p>
    <w:p>
      <w:pPr>
        <w:pStyle w:val="Heading3"/>
        <w:spacing w:before="200" w:after="80"/>
        <w:rPr/>
      </w:pPr>
      <w:bookmarkStart w:id="88" w:name="__RefHeading___Toc3399_504502774"/>
      <w:bookmarkStart w:id="89" w:name="X716233a5ff908087d5e190a9a5f2fe1ad8866d7"/>
      <w:bookmarkStart w:id="90" w:name="_Fig_4_Reed_Solomon_solver_"/>
      <w:bookmarkEnd w:id="88"/>
      <w:r>
        <w:rPr>
          <w:rStyle w:val="SectionNumber"/>
          <w:b/>
          <w:color w:val="404040"/>
          <w:sz w:val="24"/>
        </w:rPr>
        <w:t>8.5.1</w:t>
      </w:r>
      <w:r>
        <w:rPr>
          <w:b/>
          <w:color w:val="404040"/>
          <w:sz w:val="24"/>
        </w:rPr>
        <w:tab/>
        <w:t>Figure 4.3: Reed-Solomon solver agreement matrix (riBM vs Euclid).</w:t>
      </w:r>
      <w:bookmarkEnd w:id="90"/>
    </w:p>
    <w:p>
      <w:pPr>
        <w:pStyle w:val="FirstParagraph"/>
        <w:rPr/>
      </w:pPr>
      <w:bookmarkStart w:id="91" w:name="battery-results"/>
      <w:bookmarkStart w:id="92" w:name="X716233a5ff908087d5e190a9a5f2fe1ad8866d7"/>
      <w:r>
        <w:rPr>
          <w:sz w:val="20"/>
        </w:rPr>
        <w:t>The matrix is entirely green with a Y in every cell. That means no image, at any injected error count from 0 to 18, disagreed with its sibling solver on the same deterministic workload. The absence of any red cell is the board evidence that the two key-equation solvers are consistent.</w:t>
      </w:r>
      <w:bookmarkEnd w:id="91"/>
      <w:bookmarkEnd w:id="92"/>
      <w:r>
        <w:br w:type="page"/>
      </w:r>
    </w:p>
    <w:p>
      <w:pPr>
        <w:pStyle w:val="Heading1"/>
        <w:shd w:val="clear" w:color="auto" w:fill="404040"/>
        <w:spacing w:before="360" w:after="120"/>
        <w:rPr/>
      </w:pPr>
      <w:bookmarkStart w:id="93" w:name="__RefHeading___Toc3401_504502774"/>
      <w:bookmarkStart w:id="94" w:name="soak-results"/>
      <w:bookmarkEnd w:id="93"/>
      <w:r>
        <w:rPr>
          <w:rStyle w:val="SectionNumber"/>
          <w:b/>
          <w:color w:val="FFFFFF"/>
          <w:sz w:val="32"/>
        </w:rPr>
        <w:t>9</w:t>
      </w:r>
      <w:r>
        <w:rPr>
          <w:b/>
          <w:color w:val="FFFFFF"/>
          <w:sz w:val="32"/>
        </w:rPr>
        <w:tab/>
        <w:t>Soak Results</w:t>
      </w:r>
    </w:p>
    <w:p>
      <w:pPr>
        <w:pStyle w:val="Heading2"/>
        <w:pageBreakBefore w:val="false"/>
        <w:pBdr>
          <w:bottom w:val="single" w:sz="12" w:space="0" w:color="228B22"/>
        </w:pBdr>
        <w:spacing w:before="280" w:after="80"/>
        <w:rPr/>
      </w:pPr>
      <w:bookmarkStart w:id="95" w:name="__RefHeading___Toc3403_504502774"/>
      <w:bookmarkStart w:id="96" w:name="one-million-blocks-on-the-axi4-image"/>
      <w:bookmarkEnd w:id="95"/>
      <w:r>
        <w:rPr>
          <w:rStyle w:val="SectionNumber"/>
          <w:b/>
          <w:color w:val="228B22"/>
          <w:sz w:val="28"/>
        </w:rPr>
        <w:t>9.1</w:t>
      </w:r>
      <w:r>
        <w:rPr>
          <w:b/>
          <w:color w:val="228B22"/>
          <w:sz w:val="28"/>
        </w:rPr>
        <w:tab/>
        <w:t>One million blocks on the AXI4 image</w:t>
      </w:r>
    </w:p>
    <w:p>
      <w:pPr>
        <w:pStyle w:val="FirstParagraph"/>
        <w:rPr/>
      </w:pPr>
      <w:r>
        <w:rPr>
          <w:sz w:val="20"/>
        </w:rPr>
        <w:t xml:space="preserve">The 2026-10-05 soak ran the </w:t>
      </w:r>
      <w:r>
        <w:rPr>
          <w:rStyle w:val="VerbatimChar"/>
          <w:sz w:val="20"/>
        </w:rPr>
        <w:t>axi4_ribm</w:t>
      </w:r>
      <w:r>
        <w:rPr>
          <w:sz w:val="20"/>
        </w:rPr>
        <w:t xml:space="preserve"> image on board serial </w:t>
      </w:r>
      <w:r>
        <w:rPr>
          <w:rStyle w:val="VerbatimChar"/>
          <w:sz w:val="20"/>
        </w:rPr>
        <w:t>200300B818A0</w:t>
      </w:r>
      <w:r>
        <w:rPr>
          <w:sz w:val="20"/>
        </w:rPr>
        <w:t xml:space="preserve">. Final counters from </w:t>
      </w:r>
      <w:r>
        <w:rPr>
          <w:rStyle w:val="VerbatimChar"/>
          <w:sz w:val="20"/>
        </w:rPr>
        <w:t>stable/results/2026-10-05_soak/battery.json</w:t>
      </w:r>
      <w:r>
        <w:rPr>
          <w:sz w:val="20"/>
        </w:rPr>
        <w:t>:</w:t>
      </w:r>
    </w:p>
    <w:p>
      <w:pPr>
        <w:pStyle w:val="TableCaption"/>
        <w:rPr/>
      </w:pPr>
      <w:bookmarkStart w:id="97" w:name="_Tab_9_Table_4_1__RS_soak_f"/>
      <w:r>
        <w:rPr/>
        <w:t>Table 4.1: RS soak final counters.</w:t>
      </w:r>
      <w:bookmarkEnd w:id="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blocks_final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wall_s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34,902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blk_per_s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113,143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768,077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118,780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symbols_corrected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3,119,170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failing_runs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over_t_blocks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74,240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misdecoded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misdecode_rate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2.69e-05 (1 in 37,120)</w:t>
            </w:r>
          </w:p>
        </w:tc>
      </w:tr>
    </w:tbl>
    <w:p>
      <w:pPr>
        <w:pStyle w:val="BodyText"/>
        <w:rPr/>
      </w:pPr>
      <w:r>
        <w:rPr>
          <w:sz w:val="20"/>
        </w:rPr>
        <w:t>The confidence statement is:</w:t>
      </w:r>
    </w:p>
    <w:p>
      <w:pPr>
        <w:pStyle w:val="BlockText"/>
        <w:rPr/>
      </w:pPr>
      <w:bookmarkStart w:id="98" w:name="one-million-blocks-on-the-axi4-image"/>
      <w:r>
        <w:rPr/>
        <w:t>1,000,000 blocks, 3,119,170 symbols corrected, 0 failing runs, 9h42m at 29 blk/s UART-bound. Of the 74,240 blocks pushed past the correction limit, 2 were accepted and silently mis-decoded — a rate of 1 in 37,120, which is below the model’s predicted roughly 1-in-20,000 mis-decode rate at e = t + 1 for this profile.</w:t>
      </w:r>
      <w:bookmarkEnd w:id="98"/>
      <w:r>
        <w:br w:type="page"/>
      </w:r>
    </w:p>
    <w:p>
      <w:pPr>
        <w:pStyle w:val="Heading2"/>
        <w:pBdr>
          <w:bottom w:val="single" w:sz="12" w:space="0" w:color="228B22"/>
        </w:pBdr>
        <w:spacing w:before="280" w:after="80"/>
        <w:rPr/>
      </w:pPr>
      <w:bookmarkStart w:id="99" w:name="__RefHeading___Toc3405_504502774"/>
      <w:bookmarkStart w:id="100" w:name="mis-decodes-versus-the-model"/>
      <w:bookmarkEnd w:id="99"/>
      <w:r>
        <w:rPr>
          <w:rStyle w:val="SectionNumber"/>
          <w:b/>
          <w:color w:val="228B22"/>
          <w:sz w:val="28"/>
        </w:rPr>
        <w:t>9.2</w:t>
      </w:r>
      <w:r>
        <w:rPr>
          <w:b/>
          <w:color w:val="228B22"/>
          <w:sz w:val="28"/>
        </w:rPr>
        <w:tab/>
        <w:t>Mis-decodes versus the model</w:t>
      </w:r>
    </w:p>
    <w:p>
      <w:pPr>
        <w:pStyle w:val="FirstParagraph"/>
        <w:rPr/>
      </w:pPr>
      <w:bookmarkStart w:id="101" w:name="mis-decodes-versus-the-model"/>
      <w:r>
        <w:rPr>
          <w:sz w:val="20"/>
        </w:rPr>
        <w:t>The soak’s pass criterion is a bounded mis-decode rate, not zero mis-decodes. A block carrying more than t = 8 symbol errors is beyond the code’s guaranteed radius; the decoder is mathematically permitted to return a codeword other than the transmitted one. The harness counts every such event, and the acceptance bound is the analytic failure rate for the profile. The observed 2 of 74,240 sits under the model bound, which is what “soak PASS” means here. Every other over-t block was flagged uncorrectable, and all 768,077 corrected blocks matched the oracle.</w:t>
      </w:r>
      <w:bookmarkEnd w:id="101"/>
      <w:r>
        <w:br w:type="page"/>
      </w:r>
    </w:p>
    <w:p>
      <w:pPr>
        <w:pStyle w:val="Heading2"/>
        <w:pBdr>
          <w:bottom w:val="single" w:sz="12" w:space="0" w:color="228B22"/>
        </w:pBdr>
        <w:spacing w:before="280" w:after="80"/>
        <w:rPr/>
      </w:pPr>
      <w:bookmarkStart w:id="102" w:name="__RefHeading___Toc3407_504502774"/>
      <w:bookmarkStart w:id="103" w:name="soak-timeline"/>
      <w:bookmarkEnd w:id="102"/>
      <w:r>
        <w:rPr>
          <w:rStyle w:val="SectionNumber"/>
          <w:b/>
          <w:color w:val="228B22"/>
          <w:sz w:val="28"/>
        </w:rPr>
        <w:t>9.3</w:t>
      </w:r>
      <w:r>
        <w:rPr>
          <w:b/>
          <w:color w:val="228B22"/>
          <w:sz w:val="28"/>
        </w:rPr>
        <w:tab/>
        <w:t>Soak timeline</w:t>
      </w:r>
    </w:p>
    <w:p>
      <w:pPr>
        <w:pStyle w:val="CaptionedFigure"/>
        <w:rPr/>
      </w:pPr>
      <w:r>
        <w:rPr/>
        <w:drawing>
          <wp:inline distT="0" distB="0" distL="0" distR="0">
            <wp:extent cx="5334000" cy="3333750"/>
            <wp:effectExtent l="0" t="0" r="0" b="0"/>
            <wp:docPr id="8" name="Image5" descr="fig_3_soak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fig_3_soak_timeline.png"/>
                    <pic:cNvPicPr>
                      <a:picLocks noChangeAspect="1" noChangeArrowheads="1"/>
                    </pic:cNvPicPr>
                  </pic:nvPicPr>
                  <pic:blipFill>
                    <a:blip r:embed="rId8"/>
                    <a:stretch>
                      <a:fillRect/>
                    </a:stretch>
                  </pic:blipFill>
                  <pic:spPr bwMode="auto">
                    <a:xfrm>
                      <a:off x="0" y="0"/>
                      <a:ext cx="5334000" cy="3333750"/>
                    </a:xfrm>
                    <a:prstGeom prst="rect">
                      <a:avLst/>
                    </a:prstGeom>
                  </pic:spPr>
                </pic:pic>
              </a:graphicData>
            </a:graphic>
          </wp:inline>
        </w:drawing>
      </w:r>
    </w:p>
    <w:p>
      <w:pPr>
        <w:pStyle w:val="ImageCaption"/>
        <w:rPr/>
      </w:pPr>
      <w:r>
        <w:rPr/>
        <w:t>fig_3_soak_timeline.png</w:t>
      </w:r>
    </w:p>
    <w:p>
      <w:pPr>
        <w:pStyle w:val="Heading3"/>
        <w:spacing w:before="200" w:after="80"/>
        <w:rPr/>
      </w:pPr>
      <w:bookmarkStart w:id="104" w:name="__RefHeading___Toc3409_504502774"/>
      <w:bookmarkStart w:id="105" w:name="Xc53d46731f70aba44e745fe5d2a85ebd0b4ea71"/>
      <w:bookmarkStart w:id="106" w:name="_Fig_5_RS_soak_timeline_ove"/>
      <w:bookmarkEnd w:id="104"/>
      <w:r>
        <w:rPr>
          <w:rStyle w:val="SectionNumber"/>
          <w:b/>
          <w:color w:val="404040"/>
          <w:sz w:val="24"/>
        </w:rPr>
        <w:t>9.3.1</w:t>
      </w:r>
      <w:r>
        <w:rPr>
          <w:b/>
          <w:color w:val="404040"/>
          <w:sz w:val="24"/>
        </w:rPr>
        <w:tab/>
        <w:t>Figure 4.4: RS soak timeline over one million blocks.</w:t>
      </w:r>
      <w:bookmarkEnd w:id="103"/>
      <w:bookmarkEnd w:id="105"/>
      <w:bookmarkEnd w:id="106"/>
      <w:r>
        <w:br w:type="page"/>
      </w:r>
    </w:p>
    <w:p>
      <w:pPr>
        <w:pStyle w:val="Heading2"/>
        <w:pBdr>
          <w:bottom w:val="single" w:sz="12" w:space="0" w:color="228B22"/>
        </w:pBdr>
        <w:spacing w:before="280" w:after="80"/>
        <w:rPr/>
      </w:pPr>
      <w:bookmarkStart w:id="107" w:name="__RefHeading___Toc3411_504502774"/>
      <w:bookmarkStart w:id="108" w:name="what-29-blks-means"/>
      <w:bookmarkEnd w:id="107"/>
      <w:r>
        <w:rPr>
          <w:rStyle w:val="SectionNumber"/>
          <w:b/>
          <w:color w:val="228B22"/>
          <w:sz w:val="28"/>
        </w:rPr>
        <w:t>9.4</w:t>
      </w:r>
      <w:r>
        <w:rPr>
          <w:b/>
          <w:color w:val="228B22"/>
          <w:sz w:val="28"/>
        </w:rPr>
        <w:tab/>
        <w:t>What 29 blk/s means</w:t>
      </w:r>
    </w:p>
    <w:p>
      <w:pPr>
        <w:pStyle w:val="FirstParagraph"/>
        <w:rPr/>
      </w:pPr>
      <w:bookmarkStart w:id="109" w:name="what-29-blks-means"/>
      <w:r>
        <w:rPr>
          <w:sz w:val="20"/>
        </w:rPr>
        <w:t>The codec itself can run at roughly 500k blocks per second at 100 MHz. The soak measured 29 blocks per second because the host poll loop, running over a 115200-baud UART, is the bottleneck. That is not a hardware limit; it is a fixture limit. Any future soak that wants to go deeper or faster should size the host interaction accordingly, or move to a faster host interface, rather than inferring decoder throughput from the soak rate.</w:t>
      </w:r>
      <w:bookmarkEnd w:id="109"/>
      <w:r>
        <w:br w:type="page"/>
      </w:r>
    </w:p>
    <w:p>
      <w:pPr>
        <w:pStyle w:val="Heading2"/>
        <w:pBdr>
          <w:bottom w:val="single" w:sz="12" w:space="0" w:color="228B22"/>
        </w:pBdr>
        <w:spacing w:before="280" w:after="80"/>
        <w:rPr/>
      </w:pPr>
      <w:bookmarkStart w:id="110" w:name="__RefHeading___Toc3413_504502774"/>
      <w:bookmarkStart w:id="111" w:name="image-notes"/>
      <w:bookmarkEnd w:id="110"/>
      <w:r>
        <w:rPr>
          <w:rStyle w:val="SectionNumber"/>
          <w:b/>
          <w:color w:val="228B22"/>
          <w:sz w:val="28"/>
        </w:rPr>
        <w:t>9.5</w:t>
      </w:r>
      <w:r>
        <w:rPr>
          <w:b/>
          <w:color w:val="228B22"/>
          <w:sz w:val="28"/>
        </w:rPr>
        <w:tab/>
        <w:t>Image notes</w:t>
      </w:r>
    </w:p>
    <w:p>
      <w:pPr>
        <w:pStyle w:val="FirstParagraph"/>
        <w:rPr/>
      </w:pPr>
      <w:r>
        <w:rPr>
          <w:sz w:val="20"/>
        </w:rPr>
        <w:t xml:space="preserve">The soak ran on the memory-to-memory AXI4 image. The earlier plan to prefer the AXIS flavour for soaks turned out to be unnecessary: the AXI4 job memories accept the soak’s per-block job pattern without issue. The </w:t>
      </w:r>
      <w:r>
        <w:rPr>
          <w:rStyle w:val="VerbatimChar"/>
          <w:sz w:val="20"/>
        </w:rPr>
        <w:t>axi4_ribm</w:t>
      </w:r>
      <w:r>
        <w:rPr>
          <w:sz w:val="20"/>
        </w:rPr>
        <w:t xml:space="preserve"> image is single-decoder, so the riBM-versus-Euclid comparator counters read 0 by design; solver agreement on the board is covered by the deterministic cross-image campaigns in the battery chapter.</w:t>
      </w:r>
      <w:bookmarkEnd w:id="94"/>
      <w:bookmarkEnd w:id="111"/>
      <w:r>
        <w:br w:type="page"/>
      </w:r>
    </w:p>
    <w:p>
      <w:pPr>
        <w:pStyle w:val="Heading1"/>
        <w:shd w:val="clear" w:color="auto" w:fill="404040"/>
        <w:spacing w:before="360" w:after="120"/>
        <w:rPr/>
      </w:pPr>
      <w:bookmarkStart w:id="112" w:name="__RefHeading___Toc3415_504502774"/>
      <w:bookmarkEnd w:id="112"/>
      <w:r>
        <w:rPr>
          <w:rStyle w:val="SectionNumber"/>
          <w:b/>
          <w:color w:val="FFFFFF"/>
          <w:sz w:val="32"/>
        </w:rPr>
        <w:t>10</w:t>
      </w:r>
      <w:r>
        <w:rPr>
          <w:b/>
          <w:color w:val="FFFFFF"/>
          <w:sz w:val="32"/>
        </w:rPr>
        <w:tab/>
        <w:t>Honest Limits</w:t>
      </w:r>
    </w:p>
    <w:p>
      <w:pPr>
        <w:pStyle w:val="Heading2"/>
        <w:pageBreakBefore w:val="false"/>
        <w:pBdr>
          <w:bottom w:val="single" w:sz="12" w:space="0" w:color="228B22"/>
        </w:pBdr>
        <w:spacing w:before="280" w:after="80"/>
        <w:rPr/>
      </w:pPr>
      <w:bookmarkStart w:id="113" w:name="__RefHeading___Toc3417_504502774"/>
      <w:bookmarkStart w:id="114" w:name="what-the-board-evidence-does-not-cover"/>
      <w:bookmarkEnd w:id="113"/>
      <w:r>
        <w:rPr>
          <w:rStyle w:val="SectionNumber"/>
          <w:b/>
          <w:color w:val="228B22"/>
          <w:sz w:val="28"/>
        </w:rPr>
        <w:t>10.1</w:t>
      </w:r>
      <w:r>
        <w:rPr>
          <w:b/>
          <w:color w:val="228B22"/>
          <w:sz w:val="28"/>
        </w:rPr>
        <w:tab/>
        <w:t>What the board evidence does not cover</w:t>
      </w:r>
    </w:p>
    <w:p>
      <w:pPr>
        <w:pStyle w:val="Compact"/>
        <w:numPr>
          <w:ilvl w:val="0"/>
          <w:numId w:val="12"/>
        </w:numPr>
        <w:rPr/>
      </w:pPr>
      <w:r>
        <w:rPr/>
        <w:t>The soak is statistical, not exhaustive. One million blocks is large, but it does not visit every possible error pattern. Two blocks out of 74,240 pushed past the correction limit were silently mis-decoded (1 in 37,120), below the model’s predicted roughly 1-in-20,000 rate at e = t + 1; the soak’s pass criterion is the bounded rate, not zero.</w:t>
      </w:r>
    </w:p>
    <w:p>
      <w:pPr>
        <w:pStyle w:val="Compact"/>
        <w:numPr>
          <w:ilvl w:val="0"/>
          <w:numId w:val="13"/>
        </w:numPr>
        <w:rPr/>
      </w:pPr>
      <w:r>
        <w:rPr/>
        <w:t xml:space="preserve">The erasure </w:t>
      </w:r>
      <w:r>
        <w:rPr>
          <w:rStyle w:val="VerbatimChar"/>
        </w:rPr>
        <w:t>f = 2t</w:t>
      </w:r>
      <w:r>
        <w:rPr/>
        <w:t xml:space="preserve"> boundary is an open issue (TASK-005). f = t corrects and f = 2t+1 refuses on the board; f = 2t is flagged uncorrectable even though the design intent says it should correct.</w:t>
      </w:r>
    </w:p>
    <w:p>
      <w:pPr>
        <w:pStyle w:val="Compact"/>
        <w:numPr>
          <w:ilvl w:val="0"/>
          <w:numId w:val="14"/>
        </w:numPr>
        <w:rPr/>
      </w:pPr>
      <w:r>
        <w:rPr/>
        <w:t xml:space="preserve">The dual-decoder comparator with </w:t>
      </w:r>
      <w:r>
        <w:rPr>
          <w:rStyle w:val="VerbatimChar"/>
        </w:rPr>
        <w:t>ENABLE_COMPARE=1</w:t>
      </w:r>
      <w:r>
        <w:rPr/>
        <w:t xml:space="preserve"> is sim-only on the board matrix. Solver agreement on the board is proven by running identical deterministic campaigns on the single-decoder images.</w:t>
      </w:r>
    </w:p>
    <w:p>
      <w:pPr>
        <w:pStyle w:val="Compact"/>
        <w:numPr>
          <w:ilvl w:val="0"/>
          <w:numId w:val="15"/>
        </w:numPr>
        <w:rPr/>
      </w:pPr>
      <w:r>
        <w:rPr/>
        <w:t>BCH has no erasure path by design; that comparison is RS-only.</w:t>
      </w:r>
    </w:p>
    <w:p>
      <w:pPr>
        <w:pStyle w:val="Compact"/>
        <w:numPr>
          <w:ilvl w:val="0"/>
          <w:numId w:val="16"/>
        </w:numPr>
        <w:rPr/>
      </w:pPr>
      <w:r>
        <w:rPr/>
        <w:t>The board validates only the RS(252,236) t=8, S=4 profile. Other profiles are covered in simulation and component DV.</w:t>
      </w:r>
    </w:p>
    <w:p>
      <w:pPr>
        <w:pStyle w:val="Compact"/>
        <w:numPr>
          <w:ilvl w:val="0"/>
          <w:numId w:val="17"/>
        </w:numPr>
        <w:rPr/>
      </w:pPr>
      <w:bookmarkStart w:id="115" w:name="what-the-board-evidence-does-not-cover"/>
      <w:r>
        <w:rPr/>
        <w:t>The component DV matrix exercises the codec in ways the board harness does not replicate.</w:t>
      </w:r>
      <w:bookmarkEnd w:id="115"/>
      <w:r>
        <w:br w:type="page"/>
      </w:r>
    </w:p>
    <w:p>
      <w:pPr>
        <w:pStyle w:val="Heading2"/>
        <w:pBdr>
          <w:bottom w:val="single" w:sz="12" w:space="0" w:color="228B22"/>
        </w:pBdr>
        <w:spacing w:before="280" w:after="80"/>
        <w:rPr/>
      </w:pPr>
      <w:bookmarkStart w:id="116" w:name="__RefHeading___Toc3419_504502774"/>
      <w:bookmarkEnd w:id="116"/>
      <w:r>
        <w:rPr>
          <w:rStyle w:val="SectionNumber"/>
          <w:b/>
          <w:color w:val="228B22"/>
          <w:sz w:val="28"/>
        </w:rPr>
        <w:t>10.2</w:t>
      </w:r>
      <w:r>
        <w:rPr>
          <w:b/>
          <w:color w:val="228B22"/>
          <w:sz w:val="28"/>
        </w:rPr>
        <w:tab/>
        <w:t>Traceability</w:t>
      </w:r>
    </w:p>
    <w:p>
      <w:pPr>
        <w:pStyle w:val="FirstParagraph"/>
        <w:rPr/>
      </w:pPr>
      <w:r>
        <w:rPr>
          <w:sz w:val="20"/>
        </w:rPr>
        <w:t xml:space="preserve">Every quantitative claim in this book can be traced to an artifact under </w:t>
      </w:r>
      <w:r>
        <w:rPr>
          <w:rStyle w:val="VerbatimChar"/>
          <w:sz w:val="20"/>
        </w:rPr>
        <w:t>stable/</w:t>
      </w:r>
      <w:r>
        <w:rPr>
          <w:sz w:val="20"/>
        </w:rPr>
        <w:t>:</w:t>
      </w:r>
    </w:p>
    <w:p>
      <w:pPr>
        <w:pStyle w:val="TableCaption"/>
        <w:rPr/>
      </w:pPr>
      <w:bookmarkStart w:id="117" w:name="_Tab_10_Table_5_1__Traceabil"/>
      <w:r>
        <w:rPr/>
        <w:t>Table 5.1: Traceability from claim to artifact.</w:t>
      </w:r>
      <w:bookmarkEnd w:id="117"/>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854"/>
        <w:gridCol w:w="5505"/>
      </w:tblGrid>
      <w:tr>
        <w:trPr>
          <w:tblHeader w:val="true"/>
        </w:trPr>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Claim</w:t>
            </w:r>
          </w:p>
        </w:tc>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Artifact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images timing-clean at 100 MHz</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stable/reports/genesys2_{axis_ribm,axis_euclid,axi4_ribm,axi4_euclid}/timing_summary.txt</w:t>
            </w:r>
            <w:r>
              <w:rPr>
                <w:rFonts w:eastAsia="Cambria" w:cs=""/>
                <w:kern w:val="0"/>
                <w:sz w:val="24"/>
                <w:szCs w:val="24"/>
                <w:lang w:val="en-US" w:eastAsia="en-US" w:bidi="ar-SA"/>
              </w:rPr>
              <w:t>, all WNS positive, 0 failing endpoints.</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campaigns PASS on all images</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stable/results/2026-10-05_battery/battery.json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FINDINGS.md</w:t>
            </w:r>
            <w:r>
              <w:rPr>
                <w:rFonts w:eastAsia="Cambria" w:cs=""/>
                <w:kern w:val="0"/>
                <w:sz w:val="24"/>
                <w:szCs w:val="24"/>
                <w:lang w:val="en-US" w:eastAsia="en-US" w:bidi="ar-SA"/>
              </w:rPr>
              <w: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 &lt;= 8 corrected, e &gt; 8 uncorrectable</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stable/results/2026-10-05_battery/battery.json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sweep</w:t>
            </w:r>
            <w:r>
              <w:rPr>
                <w:rFonts w:eastAsia="Cambria" w:cs=""/>
                <w:kern w:val="0"/>
                <w:sz w:val="24"/>
                <w:szCs w:val="24"/>
                <w:lang w:val="en-US" w:eastAsia="en-US" w:bidi="ar-SA"/>
              </w:rPr>
              <w:t xml:space="preserve"> array.</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agreement matrix all green</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stable/results/2026-10-05_battery/fig_5_solver_agreement.png</w:t>
            </w:r>
            <w:r>
              <w:rPr>
                <w:rFonts w:eastAsia="Cambria" w:cs=""/>
                <w:kern w:val="0"/>
                <w:sz w:val="24"/>
                <w:szCs w:val="24"/>
                <w:lang w:val="en-US" w:eastAsia="en-US" w:bidi="ar-SA"/>
              </w:rPr>
              <w: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Million-block soak PASS on </w:t>
            </w:r>
            <w:r>
              <w:rPr>
                <w:rStyle w:val="VerbatimChar"/>
                <w:rFonts w:eastAsia="Cambria" w:cs=""/>
                <w:kern w:val="0"/>
                <w:szCs w:val="24"/>
                <w:lang w:val="en-US" w:eastAsia="en-US" w:bidi="ar-SA"/>
              </w:rPr>
              <w:t>axi4_ribm</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stable/results/2026-10-05_soak/battery.json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FINDINGS.md</w:t>
            </w:r>
            <w:r>
              <w:rPr>
                <w:rFonts w:eastAsia="Cambria" w:cs=""/>
                <w:kern w:val="0"/>
                <w:sz w:val="24"/>
                <w:szCs w:val="24"/>
                <w:lang w:val="en-US" w:eastAsia="en-US" w:bidi="ar-SA"/>
              </w:rPr>
              <w: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 = 2t erasure boundary open</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vault/tracking/projects/components/ecc-ip/reed-solomon/task/open/TASK-005.md</w:t>
            </w:r>
            <w:r>
              <w:rPr>
                <w:rFonts w:eastAsia="Cambria" w:cs=""/>
                <w:kern w:val="0"/>
                <w:sz w:val="24"/>
                <w:szCs w:val="24"/>
                <w:lang w:val="en-US" w:eastAsia="en-US" w:bidi="ar-SA"/>
              </w:rPr>
              <w:t>.</w:t>
            </w:r>
            <w:bookmarkStart w:id="118" w:name="honest-limits"/>
            <w:bookmarkStart w:id="119" w:name="traceability"/>
            <w:bookmarkEnd w:id="118"/>
            <w:bookmarkEnd w:id="119"/>
          </w:p>
        </w:tc>
      </w:tr>
    </w:tbl>
    <w:sectPr>
      <w:footerReference w:type="even" r:id="rId9"/>
      <w:footerReference w:type="default" r:id="rId10"/>
      <w:footerReference w:type="first" r:id="rId1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Board Validation Report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Board Validation Report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rs_axis_loop.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2026-10-20T11:14:30Z</dcterms:created>
  <dc:creator/>
  <dc:description/>
  <dc:language>en-US</dc:language>
  <cp:lastModifiedBy/>
  <dcterms:modified xsi:type="dcterms:W3CDTF">2026-10-20T04:14:34Z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