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Reed-Solomon UART Harness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94_387878532">
            <w:r>
              <w:rPr>
                <w:webHidden/>
                <w:rStyle w:val="IndexLink"/>
              </w:rPr>
              <w:t>1 Document Information</w:t>
              <w:tab/>
              <w:t>7</w:t>
            </w:r>
          </w:hyperlink>
        </w:p>
        <w:p>
          <w:pPr>
            <w:pStyle w:val="TOC2"/>
            <w:tabs>
              <w:tab w:val="clear" w:pos="9077"/>
              <w:tab w:val="right" w:pos="9359" w:leader="dot"/>
            </w:tabs>
            <w:rPr/>
          </w:pPr>
          <w:hyperlink w:anchor="__RefHeading___Toc2796_387878532">
            <w:r>
              <w:rPr>
                <w:webHidden/>
                <w:rStyle w:val="IndexLink"/>
              </w:rPr>
              <w:t>1.1 Revision History</w:t>
              <w:tab/>
              <w:t>7</w:t>
            </w:r>
          </w:hyperlink>
        </w:p>
        <w:p>
          <w:pPr>
            <w:pStyle w:val="TOC2"/>
            <w:tabs>
              <w:tab w:val="clear" w:pos="9077"/>
              <w:tab w:val="right" w:pos="9359" w:leader="dot"/>
            </w:tabs>
            <w:rPr/>
          </w:pPr>
          <w:hyperlink w:anchor="__RefHeading___Toc2798_387878532">
            <w:r>
              <w:rPr>
                <w:webHidden/>
                <w:rStyle w:val="IndexLink"/>
              </w:rPr>
              <w:t>1.2 Scope</w:t>
              <w:tab/>
              <w:t>8</w:t>
            </w:r>
          </w:hyperlink>
        </w:p>
        <w:p>
          <w:pPr>
            <w:pStyle w:val="TOC2"/>
            <w:tabs>
              <w:tab w:val="clear" w:pos="9077"/>
              <w:tab w:val="right" w:pos="9359" w:leader="dot"/>
            </w:tabs>
            <w:rPr/>
          </w:pPr>
          <w:hyperlink w:anchor="__RefHeading___Toc2800_387878532">
            <w:r>
              <w:rPr>
                <w:webHidden/>
                <w:rStyle w:val="IndexLink"/>
              </w:rPr>
              <w:t>1.3 Provenance</w:t>
              <w:tab/>
              <w:t>9</w:t>
            </w:r>
          </w:hyperlink>
        </w:p>
        <w:p>
          <w:pPr>
            <w:pStyle w:val="TOC1"/>
            <w:tabs>
              <w:tab w:val="clear" w:pos="9360"/>
              <w:tab w:val="right" w:pos="9359" w:leader="dot"/>
            </w:tabs>
            <w:rPr/>
          </w:pPr>
          <w:hyperlink w:anchor="__RefHeading___Toc2802_387878532">
            <w:r>
              <w:rPr>
                <w:webHidden/>
                <w:rStyle w:val="IndexLink"/>
              </w:rPr>
              <w:t>2 Purpose and Geometry</w:t>
              <w:tab/>
              <w:t>10</w:t>
            </w:r>
          </w:hyperlink>
        </w:p>
        <w:p>
          <w:pPr>
            <w:pStyle w:val="TOC1"/>
            <w:tabs>
              <w:tab w:val="clear" w:pos="9360"/>
              <w:tab w:val="right" w:pos="9359" w:leader="dot"/>
            </w:tabs>
            <w:rPr/>
          </w:pPr>
          <w:hyperlink w:anchor="__RefHeading___Toc2804_387878532">
            <w:r>
              <w:rPr>
                <w:webHidden/>
                <w:rStyle w:val="IndexLink"/>
              </w:rPr>
              <w:t>3 What Is In It</w:t>
              <w:tab/>
              <w:t>11</w:t>
            </w:r>
          </w:hyperlink>
        </w:p>
        <w:p>
          <w:pPr>
            <w:pStyle w:val="TOC2"/>
            <w:tabs>
              <w:tab w:val="clear" w:pos="9077"/>
              <w:tab w:val="right" w:pos="9359" w:leader="dot"/>
            </w:tabs>
            <w:rPr/>
          </w:pPr>
          <w:hyperlink w:anchor="__RefHeading___Toc2806_387878532">
            <w:r>
              <w:rPr>
                <w:webHidden/>
                <w:rStyle w:val="IndexLink"/>
              </w:rPr>
              <w:t>3.1 RTL blocks</w:t>
              <w:tab/>
              <w:t>11</w:t>
            </w:r>
          </w:hyperlink>
        </w:p>
        <w:p>
          <w:pPr>
            <w:pStyle w:val="TOC2"/>
            <w:tabs>
              <w:tab w:val="clear" w:pos="9077"/>
              <w:tab w:val="right" w:pos="9359" w:leader="dot"/>
            </w:tabs>
            <w:rPr/>
          </w:pPr>
          <w:hyperlink w:anchor="__RefHeading___Toc2808_387878532">
            <w:r>
              <w:rPr>
                <w:webHidden/>
                <w:rStyle w:val="IndexLink"/>
              </w:rPr>
              <w:t>3.2 Host scripts</w:t>
              <w:tab/>
              <w:t>13</w:t>
            </w:r>
          </w:hyperlink>
        </w:p>
        <w:p>
          <w:pPr>
            <w:pStyle w:val="TOC2"/>
            <w:tabs>
              <w:tab w:val="clear" w:pos="9077"/>
              <w:tab w:val="right" w:pos="9359" w:leader="dot"/>
            </w:tabs>
            <w:rPr/>
          </w:pPr>
          <w:hyperlink w:anchor="__RefHeading___Toc2810_387878532">
            <w:r>
              <w:rPr>
                <w:webHidden/>
                <w:rStyle w:val="IndexLink"/>
              </w:rPr>
              <w:t>3.3 Build and validation flow</w:t>
              <w:tab/>
              <w:t>15</w:t>
            </w:r>
          </w:hyperlink>
        </w:p>
        <w:p>
          <w:pPr>
            <w:pStyle w:val="TOC1"/>
            <w:tabs>
              <w:tab w:val="clear" w:pos="9360"/>
              <w:tab w:val="right" w:pos="9359" w:leader="dot"/>
            </w:tabs>
            <w:rPr/>
          </w:pPr>
          <w:hyperlink w:anchor="__RefHeading___Toc2812_387878532">
            <w:r>
              <w:rPr>
                <w:webHidden/>
                <w:rStyle w:val="IndexLink"/>
              </w:rPr>
              <w:t>4 How The Pieces Connect</w:t>
              <w:tab/>
              <w:t>16</w:t>
            </w:r>
          </w:hyperlink>
        </w:p>
        <w:p>
          <w:pPr>
            <w:pStyle w:val="TOC2"/>
            <w:tabs>
              <w:tab w:val="clear" w:pos="9077"/>
              <w:tab w:val="right" w:pos="9359" w:leader="dot"/>
            </w:tabs>
            <w:rPr/>
          </w:pPr>
          <w:hyperlink w:anchor="__RefHeading___Toc2814_387878532">
            <w:r>
              <w:rPr>
                <w:webHidden/>
                <w:rStyle w:val="IndexLink"/>
              </w:rPr>
              <w:t>4.1 Register path and datapath</w:t>
              <w:tab/>
              <w:t>16</w:t>
            </w:r>
          </w:hyperlink>
        </w:p>
        <w:p>
          <w:pPr>
            <w:pStyle w:val="TOC3"/>
            <w:tabs>
              <w:tab w:val="clear" w:pos="8793"/>
              <w:tab w:val="right" w:pos="9359" w:leader="dot"/>
            </w:tabs>
            <w:rPr/>
          </w:pPr>
          <w:hyperlink w:anchor="__RefHeading___Toc2816_387878532">
            <w:r>
              <w:rPr>
                <w:webHidden/>
                <w:rStyle w:val="IndexLink"/>
              </w:rPr>
              <w:t>4.1.1 Figure 2.1: Reed-Solomon AXIS datapath and register path</w:t>
              <w:tab/>
              <w:t>16</w:t>
            </w:r>
          </w:hyperlink>
        </w:p>
        <w:p>
          <w:pPr>
            <w:pStyle w:val="TOC2"/>
            <w:tabs>
              <w:tab w:val="clear" w:pos="9077"/>
              <w:tab w:val="right" w:pos="9359" w:leader="dot"/>
            </w:tabs>
            <w:rPr/>
          </w:pPr>
          <w:hyperlink w:anchor="__RefHeading___Toc2818_387878532">
            <w:r>
              <w:rPr>
                <w:webHidden/>
                <w:rStyle w:val="IndexLink"/>
              </w:rPr>
              <w:t>4.2 Clock and reset</w:t>
              <w:tab/>
              <w:t>18</w:t>
            </w:r>
          </w:hyperlink>
        </w:p>
        <w:p>
          <w:pPr>
            <w:pStyle w:val="TOC1"/>
            <w:tabs>
              <w:tab w:val="clear" w:pos="9360"/>
              <w:tab w:val="right" w:pos="9359" w:leader="dot"/>
            </w:tabs>
            <w:rPr/>
          </w:pPr>
          <w:hyperlink w:anchor="__RefHeading___Toc2820_387878532">
            <w:r>
              <w:rPr>
                <w:webHidden/>
                <w:rStyle w:val="IndexLink"/>
              </w:rPr>
              <w:t>5 Harness Address Map</w:t>
              <w:tab/>
              <w:t>19</w:t>
            </w:r>
          </w:hyperlink>
        </w:p>
        <w:p>
          <w:pPr>
            <w:pStyle w:val="TOC2"/>
            <w:tabs>
              <w:tab w:val="clear" w:pos="9077"/>
              <w:tab w:val="right" w:pos="9359" w:leader="dot"/>
            </w:tabs>
            <w:rPr/>
          </w:pPr>
          <w:hyperlink w:anchor="__RefHeading___Toc2822_387878532">
            <w:r>
              <w:rPr>
                <w:webHidden/>
                <w:rStyle w:val="IndexLink"/>
              </w:rPr>
              <w:t>5.1 Figure 2.2: UART harness address map</w:t>
              <w:tab/>
              <w:t>20</w:t>
            </w:r>
          </w:hyperlink>
        </w:p>
        <w:p>
          <w:pPr>
            <w:pStyle w:val="TOC2"/>
            <w:tabs>
              <w:tab w:val="clear" w:pos="9077"/>
              <w:tab w:val="right" w:pos="9359" w:leader="dot"/>
            </w:tabs>
            <w:rPr/>
          </w:pPr>
          <w:hyperlink w:anchor="__RefHeading___Toc2824_387878532">
            <w:r>
              <w:rPr>
                <w:webHidden/>
                <w:rStyle w:val="IndexLink"/>
              </w:rPr>
              <w:t>5.2 Window summary</w:t>
              <w:tab/>
              <w:t>21</w:t>
            </w:r>
          </w:hyperlink>
        </w:p>
        <w:p>
          <w:pPr>
            <w:pStyle w:val="TOC2"/>
            <w:tabs>
              <w:tab w:val="clear" w:pos="9077"/>
              <w:tab w:val="right" w:pos="9359" w:leader="dot"/>
            </w:tabs>
            <w:rPr/>
          </w:pPr>
          <w:hyperlink w:anchor="__RefHeading___Toc2826_387878532">
            <w:r>
              <w:rPr>
                <w:webHidden/>
                <w:rStyle w:val="IndexLink"/>
              </w:rPr>
              <w:t>5.3 rs_loop_apb register offsets</w:t>
              <w:tab/>
              <w:t>23</w:t>
            </w:r>
          </w:hyperlink>
        </w:p>
        <w:p>
          <w:pPr>
            <w:pStyle w:val="TOC2"/>
            <w:tabs>
              <w:tab w:val="clear" w:pos="9077"/>
              <w:tab w:val="right" w:pos="9359" w:leader="dot"/>
            </w:tabs>
            <w:rPr/>
          </w:pPr>
          <w:hyperlink w:anchor="__RefHeading___Toc2828_387878532">
            <w:r>
              <w:rPr>
                <w:webHidden/>
                <w:rStyle w:val="IndexLink"/>
              </w:rPr>
              <w:t>5.4 By-name access</w:t>
              <w:tab/>
              <w:t>25</w:t>
            </w:r>
          </w:hyperlink>
        </w:p>
        <w:p>
          <w:pPr>
            <w:pStyle w:val="TOC1"/>
            <w:tabs>
              <w:tab w:val="clear" w:pos="9360"/>
              <w:tab w:val="right" w:pos="9359" w:leader="dot"/>
            </w:tabs>
            <w:rPr/>
          </w:pPr>
          <w:hyperlink w:anchor="__RefHeading___Toc2830_387878532">
            <w:r>
              <w:rPr>
                <w:webHidden/>
                <w:rStyle w:val="IndexLink"/>
              </w:rPr>
              <w:t>6 AXI4 Memory-to-Memory Datapath</w:t>
              <w:tab/>
              <w:t>26</w:t>
            </w:r>
          </w:hyperlink>
        </w:p>
        <w:p>
          <w:pPr>
            <w:pStyle w:val="TOC2"/>
            <w:tabs>
              <w:tab w:val="clear" w:pos="9077"/>
              <w:tab w:val="right" w:pos="9359" w:leader="dot"/>
            </w:tabs>
            <w:rPr/>
          </w:pPr>
          <w:hyperlink w:anchor="__RefHeading___Toc2832_387878532">
            <w:r>
              <w:rPr>
                <w:webHidden/>
                <w:rStyle w:val="IndexLink"/>
              </w:rPr>
              <w:t>6.1 Figure 2.3: AXI4 datapath</w:t>
              <w:tab/>
              <w:t>27</w:t>
            </w:r>
          </w:hyperlink>
        </w:p>
        <w:p>
          <w:pPr>
            <w:pStyle w:val="TOC2"/>
            <w:tabs>
              <w:tab w:val="clear" w:pos="9077"/>
              <w:tab w:val="right" w:pos="9359" w:leader="dot"/>
            </w:tabs>
            <w:rPr/>
          </w:pPr>
          <w:hyperlink w:anchor="__RefHeading___Toc2834_387878532">
            <w:r>
              <w:rPr>
                <w:webHidden/>
                <w:rStyle w:val="IndexLink"/>
              </w:rPr>
              <w:t>6.2 Job chain</w:t>
              <w:tab/>
              <w:t>29</w:t>
            </w:r>
          </w:hyperlink>
        </w:p>
        <w:p>
          <w:pPr>
            <w:pStyle w:val="TOC2"/>
            <w:tabs>
              <w:tab w:val="clear" w:pos="9077"/>
              <w:tab w:val="right" w:pos="9359" w:leader="dot"/>
            </w:tabs>
            <w:rPr/>
          </w:pPr>
          <w:hyperlink w:anchor="__RefHeading___Toc2836_387878532">
            <w:r>
              <w:rPr>
                <w:webHidden/>
                <w:rStyle w:val="IndexLink"/>
              </w:rPr>
              <w:t>6.3 Memories</w:t>
              <w:tab/>
              <w:t>30</w:t>
            </w:r>
          </w:hyperlink>
        </w:p>
        <w:p>
          <w:pPr>
            <w:pStyle w:val="TOC2"/>
            <w:tabs>
              <w:tab w:val="clear" w:pos="9077"/>
              <w:tab w:val="right" w:pos="9359" w:leader="dot"/>
            </w:tabs>
            <w:rPr/>
          </w:pPr>
          <w:hyperlink w:anchor="__RefHeading___Toc2838_387878532">
            <w:r>
              <w:rPr>
                <w:webHidden/>
                <w:rStyle w:val="IndexLink"/>
              </w:rPr>
              <w:t>6.4 Observer</w:t>
              <w:tab/>
              <w:t>31</w:t>
            </w:r>
          </w:hyperlink>
        </w:p>
        <w:p>
          <w:pPr>
            <w:pStyle w:val="TOC2"/>
            <w:tabs>
              <w:tab w:val="clear" w:pos="9077"/>
              <w:tab w:val="right" w:pos="9359" w:leader="dot"/>
            </w:tabs>
            <w:rPr/>
          </w:pPr>
          <w:hyperlink w:anchor="__RefHeading___Toc2840_387878532">
            <w:r>
              <w:rPr>
                <w:webHidden/>
                <w:rStyle w:val="IndexLink"/>
              </w:rPr>
              <w:t>6.5 Verdict path</w:t>
              <w:tab/>
              <w:t>32</w:t>
            </w:r>
          </w:hyperlink>
        </w:p>
        <w:p>
          <w:pPr>
            <w:pStyle w:val="TOC1"/>
            <w:tabs>
              <w:tab w:val="clear" w:pos="9360"/>
              <w:tab w:val="right" w:pos="9359" w:leader="dot"/>
            </w:tabs>
            <w:rPr/>
          </w:pPr>
          <w:hyperlink w:anchor="__RefHeading___Toc2842_387878532">
            <w:r>
              <w:rPr>
                <w:webHidden/>
                <w:rStyle w:val="IndexLink"/>
              </w:rPr>
              <w:t>7 The FPGA-Testing Choices, And Why</w:t>
              <w:tab/>
              <w:t>33</w:t>
            </w:r>
          </w:hyperlink>
        </w:p>
        <w:p>
          <w:pPr>
            <w:pStyle w:val="TOC2"/>
            <w:tabs>
              <w:tab w:val="clear" w:pos="9077"/>
              <w:tab w:val="right" w:pos="9359" w:leader="dot"/>
            </w:tabs>
            <w:rPr/>
          </w:pPr>
          <w:hyperlink w:anchor="__RefHeading___Toc2844_387878532">
            <w:r>
              <w:rPr>
                <w:webHidden/>
                <w:rStyle w:val="IndexLink"/>
              </w:rPr>
              <w:t>7.1 The dual-solver loop as mutual oracle</w:t>
              <w:tab/>
              <w:t>33</w:t>
            </w:r>
          </w:hyperlink>
        </w:p>
        <w:p>
          <w:pPr>
            <w:pStyle w:val="TOC2"/>
            <w:tabs>
              <w:tab w:val="clear" w:pos="9077"/>
              <w:tab w:val="right" w:pos="9359" w:leader="dot"/>
            </w:tabs>
            <w:rPr/>
          </w:pPr>
          <w:hyperlink w:anchor="__RefHeading___Toc2846_387878532">
            <w:r>
              <w:rPr>
                <w:webHidden/>
                <w:rStyle w:val="IndexLink"/>
              </w:rPr>
              <w:t>7.2 Determinism makes the riBM and Euclid images cross-oracles</w:t>
              <w:tab/>
              <w:t>34</w:t>
            </w:r>
          </w:hyperlink>
        </w:p>
        <w:p>
          <w:pPr>
            <w:pStyle w:val="TOC2"/>
            <w:tabs>
              <w:tab w:val="clear" w:pos="9077"/>
              <w:tab w:val="right" w:pos="9359" w:leader="dot"/>
            </w:tabs>
            <w:rPr/>
          </w:pPr>
          <w:hyperlink w:anchor="__RefHeading___Toc2848_387878532">
            <w:r>
              <w:rPr>
                <w:webHidden/>
                <w:rStyle w:val="IndexLink"/>
              </w:rPr>
              <w:t>7.3 Injector modes map to real failure mechanisms</w:t>
              <w:tab/>
              <w:t>35</w:t>
            </w:r>
          </w:hyperlink>
        </w:p>
        <w:p>
          <w:pPr>
            <w:pStyle w:val="TOC2"/>
            <w:tabs>
              <w:tab w:val="clear" w:pos="9077"/>
              <w:tab w:val="right" w:pos="9359" w:leader="dot"/>
            </w:tabs>
            <w:rPr/>
          </w:pPr>
          <w:hyperlink w:anchor="__RefHeading___Toc2850_387878532">
            <w:r>
              <w:rPr>
                <w:webHidden/>
                <w:rStyle w:val="IndexLink"/>
              </w:rPr>
              <w:t>7.4 Post-encoder injection protects parity symbols</w:t>
              <w:tab/>
              <w:t>36</w:t>
            </w:r>
          </w:hyperlink>
        </w:p>
        <w:p>
          <w:pPr>
            <w:pStyle w:val="TOC2"/>
            <w:tabs>
              <w:tab w:val="clear" w:pos="9077"/>
              <w:tab w:val="right" w:pos="9359" w:leader="dot"/>
            </w:tabs>
            <w:rPr/>
          </w:pPr>
          <w:hyperlink w:anchor="__RefHeading___Toc2852_387878532">
            <w:r>
              <w:rPr>
                <w:webHidden/>
                <w:rStyle w:val="IndexLink"/>
              </w:rPr>
              <w:t>7.5 UART over a debug core, with a lock/readback safety pair</w:t>
              <w:tab/>
              <w:t>37</w:t>
            </w:r>
          </w:hyperlink>
        </w:p>
        <w:p>
          <w:pPr>
            <w:pStyle w:val="TOC2"/>
            <w:tabs>
              <w:tab w:val="clear" w:pos="9077"/>
              <w:tab w:val="right" w:pos="9359" w:leader="dot"/>
            </w:tabs>
            <w:rPr/>
          </w:pPr>
          <w:hyperlink w:anchor="__RefHeading___Toc2854_387878532">
            <w:r>
              <w:rPr>
                <w:webHidden/>
                <w:rStyle w:val="IndexLink"/>
              </w:rPr>
              <w:t>7.6 Genesys 2 over Nexys A7</w:t>
              <w:tab/>
              <w:t>38</w:t>
            </w:r>
          </w:hyperlink>
        </w:p>
        <w:p>
          <w:pPr>
            <w:pStyle w:val="TOC2"/>
            <w:tabs>
              <w:tab w:val="clear" w:pos="9077"/>
              <w:tab w:val="right" w:pos="9359" w:leader="dot"/>
            </w:tabs>
            <w:rPr/>
          </w:pPr>
          <w:hyperlink w:anchor="__RefHeading___Toc2856_387878532">
            <w:r>
              <w:rPr>
                <w:webHidden/>
                <w:rStyle w:val="IndexLink"/>
              </w:rPr>
              <w:t>7.7 AXIS and AXI4 flavors cover both integration styles</w:t>
              <w:tab/>
              <w:t>39</w:t>
            </w:r>
          </w:hyperlink>
        </w:p>
        <w:p>
          <w:pPr>
            <w:pStyle w:val="TOC1"/>
            <w:tabs>
              <w:tab w:val="clear" w:pos="9360"/>
              <w:tab w:val="right" w:pos="9359" w:leader="dot"/>
            </w:tabs>
            <w:rPr/>
          </w:pPr>
          <w:hyperlink w:anchor="__RefHeading___Toc2858_387878532">
            <w:r>
              <w:rPr>
                <w:webHidden/>
                <w:rStyle w:val="IndexLink"/>
              </w:rPr>
              <w:t>8 Operating It</w:t>
              <w:tab/>
              <w:t>40</w:t>
            </w:r>
          </w:hyperlink>
        </w:p>
        <w:p>
          <w:pPr>
            <w:pStyle w:val="TOC1"/>
            <w:tabs>
              <w:tab w:val="clear" w:pos="9360"/>
              <w:tab w:val="right" w:pos="9359" w:leader="dot"/>
            </w:tabs>
            <w:rPr/>
          </w:pPr>
          <w:hyperlink w:anchor="__RefHeading___Toc2860_387878532">
            <w:r>
              <w:rPr>
                <w:webHidden/>
                <w:rStyle w:val="IndexLink"/>
              </w:rPr>
              <w:t>9 What Is Deliberately Not Board-Tested</w:t>
              <w:tab/>
              <w:t>41</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eed_Solomon_AXIS_da">
        <w:r>
          <w:rPr>
            <w:rStyle w:val="ListLabel1"/>
            <w:color w:val="000000"/>
            <w:sz w:val="24"/>
          </w:rPr>
          <w:t>Figure 2.1: Reed-Solomon AXIS datapath and register path</w:t>
        </w:r>
        <w:r>
          <w:rPr>
            <w:rStyle w:val="ListLabel1"/>
          </w:rPr>
          <w:tab/>
        </w:r>
        <w:r>
          <w:rPr>
            <w:rStyle w:val="ListLabel1"/>
          </w:rPr>
          <w:fldChar w:fldCharType="begin"/>
        </w:r>
        <w:r>
          <w:rPr>
            <w:rStyle w:val="ListLabel1"/>
          </w:rPr>
          <w:instrText xml:space="preserve"> PAGEREF _Fig_1_Reed_Solomon_AXIS_da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2_UART_harness_address">
        <w:r>
          <w:rPr>
            <w:rStyle w:val="ListLabel1"/>
            <w:color w:val="000000"/>
            <w:sz w:val="24"/>
          </w:rPr>
          <w:t>Figure 2.2: UART harness address map</w:t>
        </w:r>
        <w:r>
          <w:rPr>
            <w:rStyle w:val="ListLabel1"/>
          </w:rPr>
          <w:tab/>
        </w:r>
        <w:r>
          <w:rPr>
            <w:rStyle w:val="ListLabel1"/>
          </w:rPr>
          <w:fldChar w:fldCharType="begin"/>
        </w:r>
        <w:r>
          <w:rPr>
            <w:rStyle w:val="ListLabel1"/>
          </w:rPr>
          <w:instrText xml:space="preserve"> PAGEREF _Fig_2_UART_harness_address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AXI4_datapath">
        <w:r>
          <w:rPr>
            <w:rStyle w:val="ListLabel1"/>
            <w:color w:val="000000"/>
            <w:sz w:val="24"/>
          </w:rPr>
          <w:t>Figure 2.3: AXI4 datapath</w:t>
        </w:r>
        <w:r>
          <w:rPr>
            <w:rStyle w:val="ListLabel1"/>
          </w:rPr>
          <w:tab/>
        </w:r>
        <w:r>
          <w:rPr>
            <w:rStyle w:val="ListLabel1"/>
          </w:rPr>
          <w:fldChar w:fldCharType="begin"/>
        </w:r>
        <w:r>
          <w:rPr>
            <w:rStyle w:val="ListLabel1"/>
          </w:rPr>
          <w:instrText xml:space="preserve"> PAGEREF _Fig_3_AXI4_datapath \h </w:instrText>
        </w:r>
        <w:r>
          <w:rPr>
            <w:rStyle w:val="ListLabel1"/>
          </w:rPr>
          <w:fldChar w:fldCharType="separate"/>
        </w:r>
        <w:r>
          <w:rPr>
            <w:rStyle w:val="ListLabel1"/>
          </w:rPr>
          <w:t>27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794_387878532"/>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2796_387878532"/>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harness guide for the Reed-Solomon Genesys 2 UART loop.</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bookmarkStart w:id="4" w:name="revision-history"/>
            <w:bookmarkEnd w:id="4"/>
          </w:p>
        </w:tc>
      </w:tr>
    </w:tbl>
    <w:p>
      <w:pPr>
        <w:pStyle w:val="Heading2"/>
        <w:pBdr>
          <w:bottom w:val="single" w:sz="12" w:space="0" w:color="228B22"/>
        </w:pBdr>
        <w:spacing w:before="280" w:after="80"/>
        <w:rPr/>
      </w:pPr>
      <w:r>
        <w:br w:type="page"/>
      </w:r>
      <w:bookmarkStart w:id="5" w:name="__RefHeading___Toc2798_387878532"/>
      <w:bookmarkEnd w:id="5"/>
      <w:r>
        <w:rPr>
          <w:rStyle w:val="SectionNumber"/>
          <w:b/>
          <w:color w:val="228B22"/>
          <w:sz w:val="28"/>
        </w:rPr>
        <w:t>1.2</w:t>
      </w:r>
      <w:r>
        <w:rPr>
          <w:b/>
          <w:color w:val="228B22"/>
          <w:sz w:val="28"/>
        </w:rPr>
        <w:tab/>
        <w:t>Scope</w:t>
      </w:r>
    </w:p>
    <w:p>
      <w:pPr>
        <w:pStyle w:val="FirstParagraph"/>
        <w:rPr/>
      </w:pPr>
      <w:r>
        <w:rPr>
          <w:sz w:val="20"/>
        </w:rPr>
        <w:t>This book describes the RS(252,236) t=8 UART harness on the Digilent Genesys 2: its contents, connectivity, and the motivations behind the FPGA testing choices. It is the harness guide that pairs with the Reed-Solomon Board Validation Report, which carries the run evidence.</w:t>
      </w:r>
      <w:r>
        <w:br w:type="page"/>
      </w:r>
    </w:p>
    <w:p>
      <w:pPr>
        <w:pStyle w:val="Heading2"/>
        <w:pBdr>
          <w:bottom w:val="single" w:sz="12" w:space="0" w:color="228B22"/>
        </w:pBdr>
        <w:spacing w:before="280" w:after="80"/>
        <w:rPr/>
      </w:pPr>
      <w:bookmarkStart w:id="6" w:name="__RefHeading___Toc2800_387878532"/>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The harness description comes from </w:t>
      </w:r>
      <w:r>
        <w:rPr>
          <w:rStyle w:val="VerbatimChar"/>
          <w:sz w:val="20"/>
        </w:rPr>
        <w:t>docs/UART_HARNESS.md</w:t>
      </w:r>
      <w:r>
        <w:rPr>
          <w:sz w:val="20"/>
        </w:rPr>
        <w:t xml:space="preserve">, the living markdown copy in the harness directory. Build facts come from </w:t>
      </w:r>
      <w:r>
        <w:rPr>
          <w:rStyle w:val="VerbatimChar"/>
          <w:sz w:val="20"/>
        </w:rPr>
        <w:t>stable/MANIFEST.md</w:t>
      </w:r>
      <w:r>
        <w:rPr>
          <w:sz w:val="20"/>
        </w:rPr>
        <w:t xml:space="preserve"> and </w:t>
      </w:r>
      <w:r>
        <w:rPr>
          <w:rStyle w:val="VerbatimChar"/>
          <w:sz w:val="20"/>
        </w:rPr>
        <w:t>stable/reports/</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2802_387878532"/>
      <w:bookmarkStart w:id="9" w:name="purpose-and-geometry"/>
      <w:bookmarkEnd w:id="8"/>
      <w:r>
        <w:rPr>
          <w:rStyle w:val="SectionNumber"/>
          <w:b/>
          <w:color w:val="FFFFFF"/>
          <w:sz w:val="32"/>
        </w:rPr>
        <w:t>2</w:t>
      </w:r>
      <w:r>
        <w:rPr>
          <w:b/>
          <w:color w:val="FFFFFF"/>
          <w:sz w:val="32"/>
        </w:rPr>
        <w:tab/>
        <w:t>Purpose and Geometry</w:t>
      </w:r>
    </w:p>
    <w:p>
      <w:pPr>
        <w:pStyle w:val="FirstParagraph"/>
        <w:rPr/>
      </w:pPr>
      <w:r>
        <w:rPr>
          <w:sz w:val="20"/>
        </w:rPr>
        <w:t>This is the Genesys 2 board harness for the RS(252,236) t=8 Reed-Solomon codec. The same loop subjects both key-equation solvers — riBM and Euclid — to a regenerated LFSR pattern that never saw the injected errors, so a corrected block is proven against a reference rather than against the other decoder. You drive the whole thing from a laptop over a 115200-baud UART, and it reports per-block verdicts, bandwidth meters, and a beat-by-beat comparator when both solvers are present.</w:t>
      </w:r>
    </w:p>
    <w:p>
      <w:pPr>
        <w:pStyle w:val="BodyText"/>
        <w:rPr/>
      </w:pPr>
      <w:r>
        <w:rPr>
          <w:sz w:val="20"/>
        </w:rPr>
        <w:t xml:space="preserve">The geometry is frozen in </w:t>
      </w:r>
      <w:r>
        <w:rPr>
          <w:rStyle w:val="VerbatimChar"/>
          <w:sz w:val="20"/>
        </w:rPr>
        <w:t>build-loop/rtl/rs_loop_cfg_pkg.sv</w:t>
      </w:r>
      <w:r>
        <w:rPr>
          <w:sz w:val="20"/>
        </w:rPr>
        <w:t>: RS(252,236), 4 symbols/beat, shortened so n and k are multiples of the beat. That package is the single source of the geometry, the UART baud, and the build identity, so the clock constant and the register map cannot drift apart.</w:t>
      </w:r>
    </w:p>
    <w:p>
      <w:pPr>
        <w:pStyle w:val="BodyText"/>
        <w:rPr/>
      </w:pPr>
      <w:r>
        <w:rPr>
          <w:sz w:val="20"/>
        </w:rPr>
        <w:t xml:space="preserve">The harness directory moved from </w:t>
      </w:r>
      <w:r>
        <w:rPr>
          <w:rStyle w:val="VerbatimChar"/>
          <w:sz w:val="20"/>
        </w:rPr>
        <w:t>projects/fpga-systems/NexysA7/reed-solomon/</w:t>
      </w:r>
      <w:r>
        <w:rPr>
          <w:sz w:val="20"/>
        </w:rPr>
        <w:t xml:space="preserve"> to </w:t>
      </w:r>
      <w:r>
        <w:rPr>
          <w:rStyle w:val="VerbatimChar"/>
          <w:sz w:val="20"/>
        </w:rPr>
        <w:t>projects/fpga-systems/Genesys2/ecc-ip/reed-solomon/</w:t>
      </w:r>
      <w:r>
        <w:rPr>
          <w:sz w:val="20"/>
        </w:rPr>
        <w:t xml:space="preserve"> on 2026-10-05. Set </w:t>
      </w:r>
      <w:r>
        <w:rPr>
          <w:rStyle w:val="VerbatimChar"/>
          <w:sz w:val="20"/>
        </w:rPr>
        <w:t>RS_TARGET=genesys2</w:t>
      </w:r>
      <w:r>
        <w:rPr>
          <w:sz w:val="20"/>
        </w:rPr>
        <w:t xml:space="preserve"> to build for the Kintex-7 XC7K325T-2; the default </w:t>
      </w:r>
      <w:r>
        <w:rPr>
          <w:rStyle w:val="VerbatimChar"/>
          <w:sz w:val="20"/>
        </w:rPr>
        <w:t>nexys_a7_100t</w:t>
      </w:r>
      <w:r>
        <w:rPr>
          <w:sz w:val="20"/>
        </w:rPr>
        <w:t xml:space="preserve"> keeps the original names and report layout byte-identical. Since 2026-10-07 the same tree also carries a small profile for the A7 (</w:t>
      </w:r>
      <w:r>
        <w:rPr>
          <w:rStyle w:val="VerbatimChar"/>
          <w:sz w:val="20"/>
        </w:rPr>
        <w:t>RS_PROFILE=small</w:t>
      </w:r>
      <w:r>
        <w:rPr>
          <w:sz w:val="20"/>
        </w:rPr>
        <w:t xml:space="preserve">, issue #83): RS(64,56) t=4 at 50 MHz, distinct BUILD_ID “RSLS”. The Genesys 2 image matrix is four bitstreams: </w:t>
      </w:r>
      <w:r>
        <w:rPr>
          <w:rStyle w:val="VerbatimChar"/>
          <w:sz w:val="20"/>
        </w:rPr>
        <w:t>rs_loop_genesys2_{axis_ribm,axis_euclid,axi4_ribm,axi4_euclid}.bit</w:t>
      </w:r>
      <w:r>
        <w:rPr>
          <w:sz w:val="20"/>
        </w:rPr>
        <w:t xml:space="preserve"> — two integration flavours times two solvers, one solver per bitstream.</w:t>
      </w:r>
      <w:bookmarkEnd w:id="9"/>
      <w:r>
        <w:br w:type="page"/>
      </w:r>
    </w:p>
    <w:p>
      <w:pPr>
        <w:pStyle w:val="Heading1"/>
        <w:shd w:val="clear" w:color="auto" w:fill="404040"/>
        <w:spacing w:before="360" w:after="120"/>
        <w:rPr/>
      </w:pPr>
      <w:bookmarkStart w:id="10" w:name="__RefHeading___Toc2804_387878532"/>
      <w:bookmarkEnd w:id="10"/>
      <w:r>
        <w:rPr>
          <w:rStyle w:val="SectionNumber"/>
          <w:b/>
          <w:color w:val="FFFFFF"/>
          <w:sz w:val="32"/>
        </w:rPr>
        <w:t>3</w:t>
      </w:r>
      <w:r>
        <w:rPr>
          <w:b/>
          <w:color w:val="FFFFFF"/>
          <w:sz w:val="32"/>
        </w:rPr>
        <w:tab/>
        <w:t>What Is In It</w:t>
      </w:r>
    </w:p>
    <w:p>
      <w:pPr>
        <w:pStyle w:val="Heading2"/>
        <w:pageBreakBefore w:val="false"/>
        <w:pBdr>
          <w:bottom w:val="single" w:sz="12" w:space="0" w:color="228B22"/>
        </w:pBdr>
        <w:spacing w:before="280" w:after="80"/>
        <w:rPr/>
      </w:pPr>
      <w:bookmarkStart w:id="11" w:name="__RefHeading___Toc2806_387878532"/>
      <w:bookmarkEnd w:id="11"/>
      <w:r>
        <w:rPr>
          <w:rStyle w:val="SectionNumber"/>
          <w:b/>
          <w:color w:val="228B22"/>
          <w:sz w:val="28"/>
        </w:rPr>
        <w:t>3.1</w:t>
      </w:r>
      <w:r>
        <w:rPr>
          <w:b/>
          <w:color w:val="228B22"/>
          <w:sz w:val="28"/>
        </w:rPr>
        <w:tab/>
        <w:t>RTL blocks</w:t>
      </w:r>
    </w:p>
    <w:p>
      <w:pPr>
        <w:pStyle w:val="FirstParagraph"/>
        <w:rPr/>
      </w:pPr>
      <w:r>
        <w:rPr>
          <w:sz w:val="20"/>
        </w:rPr>
        <w:t xml:space="preserve">Every path is relative to </w:t>
      </w:r>
      <w:r>
        <w:rPr>
          <w:rStyle w:val="VerbatimChar"/>
          <w:sz w:val="20"/>
        </w:rPr>
        <w:t>projects/fpga-systems/Genesys2/ecc-ip/reed-solomon/</w:t>
      </w:r>
      <w:r>
        <w:rPr>
          <w:sz w:val="20"/>
        </w:rPr>
        <w:t xml:space="preserve"> unless it lives in a shared area.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115200 8N1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bridge_rs_loop_axil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rtl/bridges/generated/bridge_rs_loop_axil/bridge_rs_loop_axil.sv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1-master x 3-slave AXI4-Lite/APB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build-loop/rtl/rs_loop_genesys2_top.sv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build-loop/rtl/rs_loop_top.sv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Genesys 2 MMCM wrapper, or Nexys A7 100 MHz direct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loop, register decode, bandwidth meters, observers, verdict tallies.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of geometry: RS(252,236), 4 symbols/beat, shortened so n and k are multiples of the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build-loop/rtl/rs_loop_regs.rdl</w:t>
            </w:r>
            <w:r>
              <w:rPr>
                <w:rFonts w:eastAsia="Cambria" w:cs=""/>
                <w:kern w:val="0"/>
                <w:sz w:val="24"/>
                <w:szCs w:val="24"/>
                <w:lang w:val="en-US" w:eastAsia="en-US" w:bidi="ar-SA"/>
              </w:rPr>
              <w:t xml:space="preserve"> via the shared </w:t>
            </w:r>
            <w:r>
              <w:rPr>
                <w:rStyle w:val="VerbatimChar"/>
                <w:rFonts w:eastAsia="Cambria" w:cs=""/>
                <w:kern w:val="0"/>
                <w:szCs w:val="24"/>
                <w:lang w:val="en-US" w:eastAsia="en-US" w:bidi="ar-SA"/>
              </w:rPr>
              <w:t>apb4_to_peakrdl</w:t>
            </w:r>
            <w:r>
              <w:rPr>
                <w:rFonts w:eastAsia="Cambria" w:cs=""/>
                <w:kern w:val="0"/>
                <w:sz w:val="24"/>
                <w:szCs w:val="24"/>
                <w:lang w:val="en-US" w:eastAsia="en-US" w:bidi="ar-SA"/>
              </w:rPr>
              <w:t xml:space="preserve"> shim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Host-visible register block: BUILD_ID RSLP, SCRATCH, PROFILE, TOPOLOGY, INJ_CFG, INJ_SEED,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plus expected CRC-32, one packet per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Regenerates the same LFSR pattern and compares beats per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projects/components/ecc-ip/reed-solomon/rtl/macro/rs_encoder_core.sv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Post-encoder corruption: modes 0 none, 1 exact count, 2 burst, 3 rate, 4 clusters, 5 localized, 6 badblock, 7 debug.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projects/components/ecc-ip/reed-solomon/rtl/macro/rs_decoder_core.sv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with selectable KES_ALGO and erasure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projects/components/ecc-ip/reed-solomon/rtl/fub/rs_erasure_unit.sv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locator / transform used when ERASURE_SUPPORT=1.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 chain for the AXI4 flavor.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projects/components/utility-ip/misc/rtl/axis4_intf_observer.sv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AXIS seam observer on window 0x20000.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projects/components/utility-ip/misc/rtl/axi4_intf_master_observer.sv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codec AXI4 master-port observer on window 0x10000.</w:t>
            </w:r>
            <w:bookmarkStart w:id="12" w:name="rtl-blocks"/>
            <w:bookmarkEnd w:id="12"/>
          </w:p>
        </w:tc>
      </w:tr>
    </w:tbl>
    <w:p>
      <w:pPr>
        <w:pStyle w:val="Heading2"/>
        <w:pBdr>
          <w:bottom w:val="single" w:sz="12" w:space="0" w:color="228B22"/>
        </w:pBdr>
        <w:spacing w:before="280" w:after="80"/>
        <w:rPr/>
      </w:pPr>
      <w:r>
        <w:br w:type="page"/>
      </w:r>
      <w:bookmarkStart w:id="13" w:name="__RefHeading___Toc2808_387878532"/>
      <w:bookmarkEnd w:id="13"/>
      <w:r>
        <w:rPr>
          <w:rStyle w:val="SectionNumber"/>
          <w:b/>
          <w:color w:val="228B22"/>
          <w:sz w:val="28"/>
        </w:rPr>
        <w:t>3.2</w:t>
      </w:r>
      <w:r>
        <w:rPr>
          <w:b/>
          <w:color w:val="228B22"/>
          <w:sz w:val="28"/>
        </w:rPr>
        <w:tab/>
        <w:t>Host scripts</w:t>
      </w:r>
    </w:p>
    <w:p>
      <w:pPr>
        <w:pStyle w:val="FirstParagraph"/>
        <w:rPr/>
      </w:pPr>
      <w:r>
        <w:rPr>
          <w:sz w:val="20"/>
        </w:rPr>
        <w:t>The host side is layered so the same programs run in cocotb simulation and on the board.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place this area learns the repo root and puts shared </w:t>
            </w:r>
            <w:r>
              <w:rPr>
                <w:rStyle w:val="VerbatimChar"/>
                <w:rFonts w:eastAsia="Cambria" w:cs=""/>
                <w:kern w:val="0"/>
                <w:szCs w:val="24"/>
                <w:lang w:val="en-US" w:eastAsia="en-US" w:bidi="ar-SA"/>
              </w:rPr>
              <w:t>projects/fpga-systems/bin</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build-loop/host</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sys.path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Campaign runner: resolves sequences, opens the UART, and runs them through </w:t>
            </w:r>
            <w:r>
              <w:rPr>
                <w:rStyle w:val="VerbatimChar"/>
                <w:rFonts w:eastAsia="Cambria" w:cs=""/>
                <w:kern w:val="0"/>
                <w:szCs w:val="24"/>
                <w:lang w:val="en-US" w:eastAsia="en-US" w:bidi="ar-SA"/>
              </w:rPr>
              <w:t>SequenceRunner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bin/seq_init.py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Proves the link and bitstream: BUILD_ID, SCRATCH round-trip, PROFILE, TOPOLOGY.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run, e = t, e = t + 1, deterministic debug walk.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bin/seq_sweep.py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Exact-count table for e = 0 .. 2t + 2.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bin/seq_random.py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Fresh data/error seeds, mixed modes and counts. Also hosts the </w:t>
            </w:r>
            <w:r>
              <w:rPr>
                <w:rStyle w:val="VerbatimChar"/>
                <w:rFonts w:eastAsia="Cambria" w:cs=""/>
                <w:kern w:val="0"/>
                <w:szCs w:val="24"/>
                <w:lang w:val="en-US" w:eastAsia="en-US" w:bidi="ar-SA"/>
              </w:rPr>
              <w:t>clusters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localized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badblock</w:t>
            </w:r>
            <w:r>
              <w:rPr>
                <w:rFonts w:eastAsia="Cambria" w:cs=""/>
                <w:kern w:val="0"/>
                <w:sz w:val="24"/>
                <w:szCs w:val="24"/>
                <w:lang w:val="en-US" w:eastAsia="en-US" w:bidi="ar-SA"/>
              </w:rPr>
              <w:t xml:space="preserve"> campaign classes.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bin/seq_soak.py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Million-block random soak, run by run, with replayable seeds.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bin/seq_erasure.py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Marked runs at f = t, 2t, 2t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RsLoopDriver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status, bandwidth meters, observer readout.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authored-once programs shared by sim and board: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verdict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 smoke, bypass, run, sweep, random, bw, obs, soak, erasure.</w:t>
            </w:r>
          </w:p>
        </w:tc>
      </w:tr>
    </w:tbl>
    <w:p>
      <w:pPr>
        <w:pStyle w:val="Heading2"/>
        <w:pBdr>
          <w:bottom w:val="single" w:sz="12" w:space="0" w:color="228B22"/>
        </w:pBdr>
        <w:spacing w:before="280" w:after="80"/>
        <w:rPr/>
      </w:pPr>
      <w:r>
        <w:br w:type="page"/>
      </w:r>
      <w:bookmarkStart w:id="14" w:name="__RefHeading___Toc2810_387878532"/>
      <w:bookmarkEnd w:id="14"/>
      <w:r>
        <w:rPr>
          <w:rStyle w:val="SectionNumber"/>
          <w:b/>
          <w:color w:val="228B22"/>
          <w:sz w:val="28"/>
        </w:rPr>
        <w:t>3.3</w:t>
      </w:r>
      <w:r>
        <w:rPr>
          <w:b/>
          <w:color w:val="228B22"/>
          <w:sz w:val="28"/>
        </w:rPr>
        <w:tab/>
        <w:t>Build and validation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 artifact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dispatcher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Delegates to </w:t>
            </w:r>
            <w:r>
              <w:rPr>
                <w:rStyle w:val="VerbatimChar"/>
                <w:rFonts w:eastAsia="Cambria" w:cs=""/>
                <w:kern w:val="0"/>
                <w:szCs w:val="24"/>
                <w:lang w:val="en-US" w:eastAsia="en-US" w:bidi="ar-SA"/>
              </w:rPr>
              <w:t>build-loop/Makefile</w:t>
            </w:r>
            <w:r>
              <w:rPr>
                <w:rFonts w:eastAsia="Cambria" w:cs=""/>
                <w:kern w:val="0"/>
                <w:sz w:val="24"/>
                <w:szCs w:val="24"/>
                <w:lang w:val="en-US" w:eastAsia="en-US" w:bidi="ar-SA"/>
              </w:rPr>
              <w:t xml:space="preserve"> for </w:t>
            </w:r>
            <w:r>
              <w:rPr>
                <w:rStyle w:val="VerbatimChar"/>
                <w:rFonts w:eastAsia="Cambria" w:cs=""/>
                <w:kern w:val="0"/>
                <w:szCs w:val="24"/>
                <w:lang w:val="en-US" w:eastAsia="en-US" w:bidi="ar-SA"/>
              </w:rPr>
              <w:t>bitstream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sim</w:t>
            </w:r>
            <w:r>
              <w:rPr>
                <w:rFonts w:eastAsia="Cambria" w:cs=""/>
                <w:kern w:val="0"/>
                <w:sz w:val="24"/>
                <w:szCs w:val="24"/>
                <w:lang w:val="en-US" w:eastAsia="en-US" w:bidi="ar-SA"/>
              </w:rPr>
              <w:t xml:space="preserve">, etc.; </w:t>
            </w:r>
            <w:r>
              <w:rPr>
                <w:rStyle w:val="VerbatimChar"/>
                <w:rFonts w:eastAsia="Cambria" w:cs=""/>
                <w:kern w:val="0"/>
                <w:szCs w:val="24"/>
                <w:lang w:val="en-US" w:eastAsia="en-US" w:bidi="ar-SA"/>
              </w:rPr>
              <w:t>make regmap</w:t>
            </w:r>
            <w:r>
              <w:rPr>
                <w:rFonts w:eastAsia="Cambria" w:cs=""/>
                <w:kern w:val="0"/>
                <w:sz w:val="24"/>
                <w:szCs w:val="24"/>
                <w:lang w:val="en-US" w:eastAsia="en-US" w:bidi="ar-SA"/>
              </w:rPr>
              <w:t xml:space="preserve"> regenerates CSRs.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Per-build 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project, constraints, and report handling; consumes </w:t>
            </w:r>
            <w:r>
              <w:rPr>
                <w:rStyle w:val="VerbatimChar"/>
                <w:rFonts w:eastAsia="Cambria" w:cs=""/>
                <w:kern w:val="0"/>
                <w:szCs w:val="24"/>
                <w:lang w:val="en-US" w:eastAsia="en-US" w:bidi="ar-SA"/>
              </w:rPr>
              <w:t>make/fpga_flow.mk</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Four-image 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w:t>
            </w:r>
            <w:r>
              <w:rPr>
                <w:rStyle w:val="VerbatimChar"/>
                <w:rFonts w:eastAsia="Cambria" w:cs=""/>
                <w:kern w:val="0"/>
                <w:szCs w:val="24"/>
                <w:lang w:val="en-US" w:eastAsia="en-US" w:bidi="ar-SA"/>
              </w:rPr>
              <w:t>{axis,axi4}</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{riBM,Euclid}</w:t>
            </w:r>
            <w:r>
              <w:rPr>
                <w:rFonts w:eastAsia="Cambria" w:cs=""/>
                <w:kern w:val="0"/>
                <w:sz w:val="24"/>
                <w:szCs w:val="24"/>
                <w:lang w:val="en-US" w:eastAsia="en-US" w:bidi="ar-SA"/>
              </w:rPr>
              <w:t xml:space="preserve"> with one solver per bitstream.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bin/measure_image_matrix.sh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and measures each image in turn.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constraints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build-loop/fpga/constraints/rs_loop_genesys2.xdc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 LVDS input, MMCM, UART pins,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record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stable/MANIFEST.md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slack, board campaigns, and known issues for the kept images.</w:t>
            </w:r>
            <w:bookmarkStart w:id="15" w:name="what-is-in-it"/>
            <w:bookmarkEnd w:id="15"/>
          </w:p>
        </w:tc>
      </w:tr>
    </w:tbl>
    <w:p>
      <w:pPr>
        <w:pStyle w:val="Heading1"/>
        <w:shd w:val="clear" w:color="auto" w:fill="404040"/>
        <w:spacing w:before="360" w:after="120"/>
        <w:rPr/>
      </w:pPr>
      <w:r>
        <w:br w:type="page"/>
      </w:r>
      <w:bookmarkStart w:id="16" w:name="__RefHeading___Toc2812_387878532"/>
      <w:bookmarkEnd w:id="16"/>
      <w:r>
        <w:rPr>
          <w:rStyle w:val="SectionNumber"/>
          <w:b/>
          <w:color w:val="FFFFFF"/>
          <w:sz w:val="32"/>
        </w:rPr>
        <w:t>4</w:t>
      </w:r>
      <w:r>
        <w:rPr>
          <w:b/>
          <w:color w:val="FFFFFF"/>
          <w:sz w:val="32"/>
        </w:rPr>
        <w:tab/>
        <w:t>How The Pieces Connect</w:t>
      </w:r>
    </w:p>
    <w:p>
      <w:pPr>
        <w:pStyle w:val="Heading2"/>
        <w:pageBreakBefore w:val="false"/>
        <w:pBdr>
          <w:bottom w:val="single" w:sz="12" w:space="0" w:color="228B22"/>
        </w:pBdr>
        <w:spacing w:before="280" w:after="80"/>
        <w:rPr/>
      </w:pPr>
      <w:bookmarkStart w:id="17" w:name="__RefHeading___Toc2814_387878532"/>
      <w:bookmarkStart w:id="18" w:name="register-path-and-datapath"/>
      <w:bookmarkEnd w:id="17"/>
      <w:r>
        <w:rPr>
          <w:rStyle w:val="SectionNumber"/>
          <w:b/>
          <w:color w:val="228B22"/>
          <w:sz w:val="28"/>
        </w:rPr>
        <w:t>4.1</w:t>
      </w:r>
      <w:r>
        <w:rPr>
          <w:b/>
          <w:color w:val="228B22"/>
          <w:sz w:val="28"/>
        </w:rPr>
        <w:tab/>
        <w:t>Register path and datapath</w:t>
      </w:r>
    </w:p>
    <w:p>
      <w:pPr>
        <w:pStyle w:val="FirstParagraph"/>
        <w:rPr/>
      </w:pPr>
      <w:r>
        <w:rPr>
          <w:sz w:val="20"/>
        </w:rPr>
        <w:t xml:space="preserve">The host register path is: Python over pyserial to the UART, into </w:t>
      </w:r>
      <w:r>
        <w:rPr>
          <w:rStyle w:val="VerbatimChar"/>
          <w:sz w:val="20"/>
        </w:rPr>
        <w:t>uart_axil_bridge</w:t>
      </w:r>
      <w:r>
        <w:rPr>
          <w:sz w:val="20"/>
        </w:rPr>
        <w:t xml:space="preserve">, through the generated </w:t>
      </w:r>
      <w:r>
        <w:rPr>
          <w:rStyle w:val="VerbatimChar"/>
          <w:sz w:val="20"/>
        </w:rPr>
        <w:t>bridge_rs_loop_axil</w:t>
      </w:r>
      <w:r>
        <w:rPr>
          <w:sz w:val="20"/>
        </w:rPr>
        <w:t xml:space="preserve"> 1x3 fabric, and out as three APB windows.</w:t>
      </w:r>
    </w:p>
    <w:p>
      <w:pPr>
        <w:pStyle w:val="Heading3"/>
        <w:spacing w:before="200" w:after="80"/>
        <w:rPr/>
      </w:pPr>
      <w:bookmarkStart w:id="19" w:name="__RefHeading___Toc2816_387878532"/>
      <w:bookmarkStart w:id="20" w:name="Xbbc32190a466f8dff99f1bd58a9362e2c368382"/>
      <w:bookmarkStart w:id="21" w:name="_Fig_1_Reed_Solomon_AXIS_da"/>
      <w:bookmarkEnd w:id="19"/>
      <w:r>
        <w:rPr>
          <w:rStyle w:val="SectionNumber"/>
          <w:b/>
          <w:color w:val="404040"/>
          <w:sz w:val="24"/>
        </w:rPr>
        <w:t>4.1.1</w:t>
      </w:r>
      <w:r>
        <w:rPr>
          <w:b/>
          <w:color w:val="404040"/>
          <w:sz w:val="24"/>
        </w:rPr>
        <w:tab/>
        <w:t>Figure 2.1: Reed-Solomon AXIS datapath and register path</w:t>
      </w:r>
      <w:bookmarkEnd w:id="21"/>
    </w:p>
    <w:p>
      <w:pPr>
        <w:pStyle w:val="CaptionedFigure"/>
        <w:rPr/>
      </w:pPr>
      <w:r>
        <w:rPr/>
        <w:drawing>
          <wp:inline distT="0" distB="0" distL="0" distR="0">
            <wp:extent cx="5334000" cy="4013835"/>
            <wp:effectExtent l="0" t="0" r="0" b="0"/>
            <wp:docPr id="4" name="Picture" descr="Reed-Solomon AXIS datapath and regist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Reed-Solomon AXIS datapath and register path"/>
                    <pic:cNvPicPr>
                      <a:picLocks noChangeAspect="1" noChangeArrowheads="1"/>
                    </pic:cNvPicPr>
                  </pic:nvPicPr>
                  <pic:blipFill>
                    <a:blip r:embed="rId3"/>
                    <a:stretch>
                      <a:fillRect/>
                    </a:stretch>
                  </pic:blipFill>
                  <pic:spPr bwMode="auto">
                    <a:xfrm>
                      <a:off x="0" y="0"/>
                      <a:ext cx="5334000" cy="4013835"/>
                    </a:xfrm>
                    <a:prstGeom prst="rect">
                      <a:avLst/>
                    </a:prstGeom>
                  </pic:spPr>
                </pic:pic>
              </a:graphicData>
            </a:graphic>
          </wp:inline>
        </w:drawing>
      </w:r>
    </w:p>
    <w:p>
      <w:pPr>
        <w:pStyle w:val="ImageCaption"/>
        <w:rPr/>
      </w:pPr>
      <w:r>
        <w:rPr/>
        <w:t>Reed-Solomon AXIS datapath and register path</w:t>
      </w:r>
    </w:p>
    <w:p>
      <w:pPr>
        <w:pStyle w:val="BodyText"/>
        <w:rPr/>
      </w:pPr>
      <w:r>
        <w:rPr>
          <w:b/>
          <w:bCs/>
          <w:sz w:val="20"/>
        </w:rPr>
        <w:t>Source:</w:t>
      </w:r>
      <w:r>
        <w:rPr>
          <w:sz w:val="20"/>
        </w:rPr>
        <w:t xml:space="preserve"> </w:t>
      </w:r>
      <w:hyperlink r:id="rId4">
        <w:r>
          <w:rPr>
            <w:rStyle w:val="Hyperlink"/>
          </w:rPr>
          <w:t>01_rs_axis_loop.dot</w:t>
        </w:r>
      </w:hyperlink>
    </w:p>
    <w:p>
      <w:pPr>
        <w:pStyle w:val="BodyText"/>
        <w:rPr/>
      </w:pPr>
      <w:r>
        <w:rPr>
          <w:sz w:val="20"/>
        </w:rPr>
        <w:t xml:space="preserve">Window 0 at </w:t>
      </w:r>
      <w:r>
        <w:rPr>
          <w:rStyle w:val="VerbatimChar"/>
          <w:sz w:val="20"/>
        </w:rPr>
        <w:t>0x00000000</w:t>
      </w:r>
      <w:r>
        <w:rPr>
          <w:sz w:val="20"/>
        </w:rPr>
        <w:t xml:space="preserve"> is </w:t>
      </w:r>
      <w:r>
        <w:rPr>
          <w:rStyle w:val="VerbatimChar"/>
          <w:sz w:val="20"/>
        </w:rPr>
        <w:t>rs_loop_apb</w:t>
      </w:r>
      <w:r>
        <w:rPr>
          <w:sz w:val="20"/>
        </w:rPr>
        <w:t xml:space="preserve">, which feeds the shared </w:t>
      </w:r>
      <w:r>
        <w:rPr>
          <w:rStyle w:val="VerbatimChar"/>
          <w:sz w:val="20"/>
        </w:rPr>
        <w:t>apb4_to_peakrdl</w:t>
      </w:r>
      <w:r>
        <w:rPr>
          <w:sz w:val="20"/>
        </w:rPr>
        <w:t xml:space="preserve"> shim and then the generated </w:t>
      </w:r>
      <w:r>
        <w:rPr>
          <w:rStyle w:val="VerbatimChar"/>
          <w:sz w:val="20"/>
        </w:rPr>
        <w:t>rs_loop_regs</w:t>
      </w:r>
      <w:r>
        <w:rPr>
          <w:sz w:val="20"/>
        </w:rPr>
        <w:t xml:space="preserve"> block — that is where BUILD_ID, SCRATCH, PROFILE, TOPOLOGY, INJ_CFG, and the status/counter registers live. Window 1 at </w:t>
      </w:r>
      <w:r>
        <w:rPr>
          <w:rStyle w:val="VerbatimChar"/>
          <w:sz w:val="20"/>
        </w:rPr>
        <w:t>0x00010000</w:t>
      </w:r>
      <w:r>
        <w:rPr>
          <w:sz w:val="20"/>
        </w:rPr>
        <w:t xml:space="preserve"> is </w:t>
      </w:r>
      <w:r>
        <w:rPr>
          <w:rStyle w:val="VerbatimChar"/>
          <w:sz w:val="20"/>
        </w:rPr>
        <w:t>rs_regs_apb</w:t>
      </w:r>
      <w:r>
        <w:rPr>
          <w:sz w:val="20"/>
        </w:rPr>
        <w:t xml:space="preserve">; on the AXI4 flavor it hosts the </w:t>
      </w:r>
      <w:r>
        <w:rPr>
          <w:rStyle w:val="VerbatimChar"/>
          <w:sz w:val="20"/>
        </w:rPr>
        <w:t>axi4_intf_master_observer</w:t>
      </w:r>
      <w:r>
        <w:rPr>
          <w:sz w:val="20"/>
        </w:rPr>
        <w:t xml:space="preserve"> watching the codec’s four AXI4 master ports, while on AXIS flavors it is a read-zero stub so the host bus never hangs. Window 2 at </w:t>
      </w:r>
      <w:r>
        <w:rPr>
          <w:rStyle w:val="VerbatimChar"/>
          <w:sz w:val="20"/>
        </w:rPr>
        <w:t>0x00020000</w:t>
      </w:r>
      <w:r>
        <w:rPr>
          <w:sz w:val="20"/>
        </w:rPr>
        <w:t xml:space="preserve"> is </w:t>
      </w:r>
      <w:r>
        <w:rPr>
          <w:rStyle w:val="VerbatimChar"/>
          <w:sz w:val="20"/>
        </w:rPr>
        <w:t>obs_apb</w:t>
      </w:r>
      <w:r>
        <w:rPr>
          <w:sz w:val="20"/>
        </w:rPr>
        <w:t xml:space="preserve">, always live, where an </w:t>
      </w:r>
      <w:r>
        <w:rPr>
          <w:rStyle w:val="VerbatimChar"/>
          <w:sz w:val="20"/>
        </w:rPr>
        <w:t>axis4_intf_observer</w:t>
      </w:r>
      <w:r>
        <w:rPr>
          <w:sz w:val="20"/>
        </w:rPr>
        <w:t xml:space="preserve"> watches the four AXIS seams in codeword order: message-in, codeword-out, codeword-in, message-out. The fabric definition is frozen in </w:t>
      </w:r>
      <w:r>
        <w:rPr>
          <w:rStyle w:val="VerbatimChar"/>
          <w:sz w:val="20"/>
        </w:rPr>
        <w:t>rtl/bridges/generated/bridge_rs_loop_axil/bridge_rs_loop_axil.toml</w:t>
      </w:r>
      <w:r>
        <w:rPr>
          <w:sz w:val="20"/>
        </w:rPr>
        <w:t>, so adding a new window is a bridge regeneration rather than a harness rewrite.</w:t>
      </w:r>
      <w:bookmarkEnd w:id="18"/>
      <w:bookmarkEnd w:id="20"/>
      <w:r>
        <w:br w:type="page"/>
      </w:r>
    </w:p>
    <w:p>
      <w:pPr>
        <w:pStyle w:val="Heading2"/>
        <w:pBdr>
          <w:bottom w:val="single" w:sz="12" w:space="0" w:color="228B22"/>
        </w:pBdr>
        <w:spacing w:before="280" w:after="80"/>
        <w:rPr/>
      </w:pPr>
      <w:bookmarkStart w:id="22" w:name="__RefHeading___Toc2818_387878532"/>
      <w:bookmarkStart w:id="23" w:name="clock-and-reset"/>
      <w:bookmarkEnd w:id="22"/>
      <w:r>
        <w:rPr>
          <w:rStyle w:val="SectionNumber"/>
          <w:b/>
          <w:color w:val="228B22"/>
          <w:sz w:val="28"/>
        </w:rPr>
        <w:t>4.2</w:t>
      </w:r>
      <w:r>
        <w:rPr>
          <w:b/>
          <w:color w:val="228B22"/>
          <w:sz w:val="28"/>
        </w:rPr>
        <w:tab/>
        <w:t>Clock and reset</w:t>
      </w:r>
    </w:p>
    <w:p>
      <w:pPr>
        <w:pStyle w:val="FirstParagraph"/>
        <w:rPr/>
      </w:pPr>
      <w:r>
        <w:rPr>
          <w:sz w:val="20"/>
        </w:rPr>
        <w:t xml:space="preserve">Clock and reset differ only at the board top. On the Genesys 2 the 200 MHz LVDS system clock passes through </w:t>
      </w:r>
      <w:r>
        <w:rPr>
          <w:rStyle w:val="VerbatimChar"/>
          <w:sz w:val="20"/>
        </w:rPr>
        <w:t>IBUFDS</w:t>
      </w:r>
      <w:r>
        <w:rPr>
          <w:sz w:val="20"/>
        </w:rPr>
        <w:t xml:space="preserve"> into an </w:t>
      </w:r>
      <w:r>
        <w:rPr>
          <w:rStyle w:val="VerbatimChar"/>
          <w:sz w:val="20"/>
        </w:rPr>
        <w:t>MMCME2_BASE</w:t>
      </w:r>
      <w:r>
        <w:rPr>
          <w:sz w:val="20"/>
        </w:rPr>
        <w:t xml:space="preserve"> with VCO = 1200 MHz and </w:t>
      </w:r>
      <w:r>
        <w:rPr>
          <w:rStyle w:val="VerbatimChar"/>
          <w:sz w:val="20"/>
        </w:rPr>
        <w:t>CLKOUT0_DIVIDE_F = 12</w:t>
      </w:r>
      <w:r>
        <w:rPr>
          <w:sz w:val="20"/>
        </w:rPr>
        <w:t>, producing the 100 MHz harness clock (</w:t>
      </w:r>
      <w:r>
        <w:rPr>
          <w:rStyle w:val="VerbatimChar"/>
          <w:sz w:val="20"/>
        </w:rPr>
        <w:t>build-loop/rtl/rs_loop_genesys2_top.sv</w:t>
      </w:r>
      <w:r>
        <w:rPr>
          <w:sz w:val="20"/>
        </w:rPr>
        <w:t>). The Nexys A7 top uses the on-board 100 MHz clock directly (</w:t>
      </w:r>
      <w:r>
        <w:rPr>
          <w:rStyle w:val="VerbatimChar"/>
          <w:sz w:val="20"/>
        </w:rPr>
        <w:t>build-loop/rtl/rs_loop_top.sv</w:t>
      </w:r>
      <w:r>
        <w:rPr>
          <w:sz w:val="20"/>
        </w:rPr>
        <w:t xml:space="preserve">). Both synchronize the active-low pushbutton reset into the 100 MHz domain before it reaches </w:t>
      </w:r>
      <w:r>
        <w:rPr>
          <w:rStyle w:val="VerbatimChar"/>
          <w:sz w:val="20"/>
        </w:rPr>
        <w:t>rs_loop_harness</w:t>
      </w:r>
      <w:r>
        <w:rPr>
          <w:sz w:val="20"/>
        </w:rPr>
        <w:t xml:space="preserve">. All of the downstream geometry — including the UART divisor — comes from </w:t>
      </w:r>
      <w:r>
        <w:rPr>
          <w:rStyle w:val="VerbatimChar"/>
          <w:sz w:val="20"/>
        </w:rPr>
        <w:t>rs_loop_cfg_pkg.sv</w:t>
      </w:r>
      <w:r>
        <w:rPr>
          <w:sz w:val="20"/>
        </w:rPr>
        <w:t>, so the clock constant and the MMCM output cannot drift apart.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clock-and-reset"/>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r>
        <w:br w:type="page"/>
      </w:r>
    </w:p>
    <w:p>
      <w:pPr>
        <w:pStyle w:val="Heading1"/>
        <w:shd w:val="clear" w:color="auto" w:fill="404040"/>
        <w:spacing w:before="360" w:after="120"/>
        <w:rPr/>
      </w:pPr>
      <w:bookmarkStart w:id="25" w:name="__RefHeading___Toc2820_387878532"/>
      <w:bookmarkStart w:id="26" w:name="harness-address-map"/>
      <w:bookmarkEnd w:id="25"/>
      <w:r>
        <w:rPr>
          <w:rStyle w:val="SectionNumber"/>
          <w:b/>
          <w:color w:val="FFFFFF"/>
          <w:sz w:val="32"/>
        </w:rPr>
        <w:t>5</w:t>
      </w:r>
      <w:r>
        <w:rPr>
          <w:b/>
          <w:color w:val="FFFFFF"/>
          <w:sz w:val="32"/>
        </w:rPr>
        <w:tab/>
        <w:t>Harness Address Map</w:t>
      </w:r>
    </w:p>
    <w:p>
      <w:pPr>
        <w:pStyle w:val="FirstParagraph"/>
        <w:rPr/>
      </w:pPr>
      <w:r>
        <w:rPr>
          <w:sz w:val="20"/>
        </w:rPr>
        <w:t>The host sees one flat 32-bit AXI4-Lite address space. The UART bridge (</w:t>
      </w:r>
      <w:r>
        <w:rPr>
          <w:rStyle w:val="VerbatimChar"/>
          <w:sz w:val="20"/>
        </w:rPr>
        <w:t>uart_axil_bridge</w:t>
      </w:r>
      <w:r>
        <w:rPr>
          <w:sz w:val="20"/>
        </w:rPr>
        <w:t xml:space="preserve">) is the master, and the generated </w:t>
      </w:r>
      <w:r>
        <w:rPr>
          <w:rStyle w:val="VerbatimChar"/>
          <w:sz w:val="20"/>
        </w:rPr>
        <w:t>bridge_rs_loop_axil</w:t>
      </w:r>
      <w:r>
        <w:rPr>
          <w:sz w:val="20"/>
        </w:rPr>
        <w:t xml:space="preserve"> fabric decodes it into three 4 KB APB windows. Everything the host can reach is in those windows; adding a new window is a bridge regeneration, not a harness rewrite.</w:t>
      </w:r>
      <w:r>
        <w:br w:type="page"/>
      </w:r>
    </w:p>
    <w:p>
      <w:pPr>
        <w:pStyle w:val="Heading2"/>
        <w:pBdr>
          <w:bottom w:val="single" w:sz="12" w:space="0" w:color="228B22"/>
        </w:pBdr>
        <w:spacing w:before="280" w:after="80"/>
        <w:rPr/>
      </w:pPr>
      <w:bookmarkStart w:id="27" w:name="__RefHeading___Toc2822_387878532"/>
      <w:bookmarkStart w:id="28" w:name="figure-2.2-uart-harness-address-map"/>
      <w:bookmarkStart w:id="29" w:name="_Fig_2_UART_harness_address"/>
      <w:bookmarkEnd w:id="27"/>
      <w:r>
        <w:rPr>
          <w:rStyle w:val="SectionNumber"/>
          <w:b/>
          <w:color w:val="228B22"/>
          <w:sz w:val="28"/>
        </w:rPr>
        <w:t>5.1</w:t>
      </w:r>
      <w:r>
        <w:rPr>
          <w:b/>
          <w:color w:val="228B22"/>
          <w:sz w:val="28"/>
        </w:rPr>
        <w:tab/>
        <w:t>Figure 2.2: UART harness address map</w:t>
      </w:r>
      <w:bookmarkEnd w:id="29"/>
    </w:p>
    <w:p>
      <w:pPr>
        <w:pStyle w:val="CaptionedFigure"/>
        <w:rPr/>
      </w:pPr>
      <w:r>
        <w:rPr/>
        <w:drawing>
          <wp:inline distT="0" distB="0" distL="0" distR="0">
            <wp:extent cx="5334000" cy="2104390"/>
            <wp:effectExtent l="0" t="0" r="0" b="0"/>
            <wp:docPr id="7" name="Image2" descr="UART harness addr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UART harness address map"/>
                    <pic:cNvPicPr>
                      <a:picLocks noChangeAspect="1" noChangeArrowheads="1"/>
                    </pic:cNvPicPr>
                  </pic:nvPicPr>
                  <pic:blipFill>
                    <a:blip r:embed="rId5"/>
                    <a:stretch>
                      <a:fillRect/>
                    </a:stretch>
                  </pic:blipFill>
                  <pic:spPr bwMode="auto">
                    <a:xfrm>
                      <a:off x="0" y="0"/>
                      <a:ext cx="5334000" cy="2104390"/>
                    </a:xfrm>
                    <a:prstGeom prst="rect">
                      <a:avLst/>
                    </a:prstGeom>
                  </pic:spPr>
                </pic:pic>
              </a:graphicData>
            </a:graphic>
          </wp:inline>
        </w:drawing>
      </w:r>
    </w:p>
    <w:p>
      <w:pPr>
        <w:pStyle w:val="ImageCaption"/>
        <w:rPr/>
      </w:pPr>
      <w:r>
        <w:rPr/>
        <w:t>UART harness address map</w:t>
      </w:r>
    </w:p>
    <w:p>
      <w:pPr>
        <w:pStyle w:val="BodyText"/>
        <w:rPr/>
      </w:pPr>
      <w:r>
        <w:rPr>
          <w:b/>
          <w:bCs/>
          <w:sz w:val="20"/>
        </w:rPr>
        <w:t>Source:</w:t>
      </w:r>
      <w:r>
        <w:rPr>
          <w:sz w:val="20"/>
        </w:rPr>
        <w:t xml:space="preserve"> </w:t>
      </w:r>
      <w:hyperlink r:id="rId6">
        <w:r>
          <w:rPr>
            <w:rStyle w:val="Hyperlink"/>
          </w:rPr>
          <w:t>02_rs_uart_address_map.dot</w:t>
        </w:r>
      </w:hyperlink>
      <w:bookmarkEnd w:id="28"/>
      <w:r>
        <w:br w:type="page"/>
      </w:r>
    </w:p>
    <w:p>
      <w:pPr>
        <w:pStyle w:val="Heading2"/>
        <w:pBdr>
          <w:bottom w:val="single" w:sz="12" w:space="0" w:color="228B22"/>
        </w:pBdr>
        <w:spacing w:before="280" w:after="80"/>
        <w:rPr/>
      </w:pPr>
      <w:bookmarkStart w:id="30" w:name="__RefHeading___Toc2824_387878532"/>
      <w:bookmarkStart w:id="31" w:name="window-summary"/>
      <w:bookmarkEnd w:id="30"/>
      <w:r>
        <w:rPr>
          <w:rStyle w:val="SectionNumber"/>
          <w:b/>
          <w:color w:val="228B22"/>
          <w:sz w:val="28"/>
        </w:rPr>
        <w:t>5.2</w:t>
      </w:r>
      <w:r>
        <w:rPr>
          <w:b/>
          <w:color w:val="228B22"/>
          <w:sz w:val="28"/>
        </w:rPr>
        <w:tab/>
        <w:t>Window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60"/>
        <w:gridCol w:w="2880"/>
        <w:gridCol w:w="2159"/>
        <w:gridCol w:w="2160"/>
      </w:tblGrid>
      <w:tr>
        <w:trPr>
          <w:tblHeader w:val="true"/>
        </w:trPr>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28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answers it</w:t>
            </w:r>
          </w:p>
        </w:tc>
      </w:tr>
      <w:tr>
        <w:trPr/>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28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rs_loop_apb</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harness CSR block </w:t>
            </w:r>
            <w:r>
              <w:rPr>
                <w:rStyle w:val="VerbatimChar"/>
                <w:rFonts w:eastAsia="Cambria" w:cs=""/>
                <w:kern w:val="0"/>
                <w:szCs w:val="24"/>
                <w:lang w:val="en-US" w:eastAsia="en-US" w:bidi="ar-SA"/>
              </w:rPr>
              <w:t>rs_loop_regs</w:t>
            </w:r>
            <w:r>
              <w:rPr>
                <w:rFonts w:eastAsia="Cambria" w:cs=""/>
                <w:kern w:val="0"/>
                <w:sz w:val="24"/>
                <w:szCs w:val="24"/>
                <w:lang w:val="en-US" w:eastAsia="en-US" w:bidi="ar-SA"/>
              </w:rPr>
              <w:t xml:space="preserve">, reached through the shared </w:t>
            </w:r>
            <w:r>
              <w:rPr>
                <w:rStyle w:val="VerbatimChar"/>
                <w:rFonts w:eastAsia="Cambria" w:cs=""/>
                <w:kern w:val="0"/>
                <w:szCs w:val="24"/>
                <w:lang w:val="en-US" w:eastAsia="en-US" w:bidi="ar-SA"/>
              </w:rPr>
              <w:t>apb4_to_peakrdl</w:t>
            </w:r>
            <w:r>
              <w:rPr>
                <w:rFonts w:eastAsia="Cambria" w:cs=""/>
                <w:kern w:val="0"/>
                <w:sz w:val="24"/>
                <w:szCs w:val="24"/>
                <w:lang w:val="en-US" w:eastAsia="en-US" w:bidi="ar-SA"/>
              </w:rPr>
              <w:t xml:space="preserve"> shim. This is where BUILD_ID, SCRATCH, PROFILE, TOPOLOGY, control, status, verdict tallies and bandwidth meters live.</w:t>
            </w:r>
          </w:p>
        </w:tc>
      </w:tr>
      <w:tr>
        <w:trPr/>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28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rs_regs_apb</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As built today:</w:t>
            </w:r>
            <w:r>
              <w:rPr>
                <w:rFonts w:eastAsia="Cambria" w:cs=""/>
                <w:kern w:val="0"/>
                <w:sz w:val="24"/>
                <w:szCs w:val="24"/>
                <w:lang w:val="en-US" w:eastAsia="en-US" w:bidi="ar-SA"/>
              </w:rPr>
              <w:t xml:space="preserve"> on the AXI4 flavour the pipeline’s </w:t>
            </w:r>
            <w:r>
              <w:rPr>
                <w:rStyle w:val="VerbatimChar"/>
                <w:rFonts w:eastAsia="Cambria" w:cs=""/>
                <w:kern w:val="0"/>
                <w:szCs w:val="24"/>
                <w:lang w:val="en-US" w:eastAsia="en-US" w:bidi="ar-SA"/>
              </w:rPr>
              <w:t>axi4_intf_master_observer</w:t>
            </w:r>
            <w:r>
              <w:rPr>
                <w:rFonts w:eastAsia="Cambria" w:cs=""/>
                <w:kern w:val="0"/>
                <w:sz w:val="24"/>
                <w:szCs w:val="24"/>
                <w:lang w:val="en-US" w:eastAsia="en-US" w:bidi="ar-SA"/>
              </w:rPr>
              <w:t xml:space="preserve"> answers this window; on the AXIS flavour it is tied to </w:t>
            </w:r>
            <w:r>
              <w:rPr>
                <w:rStyle w:val="VerbatimChar"/>
                <w:rFonts w:eastAsia="Cambria" w:cs=""/>
                <w:kern w:val="0"/>
                <w:szCs w:val="24"/>
                <w:lang w:val="en-US" w:eastAsia="en-US" w:bidi="ar-SA"/>
              </w:rPr>
              <w:t>PRDATA=0, PREADY=1</w:t>
            </w:r>
            <w:r>
              <w:rPr>
                <w:rFonts w:eastAsia="Cambria" w:cs=""/>
                <w:kern w:val="0"/>
                <w:sz w:val="24"/>
                <w:szCs w:val="24"/>
                <w:lang w:val="en-US" w:eastAsia="en-US" w:bidi="ar-SA"/>
              </w:rPr>
              <w:t xml:space="preserve"> so a stray access cannot hang the host bus. </w:t>
            </w:r>
            <w:r>
              <w:rPr>
                <w:rFonts w:eastAsia="Cambria" w:cs=""/>
                <w:b/>
                <w:bCs/>
                <w:kern w:val="0"/>
                <w:sz w:val="24"/>
                <w:szCs w:val="24"/>
                <w:lang w:val="en-US" w:eastAsia="en-US" w:bidi="ar-SA"/>
              </w:rPr>
              <w:t>PLANNED:</w:t>
            </w:r>
            <w:r>
              <w:rPr>
                <w:rFonts w:eastAsia="Cambria" w:cs=""/>
                <w:kern w:val="0"/>
                <w:sz w:val="24"/>
                <w:szCs w:val="24"/>
                <w:lang w:val="en-US" w:eastAsia="en-US" w:bidi="ar-SA"/>
              </w:rPr>
              <w:t xml:space="preserve"> the codec’s own </w:t>
            </w:r>
            <w:r>
              <w:rPr>
                <w:rStyle w:val="VerbatimChar"/>
                <w:rFonts w:eastAsia="Cambria" w:cs=""/>
                <w:kern w:val="0"/>
                <w:szCs w:val="24"/>
                <w:lang w:val="en-US" w:eastAsia="en-US" w:bidi="ar-SA"/>
              </w:rPr>
              <w:t>rs_regs</w:t>
            </w:r>
            <w:r>
              <w:rPr>
                <w:rFonts w:eastAsia="Cambria" w:cs=""/>
                <w:kern w:val="0"/>
                <w:sz w:val="24"/>
                <w:szCs w:val="24"/>
                <w:lang w:val="en-US" w:eastAsia="en-US" w:bidi="ar-SA"/>
              </w:rPr>
              <w:t xml:space="preserve"> block from PRD D9 (standalone codec ID, PROFILE, CTRL, job fields, statistics, interrupts).</w:t>
            </w:r>
          </w:p>
        </w:tc>
      </w:tr>
      <w:tr>
        <w:trPr/>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28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live. An </w:t>
            </w:r>
            <w:r>
              <w:rPr>
                <w:rStyle w:val="VerbatimChar"/>
                <w:rFonts w:eastAsia="Cambria" w:cs=""/>
                <w:kern w:val="0"/>
                <w:szCs w:val="24"/>
                <w:lang w:val="en-US" w:eastAsia="en-US" w:bidi="ar-SA"/>
              </w:rPr>
              <w:t>axis4_intf_observer</w:t>
            </w:r>
            <w:r>
              <w:rPr>
                <w:rFonts w:eastAsia="Cambria" w:cs=""/>
                <w:kern w:val="0"/>
                <w:sz w:val="24"/>
                <w:szCs w:val="24"/>
                <w:lang w:val="en-US" w:eastAsia="en-US" w:bidi="ar-SA"/>
              </w:rPr>
              <w:t xml:space="preserve"> watches the four AXIS seams in codeword order: message-in, codeword-out-of-encoder, codeword-into-decoder, message-out. On the AXI4 flavour the seams are tied off and the observer reads zero, but it still responds.</w:t>
            </w:r>
          </w:p>
        </w:tc>
      </w:tr>
    </w:tbl>
    <w:p>
      <w:pPr>
        <w:pStyle w:val="BodyText"/>
        <w:rPr/>
      </w:pPr>
      <w:r>
        <w:rPr>
          <w:sz w:val="20"/>
        </w:rPr>
        <w:t xml:space="preserve">The fabric definition is frozen in </w:t>
      </w:r>
      <w:r>
        <w:rPr>
          <w:rStyle w:val="VerbatimChar"/>
          <w:sz w:val="20"/>
        </w:rPr>
        <w:t>rtl/bridges/generated/bridge_rs_loop_axil/bridge_rs_loop_axil.toml</w:t>
      </w:r>
      <w:r>
        <w:rPr>
          <w:sz w:val="20"/>
        </w:rPr>
        <w:t xml:space="preserve">. </w:t>
      </w:r>
      <w:r>
        <w:rPr>
          <w:rStyle w:val="VerbatimChar"/>
          <w:sz w:val="20"/>
        </w:rPr>
        <w:t>bin/regen_bridges.sh</w:t>
      </w:r>
      <w:r>
        <w:rPr>
          <w:sz w:val="20"/>
        </w:rPr>
        <w:t xml:space="preserve"> regenerates the RTL if the windows move.</w:t>
      </w:r>
      <w:bookmarkEnd w:id="31"/>
      <w:r>
        <w:br w:type="page"/>
      </w:r>
    </w:p>
    <w:p>
      <w:pPr>
        <w:pStyle w:val="Heading2"/>
        <w:pBdr>
          <w:bottom w:val="single" w:sz="12" w:space="0" w:color="228B22"/>
        </w:pBdr>
        <w:spacing w:before="280" w:after="80"/>
        <w:rPr/>
      </w:pPr>
      <w:bookmarkStart w:id="32" w:name="__RefHeading___Toc2826_387878532"/>
      <w:bookmarkStart w:id="33" w:name="rs_loop_apb-register-offsets"/>
      <w:bookmarkEnd w:id="32"/>
      <w:r>
        <w:rPr>
          <w:rStyle w:val="SectionNumber"/>
          <w:b/>
          <w:color w:val="228B22"/>
          <w:sz w:val="28"/>
        </w:rPr>
        <w:t>5.3</w:t>
      </w:r>
      <w:r>
        <w:rPr>
          <w:b/>
          <w:color w:val="228B22"/>
          <w:sz w:val="28"/>
        </w:rPr>
        <w:tab/>
      </w:r>
      <w:r>
        <w:rPr>
          <w:rStyle w:val="VerbatimChar"/>
          <w:b/>
          <w:color w:val="228B22"/>
          <w:sz w:val="28"/>
        </w:rPr>
        <w:t>rs_loop_apb</w:t>
      </w:r>
      <w:r>
        <w:rPr>
          <w:b/>
          <w:color w:val="228B22"/>
          <w:sz w:val="28"/>
        </w:rPr>
        <w:t xml:space="preserve"> register offsets</w:t>
      </w:r>
    </w:p>
    <w:p>
      <w:pPr>
        <w:pStyle w:val="FirstParagraph"/>
        <w:rPr/>
      </w:pPr>
      <w:r>
        <w:rPr>
          <w:sz w:val="20"/>
        </w:rPr>
        <w:t xml:space="preserve">The register block is generated from </w:t>
      </w:r>
      <w:r>
        <w:rPr>
          <w:rStyle w:val="VerbatimChar"/>
          <w:sz w:val="20"/>
        </w:rPr>
        <w:t>build-loop/rtl/rs_loop_regs.rdl</w:t>
      </w:r>
      <w:r>
        <w:rPr>
          <w:sz w:val="20"/>
        </w:rPr>
        <w:t xml:space="preserve">. The host accesses every register </w:t>
      </w:r>
      <w:r>
        <w:rPr>
          <w:b/>
          <w:bCs/>
          <w:sz w:val="20"/>
        </w:rPr>
        <w:t>by name</w:t>
      </w:r>
      <w:r>
        <w:rPr>
          <w:sz w:val="20"/>
        </w:rPr>
        <w:t xml:space="preserve"> through </w:t>
      </w:r>
      <w:r>
        <w:rPr>
          <w:rStyle w:val="VerbatimChar"/>
          <w:sz w:val="20"/>
        </w:rPr>
        <w:t>UartRegisterMap</w:t>
      </w:r>
      <w:r>
        <w:rPr>
          <w:sz w:val="20"/>
        </w:rPr>
        <w:t xml:space="preserve"> over the generated </w:t>
      </w:r>
      <w:r>
        <w:rPr>
          <w:rStyle w:val="VerbatimChar"/>
          <w:sz w:val="20"/>
        </w:rPr>
        <w:t>build-loop/dv/tbclasses/rs_loop_regs_regmap.py</w:t>
      </w:r>
      <w:r>
        <w:rPr>
          <w:sz w:val="20"/>
        </w:rPr>
        <w:t>; no Python code hard-codes an offset.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Identity: ASCII </w:t>
            </w:r>
            <w:r>
              <w:rPr>
                <w:rStyle w:val="VerbatimChar"/>
                <w:rFonts w:eastAsia="Cambria" w:cs=""/>
                <w:kern w:val="0"/>
                <w:szCs w:val="24"/>
                <w:lang w:val="en-US" w:eastAsia="en-US" w:bidi="ar-SA"/>
              </w:rPr>
              <w:t>RSLP</w:t>
            </w:r>
            <w:r>
              <w:rPr>
                <w:rFonts w:eastAsia="Cambria" w:cs=""/>
                <w:kern w:val="0"/>
                <w:sz w:val="24"/>
                <w:szCs w:val="24"/>
                <w:lang w:val="en-US" w:eastAsia="en-US" w:bidi="ar-SA"/>
              </w:rPr>
              <w:t xml:space="preserve"> (board profile) or </w:t>
            </w:r>
            <w:r>
              <w:rPr>
                <w:rStyle w:val="VerbatimChar"/>
                <w:rFonts w:eastAsia="Cambria" w:cs=""/>
                <w:kern w:val="0"/>
                <w:szCs w:val="24"/>
                <w:lang w:val="en-US" w:eastAsia="en-US" w:bidi="ar-SA"/>
              </w:rPr>
              <w:t>RSLS</w:t>
            </w:r>
            <w:r>
              <w:rPr>
                <w:rFonts w:eastAsia="Cambria" w:cs=""/>
                <w:kern w:val="0"/>
                <w:sz w:val="24"/>
                <w:szCs w:val="24"/>
                <w:lang w:val="en-US" w:eastAsia="en-US" w:bidi="ar-SA"/>
              </w:rPr>
              <w:t xml:space="preserve"> (small Nexys A7 profile).</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sanity register.</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{n[15:0], t[23:16], m[27:24], spb[31:28]}</w:t>
            </w:r>
            <w:r>
              <w:rPr>
                <w:rFonts w:eastAsia="Cambria" w:cs=""/>
                <w:kern w:val="0"/>
                <w:sz w:val="24"/>
                <w:szCs w:val="24"/>
                <w:lang w:val="en-US" w:eastAsia="en-US" w:bidi="ar-SA"/>
              </w:rPr>
              <w:t>.</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0x084</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TOPOLOGY</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bitstream built: decoders, solver, comparator, datapath, erasure support.</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0x008</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throttle_a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throttle_b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inj_seed_on_start</w:t>
            </w:r>
            <w:r>
              <w:rPr>
                <w:rFonts w:eastAsia="Cambria" w:cs=""/>
                <w:kern w:val="0"/>
                <w:sz w:val="24"/>
                <w:szCs w:val="24"/>
                <w:lang w:val="en-US" w:eastAsia="en-US" w:bidi="ar-SA"/>
              </w:rPr>
              <w:t>.</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GEN_BLOCKS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per run.</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GEN_SEED</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generator LFSR seed.</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0x014</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INJ_CFG</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Injector mode, erasure </w:t>
            </w:r>
            <w:r>
              <w:rPr>
                <w:rStyle w:val="VerbatimChar"/>
                <w:rFonts w:eastAsia="Cambria" w:cs=""/>
                <w:kern w:val="0"/>
                <w:szCs w:val="24"/>
                <w:lang w:val="en-US" w:eastAsia="en-US" w:bidi="ar-SA"/>
              </w:rPr>
              <w:t>mark</w:t>
            </w:r>
            <w:r>
              <w:rPr>
                <w:rFonts w:eastAsia="Cambria" w:cs=""/>
                <w:kern w:val="0"/>
                <w:sz w:val="24"/>
                <w:szCs w:val="24"/>
                <w:lang w:val="en-US" w:eastAsia="en-US" w:bidi="ar-SA"/>
              </w:rPr>
              <w:t>, error count, rate.</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0x018</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INJ_SEED</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LFSR seed.</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0x088</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INJ_CNT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 count range (mode 4).</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INJ_LEN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 length range (mode 4).</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0x080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GO</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Single-pulse kick; every consumer starts off the same cycle.</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r>
              <w:rPr>
                <w:rFonts w:eastAsia="Cambria" w:cs=""/>
                <w:kern w:val="0"/>
                <w:sz w:val="24"/>
                <w:szCs w:val="24"/>
                <w:lang w:val="en-US" w:eastAsia="en-US" w:bidi="ar-SA"/>
              </w:rPr>
              <w:t>, done flags, error flags, AXI4 stage/overflow.</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0x024</w:t>
            </w:r>
            <w:r>
              <w:rPr>
                <w:rFonts w:eastAsia="Cambria" w:cs=""/>
                <w:kern w:val="0"/>
                <w:sz w:val="24"/>
                <w:szCs w:val="24"/>
                <w:lang w:val="en-US" w:eastAsia="en-US" w:bidi="ar-SA"/>
              </w:rPr>
              <w:t>–</w:t>
            </w:r>
            <w:r>
              <w:rPr>
                <w:rStyle w:val="VerbatimChar"/>
                <w:rFonts w:eastAsia="Cambria" w:cs=""/>
                <w:kern w:val="0"/>
                <w:szCs w:val="24"/>
                <w:lang w:val="en-US" w:eastAsia="en-US" w:bidi="ar-SA"/>
              </w:rPr>
              <w:t>0x02C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and checker CRC-32s.</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0x030</w:t>
            </w:r>
            <w:r>
              <w:rPr>
                <w:rFonts w:eastAsia="Cambria" w:cs=""/>
                <w:kern w:val="0"/>
                <w:sz w:val="24"/>
                <w:szCs w:val="24"/>
                <w:lang w:val="en-US" w:eastAsia="en-US" w:bidi="ar-SA"/>
              </w:rPr>
              <w:t>–</w:t>
            </w:r>
            <w:r>
              <w:rPr>
                <w:rStyle w:val="VerbatimChar"/>
                <w:rFonts w:eastAsia="Cambria" w:cs=""/>
                <w:kern w:val="0"/>
                <w:szCs w:val="24"/>
                <w:lang w:val="en-US" w:eastAsia="en-US" w:bidi="ar-SA"/>
              </w:rPr>
              <w:t>0x034</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PKTS_A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PKTS_B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received by each checker.</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CYCLES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from start until both checkers have every block.</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0x03C</w:t>
            </w:r>
            <w:r>
              <w:rPr>
                <w:rFonts w:eastAsia="Cambria" w:cs=""/>
                <w:kern w:val="0"/>
                <w:sz w:val="24"/>
                <w:szCs w:val="24"/>
                <w:lang w:val="en-US" w:eastAsia="en-US" w:bidi="ar-SA"/>
              </w:rPr>
              <w:t>–</w:t>
            </w:r>
            <w:r>
              <w:rPr>
                <w:rStyle w:val="VerbatimChar"/>
                <w:rFonts w:eastAsia="Cambria" w:cs=""/>
                <w:kern w:val="0"/>
                <w:szCs w:val="24"/>
                <w:lang w:val="en-US" w:eastAsia="en-US" w:bidi="ar-SA"/>
              </w:rPr>
              <w:t>0x060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BLK_OK_A/B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BLK_CORR_A/B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BLK_UNC_A/B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BLK_FRAME_A/B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SYM_CORR_A/B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Per-decoder verdict tallies.</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0x064</w:t>
            </w:r>
            <w:r>
              <w:rPr>
                <w:rFonts w:eastAsia="Cambria" w:cs=""/>
                <w:kern w:val="0"/>
                <w:sz w:val="24"/>
                <w:szCs w:val="24"/>
                <w:lang w:val="en-US" w:eastAsia="en-US" w:bidi="ar-SA"/>
              </w:rPr>
              <w:t>–</w:t>
            </w:r>
            <w:r>
              <w:rPr>
                <w:rStyle w:val="VerbatimChar"/>
                <w:rFonts w:eastAsia="Cambria" w:cs=""/>
                <w:kern w:val="0"/>
                <w:szCs w:val="24"/>
                <w:lang w:val="en-US" w:eastAsia="en-US" w:bidi="ar-SA"/>
              </w:rPr>
              <w:t>0x070</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INJ_SYMBOLS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INJ_BLOCKS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INJ_OVER_T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INJ_LAST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Injector statistics.</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0x074</w:t>
            </w:r>
            <w:r>
              <w:rPr>
                <w:rFonts w:eastAsia="Cambria" w:cs=""/>
                <w:kern w:val="0"/>
                <w:sz w:val="24"/>
                <w:szCs w:val="24"/>
                <w:lang w:val="en-US" w:eastAsia="en-US" w:bidi="ar-SA"/>
              </w:rPr>
              <w:t>–</w:t>
            </w:r>
            <w:r>
              <w:rPr>
                <w:rStyle w:val="VerbatimChar"/>
                <w:rFonts w:eastAsia="Cambria" w:cs=""/>
                <w:kern w:val="0"/>
                <w:szCs w:val="24"/>
                <w:lang w:val="en-US" w:eastAsia="en-US" w:bidi="ar-SA"/>
              </w:rPr>
              <w:t>0x07C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CMP_DATA_MISMATCH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CMP_STATUS_MISMATCH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CMP_BEATS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A-vs-B comparator (simulation / </w:t>
            </w:r>
            <w:r>
              <w:rPr>
                <w:rStyle w:val="VerbatimChar"/>
                <w:rFonts w:eastAsia="Cambria" w:cs=""/>
                <w:kern w:val="0"/>
                <w:szCs w:val="24"/>
                <w:lang w:val="en-US" w:eastAsia="en-US" w:bidi="ar-SA"/>
              </w:rPr>
              <w:t>ENABLE_COMPARE=1</w:t>
            </w:r>
            <w:r>
              <w:rPr>
                <w:rFonts w:eastAsia="Cambria" w:cs=""/>
                <w:kern w:val="0"/>
                <w:sz w:val="24"/>
                <w:szCs w:val="24"/>
                <w:lang w:val="en-US" w:eastAsia="en-US" w:bidi="ar-SA"/>
              </w:rPr>
              <w:t xml:space="preserve"> only).</w:t>
            </w:r>
          </w:p>
        </w:tc>
      </w:tr>
      <w:tr>
        <w:trPr/>
        <w:tc>
          <w:tcPr>
            <w:tcW w:w="3744"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0x090</w:t>
            </w:r>
            <w:r>
              <w:rPr>
                <w:rFonts w:eastAsia="Cambria" w:cs=""/>
                <w:kern w:val="0"/>
                <w:sz w:val="24"/>
                <w:szCs w:val="24"/>
                <w:lang w:val="en-US" w:eastAsia="en-US" w:bidi="ar-SA"/>
              </w:rPr>
              <w:t>–</w:t>
            </w:r>
            <w:r>
              <w:rPr>
                <w:rStyle w:val="VerbatimChar"/>
                <w:rFonts w:eastAsia="Cambria" w:cs=""/>
                <w:kern w:val="0"/>
                <w:szCs w:val="24"/>
                <w:lang w:val="en-US" w:eastAsia="en-US" w:bidi="ar-SA"/>
              </w:rPr>
              <w:t>0x0CC</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OBS_OUT_*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OBS_CW_OUT_*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OBS_CW_IN_*</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seams, four buckets each (productive, backpressure, starvation, idle).</w:t>
            </w:r>
          </w:p>
        </w:tc>
      </w:tr>
    </w:tbl>
    <w:p>
      <w:pPr>
        <w:pStyle w:val="BodyText"/>
        <w:rPr/>
      </w:pPr>
      <w:r>
        <w:rPr>
          <w:sz w:val="20"/>
        </w:rPr>
        <w:t xml:space="preserve">The complete generated register documentation is at </w:t>
      </w:r>
      <w:r>
        <w:rPr>
          <w:rStyle w:val="VerbatimChar"/>
          <w:sz w:val="20"/>
        </w:rPr>
        <w:t>build-loop/rtl/generated/rs_loop_regs/docs/rs_loop_regs.md</w:t>
      </w:r>
      <w:r>
        <w:rPr>
          <w:sz w:val="20"/>
        </w:rPr>
        <w:t>.</w:t>
      </w:r>
      <w:bookmarkEnd w:id="33"/>
      <w:r>
        <w:br w:type="page"/>
      </w:r>
    </w:p>
    <w:p>
      <w:pPr>
        <w:pStyle w:val="Heading2"/>
        <w:pBdr>
          <w:bottom w:val="single" w:sz="12" w:space="0" w:color="228B22"/>
        </w:pBdr>
        <w:spacing w:before="280" w:after="80"/>
        <w:rPr/>
      </w:pPr>
      <w:bookmarkStart w:id="34" w:name="__RefHeading___Toc2828_387878532"/>
      <w:bookmarkStart w:id="35" w:name="by-name-access"/>
      <w:bookmarkEnd w:id="34"/>
      <w:r>
        <w:rPr>
          <w:rStyle w:val="SectionNumber"/>
          <w:b/>
          <w:color w:val="228B22"/>
          <w:sz w:val="28"/>
        </w:rPr>
        <w:t>5.4</w:t>
      </w:r>
      <w:r>
        <w:rPr>
          <w:b/>
          <w:color w:val="228B22"/>
          <w:sz w:val="28"/>
        </w:rPr>
        <w:tab/>
        <w:t>By-name access</w:t>
      </w:r>
    </w:p>
    <w:p>
      <w:pPr>
        <w:pStyle w:val="FirstParagraph"/>
        <w:rPr/>
      </w:pPr>
      <w:r>
        <w:rPr>
          <w:sz w:val="20"/>
        </w:rPr>
        <w:t>The host driver (</w:t>
      </w:r>
      <w:r>
        <w:rPr>
          <w:rStyle w:val="VerbatimChar"/>
          <w:sz w:val="20"/>
        </w:rPr>
        <w:t>build-loop/host/rs_loop.py</w:t>
      </w:r>
      <w:r>
        <w:rPr>
          <w:sz w:val="20"/>
        </w:rPr>
        <w:t xml:space="preserve">) opens three </w:t>
      </w:r>
      <w:r>
        <w:rPr>
          <w:rStyle w:val="VerbatimChar"/>
          <w:sz w:val="20"/>
        </w:rPr>
        <w:t>UartRegisterMap</w:t>
      </w:r>
      <w:r>
        <w:rPr>
          <w:sz w:val="20"/>
        </w:rPr>
        <w:t xml:space="preserve"> instances:</w:t>
      </w:r>
    </w:p>
    <w:p>
      <w:pPr>
        <w:pStyle w:val="Compact"/>
        <w:numPr>
          <w:ilvl w:val="0"/>
          <w:numId w:val="1"/>
        </w:numPr>
        <w:rPr/>
      </w:pPr>
      <w:r>
        <w:rPr>
          <w:rStyle w:val="VerbatimChar"/>
        </w:rPr>
        <w:t>regs</w:t>
      </w:r>
      <w:r>
        <w:rPr/>
        <w:t xml:space="preserve"> at </w:t>
      </w:r>
      <w:r>
        <w:rPr>
          <w:rStyle w:val="VerbatimChar"/>
        </w:rPr>
        <w:t>HARNESS_BASE = 0x0</w:t>
      </w:r>
      <w:r>
        <w:rPr/>
        <w:t xml:space="preserve"> using </w:t>
      </w:r>
      <w:r>
        <w:rPr>
          <w:rStyle w:val="VerbatimChar"/>
        </w:rPr>
        <w:t>rs_loop_regs_regmap.py</w:t>
      </w:r>
      <w:r>
        <w:rPr/>
        <w:t>.</w:t>
      </w:r>
    </w:p>
    <w:p>
      <w:pPr>
        <w:pStyle w:val="Compact"/>
        <w:numPr>
          <w:ilvl w:val="0"/>
          <w:numId w:val="1"/>
        </w:numPr>
        <w:rPr/>
      </w:pPr>
      <w:r>
        <w:rPr>
          <w:rStyle w:val="VerbatimChar"/>
        </w:rPr>
        <w:t>obs_axi4</w:t>
      </w:r>
      <w:r>
        <w:rPr/>
        <w:t xml:space="preserve"> at </w:t>
      </w:r>
      <w:r>
        <w:rPr>
          <w:rStyle w:val="VerbatimChar"/>
        </w:rPr>
        <w:t>OBS_AXI4_BASE = 0x0001_0000</w:t>
      </w:r>
      <w:r>
        <w:rPr/>
        <w:t xml:space="preserve"> using </w:t>
      </w:r>
      <w:r>
        <w:rPr>
          <w:rStyle w:val="VerbatimChar"/>
        </w:rPr>
        <w:t>obs_regs_top_regmap.py</w:t>
      </w:r>
      <w:r>
        <w:rPr/>
        <w:t>.</w:t>
      </w:r>
    </w:p>
    <w:p>
      <w:pPr>
        <w:pStyle w:val="Compact"/>
        <w:numPr>
          <w:ilvl w:val="0"/>
          <w:numId w:val="1"/>
        </w:numPr>
        <w:rPr/>
      </w:pPr>
      <w:r>
        <w:rPr>
          <w:rStyle w:val="VerbatimChar"/>
        </w:rPr>
        <w:t>obs_axis</w:t>
      </w:r>
      <w:r>
        <w:rPr/>
        <w:t xml:space="preserve"> at </w:t>
      </w:r>
      <w:r>
        <w:rPr>
          <w:rStyle w:val="VerbatimChar"/>
        </w:rPr>
        <w:t>OBS_AXIS_BASE = 0x0002_0000</w:t>
      </w:r>
      <w:r>
        <w:rPr/>
        <w:t xml:space="preserve"> using </w:t>
      </w:r>
      <w:r>
        <w:rPr>
          <w:rStyle w:val="VerbatimChar"/>
        </w:rPr>
        <w:t>obs_regs_top_regmap.py</w:t>
      </w:r>
      <w:r>
        <w:rPr/>
        <w:t>.</w:t>
      </w:r>
    </w:p>
    <w:p>
      <w:pPr>
        <w:pStyle w:val="FirstParagraph"/>
        <w:rPr/>
      </w:pPr>
      <w:r>
        <w:rPr>
          <w:sz w:val="20"/>
        </w:rPr>
        <w:t>Because the bridge is injectable, the same driver runs over pyserial on the board and over the cocotb UART in simulation.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 w:name="harness-address-map"/>
      <w:bookmarkStart w:id="37" w:name="by-name-acces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1"/>
        <w:shd w:val="clear" w:color="auto" w:fill="404040"/>
        <w:spacing w:before="360" w:after="120"/>
        <w:rPr/>
      </w:pPr>
      <w:bookmarkStart w:id="38" w:name="__RefHeading___Toc2830_387878532"/>
      <w:bookmarkStart w:id="39" w:name="axi4-memory-to-memory-datapath"/>
      <w:bookmarkEnd w:id="38"/>
      <w:r>
        <w:rPr>
          <w:rStyle w:val="SectionNumber"/>
          <w:b/>
          <w:color w:val="FFFFFF"/>
          <w:sz w:val="32"/>
        </w:rPr>
        <w:t>6</w:t>
      </w:r>
      <w:r>
        <w:rPr>
          <w:b/>
          <w:color w:val="FFFFFF"/>
          <w:sz w:val="32"/>
        </w:rPr>
        <w:tab/>
        <w:t>AXI4 Memory-to-Memory Datapath</w:t>
      </w:r>
    </w:p>
    <w:p>
      <w:pPr>
        <w:pStyle w:val="FirstParagraph"/>
        <w:rPr/>
      </w:pPr>
      <w:r>
        <w:rPr>
          <w:sz w:val="20"/>
        </w:rPr>
        <w:t xml:space="preserve">The default board-validated flavour is the AXIS stream pipe shown in </w:t>
      </w:r>
      <w:hyperlink r:id="rId7">
        <w:r>
          <w:rPr>
            <w:rStyle w:val="Hyperlink"/>
          </w:rPr>
          <w:t>How The Pieces Connect</w:t>
        </w:r>
      </w:hyperlink>
      <w:r>
        <w:rPr>
          <w:sz w:val="20"/>
        </w:rPr>
        <w:t>. The same harness also builds an AXI4 flavour (</w:t>
      </w:r>
      <w:r>
        <w:rPr>
          <w:rStyle w:val="VerbatimChar"/>
          <w:sz w:val="20"/>
        </w:rPr>
        <w:t>IFACE="AXI4"</w:t>
      </w:r>
      <w:r>
        <w:rPr>
          <w:sz w:val="20"/>
        </w:rPr>
        <w:t>) that replaces the middle of the pipe with a memory-to-memory job chain. The generator, checkers, CSRs and verdict logic are unchanged, so a run reports itself identically whichever middle is built.</w:t>
      </w:r>
      <w:r>
        <w:br w:type="page"/>
      </w:r>
    </w:p>
    <w:p>
      <w:pPr>
        <w:pStyle w:val="Heading2"/>
        <w:pBdr>
          <w:bottom w:val="single" w:sz="12" w:space="0" w:color="228B22"/>
        </w:pBdr>
        <w:spacing w:before="280" w:after="80"/>
        <w:rPr/>
      </w:pPr>
      <w:bookmarkStart w:id="40" w:name="__RefHeading___Toc2832_387878532"/>
      <w:bookmarkStart w:id="41" w:name="figure-2.3-axi4-datapath"/>
      <w:bookmarkStart w:id="42" w:name="_Fig_3_AXI4_datapath"/>
      <w:bookmarkEnd w:id="40"/>
      <w:r>
        <w:rPr>
          <w:rStyle w:val="SectionNumber"/>
          <w:b/>
          <w:color w:val="228B22"/>
          <w:sz w:val="28"/>
        </w:rPr>
        <w:t>6.1</w:t>
      </w:r>
      <w:r>
        <w:rPr>
          <w:b/>
          <w:color w:val="228B22"/>
          <w:sz w:val="28"/>
        </w:rPr>
        <w:tab/>
        <w:t>Figure 2.3: AXI4 datapath</w:t>
      </w:r>
      <w:bookmarkEnd w:id="42"/>
    </w:p>
    <w:p>
      <w:pPr>
        <w:pStyle w:val="CaptionedFigure"/>
        <w:rPr/>
      </w:pPr>
      <w:r>
        <w:rPr/>
        <w:drawing>
          <wp:inline distT="0" distB="0" distL="0" distR="0">
            <wp:extent cx="5334000" cy="7060565"/>
            <wp:effectExtent l="0" t="0" r="0" b="0"/>
            <wp:docPr id="10" name="Image3" descr="Reed-Solomon AXI4 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Reed-Solomon AXI4 datapath"/>
                    <pic:cNvPicPr>
                      <a:picLocks noChangeAspect="1" noChangeArrowheads="1"/>
                    </pic:cNvPicPr>
                  </pic:nvPicPr>
                  <pic:blipFill>
                    <a:blip r:embed="rId8"/>
                    <a:stretch>
                      <a:fillRect/>
                    </a:stretch>
                  </pic:blipFill>
                  <pic:spPr bwMode="auto">
                    <a:xfrm>
                      <a:off x="0" y="0"/>
                      <a:ext cx="5334000" cy="7060565"/>
                    </a:xfrm>
                    <a:prstGeom prst="rect">
                      <a:avLst/>
                    </a:prstGeom>
                  </pic:spPr>
                </pic:pic>
              </a:graphicData>
            </a:graphic>
          </wp:inline>
        </w:drawing>
      </w:r>
    </w:p>
    <w:p>
      <w:pPr>
        <w:pStyle w:val="ImageCaption"/>
        <w:rPr/>
      </w:pPr>
      <w:r>
        <w:rPr/>
        <w:t>Reed-Solomon AXI4 datapath</w:t>
      </w:r>
    </w:p>
    <w:p>
      <w:pPr>
        <w:pStyle w:val="BodyText"/>
        <w:rPr/>
      </w:pPr>
      <w:r>
        <w:rPr>
          <w:b/>
          <w:bCs/>
          <w:sz w:val="20"/>
        </w:rPr>
        <w:t>Source:</w:t>
      </w:r>
      <w:r>
        <w:rPr>
          <w:sz w:val="20"/>
        </w:rPr>
        <w:t xml:space="preserve"> </w:t>
      </w:r>
      <w:hyperlink r:id="rId9">
        <w:r>
          <w:rPr>
            <w:rStyle w:val="Hyperlink"/>
          </w:rPr>
          <w:t>03_rs_axi4_pipeline.dot</w:t>
        </w:r>
      </w:hyperlink>
      <w:bookmarkEnd w:id="41"/>
      <w:r>
        <w:br w:type="page"/>
      </w:r>
    </w:p>
    <w:p>
      <w:pPr>
        <w:pStyle w:val="Heading2"/>
        <w:pBdr>
          <w:bottom w:val="single" w:sz="12" w:space="0" w:color="228B22"/>
        </w:pBdr>
        <w:spacing w:before="280" w:after="80"/>
        <w:rPr/>
      </w:pPr>
      <w:bookmarkStart w:id="43" w:name="__RefHeading___Toc2834_387878532"/>
      <w:bookmarkStart w:id="44" w:name="job-chain"/>
      <w:bookmarkEnd w:id="43"/>
      <w:r>
        <w:rPr>
          <w:rStyle w:val="SectionNumber"/>
          <w:b/>
          <w:color w:val="228B22"/>
          <w:sz w:val="28"/>
        </w:rPr>
        <w:t>6.2</w:t>
      </w:r>
      <w:r>
        <w:rPr>
          <w:b/>
          <w:color w:val="228B22"/>
          <w:sz w:val="28"/>
        </w:rPr>
        <w:tab/>
        <w:t>Job chain</w:t>
      </w:r>
    </w:p>
    <w:p>
      <w:pPr>
        <w:pStyle w:val="FirstParagraph"/>
        <w:rPr/>
      </w:pPr>
      <w:r>
        <w:rPr>
          <w:sz w:val="20"/>
        </w:rPr>
        <w:t>The chain is four sequential jobs over three dual-port memories:</w:t>
      </w:r>
    </w:p>
    <w:p>
      <w:pPr>
        <w:pStyle w:val="Compact"/>
        <w:numPr>
          <w:ilvl w:val="0"/>
          <w:numId w:val="5"/>
        </w:numPr>
        <w:rPr/>
      </w:pPr>
      <w:r>
        <w:rPr>
          <w:b/>
          <w:bCs/>
        </w:rPr>
        <w:t>Seed write</w:t>
      </w:r>
      <w:r>
        <w:rPr/>
        <w:t xml:space="preserve"> — the generator’s message stream is written to </w:t>
      </w:r>
      <w:r>
        <w:rPr>
          <w:b/>
          <w:bCs/>
        </w:rPr>
        <w:t>M1</w:t>
      </w:r>
      <w:r>
        <w:rPr/>
        <w:t>.</w:t>
      </w:r>
    </w:p>
    <w:p>
      <w:pPr>
        <w:pStyle w:val="Compact"/>
        <w:numPr>
          <w:ilvl w:val="0"/>
          <w:numId w:val="2"/>
        </w:numPr>
        <w:rPr/>
      </w:pPr>
      <w:r>
        <w:rPr>
          <w:b/>
          <w:bCs/>
        </w:rPr>
        <w:t>Encode</w:t>
      </w:r>
      <w:r>
        <w:rPr/>
        <w:t xml:space="preserve"> — the encoder reads </w:t>
      </w:r>
      <w:r>
        <w:rPr>
          <w:b/>
          <w:bCs/>
        </w:rPr>
        <w:t>M1</w:t>
      </w:r>
      <w:r>
        <w:rPr/>
        <w:t xml:space="preserve"> and writes codewords to </w:t>
      </w:r>
      <w:r>
        <w:rPr>
          <w:b/>
          <w:bCs/>
        </w:rPr>
        <w:t>M2</w:t>
      </w:r>
      <w:r>
        <w:rPr/>
        <w:t>.</w:t>
      </w:r>
    </w:p>
    <w:p>
      <w:pPr>
        <w:pStyle w:val="Compact"/>
        <w:numPr>
          <w:ilvl w:val="0"/>
          <w:numId w:val="2"/>
        </w:numPr>
        <w:rPr/>
      </w:pPr>
      <w:r>
        <w:rPr>
          <w:b/>
          <w:bCs/>
        </w:rPr>
        <w:t>Decode</w:t>
      </w:r>
      <w:r>
        <w:rPr/>
        <w:t xml:space="preserve"> — the decoder reads </w:t>
      </w:r>
      <w:r>
        <w:rPr>
          <w:b/>
          <w:bCs/>
        </w:rPr>
        <w:t>M2</w:t>
      </w:r>
      <w:r>
        <w:rPr/>
        <w:t xml:space="preserve"> and writes recovered messages to </w:t>
      </w:r>
      <w:r>
        <w:rPr>
          <w:b/>
          <w:bCs/>
        </w:rPr>
        <w:t>M4</w:t>
      </w:r>
      <w:r>
        <w:rPr/>
        <w:t>. The injector sits on the decoder’s read channel, so the codewords are corrupted in flight; no extra memory hop is needed.</w:t>
      </w:r>
    </w:p>
    <w:p>
      <w:pPr>
        <w:pStyle w:val="Compact"/>
        <w:numPr>
          <w:ilvl w:val="0"/>
          <w:numId w:val="2"/>
        </w:numPr>
        <w:rPr/>
      </w:pPr>
      <w:r>
        <w:rPr>
          <w:b/>
          <w:bCs/>
        </w:rPr>
        <w:t>Drain read</w:t>
      </w:r>
      <w:r>
        <w:rPr/>
        <w:t xml:space="preserve"> — the drain engine reads </w:t>
      </w:r>
      <w:r>
        <w:rPr>
          <w:b/>
          <w:bCs/>
        </w:rPr>
        <w:t>M4</w:t>
      </w:r>
      <w:r>
        <w:rPr/>
        <w:t xml:space="preserve"> and feeds the pattern checker.</w:t>
      </w:r>
    </w:p>
    <w:p>
      <w:pPr>
        <w:pStyle w:val="FirstParagraph"/>
        <w:rPr/>
      </w:pPr>
      <w:r>
        <w:rPr>
          <w:sz w:val="20"/>
        </w:rPr>
        <w:t xml:space="preserve">Stage sequencing is done by rising-edge detectors on each stage’s </w:t>
      </w:r>
      <w:r>
        <w:rPr>
          <w:rStyle w:val="VerbatimChar"/>
          <w:sz w:val="20"/>
        </w:rPr>
        <w:t>cfg_done</w:t>
      </w:r>
      <w:r>
        <w:rPr>
          <w:sz w:val="20"/>
        </w:rPr>
        <w:t>, not by a state machine. Each memory has exactly one writer and one reader, so there is no arbitration on the AXI4 channels.</w:t>
      </w:r>
      <w:bookmarkEnd w:id="44"/>
      <w:r>
        <w:br w:type="page"/>
      </w:r>
    </w:p>
    <w:p>
      <w:pPr>
        <w:pStyle w:val="Heading2"/>
        <w:pBdr>
          <w:bottom w:val="single" w:sz="12" w:space="0" w:color="228B22"/>
        </w:pBdr>
        <w:spacing w:before="280" w:after="80"/>
        <w:rPr/>
      </w:pPr>
      <w:bookmarkStart w:id="45" w:name="__RefHeading___Toc2836_387878532"/>
      <w:bookmarkStart w:id="46" w:name="memories"/>
      <w:bookmarkEnd w:id="45"/>
      <w:r>
        <w:rPr>
          <w:rStyle w:val="SectionNumber"/>
          <w:b/>
          <w:color w:val="228B22"/>
          <w:sz w:val="28"/>
        </w:rPr>
        <w:t>6.3</w:t>
      </w:r>
      <w:r>
        <w:rPr>
          <w:b/>
          <w:color w:val="228B22"/>
          <w:sz w:val="28"/>
        </w:rPr>
        <w:tab/>
        <w:t>Memories</w:t>
      </w:r>
    </w:p>
    <w:p>
      <w:pPr>
        <w:pStyle w:val="FirstParagraph"/>
        <w:rPr/>
      </w:pPr>
      <w:r>
        <w:rPr>
          <w:sz w:val="20"/>
        </w:rPr>
        <w:t xml:space="preserve">All three memories are </w:t>
      </w:r>
      <w:r>
        <w:rPr>
          <w:rStyle w:val="VerbatimChar"/>
          <w:sz w:val="20"/>
        </w:rPr>
        <w:t>sdpram_slave_axi4_axi4</w:t>
      </w:r>
      <w:r>
        <w:rPr>
          <w:sz w:val="20"/>
        </w:rPr>
        <w:t xml:space="preserve"> instances with </w:t>
      </w:r>
      <w:r>
        <w:rPr>
          <w:rStyle w:val="VerbatimChar"/>
          <w:sz w:val="20"/>
        </w:rPr>
        <w:t>MEM_DEPTH = 4096</w:t>
      </w:r>
      <w:r>
        <w:rPr>
          <w:sz w:val="20"/>
        </w:rPr>
        <w:t xml:space="preserve"> 32-bit words (16 KB each). A single AXI4 run cannot exceed what one memory holds; </w:t>
      </w:r>
      <w:r>
        <w:rPr>
          <w:rStyle w:val="VerbatimChar"/>
          <w:sz w:val="20"/>
        </w:rPr>
        <w:t>STATUS.axi4_overflow</w:t>
      </w:r>
      <w:r>
        <w:rPr>
          <w:sz w:val="20"/>
        </w:rPr>
        <w:t xml:space="preserve"> refuses the kick rather than clamping or silently wrapping.</w:t>
      </w:r>
      <w:bookmarkEnd w:id="46"/>
      <w:r>
        <w:br w:type="page"/>
      </w:r>
    </w:p>
    <w:p>
      <w:pPr>
        <w:pStyle w:val="Heading2"/>
        <w:pBdr>
          <w:bottom w:val="single" w:sz="12" w:space="0" w:color="228B22"/>
        </w:pBdr>
        <w:spacing w:before="280" w:after="80"/>
        <w:rPr/>
      </w:pPr>
      <w:bookmarkStart w:id="47" w:name="__RefHeading___Toc2838_387878532"/>
      <w:bookmarkStart w:id="48" w:name="observer"/>
      <w:bookmarkEnd w:id="47"/>
      <w:r>
        <w:rPr>
          <w:rStyle w:val="SectionNumber"/>
          <w:b/>
          <w:color w:val="228B22"/>
          <w:sz w:val="28"/>
        </w:rPr>
        <w:t>6.4</w:t>
      </w:r>
      <w:r>
        <w:rPr>
          <w:b/>
          <w:color w:val="228B22"/>
          <w:sz w:val="28"/>
        </w:rPr>
        <w:tab/>
        <w:t>Observer</w:t>
      </w:r>
    </w:p>
    <w:p>
      <w:pPr>
        <w:pStyle w:val="FirstParagraph"/>
        <w:rPr/>
      </w:pPr>
      <w:r>
        <w:rPr>
          <w:sz w:val="20"/>
        </w:rPr>
        <w:t xml:space="preserve">The AXI4 flavour’s </w:t>
      </w:r>
      <w:r>
        <w:rPr>
          <w:rStyle w:val="VerbatimChar"/>
          <w:sz w:val="20"/>
        </w:rPr>
        <w:t>rs_regs_apb</w:t>
      </w:r>
      <w:r>
        <w:rPr>
          <w:sz w:val="20"/>
        </w:rPr>
        <w:t xml:space="preserve"> window (</w:t>
      </w:r>
      <w:r>
        <w:rPr>
          <w:rStyle w:val="VerbatimChar"/>
          <w:sz w:val="20"/>
        </w:rPr>
        <w:t>0x0001_0000</w:t>
      </w:r>
      <w:r>
        <w:rPr>
          <w:sz w:val="20"/>
        </w:rPr>
        <w:t xml:space="preserve">) hosts an </w:t>
      </w:r>
      <w:r>
        <w:rPr>
          <w:rStyle w:val="VerbatimChar"/>
          <w:sz w:val="20"/>
        </w:rPr>
        <w:t>axi4_intf_master_observer</w:t>
      </w:r>
      <w:r>
        <w:rPr>
          <w:sz w:val="20"/>
        </w:rPr>
        <w:t xml:space="preserve"> instantiated inside </w:t>
      </w:r>
      <w:r>
        <w:rPr>
          <w:rStyle w:val="VerbatimChar"/>
          <w:sz w:val="20"/>
        </w:rPr>
        <w:t>rs_axi4_pipeline</w:t>
      </w:r>
      <w:r>
        <w:rPr>
          <w:sz w:val="20"/>
        </w:rPr>
        <w:t>. It watches the codec’s four master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carries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message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 codeword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 codeword read, after the injector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M4 recovered write</w:t>
            </w:r>
          </w:p>
        </w:tc>
      </w:tr>
    </w:tbl>
    <w:p>
      <w:pPr>
        <w:pStyle w:val="BodyText"/>
        <w:rPr/>
      </w:pPr>
      <w:r>
        <w:rPr>
          <w:sz w:val="20"/>
        </w:rPr>
        <w:t xml:space="preserve">The observer provides the same bus-meter cycle buckets as the AXIS observer, plus log2 latency histograms. </w:t>
      </w:r>
      <w:r>
        <w:rPr>
          <w:rStyle w:val="VerbatimChar"/>
          <w:sz w:val="20"/>
        </w:rPr>
        <w:t>ENABLE_MON_TAPS = 0</w:t>
      </w:r>
      <w:r>
        <w:rPr>
          <w:sz w:val="20"/>
        </w:rPr>
        <w:t xml:space="preserve"> keeps it purely passive so it cannot throttle the datapath.</w:t>
      </w:r>
      <w:bookmarkEnd w:id="48"/>
      <w:r>
        <w:br w:type="page"/>
      </w:r>
    </w:p>
    <w:p>
      <w:pPr>
        <w:pStyle w:val="Heading2"/>
        <w:pBdr>
          <w:bottom w:val="single" w:sz="12" w:space="0" w:color="228B22"/>
        </w:pBdr>
        <w:spacing w:before="280" w:after="80"/>
        <w:rPr/>
      </w:pPr>
      <w:bookmarkStart w:id="49" w:name="__RefHeading___Toc2840_387878532"/>
      <w:bookmarkStart w:id="50" w:name="verdict-path"/>
      <w:bookmarkEnd w:id="49"/>
      <w:r>
        <w:rPr>
          <w:rStyle w:val="SectionNumber"/>
          <w:b/>
          <w:color w:val="228B22"/>
          <w:sz w:val="28"/>
        </w:rPr>
        <w:t>6.5</w:t>
      </w:r>
      <w:r>
        <w:rPr>
          <w:b/>
          <w:color w:val="228B22"/>
          <w:sz w:val="28"/>
        </w:rPr>
        <w:tab/>
        <w:t>Verdict path</w:t>
      </w:r>
    </w:p>
    <w:p>
      <w:pPr>
        <w:pStyle w:val="FirstParagraph"/>
        <w:rPr/>
      </w:pPr>
      <w:r>
        <w:rPr>
          <w:sz w:val="20"/>
        </w:rPr>
        <w:t>Because the decoder reaches its verdict during the decode stage while the beats arrive at the checker later, during the drain stage, the per-block tally cannot follow the AXI4 data path. The pipeline accumulates its own verdict totals (</w:t>
      </w:r>
      <w:r>
        <w:rPr>
          <w:rStyle w:val="VerbatimChar"/>
          <w:sz w:val="20"/>
        </w:rPr>
        <w:t>blk_ok</w:t>
      </w:r>
      <w:r>
        <w:rPr>
          <w:sz w:val="20"/>
        </w:rPr>
        <w:t xml:space="preserve">, </w:t>
      </w:r>
      <w:r>
        <w:rPr>
          <w:rStyle w:val="VerbatimChar"/>
          <w:sz w:val="20"/>
        </w:rPr>
        <w:t>blk_corr</w:t>
      </w:r>
      <w:r>
        <w:rPr>
          <w:sz w:val="20"/>
        </w:rPr>
        <w:t xml:space="preserve">, </w:t>
      </w:r>
      <w:r>
        <w:rPr>
          <w:rStyle w:val="VerbatimChar"/>
          <w:sz w:val="20"/>
        </w:rPr>
        <w:t>blk_unc</w:t>
      </w:r>
      <w:r>
        <w:rPr>
          <w:sz w:val="20"/>
        </w:rPr>
        <w:t xml:space="preserve">, </w:t>
      </w:r>
      <w:r>
        <w:rPr>
          <w:rStyle w:val="VerbatimChar"/>
          <w:sz w:val="20"/>
        </w:rPr>
        <w:t>blk_frame</w:t>
      </w:r>
      <w:r>
        <w:rPr>
          <w:sz w:val="20"/>
        </w:rPr>
        <w:t xml:space="preserve">, </w:t>
      </w:r>
      <w:r>
        <w:rPr>
          <w:rStyle w:val="VerbatimChar"/>
          <w:sz w:val="20"/>
        </w:rPr>
        <w:t>sym_corr</w:t>
      </w:r>
      <w:r>
        <w:rPr>
          <w:sz w:val="20"/>
        </w:rPr>
        <w:t xml:space="preserve">) and the CSR block selects those sources when </w:t>
      </w:r>
      <w:r>
        <w:rPr>
          <w:rStyle w:val="VerbatimChar"/>
          <w:sz w:val="20"/>
        </w:rPr>
        <w:t>TOPOLOGY.iface</w:t>
      </w:r>
      <w:r>
        <w:rPr>
          <w:sz w:val="20"/>
        </w:rPr>
        <w:t xml:space="preserve"> indicates AXI4.</w:t>
      </w:r>
      <w:bookmarkEnd w:id="39"/>
      <w:bookmarkEnd w:id="50"/>
      <w:r>
        <w:br w:type="page"/>
      </w:r>
    </w:p>
    <w:p>
      <w:pPr>
        <w:pStyle w:val="Heading1"/>
        <w:shd w:val="clear" w:color="auto" w:fill="404040"/>
        <w:spacing w:before="360" w:after="120"/>
        <w:rPr/>
      </w:pPr>
      <w:bookmarkStart w:id="51" w:name="__RefHeading___Toc2842_387878532"/>
      <w:bookmarkStart w:id="52" w:name="the-fpga-testing-choices-and-why"/>
      <w:bookmarkEnd w:id="51"/>
      <w:r>
        <w:rPr>
          <w:rStyle w:val="SectionNumber"/>
          <w:b/>
          <w:color w:val="FFFFFF"/>
          <w:sz w:val="32"/>
        </w:rPr>
        <w:t>7</w:t>
      </w:r>
      <w:r>
        <w:rPr>
          <w:b/>
          <w:color w:val="FFFFFF"/>
          <w:sz w:val="32"/>
        </w:rPr>
        <w:tab/>
        <w:t>The FPGA-Testing Choices, And Why</w:t>
      </w:r>
    </w:p>
    <w:p>
      <w:pPr>
        <w:pStyle w:val="Heading2"/>
        <w:pageBreakBefore w:val="false"/>
        <w:pBdr>
          <w:bottom w:val="single" w:sz="12" w:space="0" w:color="228B22"/>
        </w:pBdr>
        <w:spacing w:before="280" w:after="80"/>
        <w:rPr/>
      </w:pPr>
      <w:bookmarkStart w:id="53" w:name="__RefHeading___Toc2844_387878532"/>
      <w:bookmarkStart w:id="54" w:name="the-dual-solver-loop-as-mutual-oracle"/>
      <w:bookmarkEnd w:id="53"/>
      <w:r>
        <w:rPr>
          <w:rStyle w:val="SectionNumber"/>
          <w:b/>
          <w:color w:val="228B22"/>
          <w:sz w:val="28"/>
        </w:rPr>
        <w:t>7.1</w:t>
      </w:r>
      <w:r>
        <w:rPr>
          <w:b/>
          <w:color w:val="228B22"/>
          <w:sz w:val="28"/>
        </w:rPr>
        <w:tab/>
        <w:t>The dual-solver loop as mutual oracle</w:t>
      </w:r>
    </w:p>
    <w:p>
      <w:pPr>
        <w:pStyle w:val="FirstParagraph"/>
        <w:rPr/>
      </w:pPr>
      <w:r>
        <w:rPr>
          <w:sz w:val="20"/>
        </w:rPr>
        <w:t xml:space="preserve">The AXIS datapath feeds the same corrupted blocks to two </w:t>
      </w:r>
      <w:r>
        <w:rPr>
          <w:rStyle w:val="VerbatimChar"/>
          <w:sz w:val="20"/>
        </w:rPr>
        <w:t>rs_decoder_core</w:t>
      </w:r>
      <w:r>
        <w:rPr>
          <w:sz w:val="20"/>
        </w:rPr>
        <w:t xml:space="preserve"> instances, one with </w:t>
      </w:r>
      <w:r>
        <w:rPr>
          <w:rStyle w:val="VerbatimChar"/>
          <w:sz w:val="20"/>
        </w:rPr>
        <w:t>KES_ALGO=RIBM</w:t>
      </w:r>
      <w:r>
        <w:rPr>
          <w:sz w:val="20"/>
        </w:rPr>
        <w:t xml:space="preserve"> and one with </w:t>
      </w:r>
      <w:r>
        <w:rPr>
          <w:rStyle w:val="VerbatimChar"/>
          <w:sz w:val="20"/>
        </w:rPr>
        <w:t>KES_ALGO=EUCLID</w:t>
      </w:r>
      <w:r>
        <w:rPr>
          <w:sz w:val="20"/>
        </w:rPr>
        <w:t xml:space="preserve">. Each decoder’s output is compared beat-by-beat against the generator’s regenerated LFSR pattern in its own </w:t>
      </w:r>
      <w:r>
        <w:rPr>
          <w:rStyle w:val="VerbatimChar"/>
          <w:sz w:val="20"/>
        </w:rPr>
        <w:t>axis4_slave_pattern_check</w:t>
      </w:r>
      <w:r>
        <w:rPr>
          <w:sz w:val="20"/>
        </w:rPr>
        <w:t>, so a correction is judged by a reference that never saw the errors — not by the other decoder. A separate comparator then requires the two decoders to agree on every beat and on every block’s verdict. That makes a solver bug visible as a disagreement even when both decoders “correct.” On the board images this comparator is present only in simulation (</w:t>
      </w:r>
      <w:r>
        <w:rPr>
          <w:rStyle w:val="VerbatimChar"/>
          <w:sz w:val="20"/>
        </w:rPr>
        <w:t>ENABLE_COMPARE=1</w:t>
      </w:r>
      <w:r>
        <w:rPr>
          <w:sz w:val="20"/>
        </w:rPr>
        <w:t>); the production board matrix carries one solver per bitstream to save area and keep the handshake clean for the bandwidth meters. The cross-solver check then happens by running the identical deterministic campaign on the riBM and Euclid images and requiring matching numbers.</w:t>
      </w:r>
      <w:bookmarkEnd w:id="54"/>
      <w:r>
        <w:br w:type="page"/>
      </w:r>
    </w:p>
    <w:p>
      <w:pPr>
        <w:pStyle w:val="Heading2"/>
        <w:pBdr>
          <w:bottom w:val="single" w:sz="12" w:space="0" w:color="228B22"/>
        </w:pBdr>
        <w:spacing w:before="280" w:after="80"/>
        <w:rPr/>
      </w:pPr>
      <w:bookmarkStart w:id="55" w:name="__RefHeading___Toc2846_387878532"/>
      <w:bookmarkStart w:id="56" w:name="X8986edd381f90783fdfc23b2deca2118a794320"/>
      <w:bookmarkEnd w:id="55"/>
      <w:r>
        <w:rPr>
          <w:rStyle w:val="SectionNumber"/>
          <w:b/>
          <w:color w:val="228B22"/>
          <w:sz w:val="28"/>
        </w:rPr>
        <w:t>7.2</w:t>
      </w:r>
      <w:r>
        <w:rPr>
          <w:b/>
          <w:color w:val="228B22"/>
          <w:sz w:val="28"/>
        </w:rPr>
        <w:tab/>
        <w:t>Determinism makes the riBM and Euclid images cross-oracles</w:t>
      </w:r>
    </w:p>
    <w:p>
      <w:pPr>
        <w:pStyle w:val="FirstParagraph"/>
        <w:rPr/>
      </w:pPr>
      <w:bookmarkStart w:id="57" w:name="X8986edd381f90783fdfc23b2deca2118a794320"/>
      <w:r>
        <w:rPr>
          <w:sz w:val="20"/>
        </w:rPr>
        <w:t>The host-side RNG seed defaults to 1. With that default, the random, soak, clusters, localized, and badblock campaigns are fully deterministic: the riBM and Euclid images run bit-identical workloads. On the 2026-10-05 Genesys 2 battery all four single-decoder images passed 7/7 campaigns, and the matching verdict counts between riBM and Euclid are themselves the cross-check. You do not need the on-chip comparator to know the two solvers agree — the campaigns prove it.</w:t>
      </w:r>
      <w:bookmarkEnd w:id="57"/>
      <w:r>
        <w:br w:type="page"/>
      </w:r>
    </w:p>
    <w:p>
      <w:pPr>
        <w:pStyle w:val="Heading2"/>
        <w:pBdr>
          <w:bottom w:val="single" w:sz="12" w:space="0" w:color="228B22"/>
        </w:pBdr>
        <w:spacing w:before="280" w:after="80"/>
        <w:rPr/>
      </w:pPr>
      <w:bookmarkStart w:id="58" w:name="__RefHeading___Toc2848_387878532"/>
      <w:bookmarkStart w:id="59" w:name="Xba59fedd44ef670cc4f627318a2c6a8ba6eb2fd"/>
      <w:bookmarkEnd w:id="58"/>
      <w:r>
        <w:rPr>
          <w:rStyle w:val="SectionNumber"/>
          <w:b/>
          <w:color w:val="228B22"/>
          <w:sz w:val="28"/>
        </w:rPr>
        <w:t>7.3</w:t>
      </w:r>
      <w:r>
        <w:rPr>
          <w:b/>
          <w:color w:val="228B22"/>
          <w:sz w:val="28"/>
        </w:rPr>
        <w:tab/>
        <w:t>Injector modes map to real failure mechanisms</w:t>
      </w:r>
    </w:p>
    <w:p>
      <w:pPr>
        <w:pStyle w:val="FirstParagraph"/>
        <w:rPr/>
      </w:pPr>
      <w:r>
        <w:rPr>
          <w:sz w:val="20"/>
        </w:rPr>
        <w:t xml:space="preserve">The shared </w:t>
      </w:r>
      <w:r>
        <w:rPr>
          <w:rStyle w:val="VerbatimChar"/>
          <w:sz w:val="20"/>
        </w:rPr>
        <w:t>error_injector</w:t>
      </w:r>
      <w:r>
        <w:rPr>
          <w:sz w:val="20"/>
        </w:rPr>
        <w:t xml:space="preserve"> operates on 8-bit symbols, because that is RS’s natural unit. Mode 1 exact-count places exactly e errors per block at uniformly random distinct positions, which is what makes the e = t / e = t + 1 boundary sharp. Mode 2 burst and mode 3 rate model raw channel bit-error behavior. Modes 4 clusters and 5 localized model spatially correlated faults — a bad DRAM row, a disturbed NAND page, or a failed symbol column. Mode 6 badblock models the tail of NAND retention: most blocks clean, a hard minority very bad. Mode 7 debug is the deterministic bring-up walk. When </w:t>
      </w:r>
      <w:r>
        <w:rPr>
          <w:rStyle w:val="VerbatimChar"/>
          <w:sz w:val="20"/>
        </w:rPr>
        <w:t>INJ_CFG.mark</w:t>
      </w:r>
      <w:r>
        <w:rPr>
          <w:sz w:val="20"/>
        </w:rPr>
        <w:t xml:space="preserve"> is set, the injector’s hit mask rides the decoder </w:t>
      </w:r>
      <w:r>
        <w:rPr>
          <w:rStyle w:val="VerbatimChar"/>
          <w:sz w:val="20"/>
        </w:rPr>
        <w:t>in_erasure</w:t>
      </w:r>
      <w:r>
        <w:rPr>
          <w:sz w:val="20"/>
        </w:rPr>
        <w:t xml:space="preserve"> sideband, turning any of these placement modes into an erasure run where the decoder is told which symbols were corrupted.</w:t>
      </w:r>
      <w:bookmarkEnd w:id="59"/>
      <w:r>
        <w:br w:type="page"/>
      </w:r>
    </w:p>
    <w:p>
      <w:pPr>
        <w:pStyle w:val="Heading2"/>
        <w:pBdr>
          <w:bottom w:val="single" w:sz="12" w:space="0" w:color="228B22"/>
        </w:pBdr>
        <w:spacing w:before="280" w:after="80"/>
        <w:rPr/>
      </w:pPr>
      <w:bookmarkStart w:id="60" w:name="__RefHeading___Toc2850_387878532"/>
      <w:bookmarkStart w:id="61" w:name="X39b5670bd0cc349c34063d439e0ead0eedf07cb"/>
      <w:bookmarkEnd w:id="60"/>
      <w:r>
        <w:rPr>
          <w:rStyle w:val="SectionNumber"/>
          <w:b/>
          <w:color w:val="228B22"/>
          <w:sz w:val="28"/>
        </w:rPr>
        <w:t>7.4</w:t>
      </w:r>
      <w:r>
        <w:rPr>
          <w:b/>
          <w:color w:val="228B22"/>
          <w:sz w:val="28"/>
        </w:rPr>
        <w:tab/>
        <w:t>Post-encoder injection protects parity symbols</w:t>
      </w:r>
    </w:p>
    <w:p>
      <w:pPr>
        <w:pStyle w:val="FirstParagraph"/>
        <w:rPr/>
      </w:pPr>
      <w:bookmarkStart w:id="62" w:name="X39b5670bd0cc349c34063d439e0ead0eedf07cb"/>
      <w:r>
        <w:rPr>
          <w:sz w:val="20"/>
        </w:rPr>
        <w:t>Errors are injected after the encoder, not in the generator. An error in the generator’s data would be encoded faithfully and would be invisible to the code. Placing the injector on the coded stream means parity symbols are corrupted too, which is the workload the decoder actually has to handle. That is why the generator has no error-injection mode and the injector is a separate block.</w:t>
      </w:r>
      <w:bookmarkEnd w:id="62"/>
      <w:r>
        <w:br w:type="page"/>
      </w:r>
    </w:p>
    <w:p>
      <w:pPr>
        <w:pStyle w:val="Heading2"/>
        <w:pBdr>
          <w:bottom w:val="single" w:sz="12" w:space="0" w:color="228B22"/>
        </w:pBdr>
        <w:spacing w:before="280" w:after="80"/>
        <w:rPr/>
      </w:pPr>
      <w:bookmarkStart w:id="63" w:name="__RefHeading___Toc2852_387878532"/>
      <w:bookmarkStart w:id="64" w:name="Xc47722c6f7c2cead4a36a5b928930d6e3c9b991"/>
      <w:bookmarkEnd w:id="63"/>
      <w:r>
        <w:rPr>
          <w:rStyle w:val="SectionNumber"/>
          <w:b/>
          <w:color w:val="228B22"/>
          <w:sz w:val="28"/>
        </w:rPr>
        <w:t>7.5</w:t>
      </w:r>
      <w:r>
        <w:rPr>
          <w:b/>
          <w:color w:val="228B22"/>
          <w:sz w:val="28"/>
        </w:rPr>
        <w:tab/>
        <w:t>UART over a debug core, with a lock/readback safety pair</w:t>
      </w:r>
    </w:p>
    <w:p>
      <w:pPr>
        <w:pStyle w:val="FirstParagraph"/>
        <w:rPr/>
      </w:pPr>
      <w:r>
        <w:rPr>
          <w:sz w:val="20"/>
        </w:rPr>
        <w:t xml:space="preserve">The harness uses a plain UART instead of a proprietary debug core, so the host side is just pyserial and Python scripts. Board safety is a pair: </w:t>
      </w:r>
      <w:r>
        <w:rPr>
          <w:rStyle w:val="VerbatimChar"/>
          <w:sz w:val="20"/>
        </w:rPr>
        <w:t>board_lock.sh</w:t>
      </w:r>
      <w:r>
        <w:rPr>
          <w:sz w:val="20"/>
        </w:rPr>
        <w:t xml:space="preserve"> serializes programming flows by the board’s JTAG serial, and </w:t>
      </w:r>
      <w:r>
        <w:rPr>
          <w:rStyle w:val="VerbatimChar"/>
          <w:sz w:val="20"/>
        </w:rPr>
        <w:t>fpga_board.py</w:t>
      </w:r>
      <w:r>
        <w:rPr>
          <w:sz w:val="20"/>
        </w:rPr>
        <w:t xml:space="preserve"> reads the JTAG chain through </w:t>
      </w:r>
      <w:r>
        <w:rPr>
          <w:rStyle w:val="VerbatimChar"/>
          <w:sz w:val="20"/>
        </w:rPr>
        <w:t>jtag_readback.tcl</w:t>
      </w:r>
      <w:r>
        <w:rPr>
          <w:sz w:val="20"/>
        </w:rPr>
        <w:t xml:space="preserve"> before programming to confirm the expected Genesys 2 serial (</w:t>
      </w:r>
      <w:r>
        <w:rPr>
          <w:rStyle w:val="VerbatimChar"/>
          <w:sz w:val="20"/>
        </w:rPr>
        <w:t>200300B818A0</w:t>
      </w:r>
      <w:r>
        <w:rPr>
          <w:sz w:val="20"/>
        </w:rPr>
        <w:t>) is present with a device behind it. A lock prevents collisions; a readback detects misattribution. When the hw_server deviceless-enumeration race refused about half of programming attempts, the readback path was changed to bounce hw_server and retry, bounded at five. The verdict is recorded beside the bitstream sha256 so a result file cannot be mistaken for verified if the identity check was inconclusive.</w:t>
      </w:r>
      <w:bookmarkEnd w:id="64"/>
      <w:r>
        <w:br w:type="page"/>
      </w:r>
    </w:p>
    <w:p>
      <w:pPr>
        <w:pStyle w:val="Heading2"/>
        <w:pBdr>
          <w:bottom w:val="single" w:sz="12" w:space="0" w:color="228B22"/>
        </w:pBdr>
        <w:spacing w:before="280" w:after="80"/>
        <w:rPr/>
      </w:pPr>
      <w:bookmarkStart w:id="65" w:name="__RefHeading___Toc2854_387878532"/>
      <w:bookmarkStart w:id="66" w:name="genesys-2-over-nexys-a7"/>
      <w:bookmarkEnd w:id="65"/>
      <w:r>
        <w:rPr>
          <w:rStyle w:val="SectionNumber"/>
          <w:b/>
          <w:color w:val="228B22"/>
          <w:sz w:val="28"/>
        </w:rPr>
        <w:t>7.6</w:t>
      </w:r>
      <w:r>
        <w:rPr>
          <w:b/>
          <w:color w:val="228B22"/>
          <w:sz w:val="28"/>
        </w:rPr>
        <w:tab/>
        <w:t>Genesys 2 over Nexys A7</w:t>
      </w:r>
    </w:p>
    <w:p>
      <w:pPr>
        <w:pStyle w:val="FirstParagraph"/>
        <w:rPr/>
      </w:pPr>
      <w:r>
        <w:rPr>
          <w:sz w:val="20"/>
        </w:rPr>
        <w:t>The Kintex-7 XC7K325T-2 was chosen because it has room for the full harness plus observers and still closes timing with positive slack. The four Genesys 2 images routed with WNS from +0.875 ns to +1.822 ns. The Nexys A7-100T flow is kept as a target option (</w:t>
      </w:r>
      <w:r>
        <w:rPr>
          <w:rStyle w:val="VerbatimChar"/>
          <w:sz w:val="20"/>
        </w:rPr>
        <w:t>RS_TARGET=nexys_a7_100t</w:t>
      </w:r>
      <w:r>
        <w:rPr>
          <w:sz w:val="20"/>
        </w:rPr>
        <w:t>) and the original image names and report layout stay byte-identical, but the Genesys 2 is the primary target for harness-class work.</w:t>
      </w:r>
      <w:bookmarkEnd w:id="66"/>
      <w:r>
        <w:br w:type="page"/>
      </w:r>
    </w:p>
    <w:p>
      <w:pPr>
        <w:pStyle w:val="Heading2"/>
        <w:pBdr>
          <w:bottom w:val="single" w:sz="12" w:space="0" w:color="228B22"/>
        </w:pBdr>
        <w:spacing w:before="280" w:after="80"/>
        <w:rPr/>
      </w:pPr>
      <w:bookmarkStart w:id="67" w:name="__RefHeading___Toc2856_387878532"/>
      <w:bookmarkStart w:id="68" w:name="X795ba1d5d597264028343fd225a136bc41bb7e4"/>
      <w:bookmarkEnd w:id="67"/>
      <w:r>
        <w:rPr>
          <w:rStyle w:val="SectionNumber"/>
          <w:b/>
          <w:color w:val="228B22"/>
          <w:sz w:val="28"/>
        </w:rPr>
        <w:t>7.7</w:t>
      </w:r>
      <w:r>
        <w:rPr>
          <w:b/>
          <w:color w:val="228B22"/>
          <w:sz w:val="28"/>
        </w:rPr>
        <w:tab/>
        <w:t>AXIS and AXI4 flavors cover both integration styles</w:t>
      </w:r>
    </w:p>
    <w:p>
      <w:pPr>
        <w:pStyle w:val="FirstParagraph"/>
        <w:rPr/>
      </w:pPr>
      <w:r>
        <w:rPr>
          <w:sz w:val="20"/>
        </w:rPr>
        <w:t xml:space="preserve">The AXIS flavor is a single streaming pipe: generator, encoder, injector, decoder, checker. The AXI4 flavor replaces the middle with </w:t>
      </w:r>
      <w:r>
        <w:rPr>
          <w:rStyle w:val="VerbatimChar"/>
          <w:sz w:val="20"/>
        </w:rPr>
        <w:t>rs_axi4_pipeline</w:t>
      </w:r>
      <w:r>
        <w:rPr>
          <w:sz w:val="20"/>
        </w:rPr>
        <w:t xml:space="preserve">, a memory-to-memory job chain over block RAM. Both use the same generator, checker, CSRs, and verdict logic, so a run reports itself identically whichever middle is built. The AXI4 flavor refuses a </w:t>
      </w:r>
      <w:r>
        <w:rPr>
          <w:rStyle w:val="VerbatimChar"/>
          <w:sz w:val="20"/>
        </w:rPr>
        <w:t>GEN_BLOCKS</w:t>
      </w:r>
      <w:r>
        <w:rPr>
          <w:sz w:val="20"/>
        </w:rPr>
        <w:t xml:space="preserve"> value that would exceed the job memories — it declines rather than clamps, because clamping would answer a question the host did not ask. Running the same deterministic campaign on both flavors is a free sanity check: at e = 8 the AXI4 flavor takes 381.0 cycles/block against 199.2 on AXIS. The two numbers must be consistent for the same workload, and they are. The million-block soak ran on </w:t>
      </w:r>
      <w:r>
        <w:rPr>
          <w:rStyle w:val="VerbatimChar"/>
          <w:sz w:val="20"/>
        </w:rPr>
        <w:t>axi4_ribm</w:t>
      </w:r>
      <w:r>
        <w:rPr>
          <w:sz w:val="20"/>
        </w:rPr>
        <w:t>; an earlier plan to prefer AXIS for soaks proved unnecessary.</w:t>
      </w:r>
      <w:bookmarkEnd w:id="52"/>
      <w:bookmarkEnd w:id="68"/>
      <w:r>
        <w:br w:type="page"/>
      </w:r>
    </w:p>
    <w:p>
      <w:pPr>
        <w:pStyle w:val="Heading1"/>
        <w:shd w:val="clear" w:color="auto" w:fill="404040"/>
        <w:spacing w:before="360" w:after="120"/>
        <w:rPr/>
      </w:pPr>
      <w:bookmarkStart w:id="69" w:name="__RefHeading___Toc2858_387878532"/>
      <w:bookmarkStart w:id="70" w:name="operating-it"/>
      <w:bookmarkEnd w:id="69"/>
      <w:r>
        <w:rPr>
          <w:rStyle w:val="SectionNumber"/>
          <w:b/>
          <w:color w:val="FFFFFF"/>
          <w:sz w:val="32"/>
        </w:rPr>
        <w:t>8</w:t>
      </w:r>
      <w:r>
        <w:rPr>
          <w:b/>
          <w:color w:val="FFFFFF"/>
          <w:sz w:val="32"/>
        </w:rPr>
        <w:tab/>
        <w:t>Operating It</w:t>
      </w:r>
    </w:p>
    <w:p>
      <w:pPr>
        <w:pStyle w:val="FirstParagraph"/>
        <w:rPr/>
      </w:pPr>
      <w:r>
        <w:rPr>
          <w:sz w:val="20"/>
        </w:rPr>
        <w:t>To run on the Genesys 2:</w:t>
      </w:r>
    </w:p>
    <w:p>
      <w:pPr>
        <w:pStyle w:val="SourceCode"/>
        <w:rPr/>
      </w:pPr>
      <w:r>
        <w:rPr>
          <w:rStyle w:val="BuiltInTok"/>
        </w:rPr>
        <w:t>cd</w:t>
      </w:r>
      <w:r>
        <w:rPr>
          <w:rStyle w:val="NormalTok"/>
        </w:rPr>
        <w:t xml:space="preserve"> projects/fpga-systems/Genesys2/ecc-ip/reed-solomon</w:t>
      </w:r>
      <w:r>
        <w:rPr/>
        <w:br/>
      </w:r>
      <w:r>
        <w:rPr>
          <w:rStyle w:val="ExtensionTok"/>
        </w:rPr>
        <w:t>bin/run_smoke.py</w:t>
      </w:r>
      <w:r>
        <w:rPr>
          <w:rStyle w:val="NormalTok"/>
        </w:rPr>
        <w:t xml:space="preserve"> </w:t>
      </w:r>
      <w:r>
        <w:rPr>
          <w:rStyle w:val="AttributeTok"/>
        </w:rPr>
        <w:t>--board</w:t>
      </w:r>
      <w:r>
        <w:rPr>
          <w:rStyle w:val="NormalTok"/>
        </w:rPr>
        <w:t xml:space="preserve"> genesys2 </w:t>
      </w:r>
      <w:r>
        <w:rPr>
          <w:rStyle w:val="AttributeTok"/>
        </w:rPr>
        <w:t>--port</w:t>
      </w:r>
      <w:r>
        <w:rPr>
          <w:rStyle w:val="NormalTok"/>
        </w:rPr>
        <w:t xml:space="preserve"> /dev/ttyUSB0 </w:t>
      </w:r>
      <w:r>
        <w:rPr>
          <w:rStyle w:val="AttributeTok"/>
        </w:rPr>
        <w:t>--sequences</w:t>
      </w:r>
      <w:r>
        <w:rPr>
          <w:rStyle w:val="NormalTok"/>
        </w:rPr>
        <w:t xml:space="preserve"> init smoke sweep</w:t>
      </w:r>
    </w:p>
    <w:p>
      <w:pPr>
        <w:pStyle w:val="FirstParagraph"/>
        <w:rPr/>
      </w:pPr>
      <w:r>
        <w:rPr>
          <w:sz w:val="20"/>
        </w:rPr>
        <w:t xml:space="preserve">For the Nexys A7 small profile, build the bitstream with </w:t>
      </w:r>
      <w:r>
        <w:rPr>
          <w:rStyle w:val="VerbatimChar"/>
          <w:sz w:val="20"/>
        </w:rPr>
        <w:t>make -C build-loop bitstream RS_TARGET=nexys_a7_100t RS_PROFILE=small</w:t>
      </w:r>
      <w:r>
        <w:rPr>
          <w:sz w:val="20"/>
        </w:rPr>
        <w:t xml:space="preserve"> and drive the same sequences over the A7’s UART; </w:t>
      </w:r>
      <w:r>
        <w:rPr>
          <w:rStyle w:val="VerbatimChar"/>
          <w:sz w:val="20"/>
        </w:rPr>
        <w:t>init</w:t>
      </w:r>
      <w:r>
        <w:rPr>
          <w:sz w:val="20"/>
        </w:rPr>
        <w:t xml:space="preserve"> proves the “RSLS” BUILD_ID and the PROFILE CSR reports n=64, t=4, so the host programs pick up the geometry from the board.</w:t>
      </w:r>
    </w:p>
    <w:p>
      <w:pPr>
        <w:pStyle w:val="BodyText"/>
        <w:rPr/>
      </w:pPr>
      <w:r>
        <w:rPr>
          <w:sz w:val="20"/>
        </w:rPr>
        <w:t xml:space="preserve">See </w:t>
      </w:r>
      <w:r>
        <w:rPr>
          <w:rStyle w:val="VerbatimChar"/>
          <w:sz w:val="20"/>
        </w:rPr>
        <w:t>README.md</w:t>
      </w:r>
      <w:r>
        <w:rPr>
          <w:sz w:val="20"/>
        </w:rPr>
        <w:t xml:space="preserve"> and </w:t>
      </w:r>
      <w:r>
        <w:rPr>
          <w:rStyle w:val="VerbatimChar"/>
          <w:sz w:val="20"/>
        </w:rPr>
        <w:t>Makefile</w:t>
      </w:r>
      <w:r>
        <w:rPr>
          <w:sz w:val="20"/>
        </w:rPr>
        <w:t xml:space="preserve"> for the full target list (bitstream, lint, sim, regmap) and </w:t>
      </w:r>
      <w:r>
        <w:rPr>
          <w:rStyle w:val="VerbatimChar"/>
          <w:sz w:val="20"/>
        </w:rPr>
        <w:t>build-loop/host/host_rs_loop.py</w:t>
      </w:r>
      <w:r>
        <w:rPr>
          <w:sz w:val="20"/>
        </w:rPr>
        <w:t xml:space="preserve"> for the lower-level CLI. Build evidence and the board-validation record live in </w:t>
      </w:r>
      <w:r>
        <w:rPr>
          <w:rStyle w:val="VerbatimChar"/>
          <w:sz w:val="20"/>
        </w:rPr>
        <w:t>stable/MANIFEST.md</w:t>
      </w:r>
      <w:r>
        <w:rPr>
          <w:sz w:val="20"/>
        </w:rPr>
        <w:t xml:space="preserve"> and the four </w:t>
      </w:r>
      <w:r>
        <w:rPr>
          <w:rStyle w:val="VerbatimChar"/>
          <w:sz w:val="20"/>
        </w:rPr>
        <w:t>stable/reports/genesys2_*</w:t>
      </w:r>
      <w:r>
        <w:rPr>
          <w:sz w:val="20"/>
        </w:rPr>
        <w:t xml:space="preserve"> directories. Campaign transcripts turn into reports with </w:t>
      </w:r>
      <w:r>
        <w:rPr>
          <w:rStyle w:val="VerbatimChar"/>
          <w:sz w:val="20"/>
        </w:rPr>
        <w:t>projects/fpga-systems/bin/report_battery.py</w:t>
      </w:r>
      <w:r>
        <w:rPr>
          <w:sz w:val="20"/>
        </w:rPr>
        <w:t xml:space="preserve"> (JSON artifacts, correction-boundary / decode-cost / soak-timeline figures, and a generated </w:t>
      </w:r>
      <w:r>
        <w:rPr>
          <w:rStyle w:val="VerbatimChar"/>
          <w:sz w:val="20"/>
        </w:rPr>
        <w:t>FINDINGS.md</w:t>
      </w:r>
      <w:r>
        <w:rPr>
          <w:sz w:val="20"/>
        </w:rPr>
        <w:t xml:space="preserve">); published runs live under </w:t>
      </w:r>
      <w:r>
        <w:rPr>
          <w:rStyle w:val="VerbatimChar"/>
          <w:sz w:val="20"/>
        </w:rPr>
        <w:t>stable/results/</w:t>
      </w:r>
      <w:r>
        <w:rPr>
          <w:sz w:val="20"/>
        </w:rPr>
        <w:t xml:space="preserve">. The run evidence — the 2026-10-05 four-image battery and the one-million-block soak — is rolled up in the companion </w:t>
      </w:r>
      <w:r>
        <w:rPr>
          <w:i/>
          <w:iCs/>
          <w:sz w:val="20"/>
        </w:rPr>
        <w:t>Reed-Solomon Board Validation Report</w:t>
      </w:r>
      <w:r>
        <w:rPr>
          <w:sz w:val="20"/>
        </w:rPr>
        <w:t xml:space="preserve"> (</w:t>
      </w:r>
      <w:r>
        <w:rPr>
          <w:rStyle w:val="VerbatimChar"/>
          <w:sz w:val="20"/>
        </w:rPr>
        <w:t>docs/Reed_Solomon_Board_Validation_v0.1.pdf</w:t>
      </w:r>
      <w:r>
        <w:rPr>
          <w:sz w:val="20"/>
        </w:rPr>
        <w:t xml:space="preserve">). The math behind the codec is in the component HAS chapter 7 at </w:t>
      </w:r>
      <w:r>
        <w:rPr>
          <w:rStyle w:val="VerbatimChar"/>
          <w:sz w:val="20"/>
        </w:rPr>
        <w:t>projects/components/ecc-ip/reed-solomon/docs/reed_solomon_has/ch07_understanding_the_math/</w:t>
      </w:r>
      <w:r>
        <w:rPr>
          <w:sz w:val="20"/>
        </w:rPr>
        <w:t xml:space="preserve">. The sister BCH harness has the matching guide at </w:t>
      </w:r>
      <w:r>
        <w:rPr>
          <w:rStyle w:val="VerbatimChar"/>
          <w:sz w:val="20"/>
        </w:rPr>
        <w:t>../../bch/docs/Binary_BCH_UART_Harness_v0.1.pdf</w:t>
      </w:r>
      <w:r>
        <w:rPr>
          <w:sz w:val="20"/>
        </w:rPr>
        <w:t>.</w:t>
      </w:r>
      <w:bookmarkEnd w:id="70"/>
      <w:r>
        <w:br w:type="page"/>
      </w:r>
    </w:p>
    <w:p>
      <w:pPr>
        <w:pStyle w:val="Heading1"/>
        <w:shd w:val="clear" w:color="auto" w:fill="404040"/>
        <w:spacing w:before="360" w:after="120"/>
        <w:rPr/>
      </w:pPr>
      <w:bookmarkStart w:id="71" w:name="__RefHeading___Toc2860_387878532"/>
      <w:bookmarkStart w:id="72" w:name="what-is-deliberately-not-board-tested"/>
      <w:bookmarkEnd w:id="71"/>
      <w:r>
        <w:rPr>
          <w:rStyle w:val="SectionNumber"/>
          <w:b/>
          <w:color w:val="FFFFFF"/>
          <w:sz w:val="32"/>
        </w:rPr>
        <w:t>9</w:t>
      </w:r>
      <w:r>
        <w:rPr>
          <w:b/>
          <w:color w:val="FFFFFF"/>
          <w:sz w:val="32"/>
        </w:rPr>
        <w:tab/>
        <w:t>What Is Deliberately Not Board-Tested</w:t>
      </w:r>
    </w:p>
    <w:p>
      <w:pPr>
        <w:pStyle w:val="FirstParagraph"/>
        <w:rPr/>
      </w:pPr>
      <w:r>
        <w:rPr>
          <w:sz w:val="20"/>
        </w:rPr>
        <w:t>A few things are intentionally left in simulation or are still open:</w:t>
      </w:r>
    </w:p>
    <w:p>
      <w:pPr>
        <w:pStyle w:val="Compact"/>
        <w:numPr>
          <w:ilvl w:val="0"/>
          <w:numId w:val="6"/>
        </w:numPr>
        <w:rPr/>
      </w:pPr>
      <w:r>
        <w:rPr/>
        <w:t xml:space="preserve">The 2026-10-05 board battery ran the four single-decoder images. The dual-decoder comparator with </w:t>
      </w:r>
      <w:r>
        <w:rPr>
          <w:rStyle w:val="VerbatimChar"/>
        </w:rPr>
        <w:t>ENABLE_COMPARE=1</w:t>
      </w:r>
      <w:r>
        <w:rPr/>
        <w:t xml:space="preserve"> is the sim/DV domain; it caught real harness bugs (dropped/duplicated beats under skewed drains) without costing a bitstream.</w:t>
      </w:r>
    </w:p>
    <w:p>
      <w:pPr>
        <w:pStyle w:val="Compact"/>
        <w:numPr>
          <w:ilvl w:val="0"/>
          <w:numId w:val="7"/>
        </w:numPr>
        <w:rPr/>
      </w:pPr>
      <w:r>
        <w:rPr/>
        <w:t xml:space="preserve">The erasure </w:t>
      </w:r>
      <w:r>
        <w:rPr>
          <w:rStyle w:val="VerbatimChar"/>
        </w:rPr>
        <w:t>f = 2t</w:t>
      </w:r>
      <w:r>
        <w:rPr/>
        <w:t xml:space="preserve"> boundary is a known open bug, filed as </w:t>
      </w:r>
      <w:r>
        <w:rPr>
          <w:rStyle w:val="VerbatimChar"/>
        </w:rPr>
        <w:t>vault/tracking/projects/components/ecc-ip/reed-solomon/task/open/TASK-005.md</w:t>
      </w:r>
      <w:r>
        <w:rPr/>
        <w:t xml:space="preserve">. </w:t>
      </w:r>
      <w:r>
        <w:rPr>
          <w:rStyle w:val="VerbatimChar"/>
        </w:rPr>
        <w:t>f = t</w:t>
      </w:r>
      <w:r>
        <w:rPr/>
        <w:t xml:space="preserve"> corrects and </w:t>
      </w:r>
      <w:r>
        <w:rPr>
          <w:rStyle w:val="VerbatimChar"/>
        </w:rPr>
        <w:t>f = 2t + 1</w:t>
      </w:r>
      <w:r>
        <w:rPr/>
        <w:t xml:space="preserve"> refuses on the board; </w:t>
      </w:r>
      <w:r>
        <w:rPr>
          <w:rStyle w:val="VerbatimChar"/>
        </w:rPr>
        <w:t>f = 2t</w:t>
      </w:r>
      <w:r>
        <w:rPr/>
        <w:t xml:space="preserve"> is flagged uncorrectable even though the design intent says it should correct.</w:t>
      </w:r>
    </w:p>
    <w:p>
      <w:pPr>
        <w:pStyle w:val="Compact"/>
        <w:numPr>
          <w:ilvl w:val="0"/>
          <w:numId w:val="8"/>
        </w:numPr>
        <w:rPr/>
      </w:pPr>
      <w:r>
        <w:rPr/>
        <w:t xml:space="preserve">The component DV matrix — 195 cells per </w:t>
      </w:r>
      <w:r>
        <w:rPr>
          <w:rStyle w:val="VerbatimChar"/>
        </w:rPr>
        <w:t>TASK-001.md</w:t>
      </w:r>
      <w:r>
        <w:rPr/>
        <w:t xml:space="preserve"> — exercises the codec in ways the board harness does not replicate.</w:t>
      </w:r>
    </w:p>
    <w:p>
      <w:pPr>
        <w:pStyle w:val="Compact"/>
        <w:numPr>
          <w:ilvl w:val="0"/>
          <w:numId w:val="9"/>
        </w:numPr>
        <w:rPr/>
      </w:pPr>
      <w:r>
        <w:rPr/>
        <w:t>The board validates two profiles: RS(252,236) t=8, S=4 on the Genesys 2, and the small RS(64,56) t=4 on the Nexys A7 (</w:t>
      </w:r>
      <w:r>
        <w:rPr>
          <w:rStyle w:val="VerbatimChar"/>
        </w:rPr>
        <w:t>RS_PROFILE=small</w:t>
      </w:r>
      <w:r>
        <w:rPr/>
        <w:t>, issue #83); profiles outside those two are covered in simulation and component DV.</w:t>
      </w:r>
    </w:p>
    <w:p>
      <w:pPr>
        <w:pStyle w:val="Compact"/>
        <w:numPr>
          <w:ilvl w:val="0"/>
          <w:numId w:val="10"/>
        </w:numPr>
        <w:spacing w:before="36" w:after="36"/>
        <w:rPr/>
      </w:pPr>
      <w:bookmarkStart w:id="73" w:name="what-is-deliberately-not-board-tested"/>
      <w:r>
        <w:rPr/>
        <w:t>The 2026-10-05 million-block soak is statistical, not exhaustive; its counters, the 2-of-74,240 mis-decodes, and the bounded-rate pass criterion are reported in the Board Validation Report.</w:t>
      </w:r>
      <w:bookmarkEnd w:id="73"/>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rs_axis_loop.dot" TargetMode="External"/><Relationship Id="rId5" Type="http://schemas.openxmlformats.org/officeDocument/2006/relationships/image" Target="media/image3.png"/><Relationship Id="rId6" Type="http://schemas.openxmlformats.org/officeDocument/2006/relationships/hyperlink" Target="../assets/graphviz/02_rs_uart_address_map.dot" TargetMode="External"/><Relationship Id="rId7" Type="http://schemas.openxmlformats.org/officeDocument/2006/relationships/hyperlink" Target="02_connectivity.md" TargetMode="External"/><Relationship Id="rId8" Type="http://schemas.openxmlformats.org/officeDocument/2006/relationships/image" Target="media/image4.png"/><Relationship Id="rId9" Type="http://schemas.openxmlformats.org/officeDocument/2006/relationships/hyperlink" Target="../assets/graphviz/03_rs_axi4_pipeline.dot"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2026-10-20T11:14:37Z</dcterms:created>
  <dc:creator/>
  <dc:description/>
  <dc:language>en-US</dc:language>
  <cp:lastModifiedBy/>
  <dcterms:modified xsi:type="dcterms:W3CDTF">2026-10-20T04:14:41Z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