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STREAM on the Genesys 2 The FPGA System: Harness, Builds, Flow -- Version 1.1</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203_4061534799">
            <w:r>
              <w:rPr>
                <w:webHidden/>
                <w:rStyle w:val="IndexLink"/>
              </w:rPr>
              <w:t>1 Document Information</w:t>
              <w:tab/>
              <w:t>8</w:t>
            </w:r>
          </w:hyperlink>
        </w:p>
        <w:p>
          <w:pPr>
            <w:pStyle w:val="TOC2"/>
            <w:tabs>
              <w:tab w:val="clear" w:pos="9077"/>
              <w:tab w:val="right" w:pos="9359" w:leader="dot"/>
            </w:tabs>
            <w:rPr/>
          </w:pPr>
          <w:hyperlink w:anchor="__RefHeading___Toc4205_4061534799">
            <w:r>
              <w:rPr>
                <w:webHidden/>
                <w:rStyle w:val="IndexLink"/>
              </w:rPr>
              <w:t>1.1 Revision History</w:t>
              <w:tab/>
              <w:t>8</w:t>
            </w:r>
          </w:hyperlink>
        </w:p>
        <w:p>
          <w:pPr>
            <w:pStyle w:val="TOC2"/>
            <w:tabs>
              <w:tab w:val="clear" w:pos="9077"/>
              <w:tab w:val="right" w:pos="9359" w:leader="dot"/>
            </w:tabs>
            <w:rPr/>
          </w:pPr>
          <w:hyperlink w:anchor="__RefHeading___Toc4207_4061534799">
            <w:r>
              <w:rPr>
                <w:webHidden/>
                <w:rStyle w:val="IndexLink"/>
              </w:rPr>
              <w:t>1.2 How to read this book</w:t>
              <w:tab/>
              <w:t>9</w:t>
            </w:r>
          </w:hyperlink>
        </w:p>
        <w:p>
          <w:pPr>
            <w:pStyle w:val="TOC1"/>
            <w:tabs>
              <w:tab w:val="clear" w:pos="9360"/>
              <w:tab w:val="right" w:pos="9359" w:leader="dot"/>
            </w:tabs>
            <w:rPr/>
          </w:pPr>
          <w:hyperlink w:anchor="__RefHeading___Toc4209_4061534799">
            <w:r>
              <w:rPr>
                <w:webHidden/>
                <w:rStyle w:val="IndexLink"/>
              </w:rPr>
              <w:t>2 The System</w:t>
              <w:tab/>
              <w:t>10</w:t>
            </w:r>
          </w:hyperlink>
        </w:p>
        <w:p>
          <w:pPr>
            <w:pStyle w:val="TOC2"/>
            <w:tabs>
              <w:tab w:val="clear" w:pos="9077"/>
              <w:tab w:val="right" w:pos="9359" w:leader="dot"/>
            </w:tabs>
            <w:rPr/>
          </w:pPr>
          <w:hyperlink w:anchor="__RefHeading___Toc4211_4061534799">
            <w:r>
              <w:rPr>
                <w:webHidden/>
                <w:rStyle w:val="IndexLink"/>
              </w:rPr>
              <w:t>2.1 What it is</w:t>
              <w:tab/>
              <w:t>10</w:t>
            </w:r>
          </w:hyperlink>
        </w:p>
        <w:p>
          <w:pPr>
            <w:pStyle w:val="TOC3"/>
            <w:tabs>
              <w:tab w:val="clear" w:pos="8793"/>
              <w:tab w:val="right" w:pos="9359" w:leader="dot"/>
            </w:tabs>
            <w:rPr/>
          </w:pPr>
          <w:hyperlink w:anchor="__RefHeading___Toc4213_4061534799">
            <w:r>
              <w:rPr>
                <w:webHidden/>
                <w:rStyle w:val="IndexLink"/>
              </w:rPr>
              <w:t>2.1.1 Figure 1.1: The bench</w:t>
              <w:tab/>
              <w:t>10</w:t>
            </w:r>
          </w:hyperlink>
        </w:p>
        <w:p>
          <w:pPr>
            <w:pStyle w:val="TOC2"/>
            <w:tabs>
              <w:tab w:val="clear" w:pos="9077"/>
              <w:tab w:val="right" w:pos="9359" w:leader="dot"/>
            </w:tabs>
            <w:rPr/>
          </w:pPr>
          <w:hyperlink w:anchor="__RefHeading___Toc4215_4061534799">
            <w:r>
              <w:rPr>
                <w:webHidden/>
                <w:rStyle w:val="IndexLink"/>
              </w:rPr>
              <w:t>2.2 The board</w:t>
              <w:tab/>
              <w:t>10</w:t>
            </w:r>
          </w:hyperlink>
        </w:p>
        <w:p>
          <w:pPr>
            <w:pStyle w:val="TOC2"/>
            <w:tabs>
              <w:tab w:val="clear" w:pos="9077"/>
              <w:tab w:val="right" w:pos="9359" w:leader="dot"/>
            </w:tabs>
            <w:rPr/>
          </w:pPr>
          <w:hyperlink w:anchor="__RefHeading___Toc4217_4061534799">
            <w:r>
              <w:rPr>
                <w:webHidden/>
                <w:rStyle w:val="IndexLink"/>
              </w:rPr>
              <w:t>2.3 The two USB chips</w:t>
              <w:tab/>
              <w:t>11</w:t>
            </w:r>
          </w:hyperlink>
        </w:p>
        <w:p>
          <w:pPr>
            <w:pStyle w:val="TOC2"/>
            <w:tabs>
              <w:tab w:val="clear" w:pos="9077"/>
              <w:tab w:val="right" w:pos="9359" w:leader="dot"/>
            </w:tabs>
            <w:rPr/>
          </w:pPr>
          <w:hyperlink w:anchor="__RefHeading___Toc4219_4061534799">
            <w:r>
              <w:rPr>
                <w:webHidden/>
                <w:rStyle w:val="IndexLink"/>
              </w:rPr>
              <w:t>2.4 The stack, top to bottom</w:t>
              <w:tab/>
              <w:t>12</w:t>
            </w:r>
          </w:hyperlink>
        </w:p>
        <w:p>
          <w:pPr>
            <w:pStyle w:val="TOC2"/>
            <w:tabs>
              <w:tab w:val="clear" w:pos="9077"/>
              <w:tab w:val="right" w:pos="9359" w:leader="dot"/>
            </w:tabs>
            <w:rPr/>
          </w:pPr>
          <w:hyperlink w:anchor="__RefHeading___Toc4221_4061534799">
            <w:r>
              <w:rPr>
                <w:webHidden/>
                <w:rStyle w:val="IndexLink"/>
              </w:rPr>
              <w:t>2.5 What the host sees</w:t>
              <w:tab/>
              <w:t>12</w:t>
            </w:r>
          </w:hyperlink>
        </w:p>
        <w:p>
          <w:pPr>
            <w:pStyle w:val="TOC1"/>
            <w:tabs>
              <w:tab w:val="clear" w:pos="9360"/>
              <w:tab w:val="right" w:pos="9359" w:leader="dot"/>
            </w:tabs>
            <w:rPr/>
          </w:pPr>
          <w:hyperlink w:anchor="__RefHeading___Toc4223_4061534799">
            <w:r>
              <w:rPr>
                <w:webHidden/>
                <w:rStyle w:val="IndexLink"/>
              </w:rPr>
              <w:t>3 The Harness</w:t>
              <w:tab/>
              <w:t>14</w:t>
            </w:r>
          </w:hyperlink>
        </w:p>
        <w:p>
          <w:pPr>
            <w:pStyle w:val="TOC3"/>
            <w:tabs>
              <w:tab w:val="clear" w:pos="8793"/>
              <w:tab w:val="right" w:pos="9359" w:leader="dot"/>
            </w:tabs>
            <w:rPr/>
          </w:pPr>
          <w:hyperlink w:anchor="__RefHeading___Toc4225_4061534799">
            <w:r>
              <w:rPr>
                <w:webHidden/>
                <w:rStyle w:val="IndexLink"/>
              </w:rPr>
              <w:t>3.0.1 Figure 2.1: The harness block map</w:t>
              <w:tab/>
              <w:t>14</w:t>
            </w:r>
          </w:hyperlink>
        </w:p>
        <w:p>
          <w:pPr>
            <w:pStyle w:val="TOC2"/>
            <w:tabs>
              <w:tab w:val="clear" w:pos="9077"/>
              <w:tab w:val="right" w:pos="9359" w:leader="dot"/>
            </w:tabs>
            <w:rPr/>
          </w:pPr>
          <w:hyperlink w:anchor="__RefHeading___Toc4227_4061534799">
            <w:r>
              <w:rPr>
                <w:webHidden/>
                <w:rStyle w:val="IndexLink"/>
              </w:rPr>
              <w:t>3.1 The host front-end and the bridge</w:t>
              <w:tab/>
              <w:t>14</w:t>
            </w:r>
          </w:hyperlink>
        </w:p>
        <w:p>
          <w:pPr>
            <w:pStyle w:val="TOC2"/>
            <w:tabs>
              <w:tab w:val="clear" w:pos="9077"/>
              <w:tab w:val="right" w:pos="9359" w:leader="dot"/>
            </w:tabs>
            <w:rPr/>
          </w:pPr>
          <w:hyperlink w:anchor="__RefHeading___Toc4229_4061534799">
            <w:r>
              <w:rPr>
                <w:webHidden/>
                <w:rStyle w:val="IndexLink"/>
              </w:rPr>
              <w:t>3.2 The harness CSR</w:t>
              <w:tab/>
              <w:t>15</w:t>
            </w:r>
          </w:hyperlink>
        </w:p>
        <w:p>
          <w:pPr>
            <w:pStyle w:val="TOC2"/>
            <w:tabs>
              <w:tab w:val="clear" w:pos="9077"/>
              <w:tab w:val="right" w:pos="9359" w:leader="dot"/>
            </w:tabs>
            <w:rPr/>
          </w:pPr>
          <w:hyperlink w:anchor="__RefHeading___Toc4231_4061534799">
            <w:r>
              <w:rPr>
                <w:webHidden/>
                <w:rStyle w:val="IndexLink"/>
              </w:rPr>
              <w:t>3.3 The run timer and the verdict</w:t>
              <w:tab/>
              <w:t>16</w:t>
            </w:r>
          </w:hyperlink>
        </w:p>
        <w:p>
          <w:pPr>
            <w:pStyle w:val="TOC2"/>
            <w:tabs>
              <w:tab w:val="clear" w:pos="9077"/>
              <w:tab w:val="right" w:pos="9359" w:leader="dot"/>
            </w:tabs>
            <w:rPr/>
          </w:pPr>
          <w:hyperlink w:anchor="__RefHeading___Toc4233_4061534799">
            <w:r>
              <w:rPr>
                <w:webHidden/>
                <w:rStyle w:val="IndexLink"/>
              </w:rPr>
              <w:t>3.4 Stimulus and the memory model</w:t>
              <w:tab/>
              <w:t>16</w:t>
            </w:r>
          </w:hyperlink>
        </w:p>
        <w:p>
          <w:pPr>
            <w:pStyle w:val="TOC2"/>
            <w:tabs>
              <w:tab w:val="clear" w:pos="9077"/>
              <w:tab w:val="right" w:pos="9359" w:leader="dot"/>
            </w:tabs>
            <w:rPr/>
          </w:pPr>
          <w:hyperlink w:anchor="__RefHeading___Toc4235_4061534799">
            <w:r>
              <w:rPr>
                <w:webHidden/>
                <w:rStyle w:val="IndexLink"/>
              </w:rPr>
              <w:t>3.5 The three instruments</w:t>
              <w:tab/>
              <w:t>17</w:t>
            </w:r>
          </w:hyperlink>
        </w:p>
        <w:p>
          <w:pPr>
            <w:pStyle w:val="TOC1"/>
            <w:tabs>
              <w:tab w:val="clear" w:pos="9360"/>
              <w:tab w:val="right" w:pos="9359" w:leader="dot"/>
            </w:tabs>
            <w:rPr/>
          </w:pPr>
          <w:hyperlink w:anchor="__RefHeading___Toc4237_4061534799">
            <w:r>
              <w:rPr>
                <w:webHidden/>
                <w:rStyle w:val="IndexLink"/>
              </w:rPr>
              <w:t>4 The Address Map</w:t>
              <w:tab/>
              <w:t>19</w:t>
            </w:r>
          </w:hyperlink>
        </w:p>
        <w:p>
          <w:pPr>
            <w:pStyle w:val="TOC3"/>
            <w:tabs>
              <w:tab w:val="clear" w:pos="8793"/>
              <w:tab w:val="right" w:pos="9359" w:leader="dot"/>
            </w:tabs>
            <w:rPr/>
          </w:pPr>
          <w:hyperlink w:anchor="__RefHeading___Toc4239_4061534799">
            <w:r>
              <w:rPr>
                <w:webHidden/>
                <w:rStyle w:val="IndexLink"/>
              </w:rPr>
              <w:t>4.0.1 Figure 2.2: Host address map</w:t>
              <w:tab/>
              <w:t>19</w:t>
            </w:r>
          </w:hyperlink>
        </w:p>
        <w:p>
          <w:pPr>
            <w:pStyle w:val="TOC2"/>
            <w:tabs>
              <w:tab w:val="clear" w:pos="9077"/>
              <w:tab w:val="right" w:pos="9359" w:leader="dot"/>
            </w:tabs>
            <w:rPr/>
          </w:pPr>
          <w:hyperlink w:anchor="__RefHeading___Toc4241_4061534799">
            <w:r>
              <w:rPr>
                <w:webHidden/>
                <w:rStyle w:val="IndexLink"/>
              </w:rPr>
              <w:t>4.1 Bridge slave map</w:t>
              <w:tab/>
              <w:t>19</w:t>
            </w:r>
          </w:hyperlink>
        </w:p>
        <w:p>
          <w:pPr>
            <w:pStyle w:val="TOC2"/>
            <w:tabs>
              <w:tab w:val="clear" w:pos="9077"/>
              <w:tab w:val="right" w:pos="9359" w:leader="dot"/>
            </w:tabs>
            <w:rPr/>
          </w:pPr>
          <w:hyperlink w:anchor="__RefHeading___Toc4243_4061534799">
            <w:r>
              <w:rPr>
                <w:webHidden/>
                <w:rStyle w:val="IndexLink"/>
              </w:rPr>
              <w:t>4.2 Harness CSR detail</w:t>
              <w:tab/>
              <w:t>21</w:t>
            </w:r>
          </w:hyperlink>
        </w:p>
        <w:p>
          <w:pPr>
            <w:pStyle w:val="TOC2"/>
            <w:tabs>
              <w:tab w:val="clear" w:pos="9077"/>
              <w:tab w:val="right" w:pos="9359" w:leader="dot"/>
            </w:tabs>
            <w:rPr/>
          </w:pPr>
          <w:hyperlink w:anchor="__RefHeading___Toc4245_4061534799">
            <w:r>
              <w:rPr>
                <w:webHidden/>
                <w:rStyle w:val="IndexLink"/>
              </w:rPr>
              <w:t>4.3 By-name access</w:t>
              <w:tab/>
              <w:t>24</w:t>
            </w:r>
          </w:hyperlink>
        </w:p>
        <w:p>
          <w:pPr>
            <w:pStyle w:val="TOC1"/>
            <w:tabs>
              <w:tab w:val="clear" w:pos="9360"/>
              <w:tab w:val="right" w:pos="9359" w:leader="dot"/>
            </w:tabs>
            <w:rPr/>
          </w:pPr>
          <w:hyperlink w:anchor="__RefHeading___Toc4247_4061534799">
            <w:r>
              <w:rPr>
                <w:webHidden/>
                <w:rStyle w:val="IndexLink"/>
              </w:rPr>
              <w:t>5 One RTL, Three Builds</w:t>
              <w:tab/>
              <w:t>25</w:t>
            </w:r>
          </w:hyperlink>
        </w:p>
        <w:p>
          <w:pPr>
            <w:pStyle w:val="TOC2"/>
            <w:tabs>
              <w:tab w:val="clear" w:pos="9077"/>
              <w:tab w:val="right" w:pos="9359" w:leader="dot"/>
            </w:tabs>
            <w:rPr/>
          </w:pPr>
          <w:hyperlink w:anchor="__RefHeading___Toc4249_4061534799">
            <w:r>
              <w:rPr>
                <w:webHidden/>
                <w:rStyle w:val="IndexLink"/>
              </w:rPr>
              <w:t>5.1 The rule</w:t>
              <w:tab/>
              <w:t>25</w:t>
            </w:r>
          </w:hyperlink>
        </w:p>
        <w:p>
          <w:pPr>
            <w:pStyle w:val="TOC3"/>
            <w:tabs>
              <w:tab w:val="clear" w:pos="8793"/>
              <w:tab w:val="right" w:pos="9359" w:leader="dot"/>
            </w:tabs>
            <w:rPr/>
          </w:pPr>
          <w:hyperlink w:anchor="__RefHeading___Toc4251_4061534799">
            <w:r>
              <w:rPr>
                <w:webHidden/>
                <w:rStyle w:val="IndexLink"/>
              </w:rPr>
              <w:t>5.1.1 Figure 3.1: One source tree, three bitstreams</w:t>
              <w:tab/>
              <w:t>26</w:t>
            </w:r>
          </w:hyperlink>
        </w:p>
        <w:p>
          <w:pPr>
            <w:pStyle w:val="TOC2"/>
            <w:tabs>
              <w:tab w:val="clear" w:pos="9077"/>
              <w:tab w:val="right" w:pos="9359" w:leader="dot"/>
            </w:tabs>
            <w:rPr/>
          </w:pPr>
          <w:hyperlink w:anchor="__RefHeading___Toc4253_4061534799">
            <w:r>
              <w:rPr>
                <w:webHidden/>
                <w:rStyle w:val="IndexLink"/>
              </w:rPr>
              <w:t>5.2 Why three, and why not two</w:t>
              <w:tab/>
              <w:t>26</w:t>
            </w:r>
          </w:hyperlink>
        </w:p>
        <w:p>
          <w:pPr>
            <w:pStyle w:val="TOC2"/>
            <w:tabs>
              <w:tab w:val="clear" w:pos="9077"/>
              <w:tab w:val="right" w:pos="9359" w:leader="dot"/>
            </w:tabs>
            <w:rPr/>
          </w:pPr>
          <w:hyperlink w:anchor="__RefHeading___Toc4255_4061534799">
            <w:r>
              <w:rPr>
                <w:webHidden/>
                <w:rStyle w:val="IndexLink"/>
              </w:rPr>
              <w:t>5.3 What the builds measured</w:t>
              <w:tab/>
              <w:t>27</w:t>
            </w:r>
          </w:hyperlink>
        </w:p>
        <w:p>
          <w:pPr>
            <w:pStyle w:val="TOC2"/>
            <w:tabs>
              <w:tab w:val="clear" w:pos="9077"/>
              <w:tab w:val="right" w:pos="9359" w:leader="dot"/>
            </w:tabs>
            <w:rPr/>
          </w:pPr>
          <w:hyperlink w:anchor="__RefHeading___Toc4257_4061534799">
            <w:r>
              <w:rPr>
                <w:webHidden/>
                <w:rStyle w:val="IndexLink"/>
              </w:rPr>
              <w:t>5.4 The knobs behind the rows</w:t>
              <w:tab/>
              <w:t>29</w:t>
            </w:r>
          </w:hyperlink>
        </w:p>
        <w:p>
          <w:pPr>
            <w:pStyle w:val="TOC1"/>
            <w:tabs>
              <w:tab w:val="clear" w:pos="9360"/>
              <w:tab w:val="right" w:pos="9359" w:leader="dot"/>
            </w:tabs>
            <w:rPr/>
          </w:pPr>
          <w:hyperlink w:anchor="__RefHeading___Toc4259_4061534799">
            <w:r>
              <w:rPr>
                <w:webHidden/>
                <w:rStyle w:val="IndexLink"/>
              </w:rPr>
              <w:t>6 Host Tools and Flow</w:t>
              <w:tab/>
              <w:t>31</w:t>
            </w:r>
          </w:hyperlink>
        </w:p>
        <w:p>
          <w:pPr>
            <w:pStyle w:val="TOC2"/>
            <w:tabs>
              <w:tab w:val="clear" w:pos="9077"/>
              <w:tab w:val="right" w:pos="9359" w:leader="dot"/>
            </w:tabs>
            <w:rPr/>
          </w:pPr>
          <w:hyperlink w:anchor="__RefHeading___Toc4261_4061534799">
            <w:r>
              <w:rPr>
                <w:webHidden/>
                <w:rStyle w:val="IndexLink"/>
              </w:rPr>
              <w:t>6.1 The shared flow</w:t>
              <w:tab/>
              <w:t>31</w:t>
            </w:r>
          </w:hyperlink>
        </w:p>
        <w:p>
          <w:pPr>
            <w:pStyle w:val="TOC2"/>
            <w:tabs>
              <w:tab w:val="clear" w:pos="9077"/>
              <w:tab w:val="right" w:pos="9359" w:leader="dot"/>
            </w:tabs>
            <w:rPr/>
          </w:pPr>
          <w:hyperlink w:anchor="__RefHeading___Toc4263_4061534799">
            <w:r>
              <w:rPr>
                <w:webHidden/>
                <w:rStyle w:val="IndexLink"/>
              </w:rPr>
              <w:t>6.2 The host layers</w:t>
              <w:tab/>
              <w:t>31</w:t>
            </w:r>
          </w:hyperlink>
        </w:p>
        <w:p>
          <w:pPr>
            <w:pStyle w:val="TOC3"/>
            <w:tabs>
              <w:tab w:val="clear" w:pos="8793"/>
              <w:tab w:val="right" w:pos="9359" w:leader="dot"/>
            </w:tabs>
            <w:rPr/>
          </w:pPr>
          <w:hyperlink w:anchor="__RefHeading___Toc4265_4061534799">
            <w:r>
              <w:rPr>
                <w:webHidden/>
                <w:rStyle w:val="IndexLink"/>
              </w:rPr>
              <w:t>6.2.1 Figure 4.1: What each build measures, end to end</w:t>
              <w:tab/>
              <w:t>33</w:t>
            </w:r>
          </w:hyperlink>
        </w:p>
        <w:p>
          <w:pPr>
            <w:pStyle w:val="TOC2"/>
            <w:tabs>
              <w:tab w:val="clear" w:pos="9077"/>
              <w:tab w:val="right" w:pos="9359" w:leader="dot"/>
            </w:tabs>
            <w:rPr/>
          </w:pPr>
          <w:hyperlink w:anchor="__RefHeading___Toc4267_4061534799">
            <w:r>
              <w:rPr>
                <w:webHidden/>
                <w:rStyle w:val="IndexLink"/>
              </w:rPr>
              <w:t>6.3 One program, two targets</w:t>
              <w:tab/>
              <w:t>33</w:t>
            </w:r>
          </w:hyperlink>
        </w:p>
        <w:p>
          <w:pPr>
            <w:pStyle w:val="TOC2"/>
            <w:tabs>
              <w:tab w:val="clear" w:pos="9077"/>
              <w:tab w:val="right" w:pos="9359" w:leader="dot"/>
            </w:tabs>
            <w:rPr/>
          </w:pPr>
          <w:hyperlink w:anchor="__RefHeading___Toc4269_4061534799">
            <w:r>
              <w:rPr>
                <w:webHidden/>
                <w:rStyle w:val="IndexLink"/>
              </w:rPr>
              <w:t>6.4 Where the results go</w:t>
              <w:tab/>
              <w:t>33</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3_Host_address_map">
        <w:r>
          <w:rPr>
            <w:rStyle w:val="ListLabel1"/>
            <w:color w:val="000000"/>
            <w:sz w:val="24"/>
          </w:rPr>
          <w:t>Figure 2.2: Host address map</w:t>
        </w:r>
        <w:r>
          <w:rPr>
            <w:rStyle w:val="ListLabel1"/>
          </w:rPr>
          <w:tab/>
        </w:r>
        <w:r>
          <w:rPr>
            <w:rStyle w:val="ListLabel1"/>
          </w:rPr>
          <w:fldChar w:fldCharType="begin"/>
        </w:r>
        <w:r>
          <w:rPr>
            <w:rStyle w:val="ListLabel1"/>
          </w:rPr>
          <w:instrText xml:space="preserve"> PAGEREF _Fig_3_Host_address_map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4_One_source_tree__thr">
        <w:r>
          <w:rPr>
            <w:rStyle w:val="ListLabel1"/>
            <w:color w:val="000000"/>
            <w:sz w:val="24"/>
          </w:rPr>
          <w:t>Figure 3.1: One source tree, three bitstreams</w:t>
        </w:r>
        <w:r>
          <w:rPr>
            <w:rStyle w:val="ListLabel1"/>
          </w:rPr>
          <w:tab/>
        </w:r>
        <w:r>
          <w:rPr>
            <w:rStyle w:val="ListLabel1"/>
          </w:rPr>
          <w:fldChar w:fldCharType="begin"/>
        </w:r>
        <w:r>
          <w:rPr>
            <w:rStyle w:val="ListLabel1"/>
          </w:rPr>
          <w:instrText xml:space="preserve"> PAGEREF _Fig_4_One_source_tree__thr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5_What_each_build_meas">
        <w:r>
          <w:rPr>
            <w:rStyle w:val="ListLabel1"/>
            <w:color w:val="000000"/>
            <w:sz w:val="24"/>
          </w:rPr>
          <w:t>Figure 4.1: What each build measures, end to end</w:t>
        </w:r>
        <w:r>
          <w:rPr>
            <w:rStyle w:val="ListLabel1"/>
          </w:rPr>
          <w:tab/>
        </w:r>
        <w:r>
          <w:rPr>
            <w:rStyle w:val="ListLabel1"/>
          </w:rPr>
          <w:fldChar w:fldCharType="begin"/>
        </w:r>
        <w:r>
          <w:rPr>
            <w:rStyle w:val="ListLabel1"/>
          </w:rPr>
          <w:instrText xml:space="preserve"> PAGEREF _Fig_5_What_each_build_meas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builds use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2_1__Harness_C">
        <w:r>
          <w:rPr>
            <w:rStyle w:val="ListLabel1"/>
            <w:color w:val="000000"/>
            <w:sz w:val="24"/>
          </w:rPr>
          <w:t>Table 5: Table 2.1: Harness CSR, the registers that define a run</w:t>
        </w:r>
        <w:r>
          <w:rPr>
            <w:rStyle w:val="ListLabel1"/>
          </w:rPr>
          <w:tab/>
        </w:r>
        <w:r>
          <w:rPr>
            <w:rStyle w:val="ListLabel1"/>
          </w:rPr>
          <w:fldChar w:fldCharType="begin"/>
        </w:r>
        <w:r>
          <w:rPr>
            <w:rStyle w:val="ListLabel1"/>
          </w:rPr>
          <w:instrText xml:space="preserve"> PAGEREF _Tab_5_Table_2_1__Harness_C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memory model</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Table_2_3__Bridge_ad">
        <w:r>
          <w:rPr>
            <w:rStyle w:val="ListLabel1"/>
            <w:color w:val="000000"/>
            <w:sz w:val="24"/>
          </w:rPr>
          <w:t>Table 7: Table 2.3: Bridge address map (from bridge_stream_mon_axil.toml)</w:t>
        </w:r>
        <w:r>
          <w:rPr>
            <w:rStyle w:val="ListLabel1"/>
          </w:rPr>
          <w:tab/>
        </w:r>
        <w:r>
          <w:rPr>
            <w:rStyle w:val="ListLabel1"/>
          </w:rPr>
          <w:fldChar w:fldCharType="begin"/>
        </w:r>
        <w:r>
          <w:rPr>
            <w:rStyle w:val="ListLabel1"/>
          </w:rPr>
          <w:instrText xml:space="preserve"> PAGEREF _Tab_7_Table_2_3__Bridge_ad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8_Table_2_4__harness_c">
        <w:r>
          <w:rPr>
            <w:rStyle w:val="ListLabel1"/>
            <w:color w:val="000000"/>
            <w:sz w:val="24"/>
          </w:rPr>
          <w:t>Table 8: Table 2.4: harness_csr register map (base 0x0001_0000)</w:t>
        </w:r>
        <w:r>
          <w:rPr>
            <w:rStyle w:val="ListLabel1"/>
          </w:rPr>
          <w:tab/>
        </w:r>
        <w:r>
          <w:rPr>
            <w:rStyle w:val="ListLabel1"/>
          </w:rPr>
          <w:fldChar w:fldCharType="begin"/>
        </w:r>
        <w:r>
          <w:rPr>
            <w:rStyle w:val="ListLabel1"/>
          </w:rPr>
          <w:instrText xml:space="preserve"> PAGEREF _Tab_8_Table_2_4__harness_c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9_Table_3_1__The_three">
        <w:r>
          <w:rPr>
            <w:rStyle w:val="ListLabel1"/>
            <w:color w:val="000000"/>
            <w:sz w:val="24"/>
          </w:rPr>
          <w:t>Table 9: Table 3.1: The three builds</w:t>
        </w:r>
        <w:r>
          <w:rPr>
            <w:rStyle w:val="ListLabel1"/>
          </w:rPr>
          <w:tab/>
        </w:r>
        <w:r>
          <w:rPr>
            <w:rStyle w:val="ListLabel1"/>
          </w:rPr>
          <w:fldChar w:fldCharType="begin"/>
        </w:r>
        <w:r>
          <w:rPr>
            <w:rStyle w:val="ListLabel1"/>
          </w:rPr>
          <w:instrText xml:space="preserve"> PAGEREF _Tab_9_Table_3_1__The_three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0_Table_3_2__Sign_off_">
        <w:r>
          <w:rPr>
            <w:rStyle w:val="ListLabel1"/>
            <w:color w:val="000000"/>
            <w:sz w:val="24"/>
          </w:rPr>
          <w:t>Table 10: Table 3.2: Sign-off builds</w:t>
        </w:r>
        <w:r>
          <w:rPr>
            <w:rStyle w:val="ListLabel1"/>
          </w:rPr>
          <w:tab/>
        </w:r>
        <w:r>
          <w:rPr>
            <w:rStyle w:val="ListLabel1"/>
          </w:rPr>
          <w:fldChar w:fldCharType="begin"/>
        </w:r>
        <w:r>
          <w:rPr>
            <w:rStyle w:val="ListLabel1"/>
          </w:rPr>
          <w:instrText xml:space="preserve"> PAGEREF _Tab_10_Table_3_2__Sign_off_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1_Table_3_3__The_knobs">
        <w:r>
          <w:rPr>
            <w:rStyle w:val="ListLabel1"/>
            <w:color w:val="000000"/>
            <w:sz w:val="24"/>
          </w:rPr>
          <w:t>Table 11: Table 3.3: The knobs</w:t>
        </w:r>
        <w:r>
          <w:rPr>
            <w:rStyle w:val="ListLabel1"/>
          </w:rPr>
          <w:tab/>
        </w:r>
        <w:r>
          <w:rPr>
            <w:rStyle w:val="ListLabel1"/>
          </w:rPr>
          <w:fldChar w:fldCharType="begin"/>
        </w:r>
        <w:r>
          <w:rPr>
            <w:rStyle w:val="ListLabel1"/>
          </w:rPr>
          <w:instrText xml:space="preserve"> PAGEREF _Tab_11_Table_3_3__The_knobs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Table_4_1__Flow_targ">
        <w:r>
          <w:rPr>
            <w:rStyle w:val="ListLabel1"/>
            <w:color w:val="000000"/>
            <w:sz w:val="24"/>
          </w:rPr>
          <w:t>Table 12: Table 4.1: Flow targets (from make/fpga_flow.mk)</w:t>
        </w:r>
        <w:r>
          <w:rPr>
            <w:rStyle w:val="ListLabel1"/>
          </w:rPr>
          <w:tab/>
        </w:r>
        <w:r>
          <w:rPr>
            <w:rStyle w:val="ListLabel1"/>
          </w:rPr>
          <w:fldChar w:fldCharType="begin"/>
        </w:r>
        <w:r>
          <w:rPr>
            <w:rStyle w:val="ListLabel1"/>
          </w:rPr>
          <w:instrText xml:space="preserve"> PAGEREF _Tab_12_Table_4_1__Flow_targ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3_Table_4_2__Per_build">
        <w:r>
          <w:rPr>
            <w:rStyle w:val="ListLabel1"/>
            <w:color w:val="000000"/>
            <w:sz w:val="24"/>
          </w:rPr>
          <w:t>Table 13: Table 4.2: Per-build host programs</w:t>
        </w:r>
        <w:r>
          <w:rPr>
            <w:rStyle w:val="ListLabel1"/>
          </w:rPr>
          <w:tab/>
        </w:r>
        <w:r>
          <w:rPr>
            <w:rStyle w:val="ListLabel1"/>
          </w:rPr>
          <w:fldChar w:fldCharType="begin"/>
        </w:r>
        <w:r>
          <w:rPr>
            <w:rStyle w:val="ListLabel1"/>
          </w:rPr>
          <w:instrText xml:space="preserve"> PAGEREF _Tab_13_Table_4_2__Per_build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4_Table_4_3__Reports">
        <w:r>
          <w:rPr>
            <w:rStyle w:val="ListLabel1"/>
            <w:color w:val="000000"/>
            <w:sz w:val="24"/>
          </w:rPr>
          <w:t>Table 14: Table 4.3: Reports</w:t>
        </w:r>
        <w:r>
          <w:rPr>
            <w:rStyle w:val="ListLabel1"/>
          </w:rPr>
          <w:tab/>
        </w:r>
        <w:r>
          <w:rPr>
            <w:rStyle w:val="ListLabel1"/>
          </w:rPr>
          <w:fldChar w:fldCharType="begin"/>
        </w:r>
        <w:r>
          <w:rPr>
            <w:rStyle w:val="ListLabel1"/>
          </w:rPr>
          <w:instrText xml:space="preserve"> PAGEREF _Tab_14_Table_4_3__Reports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4203_4061534799"/>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characterization and monitor-validation system: board, harness, the three builds,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core itself (HAS/MAS under </w:t>
            </w:r>
            <w:r>
              <w:rPr>
                <w:rStyle w:val="VerbatimChar"/>
                <w:rFonts w:eastAsia="Cambria" w:cs=""/>
                <w:kern w:val="0"/>
                <w:szCs w:val="24"/>
                <w:lang w:val="en-US" w:eastAsia="en-US" w:bidi="ar-SA"/>
              </w:rPr>
              <w:t>projects/components/dma-ip/stream/docs/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reports/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stable/MANIFEST.md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stream BUG-018 close (commit 022fa0e3e), run timer updated 2026-10-15</w:t>
            </w:r>
          </w:p>
        </w:tc>
      </w:tr>
    </w:tbl>
    <w:p>
      <w:pPr>
        <w:pStyle w:val="Heading2"/>
        <w:pBdr>
          <w:bottom w:val="single" w:sz="12" w:space="0" w:color="228B22"/>
        </w:pBdr>
        <w:spacing w:before="280" w:after="80"/>
        <w:rPr/>
      </w:pPr>
      <w:bookmarkStart w:id="3" w:name="__RefHeading___Toc4205_4061534799"/>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after the component-level consolidation (one harness, one top, three parameter sets) and the mon and obs sign-off builds of September 2026.</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run timer and CRC verdict are now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utility-ip/misc</w:t>
            </w:r>
            <w:r>
              <w:rPr>
                <w:rFonts w:eastAsia="Cambria" w:cs=""/>
                <w:kern w:val="0"/>
                <w:sz w:val="24"/>
                <w:szCs w:val="24"/>
                <w:lang w:val="en-US" w:eastAsia="en-US" w:bidi="ar-SA"/>
              </w:rPr>
              <w:t xml:space="preserve">, shared with the RAPIDS harnesses: Figure 2.1 adds the block, Section 2 describes it, Figure 4.1’s verdict names it, and the address map no longer calls </w:t>
            </w:r>
            <w:r>
              <w:rPr>
                <w:rStyle w:val="VerbatimChar"/>
                <w:rFonts w:eastAsia="Cambria" w:cs=""/>
                <w:kern w:val="0"/>
                <w:szCs w:val="24"/>
                <w:lang w:val="en-US" w:eastAsia="en-US" w:bidi="ar-SA"/>
              </w:rPr>
              <w:t>TIMER_CYCLES</w:t>
            </w:r>
            <w:r>
              <w:rPr>
                <w:rFonts w:eastAsia="Cambria" w:cs=""/>
                <w:kern w:val="0"/>
                <w:sz w:val="24"/>
                <w:szCs w:val="24"/>
                <w:lang w:val="en-US" w:eastAsia="en-US" w:bidi="ar-SA"/>
              </w:rPr>
              <w:t xml:space="preserve"> free-running.</w:t>
            </w:r>
          </w:p>
        </w:tc>
      </w:tr>
    </w:tbl>
    <w:p>
      <w:pPr>
        <w:pStyle w:val="Heading2"/>
        <w:pBdr>
          <w:bottom w:val="single" w:sz="12" w:space="0" w:color="228B22"/>
        </w:pBdr>
        <w:spacing w:before="280" w:after="80"/>
        <w:rPr/>
      </w:pPr>
      <w:bookmarkStart w:id="5" w:name="__RefHeading___Toc4207_4061534799"/>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Chapter 2 is the bitstream around the DUT, block by block, with the bridge address map every host tool depends on. Chapter 3 is why there are three bitstreams from one source and what each is for; it is the chapter to read before trusting a zero. Chapter 4 is the shared flow, the per-build host layers, and the one-program-two-targets rule.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4209_4061534799"/>
      <w:bookmarkStart w:id="8" w:name="the-system"/>
      <w:bookmarkEnd w:id="7"/>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9" w:name="__RefHeading___Toc4211_4061534799"/>
      <w:bookmarkStart w:id="10" w:name="what-it-is"/>
      <w:bookmarkEnd w:id="9"/>
      <w:r>
        <w:rPr>
          <w:rStyle w:val="SectionNumber"/>
          <w:b/>
          <w:color w:val="228B22"/>
          <w:sz w:val="28"/>
        </w:rPr>
        <w:t>2.1</w:t>
      </w:r>
      <w:r>
        <w:rPr>
          <w:b/>
          <w:color w:val="228B22"/>
          <w:sz w:val="28"/>
        </w:rPr>
        <w:tab/>
        <w:t>What it is</w:t>
      </w:r>
    </w:p>
    <w:p>
      <w:pPr>
        <w:pStyle w:val="FirstParagraph"/>
        <w:rPr/>
      </w:pPr>
      <w:r>
        <w:rPr>
          <w:sz w:val="20"/>
        </w:rPr>
        <w:t>The STREAM system on the Genesys 2 is two things sharing one bitstream source. It is a characterization harness: a synthesizable wrapper that feeds the STREAM scatter-gather DMA from an on-chip LFSR memory model, sinks its writes into a CRC checker, adds programmable memory latency, and counts every cycle of every interface. And it is a monitor-validation environment: the same wrapper carries the tally memories, capture SRAM and drains that let the host see every MonBus packet type from every agent in the DUT, whether the packets come from the in-core monitors or from interface observers standing outside the DUT.</w:t>
      </w:r>
    </w:p>
    <w:p>
      <w:pPr>
        <w:pStyle w:val="BodyText"/>
        <w:rPr/>
      </w:pPr>
      <w:r>
        <w:rPr>
          <w:sz w:val="20"/>
        </w:rPr>
        <w:t>Which of those it is on a given day is a question of which build is programmed. Chapter 3 is about that. The rest of this chapter is what does not change between them.</w:t>
      </w:r>
    </w:p>
    <w:p>
      <w:pPr>
        <w:pStyle w:val="Heading3"/>
        <w:spacing w:before="200" w:after="80"/>
        <w:rPr/>
      </w:pPr>
      <w:bookmarkStart w:id="11" w:name="__RefHeading___Toc4213_4061534799"/>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2730500"/>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2730500"/>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p>
    <w:p>
      <w:pPr>
        <w:pStyle w:val="Heading2"/>
        <w:pBdr>
          <w:bottom w:val="single" w:sz="12" w:space="0" w:color="228B22"/>
        </w:pBdr>
        <w:spacing w:before="280" w:after="80"/>
        <w:rPr/>
      </w:pPr>
      <w:bookmarkStart w:id="14" w:name="__RefHeading___Toc4215_4061534799"/>
      <w:bookmarkEnd w:id="14"/>
      <w:r>
        <w:rPr>
          <w:rStyle w:val="SectionNumber"/>
          <w:b/>
          <w:color w:val="228B22"/>
          <w:sz w:val="28"/>
        </w:rPr>
        <w:t>2.2</w:t>
      </w:r>
      <w:r>
        <w:rPr>
          <w:b/>
          <w:color w:val="228B22"/>
          <w:sz w:val="28"/>
        </w:rPr>
        <w:tab/>
        <w:t>The board</w:t>
      </w:r>
    </w:p>
    <w:p>
      <w:pPr>
        <w:pStyle w:val="FirstParagraph"/>
        <w:rPr/>
      </w:pPr>
      <w:r>
        <w:rPr>
          <w:sz w:val="20"/>
        </w:rPr>
        <w:t>Digilent Genesys 2, Kintex-7 XC7K325T-2. The Nexys A7 version of this system (</w:t>
      </w:r>
      <w:r>
        <w:rPr>
          <w:rStyle w:val="VerbatimChar"/>
          <w:sz w:val="20"/>
        </w:rPr>
        <w:t>stream_char_top</w:t>
      </w:r>
      <w:r>
        <w:rPr>
          <w:sz w:val="20"/>
        </w:rPr>
        <w:t xml:space="preserve">) was the original; the Genesys 2 top, </w:t>
      </w:r>
      <w:r>
        <w:rPr>
          <w:rStyle w:val="VerbatimChar"/>
          <w:sz w:val="20"/>
        </w:rPr>
        <w:t>stream_genesys2_top</w:t>
      </w:r>
      <w:r>
        <w:rPr>
          <w:sz w:val="20"/>
        </w:rPr>
        <w:t>, adds an IBUFDS and an MMCM for the board’s 200 MHz LVDS system clock and drops the seven-segment display for the eight user LEDs. Everything below the top is the same RTL on both boards.</w:t>
      </w:r>
    </w:p>
    <w:p>
      <w:pPr>
        <w:pStyle w:val="BodyText"/>
        <w:rPr/>
      </w:pPr>
      <w:r>
        <w:rPr>
          <w:sz w:val="20"/>
        </w:rPr>
        <w:t xml:space="preserve">The harness clock is a parameter, not a constant. The MMCM runs its VCO at 1200 MHz and the harness clock is 1200 divided by </w:t>
      </w:r>
      <w:r>
        <w:rPr>
          <w:rStyle w:val="VerbatimChar"/>
          <w:sz w:val="20"/>
        </w:rPr>
        <w:t>CLKOUT0_DIVIDE</w:t>
      </w:r>
      <w:r>
        <w:rPr>
          <w:sz w:val="20"/>
        </w:rPr>
        <w:t xml:space="preserve">: 12 gives 100 MHz, 15 gives 80, 20 gives 60. </w:t>
      </w:r>
      <w:r>
        <w:rPr>
          <w:rStyle w:val="VerbatimChar"/>
          <w:sz w:val="20"/>
        </w:rPr>
        <w:t>FPGA_CLK_HZ</w:t>
      </w:r>
      <w:r>
        <w:rPr>
          <w:sz w:val="20"/>
        </w:rPr>
        <w:t>, which sizes the UART divisor, the heartbeat and the timer, is derived from the same parameter, so the two can never disagree. The mon sign-off build ran at 60 MHz, which is where the full-cone monitor build closed with margin; the perf build is the one that cares about the clock, and it is small enough to run faster.</w:t>
      </w:r>
    </w:p>
    <w:p>
      <w:pPr>
        <w:pStyle w:val="TableCaption"/>
        <w:rPr/>
      </w:pPr>
      <w:bookmarkStart w:id="15" w:name="_Tab_3_Table_1_1__The_part_"/>
      <w:r>
        <w:rPr/>
        <w:t>Table 1.1: The part and what the builds use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304"/>
        <w:gridCol w:w="3304"/>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3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builds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sign-off 139,293 (68%); the two instruments together would need 217,761, which is why they are never built together (2026-10-03 re-measurement: 86,865 LUTs / 42.6%, WNS +1.914 ns; RTL has moved since the original sign-off)</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to 24 on the current reports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bank; PASS and FAIL are one-byte patterns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 the top</w:t>
            </w:r>
            <w:bookmarkStart w:id="16" w:name="the-board"/>
            <w:bookmarkEnd w:id="16"/>
          </w:p>
        </w:tc>
      </w:tr>
    </w:tbl>
    <w:p>
      <w:pPr>
        <w:pStyle w:val="Heading2"/>
        <w:pBdr>
          <w:bottom w:val="single" w:sz="12" w:space="0" w:color="228B22"/>
        </w:pBdr>
        <w:spacing w:before="280" w:after="80"/>
        <w:rPr/>
      </w:pPr>
      <w:bookmarkStart w:id="17" w:name="__RefHeading___Toc4217_4061534799"/>
      <w:bookmarkEnd w:id="17"/>
      <w:r>
        <w:rPr>
          <w:rStyle w:val="SectionNumber"/>
          <w:b/>
          <w:color w:val="228B22"/>
          <w:sz w:val="28"/>
        </w:rPr>
        <w:t>2.3</w:t>
      </w:r>
      <w:r>
        <w:rPr>
          <w:b/>
          <w:color w:val="228B22"/>
          <w:sz w:val="28"/>
        </w:rPr>
        <w:tab/>
        <w:t>The two USB chips</w:t>
      </w:r>
    </w:p>
    <w:p>
      <w:pPr>
        <w:pStyle w:val="FirstParagraph"/>
        <w:rPr/>
      </w:pPr>
      <w:r>
        <w:rPr>
          <w:sz w:val="20"/>
        </w:rPr>
        <w:t xml:space="preserve">The Genesys 2 carries JTAG on an FT2232 (serial </w:t>
      </w:r>
      <w:r>
        <w:rPr>
          <w:rStyle w:val="VerbatimChar"/>
          <w:sz w:val="20"/>
        </w:rPr>
        <w:t>200300B818A0</w:t>
      </w:r>
      <w:r>
        <w:rPr>
          <w:sz w:val="20"/>
        </w:rPr>
        <w:t xml:space="preserve">, the one </w:t>
      </w:r>
      <w:r>
        <w:rPr>
          <w:rStyle w:val="VerbatimChar"/>
          <w:sz w:val="20"/>
        </w:rPr>
        <w:t>FPGA_JTAG_SERIAL</w:t>
      </w:r>
      <w:r>
        <w:rPr>
          <w:sz w:val="20"/>
        </w:rPr>
        <w:t xml:space="preserve"> names, because a Nexys A7 shares the chain in this lab) and the UART on a separate FT232R that enumerates as its own </w:t>
      </w:r>
      <w:r>
        <w:rPr>
          <w:rStyle w:val="VerbatimChar"/>
          <w:sz w:val="20"/>
        </w:rPr>
        <w:t>/dev/ttyUSB*</w:t>
      </w:r>
      <w:r>
        <w:rPr>
          <w:sz w:val="20"/>
        </w:rPr>
        <w:t xml:space="preserve">. The host tools probe for the harness rather than pin a device node. The link is 115200-8N1 with the ASCII </w:t>
      </w:r>
      <w:r>
        <w:rPr>
          <w:rStyle w:val="VerbatimChar"/>
          <w:sz w:val="20"/>
        </w:rPr>
        <w:t>W addr data</w:t>
      </w:r>
      <w:r>
        <w:rPr>
          <w:sz w:val="20"/>
        </w:rPr>
        <w:t xml:space="preserve"> / </w:t>
      </w:r>
      <w:r>
        <w:rPr>
          <w:rStyle w:val="VerbatimChar"/>
          <w:sz w:val="20"/>
        </w:rPr>
        <w:t>R addr</w:t>
      </w:r>
      <w:r>
        <w:rPr>
          <w:sz w:val="20"/>
        </w:rPr>
        <w:t xml:space="preserve"> protocol, one 32-bit AXI4-Lite access per line.</w:t>
      </w:r>
    </w:p>
    <w:p>
      <w:pPr>
        <w:pStyle w:val="Heading2"/>
        <w:pBdr>
          <w:bottom w:val="single" w:sz="12" w:space="0" w:color="228B22"/>
        </w:pBdr>
        <w:spacing w:before="280" w:after="80"/>
        <w:rPr/>
      </w:pPr>
      <w:bookmarkStart w:id="18" w:name="__RefHeading___Toc4219_4061534799"/>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the geometry generics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the generated one-to-many bridge, harness CSRs, descriptor RAM, tallies, capture SRAM, DMA slaves, latency model,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DMA: APB configuration and kicks, eight channels (four on the obs build), one descriptor AXI4 master, read and write data masters, MonBus egress</w:t>
            </w:r>
          </w:p>
        </w:tc>
      </w:tr>
    </w:tbl>
    <w:p>
      <w:pPr>
        <w:pStyle w:val="BodyText"/>
        <w:rPr/>
      </w:pPr>
      <w:r>
        <w:rPr>
          <w:sz w:val="20"/>
        </w:rPr>
        <w:t xml:space="preserve">The harness is component-level: one </w:t>
      </w:r>
      <w:r>
        <w:rPr>
          <w:rStyle w:val="VerbatimChar"/>
          <w:sz w:val="20"/>
        </w:rPr>
        <w:t>stream_harness.sv</w:t>
      </w:r>
      <w:r>
        <w:rPr>
          <w:sz w:val="20"/>
        </w:rPr>
        <w:t xml:space="preserve">, one </w:t>
      </w:r>
      <w:r>
        <w:rPr>
          <w:rStyle w:val="VerbatimChar"/>
          <w:sz w:val="20"/>
        </w:rPr>
        <w:t>stream_genesys2_top.sv</w:t>
      </w:r>
      <w:r>
        <w:rPr>
          <w:sz w:val="20"/>
        </w:rPr>
        <w:t xml:space="preserve">, one </w:t>
      </w:r>
      <w:r>
        <w:rPr>
          <w:rStyle w:val="VerbatimChar"/>
          <w:sz w:val="20"/>
        </w:rPr>
        <w:t>harness_csr.sv</w:t>
      </w:r>
      <w:r>
        <w:rPr>
          <w:sz w:val="20"/>
        </w:rPr>
        <w:t xml:space="preserve">, one </w:t>
      </w:r>
      <w:r>
        <w:rPr>
          <w:rStyle w:val="VerbatimChar"/>
          <w:sz w:val="20"/>
        </w:rPr>
        <w:t>axi_response_delay.sv</w:t>
      </w:r>
      <w:r>
        <w:rPr>
          <w:sz w:val="20"/>
        </w:rPr>
        <w:t xml:space="preserve">, one set of generated bridges, one Tcl set and one XDC, shared by every build. Every geometry default the harness uses comes from </w:t>
      </w:r>
      <w:r>
        <w:rPr>
          <w:rStyle w:val="VerbatimChar"/>
          <w:sz w:val="20"/>
        </w:rPr>
        <w:t>stream_cfg_pkg</w:t>
      </w:r>
      <w:r>
        <w:rPr>
          <w:sz w:val="20"/>
        </w:rPr>
        <w:t>, which is the single source the board top and the simulation share. A literal in the harness is how the simulation and the board once drifted apart, with the perf characterization run at sixteen outstanding transactions against a board built at two.</w:t>
      </w:r>
      <w:bookmarkEnd w:id="19"/>
    </w:p>
    <w:p>
      <w:pPr>
        <w:pStyle w:val="Heading2"/>
        <w:pBdr>
          <w:bottom w:val="single" w:sz="12" w:space="0" w:color="228B22"/>
        </w:pBdr>
        <w:spacing w:before="280" w:after="80"/>
        <w:rPr/>
      </w:pPr>
      <w:bookmarkStart w:id="21" w:name="__RefHeading___Toc4221_4061534799"/>
      <w:bookmarkStart w:id="22" w:name="what-the-host-sees"/>
      <w:bookmarkEnd w:id="21"/>
      <w:r>
        <w:rPr>
          <w:rStyle w:val="SectionNumber"/>
          <w:b/>
          <w:color w:val="228B22"/>
          <w:sz w:val="28"/>
        </w:rPr>
        <w:t>2.5</w:t>
      </w:r>
      <w:r>
        <w:rPr>
          <w:b/>
          <w:color w:val="228B22"/>
          <w:sz w:val="28"/>
        </w:rPr>
        <w:tab/>
        <w:t>What the host sees</w:t>
      </w:r>
    </w:p>
    <w:p>
      <w:pPr>
        <w:pStyle w:val="FirstParagraph"/>
        <w:rPr/>
      </w:pPr>
      <w:r>
        <w:rPr>
          <w:sz w:val="20"/>
        </w:rPr>
        <w:t xml:space="preserve">One AXI4-Lite master, fanned out by a generated bridge to every slave in the harness: the STREAM APB window, the harness CSRs, the descriptor RAM, the MonBus error drains, the two tally memories and their configuration, the slave-monitor and observer register blocks, and the capture SRAM. Chapter 2 has the map. Every register the host touches is reached by name through a register map generated from </w:t>
      </w:r>
      <w:r>
        <w:rPr>
          <w:rStyle w:val="VerbatimChar"/>
          <w:sz w:val="20"/>
        </w:rPr>
        <w:t>regs/harness_csr.rdl</w:t>
      </w:r>
      <w:r>
        <w:rPr>
          <w:sz w:val="20"/>
        </w:rPr>
        <w:t>; a hand-kept Python table used to exist, drifted, and declared ten registers the RTL did not decode, which three host tools then read as zeros off a running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the-system"/>
      <w:bookmarkStart w:id="24" w:name="what-the-host-se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4223_4061534799"/>
      <w:bookmarkStart w:id="26" w:name="the-harness"/>
      <w:bookmarkEnd w:id="25"/>
      <w:r>
        <w:rPr>
          <w:rStyle w:val="SectionNumber"/>
          <w:b/>
          <w:color w:val="FFFFFF"/>
          <w:sz w:val="32"/>
        </w:rPr>
        <w:t>3</w:t>
      </w:r>
      <w:r>
        <w:rPr>
          <w:b/>
          <w:color w:val="FFFFFF"/>
          <w:sz w:val="32"/>
        </w:rPr>
        <w:tab/>
        <w:t>The Harness</w:t>
      </w:r>
    </w:p>
    <w:p>
      <w:pPr>
        <w:pStyle w:val="FirstParagraph"/>
        <w:rPr/>
      </w:pPr>
      <w:r>
        <w:rPr>
          <w:rStyle w:val="VerbatimChar"/>
          <w:sz w:val="20"/>
        </w:rPr>
        <w:t>stream_harness</w:t>
      </w:r>
      <w:r>
        <w:rPr>
          <w:sz w:val="20"/>
        </w:rPr>
        <w:t xml:space="preserve"> is the bitstream minus the pins. Unlike the RAPIDS harness, whose host front-end was moved inside it late, this one was built with the UART bridge and the CSRs inside from the start, so the cosim and the board have always run the same host programs over the same bytestream. Figure 2.1 is the block map.</w:t>
      </w:r>
    </w:p>
    <w:p>
      <w:pPr>
        <w:pStyle w:val="Heading3"/>
        <w:spacing w:before="200" w:after="80"/>
        <w:rPr/>
      </w:pPr>
      <w:bookmarkStart w:id="27" w:name="__RefHeading___Toc4225_4061534799"/>
      <w:bookmarkStart w:id="28" w:name="figure-2.1-the-harness-block-map"/>
      <w:bookmarkStart w:id="29" w:name="_Fig_2_The_harness_block_ma"/>
      <w:bookmarkEnd w:id="27"/>
      <w:r>
        <w:rPr>
          <w:rStyle w:val="SectionNumber"/>
          <w:b/>
          <w:color w:val="404040"/>
          <w:sz w:val="24"/>
        </w:rPr>
        <w:t>3.0.1</w:t>
      </w:r>
      <w:r>
        <w:rPr>
          <w:b/>
          <w:color w:val="404040"/>
          <w:sz w:val="24"/>
        </w:rPr>
        <w:tab/>
        <w:t>Figure 2.1: The harness block map</w:t>
      </w:r>
      <w:bookmarkEnd w:id="29"/>
    </w:p>
    <w:p>
      <w:pPr>
        <w:pStyle w:val="CaptionedFigure"/>
        <w:rPr/>
      </w:pPr>
      <w:r>
        <w:rPr/>
        <w:drawing>
          <wp:inline distT="0" distB="0" distL="0" distR="0">
            <wp:extent cx="5334000" cy="3317240"/>
            <wp:effectExtent l="0" t="0" r="0" b="0"/>
            <wp:docPr id="11" name="Image2" descr="The harness: front-end, stimulus, DUT, the three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DUT, the three instruments"/>
                    <pic:cNvPicPr>
                      <a:picLocks noChangeAspect="1" noChangeArrowheads="1"/>
                    </pic:cNvPicPr>
                  </pic:nvPicPr>
                  <pic:blipFill>
                    <a:blip r:embed="rId5"/>
                    <a:stretch>
                      <a:fillRect/>
                    </a:stretch>
                  </pic:blipFill>
                  <pic:spPr bwMode="auto">
                    <a:xfrm>
                      <a:off x="0" y="0"/>
                      <a:ext cx="5334000" cy="3317240"/>
                    </a:xfrm>
                    <a:prstGeom prst="rect">
                      <a:avLst/>
                    </a:prstGeom>
                  </pic:spPr>
                </pic:pic>
              </a:graphicData>
            </a:graphic>
          </wp:inline>
        </w:drawing>
      </w:r>
    </w:p>
    <w:p>
      <w:pPr>
        <w:pStyle w:val="ImageCaption"/>
        <w:rPr/>
      </w:pPr>
      <w:r>
        <w:rPr/>
        <w:t>The harness: front-end, stimulus, DUT, the three instruments</w:t>
      </w:r>
    </w:p>
    <w:p>
      <w:pPr>
        <w:pStyle w:val="BodyText"/>
        <w:rPr/>
      </w:pPr>
      <w:r>
        <w:rPr>
          <w:b/>
          <w:bCs/>
          <w:sz w:val="20"/>
        </w:rPr>
        <w:t>Source:</w:t>
      </w:r>
      <w:r>
        <w:rPr>
          <w:sz w:val="20"/>
        </w:rPr>
        <w:t xml:space="preserve"> </w:t>
      </w:r>
      <w:hyperlink r:id="rId6">
        <w:r>
          <w:rPr>
            <w:rStyle w:val="Hyperlink"/>
          </w:rPr>
          <w:t>02_harness_blocks.dot</w:t>
        </w:r>
      </w:hyperlink>
      <w:bookmarkEnd w:id="28"/>
    </w:p>
    <w:p>
      <w:pPr>
        <w:pStyle w:val="Heading2"/>
        <w:pBdr>
          <w:bottom w:val="single" w:sz="12" w:space="0" w:color="228B22"/>
        </w:pBdr>
        <w:spacing w:before="280" w:after="80"/>
        <w:rPr/>
      </w:pPr>
      <w:bookmarkStart w:id="30" w:name="__RefHeading___Toc4227_4061534799"/>
      <w:bookmarkStart w:id="31" w:name="the-host-front-end-and-the-bridge"/>
      <w:bookmarkEnd w:id="30"/>
      <w:r>
        <w:rPr>
          <w:rStyle w:val="SectionNumber"/>
          <w:b/>
          <w:color w:val="228B22"/>
          <w:sz w:val="28"/>
        </w:rPr>
        <w:t>3.1</w:t>
      </w:r>
      <w:r>
        <w:rPr>
          <w:b/>
          <w:color w:val="228B22"/>
          <w:sz w:val="28"/>
        </w:rPr>
        <w:tab/>
        <w:t>The host front-end and the bridge</w:t>
      </w:r>
    </w:p>
    <w:p>
      <w:pPr>
        <w:pStyle w:val="FirstParagraph"/>
        <w:rPr/>
      </w:pPr>
      <w:r>
        <w:rPr>
          <w:rStyle w:val="VerbatimChar"/>
          <w:sz w:val="20"/>
        </w:rPr>
        <w:t>uart_axil_bridge</w:t>
      </w:r>
      <w:r>
        <w:rPr>
          <w:sz w:val="20"/>
        </w:rPr>
        <w:t xml:space="preserve"> turns the UART bytestream into one 32-bit AXI4-Lite master. A generated bridge (</w:t>
      </w:r>
      <w:r>
        <w:rPr>
          <w:rStyle w:val="VerbatimChar"/>
          <w:sz w:val="20"/>
        </w:rPr>
        <w:t>bridge_stream_mon_axil</w:t>
      </w:r>
      <w:r>
        <w:rPr>
          <w:sz w:val="20"/>
        </w:rPr>
        <w:t xml:space="preserve">, from the bridge generator in </w:t>
      </w:r>
      <w:r>
        <w:rPr>
          <w:rStyle w:val="VerbatimChar"/>
          <w:sz w:val="20"/>
        </w:rPr>
        <w:t>projects/components/fabric-gen-ip/bridge</w:t>
      </w:r>
      <w:r>
        <w:rPr>
          <w:sz w:val="20"/>
        </w:rPr>
        <w:t xml:space="preserve">) fans it out to every slave, converting protocol and width per port; it is regenerated by </w:t>
      </w:r>
      <w:r>
        <w:rPr>
          <w:rStyle w:val="VerbatimChar"/>
          <w:sz w:val="20"/>
        </w:rPr>
        <w:t>bin/regen_bridges.sh</w:t>
      </w:r>
      <w:r>
        <w:rPr>
          <w:sz w:val="20"/>
        </w:rPr>
        <w:t xml:space="preserve"> as the flow’s PREBUILD step, so a slave added to the map is a generator input, not hand-written glue. The complete host address map – bridge slaves and the harness CSR register detail – is drawn in </w:t>
      </w:r>
      <w:hyperlink r:id="rId7">
        <w:r>
          <w:rPr>
            <w:rStyle w:val="Hyperlink"/>
          </w:rPr>
          <w:t>The Address Map</w:t>
        </w:r>
      </w:hyperlink>
      <w:r>
        <w:rPr>
          <w:sz w:val="20"/>
        </w:rPr>
        <w:t>.</w:t>
      </w:r>
    </w:p>
    <w:p>
      <w:pPr>
        <w:pStyle w:val="BodyText"/>
        <w:rPr/>
      </w:pPr>
      <w:r>
        <w:rPr>
          <w:sz w:val="20"/>
        </w:rPr>
        <w:t xml:space="preserve">Every MonBus-carrying AXI path is 64 bits wide. The descriptor read path is a direct 256-bit AXI4 from the DUT to </w:t>
      </w:r>
      <w:r>
        <w:rPr>
          <w:rStyle w:val="VerbatimChar"/>
          <w:sz w:val="20"/>
        </w:rPr>
        <w:t>desc_ram</w:t>
      </w:r>
      <w:r>
        <w:rPr>
          <w:sz w:val="20"/>
        </w:rPr>
        <w:t>, bypassing the bridge, and the data masters are 128-bit into the pattern generator and CRC checker.</w:t>
      </w:r>
      <w:bookmarkEnd w:id="31"/>
    </w:p>
    <w:p>
      <w:pPr>
        <w:pStyle w:val="Heading2"/>
        <w:pBdr>
          <w:bottom w:val="single" w:sz="12" w:space="0" w:color="228B22"/>
        </w:pBdr>
        <w:spacing w:before="280" w:after="80"/>
        <w:rPr/>
      </w:pPr>
      <w:bookmarkStart w:id="32" w:name="__RefHeading___Toc4229_4061534799"/>
      <w:bookmarkStart w:id="33" w:name="the-harness-csr"/>
      <w:bookmarkEnd w:id="32"/>
      <w:r>
        <w:rPr>
          <w:rStyle w:val="SectionNumber"/>
          <w:b/>
          <w:color w:val="228B22"/>
          <w:sz w:val="28"/>
        </w:rPr>
        <w:t>3.2</w:t>
      </w:r>
      <w:r>
        <w:rPr>
          <w:b/>
          <w:color w:val="228B22"/>
          <w:sz w:val="28"/>
        </w:rPr>
        <w:tab/>
        <w:t>The harness CSR</w:t>
      </w:r>
    </w:p>
    <w:p>
      <w:pPr>
        <w:pStyle w:val="FirstParagraph"/>
        <w:rPr/>
      </w:pPr>
      <w:r>
        <w:rPr>
          <w:rStyle w:val="VerbatimChar"/>
          <w:sz w:val="20"/>
        </w:rPr>
        <w:t>harness_csr</w:t>
      </w:r>
      <w:r>
        <w:rPr>
          <w:sz w:val="20"/>
        </w:rPr>
        <w:t xml:space="preserve"> is the host’s control and status surface, separate from the STREAM registers in the APB window. Its map is generated from </w:t>
      </w:r>
      <w:r>
        <w:rPr>
          <w:rStyle w:val="VerbatimChar"/>
          <w:sz w:val="20"/>
        </w:rPr>
        <w:t>regs/harness_csr.rdl</w:t>
      </w:r>
      <w:r>
        <w:rPr>
          <w:sz w:val="20"/>
        </w:rPr>
        <w:t>; the RTL is hand-written against it and every external AXI4-Lite channel sits behind a skid buffer for timing.</w:t>
      </w:r>
    </w:p>
    <w:p>
      <w:pPr>
        <w:pStyle w:val="TableCaption"/>
        <w:rPr/>
      </w:pPr>
      <w:bookmarkStart w:id="34" w:name="_Tab_5_Table_2_1__Harness_C"/>
      <w:r>
        <w:rPr/>
        <w:t>Table 2.1: Harness CSR, the registers that define a run</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(opens the measurement window),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(stops capture writes),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(clears every CAM in the DUT’s monitors and the tally)</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latched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r>
              <w:rPr>
                <w:rFonts w:eastAsia="Cambria" w:cs=""/>
                <w:kern w:val="0"/>
                <w:sz w:val="24"/>
                <w:szCs w:val="24"/>
                <w:lang w:val="en-US" w:eastAsia="en-US" w:bidi="ar-SA"/>
              </w:rPr>
              <w:t xml:space="preserve"> (poll to zero after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before the next capture)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DBG_OVERFLOW</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of the capture memory is written, and whether it overflowed</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CRC_WR_COMPUTED</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source’s pseudo-random CRC, the expected sink CRC, and what the sink actually wrote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meter registers)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0x128</w:t>
            </w:r>
            <w:r>
              <w:rPr>
                <w:rFonts w:eastAsia="Cambria" w:cs=""/>
                <w:kern w:val="0"/>
                <w:sz w:val="24"/>
                <w:szCs w:val="24"/>
                <w:lang w:val="en-US" w:eastAsia="en-US" w:bidi="ar-SA"/>
              </w:rPr>
              <w:t>, where the retired harness bus meters were read back, is unallocated; the per-interface cycle classification is read from the observers’ own register blocks (</w:t>
            </w:r>
            <w:r>
              <w:rPr>
                <w:rStyle w:val="VerbatimChar"/>
                <w:rFonts w:eastAsia="Cambria" w:cs=""/>
                <w:kern w:val="0"/>
                <w:szCs w:val="24"/>
                <w:lang w:val="en-US" w:eastAsia="en-US" w:bidi="ar-SA"/>
              </w:rPr>
              <w:t>OBS_STAT_SEL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OBS_STAT_DATA</w:t>
            </w:r>
            <w:r>
              <w:rPr>
                <w:rFonts w:eastAsia="Cambria" w:cs=""/>
                <w:kern w:val="0"/>
                <w:sz w:val="24"/>
                <w:szCs w:val="24"/>
                <w:lang w:val="en-US" w:eastAsia="en-US" w:bidi="ar-SA"/>
              </w:rPr>
              <w:t>) and from STREAM’s in-core perf CSRs</w:t>
            </w:r>
          </w:p>
        </w:tc>
      </w:tr>
    </w:tbl>
    <w:p>
      <w:pPr>
        <w:pStyle w:val="BodyText"/>
        <w:rPr/>
      </w:pPr>
      <w:r>
        <w:rPr>
          <w:rStyle w:val="VerbatimChar"/>
          <w:sz w:val="20"/>
        </w:rPr>
        <w:t>soft_reset</w:t>
      </w:r>
      <w:r>
        <w:rPr>
          <w:sz w:val="20"/>
        </w:rPr>
        <w:t xml:space="preserve"> clears every instrument in the harness, which is what lets one programming run a long sequence of host programs without inheriting state; the runner hooks on the host issue it between programs.</w:t>
      </w:r>
      <w:bookmarkEnd w:id="33"/>
    </w:p>
    <w:p>
      <w:pPr>
        <w:pStyle w:val="Heading2"/>
        <w:pBdr>
          <w:bottom w:val="single" w:sz="12" w:space="0" w:color="228B22"/>
        </w:pBdr>
        <w:spacing w:before="280" w:after="80"/>
        <w:rPr/>
      </w:pPr>
      <w:bookmarkStart w:id="35" w:name="__RefHeading___Toc4231_4061534799"/>
      <w:bookmarkStart w:id="36" w:name="the-run-timer-and-the-verdict"/>
      <w:bookmarkEnd w:id="35"/>
      <w:r>
        <w:rPr>
          <w:rStyle w:val="SectionNumber"/>
          <w:b/>
          <w:color w:val="228B22"/>
          <w:sz w:val="28"/>
        </w:rPr>
        <w:t>3.3</w:t>
      </w:r>
      <w:r>
        <w:rPr>
          <w:b/>
          <w:color w:val="228B22"/>
          <w:sz w:val="28"/>
        </w:rPr>
        <w:tab/>
        <w:t>The run timer and the verdict</w:t>
      </w:r>
    </w:p>
    <w:p>
      <w:pPr>
        <w:pStyle w:val="FirstParagraph"/>
        <w:rPr/>
      </w:pPr>
      <w:r>
        <w:rPr>
          <w:rStyle w:val="VerbatimChar"/>
          <w:sz w:val="20"/>
        </w:rPr>
        <w:t>char_run_timer</w:t>
      </w:r>
      <w:r>
        <w:rPr>
          <w:sz w:val="20"/>
        </w:rPr>
        <w:t xml:space="preserve"> (</w:t>
      </w:r>
      <w:r>
        <w:rPr>
          <w:rStyle w:val="VerbatimChar"/>
          <w:sz w:val="20"/>
        </w:rPr>
        <w:t>u_char_run_timer</w:t>
      </w:r>
      <w:r>
        <w:rPr>
          <w:sz w:val="20"/>
        </w:rPr>
        <w:t xml:space="preserve">) times each run and judges it. It lives in </w:t>
      </w:r>
      <w:r>
        <w:rPr>
          <w:rStyle w:val="VerbatimChar"/>
          <w:sz w:val="20"/>
        </w:rPr>
        <w:t>projects/components/utility-ip/misc/rtl/</w:t>
      </w:r>
      <w:r>
        <w:rPr>
          <w:sz w:val="20"/>
        </w:rPr>
        <w:t>. The two Genesys 2 RAPIDS harnesses use the same module and the fabric benchmark harness will, so every harness built on the LFSR source and CRC sink measures and judges a run the same way.</w:t>
      </w:r>
    </w:p>
    <w:p>
      <w:pPr>
        <w:pStyle w:val="Compact"/>
        <w:numPr>
          <w:ilvl w:val="0"/>
          <w:numId w:val="1"/>
        </w:numPr>
        <w:rPr/>
      </w:pPr>
      <w:r>
        <w:rPr>
          <w:b/>
          <w:bCs/>
        </w:rPr>
        <w:t>Start:</w:t>
      </w:r>
      <w:r>
        <w:rPr/>
        <w:t xml:space="preserve"> the first </w:t>
      </w:r>
      <w:r>
        <w:rPr>
          <w:rStyle w:val="VerbatimChar"/>
        </w:rPr>
        <w:t>m_axi_desc</w:t>
      </w:r>
      <w:r>
        <w:rPr/>
        <w:t xml:space="preserve"> AR handshake after a </w:t>
      </w:r>
      <w:r>
        <w:rPr>
          <w:rStyle w:val="VerbatimChar"/>
        </w:rPr>
        <w:t>TIMER_CTRL</w:t>
      </w:r>
      <w:r>
        <w:rPr/>
        <w:t xml:space="preserve"> clear, so the run begins with the first descriptor fetch.</w:t>
      </w:r>
    </w:p>
    <w:p>
      <w:pPr>
        <w:pStyle w:val="Compact"/>
        <w:numPr>
          <w:ilvl w:val="0"/>
          <w:numId w:val="1"/>
        </w:numPr>
        <w:rPr/>
      </w:pPr>
      <w:r>
        <w:rPr>
          <w:b/>
          <w:bCs/>
        </w:rPr>
        <w:t>Stop:</w:t>
      </w:r>
      <w:r>
        <w:rPr/>
        <w:t xml:space="preserve"> the sink’s write-beat count reaching </w:t>
      </w:r>
      <w:r>
        <w:rPr>
          <w:rStyle w:val="VerbatimChar"/>
        </w:rPr>
        <w:t>TIMER_EXPECTED_BEATS</w:t>
      </w:r>
      <w:r>
        <w:rPr/>
        <w:t xml:space="preserve">. </w:t>
      </w:r>
      <w:r>
        <w:rPr>
          <w:rStyle w:val="VerbatimChar"/>
        </w:rPr>
        <w:t>TIMER_CYCLES</w:t>
      </w:r>
      <w:r>
        <w:rPr/>
        <w:t xml:space="preserve"> freezes there, so the throughput is exact.</w:t>
      </w:r>
    </w:p>
    <w:p>
      <w:pPr>
        <w:pStyle w:val="Compact"/>
        <w:numPr>
          <w:ilvl w:val="0"/>
          <w:numId w:val="1"/>
        </w:numPr>
        <w:rPr/>
      </w:pPr>
      <w:r>
        <w:rPr>
          <w:b/>
          <w:bCs/>
        </w:rPr>
        <w:t>Pass:</w:t>
      </w:r>
      <w:r>
        <w:rPr/>
        <w:t xml:space="preserve"> sampled 5 cycles after the stop, once the last beat’s CRC has settled. Every channel that ran must have a valid sink CRC equal to its source CRC; a channel that never ran neither passes nor fails. No channel is masked out of the verdict.</w:t>
      </w:r>
    </w:p>
    <w:p>
      <w:pPr>
        <w:pStyle w:val="Compact"/>
        <w:numPr>
          <w:ilvl w:val="0"/>
          <w:numId w:val="1"/>
        </w:numPr>
        <w:rPr/>
      </w:pPr>
      <w:r>
        <w:rPr>
          <w:b/>
          <w:bCs/>
        </w:rPr>
        <w:t>Stamps:</w:t>
      </w:r>
      <w:r>
        <w:rPr/>
        <w:t xml:space="preserve"> the cycle of the first and last read and write beat, so the host can separate steady-state engine throughput from descriptor fill and drain.</w:t>
      </w:r>
    </w:p>
    <w:p>
      <w:pPr>
        <w:pStyle w:val="FirstParagraph"/>
        <w:rPr/>
      </w:pPr>
      <w:r>
        <w:rPr>
          <w:rStyle w:val="VerbatimChar"/>
          <w:sz w:val="20"/>
        </w:rPr>
        <w:t>TIMER_STATUS.pass</w:t>
      </w:r>
      <w:r>
        <w:rPr>
          <w:sz w:val="20"/>
        </w:rPr>
        <w:t xml:space="preserve"> and the per-channel CRC registers in Table 2.1 are this block’s outputs.</w:t>
      </w:r>
      <w:bookmarkEnd w:id="36"/>
    </w:p>
    <w:p>
      <w:pPr>
        <w:pStyle w:val="Heading2"/>
        <w:pBdr>
          <w:bottom w:val="single" w:sz="12" w:space="0" w:color="228B22"/>
        </w:pBdr>
        <w:spacing w:before="280" w:after="80"/>
        <w:rPr/>
      </w:pPr>
      <w:bookmarkStart w:id="37" w:name="__RefHeading___Toc4233_4061534799"/>
      <w:bookmarkEnd w:id="37"/>
      <w:r>
        <w:rPr>
          <w:rStyle w:val="SectionNumber"/>
          <w:b/>
          <w:color w:val="228B22"/>
          <w:sz w:val="28"/>
        </w:rPr>
        <w:t>3.4</w:t>
      </w:r>
      <w:r>
        <w:rPr>
          <w:b/>
          <w:color w:val="228B22"/>
          <w:sz w:val="28"/>
        </w:rPr>
        <w:tab/>
        <w:t>Stimulus and the memory model</w:t>
      </w:r>
    </w:p>
    <w:p>
      <w:pPr>
        <w:pStyle w:val="TableCaption"/>
        <w:rPr/>
      </w:pPr>
      <w:bookmarkStart w:id="38" w:name="_Tab_6_Table_2_2__Stimulus_"/>
      <w:r>
        <w:rPr/>
        <w:t>Table 2.2: Stimulus and memory model</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axi4_dma_slaves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LFSR read-source pattern generator behind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and a write-sink CRC checker behind </w:t>
            </w:r>
            <w:r>
              <w:rPr>
                <w:rStyle w:val="VerbatimChar"/>
                <w:rFonts w:eastAsia="Cambria" w:cs=""/>
                <w:kern w:val="0"/>
                <w:szCs w:val="24"/>
                <w:lang w:val="en-US" w:eastAsia="en-US" w:bidi="ar-SA"/>
              </w:rPr>
              <w:t>m_axi_wr</w:t>
            </w:r>
            <w:r>
              <w:rPr>
                <w:rFonts w:eastAsia="Cambria" w:cs=""/>
                <w:kern w:val="0"/>
                <w:sz w:val="24"/>
                <w:szCs w:val="24"/>
                <w:lang w:val="en-US" w:eastAsia="en-US" w:bidi="ar-SA"/>
              </w:rPr>
              <w:t>; both accept the next transaction on the last beat of the current one (an earlier two-state version inserted a dead cycle per burst and cost the datapath a phantom 6 percent)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programmable memory-latency model on the read and on the write path, the knob of the latency sweeps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store the host preloads and the DUT fetches from directly</w:t>
            </w:r>
            <w:bookmarkStart w:id="39" w:name="stimulus-and-the-memory-model"/>
            <w:bookmarkEnd w:id="39"/>
          </w:p>
        </w:tc>
      </w:tr>
    </w:tbl>
    <w:p>
      <w:pPr>
        <w:pStyle w:val="Heading2"/>
        <w:pBdr>
          <w:bottom w:val="single" w:sz="12" w:space="0" w:color="228B22"/>
        </w:pBdr>
        <w:spacing w:before="280" w:after="80"/>
        <w:rPr/>
      </w:pPr>
      <w:bookmarkStart w:id="40" w:name="__RefHeading___Toc4235_4061534799"/>
      <w:bookmarkEnd w:id="40"/>
      <w:r>
        <w:rPr>
          <w:rStyle w:val="SectionNumber"/>
          <w:b/>
          <w:color w:val="228B22"/>
          <w:sz w:val="28"/>
        </w:rPr>
        <w:t>3.5</w:t>
      </w:r>
      <w:r>
        <w:rPr>
          <w:b/>
          <w:color w:val="228B22"/>
          <w:sz w:val="28"/>
        </w:rPr>
        <w:tab/>
        <w:t>The three instruments</w:t>
      </w:r>
    </w:p>
    <w:p>
      <w:pPr>
        <w:pStyle w:val="FirstParagraph"/>
        <w:rPr/>
      </w:pPr>
      <w:r>
        <w:rPr>
          <w:sz w:val="20"/>
        </w:rPr>
        <w:t>The harness carries three ways of measuring, and Chapter 3 is about which build has which.</w:t>
      </w:r>
    </w:p>
    <w:p>
      <w:pPr>
        <w:pStyle w:val="Compact"/>
        <w:numPr>
          <w:ilvl w:val="0"/>
          <w:numId w:val="5"/>
        </w:numPr>
        <w:rPr/>
      </w:pPr>
      <w:r>
        <w:rPr>
          <w:b/>
          <w:bCs/>
        </w:rPr>
        <w:t>Bus meters</w:t>
      </w:r>
      <w:r>
        <w:rPr/>
        <w:t xml:space="preserve">, always built, inside the interface observers and STREAM’s in-core datapath (the harness’s own </w:t>
      </w:r>
      <w:r>
        <w:rPr>
          <w:rStyle w:val="VerbatimChar"/>
        </w:rPr>
        <w:t>axi_bus_meter</w:t>
      </w:r>
      <w:r>
        <w:rPr/>
        <w:t xml:space="preserve"> blocks are retired). Per interface, every cycle of the window is productive, backpressure, starvation or idle. They sit outside the monitor gate on purpose: the perf build has no monitor and must still count. That separation regressed once, when the gate over-reached and the perf build reported zeros, and the monitor test now asserts the meters are non-zero in that flavour.</w:t>
      </w:r>
    </w:p>
    <w:p>
      <w:pPr>
        <w:pStyle w:val="Compact"/>
        <w:numPr>
          <w:ilvl w:val="0"/>
          <w:numId w:val="6"/>
        </w:numPr>
        <w:rPr/>
      </w:pPr>
      <w:r>
        <w:rPr>
          <w:b/>
          <w:bCs/>
        </w:rPr>
        <w:t>Tallies</w:t>
      </w:r>
      <w:r>
        <w:rPr/>
        <w:t xml:space="preserve">, </w:t>
      </w:r>
      <w:r>
        <w:rPr>
          <w:rStyle w:val="VerbatimChar"/>
        </w:rPr>
        <w:t>monbus_tally_axil</w:t>
      </w:r>
      <w:r>
        <w:rPr/>
        <w:t xml:space="preserve"> twice. A direct count over every possible MonBus identity would be a 20,480-cell matrix of which about 245 tuples are legal; crossed with a 16-bit agent id it would be 99 percent empty. The tally instead loads the legal </w:t>
      </w:r>
      <w:r>
        <w:rPr>
          <w:rStyle w:val="VerbatimChar"/>
        </w:rPr>
        <w:t>{agent, protocol, packet type, event}</w:t>
      </w:r>
      <w:r>
        <w:rPr/>
        <w:t xml:space="preserve"> tuples into a CAM (</w:t>
      </w:r>
      <w:r>
        <w:rPr>
          <w:rStyle w:val="VerbatimChar"/>
        </w:rPr>
        <w:t>MON_N_PROFILE</w:t>
      </w:r>
      <w:r>
        <w:rPr/>
        <w:t xml:space="preserve"> slots, 32 on the sign-off builds) and counts densely, so the host can prove every agent emitted every packet type it may legally emit. </w:t>
      </w:r>
      <w:r>
        <w:rPr>
          <w:rStyle w:val="VerbatimChar"/>
        </w:rPr>
        <w:t>stream_tally</w:t>
      </w:r>
      <w:r>
        <w:rPr/>
        <w:t xml:space="preserve"> counts the in-core monitors, </w:t>
      </w:r>
      <w:r>
        <w:rPr>
          <w:rStyle w:val="VerbatimChar"/>
        </w:rPr>
        <w:t>slave_tally</w:t>
      </w:r>
      <w:r>
        <w:rPr/>
        <w:t xml:space="preserve"> the observers.</w:t>
      </w:r>
    </w:p>
    <w:p>
      <w:pPr>
        <w:pStyle w:val="Compact"/>
        <w:numPr>
          <w:ilvl w:val="0"/>
          <w:numId w:val="7"/>
        </w:numPr>
        <w:rPr/>
      </w:pPr>
      <w:r>
        <w:rPr>
          <w:b/>
          <w:bCs/>
        </w:rPr>
        <w:t>Capture</w:t>
      </w:r>
      <w:r>
        <w:rPr/>
        <w:t xml:space="preserve">, </w:t>
      </w:r>
      <w:r>
        <w:rPr>
          <w:rStyle w:val="VerbatimChar"/>
        </w:rPr>
        <w:t>comp_sram</w:t>
      </w:r>
      <w:r>
        <w:rPr/>
        <w:t xml:space="preserve">. The MonBus stream itself, compressed on the mon build, downloadable by the host and decoded against the cosim reference; </w:t>
      </w:r>
      <w:r>
        <w:rPr>
          <w:rStyle w:val="VerbatimChar"/>
        </w:rPr>
        <w:t>stream_err</w:t>
      </w:r>
      <w:r>
        <w:rPr/>
        <w:t xml:space="preserve"> and </w:t>
      </w:r>
      <w:r>
        <w:rPr>
          <w:rStyle w:val="VerbatimChar"/>
        </w:rPr>
        <w:t>slave_err</w:t>
      </w:r>
      <w:r>
        <w:rPr/>
        <w:t xml:space="preserve"> drain the error and IRQ FIFOs.</w:t>
      </w:r>
    </w:p>
    <w:p>
      <w:pPr>
        <w:pStyle w:val="FirstParagraph"/>
        <w:rPr/>
      </w:pPr>
      <w:r>
        <w:rPr>
          <w:sz w:val="20"/>
        </w:rPr>
        <w:t>The two optional sources of packets are the DUT’s in-core monitors (</w:t>
      </w:r>
      <w:r>
        <w:rPr>
          <w:rStyle w:val="VerbatimChar"/>
          <w:sz w:val="20"/>
        </w:rPr>
        <w:t>USE_AXI_MONITORS</w:t>
      </w:r>
      <w:r>
        <w:rPr>
          <w:sz w:val="20"/>
        </w:rPr>
        <w:t>) and the interface observers standing on the DUT’s masters and on the slaves (</w:t>
      </w:r>
      <w:r>
        <w:rPr>
          <w:rStyle w:val="VerbatimChar"/>
          <w:sz w:val="20"/>
        </w:rPr>
        <w:t>OBS_ENABLE_MON_TAPS</w:t>
      </w:r>
      <w:r>
        <w:rPr>
          <w:sz w:val="20"/>
        </w:rPr>
        <w:t>). Both feed the same tally and capture machinery; they are never built together, and the reason is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the-harnes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1"/>
        <w:shd w:val="clear" w:color="auto" w:fill="404040"/>
        <w:spacing w:before="360" w:after="120"/>
        <w:rPr/>
      </w:pPr>
      <w:bookmarkStart w:id="42" w:name="__RefHeading___Toc4237_4061534799"/>
      <w:bookmarkStart w:id="43" w:name="the-address-map"/>
      <w:bookmarkEnd w:id="42"/>
      <w:r>
        <w:rPr>
          <w:rStyle w:val="SectionNumber"/>
          <w:b/>
          <w:color w:val="FFFFFF"/>
          <w:sz w:val="32"/>
        </w:rPr>
        <w:t>4</w:t>
      </w:r>
      <w:r>
        <w:rPr>
          <w:b/>
          <w:color w:val="FFFFFF"/>
          <w:sz w:val="32"/>
        </w:rPr>
        <w:tab/>
        <w:t>The Address Map</w:t>
      </w:r>
    </w:p>
    <w:p>
      <w:pPr>
        <w:pStyle w:val="FirstParagraph"/>
        <w:rPr/>
      </w:pPr>
      <w:r>
        <w:rPr>
          <w:sz w:val="20"/>
        </w:rPr>
        <w:t xml:space="preserve">The host sees one 32-bit AXI4-Lite master. </w:t>
      </w:r>
      <w:r>
        <w:rPr>
          <w:rStyle w:val="VerbatimChar"/>
          <w:sz w:val="20"/>
        </w:rPr>
        <w:t>uart_axil_bridge</w:t>
      </w:r>
      <w:r>
        <w:rPr>
          <w:sz w:val="20"/>
        </w:rPr>
        <w:t xml:space="preserve"> turns the ASCII </w:t>
      </w:r>
      <w:r>
        <w:rPr>
          <w:rStyle w:val="VerbatimChar"/>
          <w:sz w:val="20"/>
        </w:rPr>
        <w:t>W addr data</w:t>
      </w:r>
      <w:r>
        <w:rPr>
          <w:sz w:val="20"/>
        </w:rPr>
        <w:t xml:space="preserve"> / </w:t>
      </w:r>
      <w:r>
        <w:rPr>
          <w:rStyle w:val="VerbatimChar"/>
          <w:sz w:val="20"/>
        </w:rPr>
        <w:t>R addr</w:t>
      </w:r>
      <w:r>
        <w:rPr>
          <w:sz w:val="20"/>
        </w:rPr>
        <w:t xml:space="preserve"> lines into that master, and the generated </w:t>
      </w:r>
      <w:r>
        <w:rPr>
          <w:rStyle w:val="VerbatimChar"/>
          <w:sz w:val="20"/>
        </w:rPr>
        <w:t>bridge_stream_mon_axil</w:t>
      </w:r>
      <w:r>
        <w:rPr>
          <w:sz w:val="20"/>
        </w:rPr>
        <w:t xml:space="preserve"> fans it out to every slave in the harness. The bridge is generated from </w:t>
      </w:r>
      <w:r>
        <w:rPr>
          <w:rStyle w:val="VerbatimChar"/>
          <w:sz w:val="20"/>
        </w:rPr>
        <w:t>rtl/bridges/configs/bridge_stream_mon_axil.toml</w:t>
      </w:r>
      <w:r>
        <w:rPr>
          <w:sz w:val="20"/>
        </w:rPr>
        <w:t xml:space="preserve">; the table below is the as-built map from that file. Anything not listed decodes to a tied-off </w:t>
      </w:r>
      <w:r>
        <w:rPr>
          <w:rStyle w:val="VerbatimChar"/>
          <w:sz w:val="20"/>
        </w:rPr>
        <w:t>dma_axil</w:t>
      </w:r>
      <w:r>
        <w:rPr>
          <w:sz w:val="20"/>
        </w:rPr>
        <w:t xml:space="preserve"> port or returns DECERR.</w:t>
      </w:r>
    </w:p>
    <w:p>
      <w:pPr>
        <w:pStyle w:val="Heading3"/>
        <w:spacing w:before="200" w:after="80"/>
        <w:rPr/>
      </w:pPr>
      <w:bookmarkStart w:id="44" w:name="__RefHeading___Toc4239_4061534799"/>
      <w:bookmarkStart w:id="45" w:name="figure-2.2-host-address-map"/>
      <w:bookmarkStart w:id="46" w:name="_Fig_3_Host_address_map"/>
      <w:bookmarkEnd w:id="44"/>
      <w:r>
        <w:rPr>
          <w:rStyle w:val="SectionNumber"/>
          <w:b/>
          <w:color w:val="404040"/>
          <w:sz w:val="24"/>
        </w:rPr>
        <w:t>4.0.1</w:t>
      </w:r>
      <w:r>
        <w:rPr>
          <w:b/>
          <w:color w:val="404040"/>
          <w:sz w:val="24"/>
        </w:rPr>
        <w:tab/>
        <w:t>Figure 2.2: Host address map</w:t>
      </w:r>
      <w:bookmarkEnd w:id="46"/>
    </w:p>
    <w:p>
      <w:pPr>
        <w:pStyle w:val="CaptionedFigure"/>
        <w:rPr/>
      </w:pPr>
      <w:r>
        <w:rPr/>
        <w:drawing>
          <wp:inline distT="0" distB="0" distL="0" distR="0">
            <wp:extent cx="5334000" cy="1917700"/>
            <wp:effectExtent l="0" t="0" r="0" b="0"/>
            <wp:docPr id="14" name="Image3" descr="Host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Host address map"/>
                    <pic:cNvPicPr>
                      <a:picLocks noChangeAspect="1" noChangeArrowheads="1"/>
                    </pic:cNvPicPr>
                  </pic:nvPicPr>
                  <pic:blipFill>
                    <a:blip r:embed="rId8"/>
                    <a:stretch>
                      <a:fillRect/>
                    </a:stretch>
                  </pic:blipFill>
                  <pic:spPr bwMode="auto">
                    <a:xfrm>
                      <a:off x="0" y="0"/>
                      <a:ext cx="5334000" cy="1917700"/>
                    </a:xfrm>
                    <a:prstGeom prst="rect">
                      <a:avLst/>
                    </a:prstGeom>
                  </pic:spPr>
                </pic:pic>
              </a:graphicData>
            </a:graphic>
          </wp:inline>
        </w:drawing>
      </w:r>
    </w:p>
    <w:p>
      <w:pPr>
        <w:pStyle w:val="ImageCaption"/>
        <w:rPr/>
      </w:pPr>
      <w:r>
        <w:rPr/>
        <w:t>Host address map</w:t>
      </w:r>
    </w:p>
    <w:p>
      <w:pPr>
        <w:pStyle w:val="BodyText"/>
        <w:rPr/>
      </w:pPr>
      <w:r>
        <w:rPr>
          <w:b/>
          <w:bCs/>
          <w:sz w:val="20"/>
        </w:rPr>
        <w:t>Source:</w:t>
      </w:r>
      <w:r>
        <w:rPr>
          <w:sz w:val="20"/>
        </w:rPr>
        <w:t xml:space="preserve"> </w:t>
      </w:r>
      <w:hyperlink r:id="rId9">
        <w:r>
          <w:rPr>
            <w:rStyle w:val="Hyperlink"/>
          </w:rPr>
          <w:t>05_address_map.dot</w:t>
        </w:r>
      </w:hyperlink>
      <w:bookmarkEnd w:id="45"/>
    </w:p>
    <w:p>
      <w:pPr>
        <w:pStyle w:val="Heading2"/>
        <w:pBdr>
          <w:bottom w:val="single" w:sz="12" w:space="0" w:color="228B22"/>
        </w:pBdr>
        <w:spacing w:before="280" w:after="80"/>
        <w:rPr/>
      </w:pPr>
      <w:bookmarkStart w:id="47" w:name="__RefHeading___Toc4241_4061534799"/>
      <w:bookmarkStart w:id="48" w:name="bridge-slave-map"/>
      <w:bookmarkEnd w:id="47"/>
      <w:r>
        <w:rPr>
          <w:rStyle w:val="SectionNumber"/>
          <w:b/>
          <w:color w:val="228B22"/>
          <w:sz w:val="28"/>
        </w:rPr>
        <w:t>4.1</w:t>
      </w:r>
      <w:r>
        <w:rPr>
          <w:b/>
          <w:color w:val="228B22"/>
          <w:sz w:val="28"/>
        </w:rPr>
        <w:tab/>
        <w:t>Bridge slave map</w:t>
      </w:r>
    </w:p>
    <w:p>
      <w:pPr>
        <w:pStyle w:val="TableCaption"/>
        <w:rPr/>
      </w:pPr>
      <w:bookmarkStart w:id="49" w:name="_Tab_7_Table_2_3__Bridge_ad"/>
      <w:r>
        <w:rPr/>
        <w:t xml:space="preserve">Table 2.3: Bridge address map (from </w:t>
      </w:r>
      <w:r>
        <w:rPr>
          <w:rStyle w:val="VerbatimChar"/>
        </w:rPr>
        <w:t>bridge_stream_mon_axil.toml</w:t>
      </w:r>
      <w:r>
        <w:rPr/>
        <w:t>)</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478"/>
        <w:gridCol w:w="2464"/>
        <w:gridCol w:w="1724"/>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7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DUT config and in-core monitor perf CSRs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control/status/timer/CRC/build identity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preload: host writes 32-bit, STREAM reads 256-bit</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in-core monitor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dma_axil</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DECERR – not used in this harness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0x000C_0000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slvmon_apb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0x001A_0000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comp_sram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Compressed MonBus capture memory, host download</w:t>
            </w:r>
          </w:p>
        </w:tc>
      </w:tr>
    </w:tbl>
    <w:p>
      <w:pPr>
        <w:pStyle w:val="BodyText"/>
        <w:rPr/>
      </w:pPr>
      <w:r>
        <w:rPr>
          <w:sz w:val="20"/>
        </w:rPr>
        <w:t>The two tally windows (</w:t>
      </w:r>
      <w:r>
        <w:rPr>
          <w:rStyle w:val="VerbatimChar"/>
          <w:sz w:val="20"/>
        </w:rPr>
        <w:t>stream_tally</w:t>
      </w:r>
      <w:r>
        <w:rPr>
          <w:sz w:val="20"/>
        </w:rPr>
        <w:t xml:space="preserve"> / </w:t>
      </w:r>
      <w:r>
        <w:rPr>
          <w:rStyle w:val="VerbatimChar"/>
          <w:sz w:val="20"/>
        </w:rPr>
        <w:t>slave_tally</w:t>
      </w:r>
      <w:r>
        <w:rPr>
          <w:sz w:val="20"/>
        </w:rPr>
        <w:t xml:space="preserve">) are read-only for the host in normal use: records arrive directly from the observers or in-core monitors, and the host reads the resulting histogram. Their companion </w:t>
      </w:r>
      <w:r>
        <w:rPr>
          <w:rStyle w:val="VerbatimChar"/>
          <w:sz w:val="20"/>
        </w:rPr>
        <w:t>_cfg</w:t>
      </w:r>
      <w:r>
        <w:rPr>
          <w:sz w:val="20"/>
        </w:rPr>
        <w:t xml:space="preserve"> windows are where the host loads the legal </w:t>
      </w:r>
      <w:r>
        <w:rPr>
          <w:rStyle w:val="VerbatimChar"/>
          <w:sz w:val="20"/>
        </w:rPr>
        <w:t>{agent, protocol, type, event}</w:t>
      </w:r>
      <w:r>
        <w:rPr>
          <w:sz w:val="20"/>
        </w:rPr>
        <w:t xml:space="preserve"> CAM profile and where direct bin readback also lives.</w:t>
      </w:r>
      <w:bookmarkEnd w:id="48"/>
    </w:p>
    <w:p>
      <w:pPr>
        <w:pStyle w:val="Heading2"/>
        <w:pBdr>
          <w:bottom w:val="single" w:sz="12" w:space="0" w:color="228B22"/>
        </w:pBdr>
        <w:spacing w:before="280" w:after="80"/>
        <w:rPr/>
      </w:pPr>
      <w:bookmarkStart w:id="50" w:name="__RefHeading___Toc4243_4061534799"/>
      <w:bookmarkEnd w:id="50"/>
      <w:r>
        <w:rPr>
          <w:rStyle w:val="SectionNumber"/>
          <w:b/>
          <w:color w:val="228B22"/>
          <w:sz w:val="28"/>
        </w:rPr>
        <w:t>4.2</w:t>
      </w:r>
      <w:r>
        <w:rPr>
          <w:b/>
          <w:color w:val="228B22"/>
          <w:sz w:val="28"/>
        </w:rPr>
        <w:tab/>
        <w:t>Harness CSR detail</w:t>
      </w:r>
    </w:p>
    <w:p>
      <w:pPr>
        <w:pStyle w:val="FirstParagraph"/>
        <w:rPr/>
      </w:pPr>
      <w:r>
        <w:rPr>
          <w:rStyle w:val="VerbatimChar"/>
          <w:sz w:val="20"/>
        </w:rPr>
        <w:t>harness_csr</w:t>
      </w:r>
      <w:r>
        <w:rPr>
          <w:sz w:val="20"/>
        </w:rPr>
        <w:t xml:space="preserve"> occupies </w:t>
      </w:r>
      <w:r>
        <w:rPr>
          <w:rStyle w:val="VerbatimChar"/>
          <w:sz w:val="20"/>
        </w:rPr>
        <w:t>0x0001_0000</w:t>
      </w:r>
      <w:r>
        <w:rPr>
          <w:sz w:val="20"/>
        </w:rPr>
        <w:t xml:space="preserve"> and is the source of truth for run control, build identity, and the memory-latency knob. The map is generated from </w:t>
      </w:r>
      <w:r>
        <w:rPr>
          <w:rStyle w:val="VerbatimChar"/>
          <w:sz w:val="20"/>
        </w:rPr>
        <w:t>regs/harness_csr_regs.rdl</w:t>
      </w:r>
      <w:r>
        <w:rPr>
          <w:sz w:val="20"/>
        </w:rPr>
        <w:t xml:space="preserve"> and decoded by hand in </w:t>
      </w:r>
      <w:r>
        <w:rPr>
          <w:rStyle w:val="VerbatimChar"/>
          <w:sz w:val="20"/>
        </w:rPr>
        <w:t>rtl/harness_csr.sv</w:t>
      </w:r>
      <w:r>
        <w:rPr>
          <w:sz w:val="20"/>
        </w:rPr>
        <w:t>; a test (</w:t>
      </w:r>
      <w:r>
        <w:rPr>
          <w:rStyle w:val="VerbatimChar"/>
          <w:sz w:val="20"/>
        </w:rPr>
        <w:t>bin/tests/test_harness_regmap.py</w:t>
      </w:r>
      <w:r>
        <w:rPr>
          <w:sz w:val="20"/>
        </w:rPr>
        <w:t>) asserts every RDL register has a matching hardware decode.</w:t>
      </w:r>
    </w:p>
    <w:p>
      <w:pPr>
        <w:pStyle w:val="TableCaption"/>
        <w:rPr/>
      </w:pPr>
      <w:bookmarkStart w:id="51" w:name="_Tab_8_Table_2_4__harness_c"/>
      <w:r>
        <w:rPr/>
        <w:t xml:space="preserve">Table 2.4: </w:t>
      </w:r>
      <w:r>
        <w:rPr>
          <w:rStyle w:val="VerbatimChar"/>
        </w:rPr>
        <w:t>harness_csr</w:t>
      </w:r>
      <w:r>
        <w:rPr/>
        <w:t xml:space="preserve"> register map (base </w:t>
      </w:r>
      <w:r>
        <w:rPr>
          <w:rStyle w:val="VerbatimChar"/>
        </w:rPr>
        <w:t>0x0001_0000</w:t>
      </w:r>
      <w:r>
        <w:rPr/>
        <w:t>)</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674"/>
        <w:gridCol w:w="2140"/>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1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pulses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SRAM write pointer (words)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overflow flag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read-source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write-sink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CRC_WR_COMPUTED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CRC computed by write sink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valid[1]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ping / port autodetect (magic </w:t>
            </w:r>
            <w:r>
              <w:rPr>
                <w:rStyle w:val="VerbatimChar"/>
                <w:rFonts w:eastAsia="Cambria" w:cs=""/>
                <w:kern w:val="0"/>
                <w:szCs w:val="24"/>
                <w:lang w:val="en-US" w:eastAsia="en-US" w:bidi="ar-SA"/>
              </w:rPr>
              <w:t>0xC0FFEE5A</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0x5354_5243</w:t>
            </w:r>
            <w:r>
              <w:rPr>
                <w:rFonts w:eastAsia="Cambria" w:cs=""/>
                <w:kern w:val="0"/>
                <w:sz w:val="24"/>
                <w:szCs w:val="24"/>
                <w:lang w:val="en-US" w:eastAsia="en-US" w:bidi="ar-SA"/>
              </w:rPr>
              <w:t xml:space="preserve"> (“STRC”) – harness family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clear pulse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0x034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length in cycles, first descriptor AR to the expected write beat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frozen at the end of the run, not free-running)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TIMER_EXPECTED_BEATS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beat count that stops the timer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rd_delay[15:0]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wr_delay[31:16]</w:t>
            </w:r>
            <w:r>
              <w:rPr>
                <w:rFonts w:eastAsia="Cambria" w:cs=""/>
                <w:kern w:val="0"/>
                <w:sz w:val="24"/>
                <w:szCs w:val="24"/>
                <w:lang w:val="en-US" w:eastAsia="en-US" w:bidi="ar-SA"/>
              </w:rPr>
              <w:t xml:space="preserve"> latency knobs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0x05C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TIMER_R_LAST_*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TIMER_W_LAST_*</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first/last beat cycle stamps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0x060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0x07C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0x09C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0x0A4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CRC_VALID_MASK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CRC_MATCH_MASK</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valid/match bitmasks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0x0D4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DESC_SRAM_AR_HS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DESC_SRAM_R_HS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SRAM AXIL handshake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DESC_B_HS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DESC_VR_LIVE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descriptor AXI4 handshake + live valid/ready snapshot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0x1CF</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(retired AXI bus-meter readback)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build number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BUILD_CONFIG</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main_cones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BUILD_N_PROFILE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legal-set size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BUILD_CLK_HZ</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clock frequency in Hz</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COMP_TIER1_A/B/C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COMP_TIER0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COMP_CAM_MISS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COMP_DELTA_TS_OVF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COMP_EVENT_DATA_OVF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COMP_ED_DELTA_OVF</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compressor statistics (0 unless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bookmarkStart w:id="52" w:name="harness-csr-detail"/>
            <w:bookmarkEnd w:id="52"/>
          </w:p>
        </w:tc>
      </w:tr>
    </w:tbl>
    <w:p>
      <w:pPr>
        <w:pStyle w:val="Heading2"/>
        <w:pBdr>
          <w:bottom w:val="single" w:sz="12" w:space="0" w:color="228B22"/>
        </w:pBdr>
        <w:spacing w:before="280" w:after="80"/>
        <w:rPr/>
      </w:pPr>
      <w:bookmarkStart w:id="53" w:name="__RefHeading___Toc4245_4061534799"/>
      <w:bookmarkEnd w:id="53"/>
      <w:r>
        <w:rPr>
          <w:rStyle w:val="SectionNumber"/>
          <w:b/>
          <w:color w:val="228B22"/>
          <w:sz w:val="28"/>
        </w:rPr>
        <w:t>4.3</w:t>
      </w:r>
      <w:r>
        <w:rPr>
          <w:b/>
          <w:color w:val="228B22"/>
          <w:sz w:val="28"/>
        </w:rPr>
        <w:tab/>
        <w:t>By-name access</w:t>
      </w:r>
    </w:p>
    <w:p>
      <w:pPr>
        <w:pStyle w:val="FirstParagraph"/>
        <w:rPr/>
      </w:pPr>
      <w:r>
        <w:rPr>
          <w:sz w:val="20"/>
        </w:rPr>
        <w:t>Host tools must resolve addresses by name, not by hardcoded offset:</w:t>
      </w:r>
    </w:p>
    <w:p>
      <w:pPr>
        <w:pStyle w:val="Compact"/>
        <w:numPr>
          <w:ilvl w:val="0"/>
          <w:numId w:val="8"/>
        </w:numPr>
        <w:rPr/>
      </w:pPr>
      <w:r>
        <w:rPr>
          <w:rStyle w:val="VerbatimChar"/>
        </w:rPr>
        <w:t>bin/harness_addrs.py</w:t>
      </w:r>
      <w:r>
        <w:rPr/>
        <w:t xml:space="preserve"> </w:t>
      </w:r>
      <w:r>
        <w:rPr>
          <w:rStyle w:val="VerbatimChar"/>
        </w:rPr>
        <w:t>H("CTRL")</w:t>
      </w:r>
      <w:r>
        <w:rPr/>
        <w:t xml:space="preserve"> resolves harness CSR registers against </w:t>
      </w:r>
      <w:r>
        <w:rPr>
          <w:rStyle w:val="VerbatimChar"/>
        </w:rPr>
        <w:t>rtl/harness_csr_regmap.py</w:t>
      </w:r>
      <w:r>
        <w:rPr/>
        <w:t xml:space="preserve"> (generated from the RDL).</w:t>
      </w:r>
    </w:p>
    <w:p>
      <w:pPr>
        <w:pStyle w:val="Compact"/>
        <w:numPr>
          <w:ilvl w:val="0"/>
          <w:numId w:val="9"/>
        </w:numPr>
        <w:rPr/>
      </w:pPr>
      <w:r>
        <w:rPr>
          <w:rStyle w:val="VerbatimChar"/>
        </w:rPr>
        <w:t>bin/stream_addrs.py</w:t>
      </w:r>
      <w:r>
        <w:rPr/>
        <w:t xml:space="preserve"> </w:t>
      </w:r>
      <w:r>
        <w:rPr>
          <w:rStyle w:val="VerbatimChar"/>
        </w:rPr>
        <w:t>A("SCHED_CONFIG")</w:t>
      </w:r>
      <w:r>
        <w:rPr/>
        <w:t xml:space="preserve"> resolves STREAM APB registers against the component-level </w:t>
      </w:r>
      <w:r>
        <w:rPr>
          <w:rStyle w:val="VerbatimChar"/>
        </w:rPr>
        <w:t>stream_regmap.py</w:t>
      </w:r>
      <w:r>
        <w:rPr/>
        <w:t>.</w:t>
      </w:r>
    </w:p>
    <w:p>
      <w:pPr>
        <w:pStyle w:val="Compact"/>
        <w:numPr>
          <w:ilvl w:val="0"/>
          <w:numId w:val="10"/>
        </w:numPr>
        <w:rPr/>
      </w:pPr>
      <w:r>
        <w:rPr>
          <w:rStyle w:val="VerbatimChar"/>
        </w:rPr>
        <w:t>bin/obs_addrs.py</w:t>
      </w:r>
      <w:r>
        <w:rPr/>
        <w:t xml:space="preserve"> </w:t>
      </w:r>
      <w:r>
        <w:rPr>
          <w:rStyle w:val="VerbatimChar"/>
        </w:rPr>
        <w:t>O("MON_CTRL")</w:t>
      </w:r>
      <w:r>
        <w:rPr/>
        <w:t xml:space="preserve"> resolves observer APB registers against </w:t>
      </w:r>
      <w:r>
        <w:rPr>
          <w:rStyle w:val="VerbatimChar"/>
        </w:rPr>
        <w:t>obs_regs_top_regmap.py</w:t>
      </w:r>
      <w:r>
        <w:rPr/>
        <w:t xml:space="preserve">; use </w:t>
      </w:r>
      <w:r>
        <w:rPr>
          <w:rStyle w:val="VerbatimChar"/>
        </w:rPr>
        <w:t>base=SLAVE_OBS_APB_BASE</w:t>
      </w:r>
      <w:r>
        <w:rPr/>
        <w:t xml:space="preserve"> (</w:t>
      </w:r>
      <w:r>
        <w:rPr>
          <w:rStyle w:val="VerbatimChar"/>
        </w:rPr>
        <w:t>0x0018_0000</w:t>
      </w:r>
      <w:r>
        <w:rPr/>
        <w:t>) for the slave-role observer.</w:t>
      </w:r>
    </w:p>
    <w:p>
      <w:pPr>
        <w:pStyle w:val="FirstParagraph"/>
        <w:rPr/>
      </w:pPr>
      <w:r>
        <w:rPr>
          <w:sz w:val="20"/>
        </w:rPr>
        <w:t>This indirection is what keeps host scripts valid when a register moves inside its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the-address-map"/>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4247_4061534799"/>
      <w:bookmarkStart w:id="56" w:name="one-rtl-three-builds"/>
      <w:bookmarkEnd w:id="55"/>
      <w:r>
        <w:rPr>
          <w:rStyle w:val="SectionNumber"/>
          <w:b/>
          <w:color w:val="FFFFFF"/>
          <w:sz w:val="32"/>
        </w:rPr>
        <w:t>5</w:t>
      </w:r>
      <w:r>
        <w:rPr>
          <w:b/>
          <w:color w:val="FFFFFF"/>
          <w:sz w:val="32"/>
        </w:rPr>
        <w:tab/>
        <w:t>One RTL, Three Builds</w:t>
      </w:r>
    </w:p>
    <w:p>
      <w:pPr>
        <w:pStyle w:val="Heading2"/>
        <w:pBdr>
          <w:bottom w:val="single" w:sz="12" w:space="0" w:color="228B22"/>
        </w:pBdr>
        <w:spacing w:before="280" w:after="80"/>
        <w:rPr/>
      </w:pPr>
      <w:bookmarkStart w:id="57" w:name="__RefHeading___Toc4249_4061534799"/>
      <w:bookmarkStart w:id="58" w:name="the-rule"/>
      <w:bookmarkEnd w:id="57"/>
      <w:r>
        <w:rPr>
          <w:rStyle w:val="SectionNumber"/>
          <w:b/>
          <w:color w:val="228B22"/>
          <w:sz w:val="28"/>
        </w:rPr>
        <w:t>5.1</w:t>
      </w:r>
      <w:r>
        <w:rPr>
          <w:b/>
          <w:color w:val="228B22"/>
          <w:sz w:val="28"/>
        </w:rPr>
        <w:tab/>
        <w:t>The rule</w:t>
      </w:r>
    </w:p>
    <w:p>
      <w:pPr>
        <w:pStyle w:val="FirstParagraph"/>
        <w:rPr/>
      </w:pPr>
      <w:r>
        <w:rPr>
          <w:sz w:val="20"/>
        </w:rPr>
        <w:t xml:space="preserve">There is one harness, one board top, one CSR block, one latency model, one set of generated bridges, one Tcl set and one XDC, all at component level. </w:t>
      </w:r>
      <w:r>
        <w:rPr>
          <w:rStyle w:val="VerbatimChar"/>
          <w:sz w:val="20"/>
        </w:rPr>
        <w:t>build-mon/</w:t>
      </w:r>
      <w:r>
        <w:rPr>
          <w:sz w:val="20"/>
        </w:rPr>
        <w:t xml:space="preserve">, </w:t>
      </w:r>
      <w:r>
        <w:rPr>
          <w:rStyle w:val="VerbatimChar"/>
          <w:sz w:val="20"/>
        </w:rPr>
        <w:t>build-obs/</w:t>
      </w:r>
      <w:r>
        <w:rPr>
          <w:sz w:val="20"/>
        </w:rPr>
        <w:t xml:space="preserve"> and </w:t>
      </w:r>
      <w:r>
        <w:rPr>
          <w:rStyle w:val="VerbatimChar"/>
          <w:sz w:val="20"/>
        </w:rPr>
        <w:t>build-perf/</w:t>
      </w:r>
      <w:r>
        <w:rPr>
          <w:sz w:val="20"/>
        </w:rPr>
        <w:t xml:space="preserve"> each hold a Makefile of variables and nothing else; the flow logic is the shared </w:t>
      </w:r>
      <w:r>
        <w:rPr>
          <w:rStyle w:val="VerbatimChar"/>
          <w:sz w:val="20"/>
        </w:rPr>
        <w:t>make/fpga_flow.mk</w:t>
      </w:r>
      <w:r>
        <w:rPr>
          <w:sz w:val="20"/>
        </w:rPr>
        <w:t>. Which build you want is a question about what is under test, and the answer is a row in this table:</w:t>
      </w:r>
    </w:p>
    <w:p>
      <w:pPr>
        <w:pStyle w:val="TableCaption"/>
        <w:rPr/>
      </w:pPr>
      <w:bookmarkStart w:id="59" w:name="_Tab_9_Table_3_1__The_three"/>
      <w:r>
        <w:rPr/>
        <w:t>Table 3.1: The three builds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9"/>
        <w:gridCol w:w="2577"/>
        <w:gridCol w:w="3121"/>
        <w:gridCol w:w="1356"/>
        <w:gridCol w:w="1357"/>
      </w:tblGrid>
      <w:tr>
        <w:trPr>
          <w:tblHeader w:val="true"/>
        </w:trPr>
        <w:tc>
          <w:tcPr>
            <w:tcW w:w="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57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USE_AXI_MONITORS</w:t>
            </w:r>
          </w:p>
        </w:tc>
        <w:tc>
          <w:tcPr>
            <w:tcW w:w="312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OBS_ENABLE_MON_TAPS</w:t>
            </w:r>
          </w:p>
        </w:tc>
        <w:tc>
          <w:tcPr>
            <w:tcW w:w="135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3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coverage, compression, error and fault probes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interface observers, watching the same DUT from outside it</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datapath itself, with no instrument in the way</w:t>
            </w:r>
          </w:p>
        </w:tc>
      </w:tr>
    </w:tbl>
    <w:p>
      <w:pPr>
        <w:pStyle w:val="BodyText"/>
        <w:rPr/>
      </w:pPr>
      <w:r>
        <w:rPr>
          <w:sz w:val="20"/>
        </w:rPr>
        <w:t xml:space="preserve">Two near-identical harnesses, one per flavour, used to exist. They were retired because a variant that is a copy drifts: the board and the simulation once disagreed on the outstanding-transaction limit for exactly that reason. Now a variant is a parameter, the parameter is a generic handed to Vivado, and </w:t>
      </w:r>
      <w:r>
        <w:rPr>
          <w:rStyle w:val="VerbatimChar"/>
          <w:sz w:val="20"/>
        </w:rPr>
        <w:t>stream_cfg_pkg</w:t>
      </w:r>
      <w:r>
        <w:rPr>
          <w:sz w:val="20"/>
        </w:rPr>
        <w:t xml:space="preserve"> stays every build’s default; editing the package to retarget one build silently retargets the other two.</w:t>
      </w:r>
    </w:p>
    <w:p>
      <w:pPr>
        <w:pStyle w:val="Heading3"/>
        <w:spacing w:before="200" w:after="80"/>
        <w:rPr/>
      </w:pPr>
      <w:bookmarkStart w:id="60" w:name="__RefHeading___Toc4251_4061534799"/>
      <w:bookmarkStart w:id="61" w:name="Xc226b0c44a2c50f0e553011facdd3c0f482dd71"/>
      <w:bookmarkStart w:id="62" w:name="_Fig_4_One_source_tree__thr"/>
      <w:bookmarkEnd w:id="60"/>
      <w:r>
        <w:rPr>
          <w:rStyle w:val="SectionNumber"/>
          <w:b/>
          <w:color w:val="404040"/>
          <w:sz w:val="24"/>
        </w:rPr>
        <w:t>5.1.1</w:t>
      </w:r>
      <w:r>
        <w:rPr>
          <w:b/>
          <w:color w:val="404040"/>
          <w:sz w:val="24"/>
        </w:rPr>
        <w:tab/>
        <w:t>Figure 3.1: One source tree, three bitstreams</w:t>
      </w:r>
      <w:bookmarkEnd w:id="62"/>
    </w:p>
    <w:p>
      <w:pPr>
        <w:pStyle w:val="CaptionedFigure"/>
        <w:rPr/>
      </w:pPr>
      <w:r>
        <w:rPr/>
        <w:drawing>
          <wp:inline distT="0" distB="0" distL="0" distR="0">
            <wp:extent cx="5334000" cy="2635250"/>
            <wp:effectExtent l="0" t="0" r="0" b="0"/>
            <wp:docPr id="17" name="Image4" descr="One RTL, the knobs, the thre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One RTL, the knobs, the three builds"/>
                    <pic:cNvPicPr>
                      <a:picLocks noChangeAspect="1" noChangeArrowheads="1"/>
                    </pic:cNvPicPr>
                  </pic:nvPicPr>
                  <pic:blipFill>
                    <a:blip r:embed="rId10"/>
                    <a:stretch>
                      <a:fillRect/>
                    </a:stretch>
                  </pic:blipFill>
                  <pic:spPr bwMode="auto">
                    <a:xfrm>
                      <a:off x="0" y="0"/>
                      <a:ext cx="5334000" cy="2635250"/>
                    </a:xfrm>
                    <a:prstGeom prst="rect">
                      <a:avLst/>
                    </a:prstGeom>
                  </pic:spPr>
                </pic:pic>
              </a:graphicData>
            </a:graphic>
          </wp:inline>
        </w:drawing>
      </w:r>
    </w:p>
    <w:p>
      <w:pPr>
        <w:pStyle w:val="ImageCaption"/>
        <w:rPr/>
      </w:pPr>
      <w:r>
        <w:rPr/>
        <w:t>One RTL, the knobs, the three builds</w:t>
      </w:r>
    </w:p>
    <w:p>
      <w:pPr>
        <w:pStyle w:val="BodyText"/>
        <w:rPr/>
      </w:pPr>
      <w:r>
        <w:rPr>
          <w:b/>
          <w:bCs/>
          <w:sz w:val="20"/>
        </w:rPr>
        <w:t>Source:</w:t>
      </w:r>
      <w:r>
        <w:rPr>
          <w:sz w:val="20"/>
        </w:rPr>
        <w:t xml:space="preserve"> </w:t>
      </w:r>
      <w:hyperlink r:id="rId11">
        <w:r>
          <w:rPr>
            <w:rStyle w:val="Hyperlink"/>
          </w:rPr>
          <w:t>03_build_variants.dot</w:t>
        </w:r>
      </w:hyperlink>
      <w:bookmarkEnd w:id="58"/>
      <w:bookmarkEnd w:id="61"/>
    </w:p>
    <w:p>
      <w:pPr>
        <w:pStyle w:val="Heading2"/>
        <w:pBdr>
          <w:bottom w:val="single" w:sz="12" w:space="0" w:color="228B22"/>
        </w:pBdr>
        <w:spacing w:before="280" w:after="80"/>
        <w:rPr/>
      </w:pPr>
      <w:bookmarkStart w:id="63" w:name="__RefHeading___Toc4253_4061534799"/>
      <w:bookmarkStart w:id="64" w:name="why-three-and-why-not-two"/>
      <w:bookmarkEnd w:id="63"/>
      <w:r>
        <w:rPr>
          <w:rStyle w:val="SectionNumber"/>
          <w:b/>
          <w:color w:val="228B22"/>
          <w:sz w:val="28"/>
        </w:rPr>
        <w:t>5.2</w:t>
      </w:r>
      <w:r>
        <w:rPr>
          <w:b/>
          <w:color w:val="228B22"/>
          <w:sz w:val="28"/>
        </w:rPr>
        <w:tab/>
        <w:t>Why three, and why not two</w:t>
      </w:r>
    </w:p>
    <w:p>
      <w:pPr>
        <w:pStyle w:val="FirstParagraph"/>
        <w:rPr/>
      </w:pPr>
      <w:r>
        <w:rPr>
          <w:sz w:val="20"/>
        </w:rPr>
        <w:t xml:space="preserve">The mon and obs builds are complementary, not redundant. They exercise the monitor code from two directions: the in-core monitors see transactions from inside the DUT, the observers see them on the interfaces outside it, and both push their packets through the same tally and capture machinery. So build-obs has no in-core STREAM monitor at all, and a zero on any </w:t>
      </w:r>
      <w:r>
        <w:rPr>
          <w:rStyle w:val="VerbatimChar"/>
          <w:sz w:val="20"/>
        </w:rPr>
        <w:t>mon_*</w:t>
      </w:r>
      <w:r>
        <w:rPr>
          <w:sz w:val="20"/>
        </w:rPr>
        <w:t xml:space="preserve"> probe there is structural; build-mon has its observer taps off, and a zero on an observer probe there is equally structural. Reading either zero as a defect has cost an afternoon before, which is why the Makefile says so in capitals.</w:t>
      </w:r>
    </w:p>
    <w:p>
      <w:pPr>
        <w:pStyle w:val="BodyText"/>
        <w:rPr/>
      </w:pPr>
      <w:r>
        <w:rPr>
          <w:sz w:val="20"/>
        </w:rPr>
        <w:t>They cannot be one build. With every monitor cone and both observers at eight channels the design needs 217,761 LUTs against the 203,800 on the part, and the placer never runs. Even the obs build alone does not fit at eight channels: it reached 99.33 percent of the LUTs and “could not place all instances”, so obs is pinned at four (six does not route either). The eight-channel design point is perf’s requirement; the obs channel count is incidental, not a traded-away requirement.</w:t>
      </w:r>
    </w:p>
    <w:p>
      <w:pPr>
        <w:pStyle w:val="BodyText"/>
        <w:rPr/>
      </w:pPr>
      <w:bookmarkStart w:id="65" w:name="why-three-and-why-not-two"/>
      <w:r>
        <w:rPr>
          <w:sz w:val="20"/>
        </w:rPr>
        <w:t>The perf build exists so that a number about the datapath is a number about the datapath. Its bus meters are instantiated outside the monitor gate and keep counting with every instrument removed; that arrangement is what lets the design fit a small part, and it is guarded by a test after it regressed once.</w:t>
      </w:r>
      <w:bookmarkEnd w:id="65"/>
    </w:p>
    <w:p>
      <w:pPr>
        <w:pStyle w:val="Heading2"/>
        <w:pBdr>
          <w:bottom w:val="single" w:sz="12" w:space="0" w:color="228B22"/>
        </w:pBdr>
        <w:spacing w:before="280" w:after="80"/>
        <w:rPr/>
      </w:pPr>
      <w:bookmarkStart w:id="66" w:name="__RefHeading___Toc4255_4061534799"/>
      <w:bookmarkStart w:id="67" w:name="what-the-builds-measured"/>
      <w:bookmarkEnd w:id="66"/>
      <w:r>
        <w:rPr>
          <w:rStyle w:val="SectionNumber"/>
          <w:b/>
          <w:color w:val="228B22"/>
          <w:sz w:val="28"/>
        </w:rPr>
        <w:t>5.3</w:t>
      </w:r>
      <w:r>
        <w:rPr>
          <w:b/>
          <w:color w:val="228B22"/>
          <w:sz w:val="28"/>
        </w:rPr>
        <w:tab/>
        <w:t>What the builds measured</w:t>
      </w:r>
    </w:p>
    <w:p>
      <w:pPr>
        <w:pStyle w:val="TableCaption"/>
        <w:rPr/>
      </w:pPr>
      <w:bookmarkStart w:id="68" w:name="_Tab_10_Table_3_2__Sign_off_"/>
      <w:r>
        <w:rPr/>
        <w:t>Table 3.2: Sign-off builds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46"/>
        <w:gridCol w:w="2926"/>
        <w:gridCol w:w="2047"/>
        <w:gridCol w:w="2340"/>
      </w:tblGrid>
      <w:tr>
        <w:trPr>
          <w:tblHeader w:val="true"/>
        </w:trPr>
        <w:tc>
          <w:tcPr>
            <w:tcW w:w="20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Sign-off</w:t>
            </w:r>
          </w:p>
        </w:tc>
        <w:tc>
          <w:tcPr>
            <w:tcW w:w="20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2026-09-09, </w:t>
            </w:r>
            <w:r>
              <w:rPr>
                <w:rStyle w:val="VerbatimChar"/>
                <w:rFonts w:eastAsia="Cambria" w:cs=""/>
                <w:kern w:val="0"/>
                <w:szCs w:val="24"/>
                <w:lang w:val="en-US" w:eastAsia="en-US" w:bidi="ar-SA"/>
              </w:rPr>
              <w:t>stable/MANIFEST.md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cones plus the error flavour, compression built, 8 channels, </w:t>
            </w:r>
            <w:r>
              <w:rPr>
                <w:rStyle w:val="VerbatimChar"/>
                <w:rFonts w:eastAsia="Cambria" w:cs=""/>
                <w:kern w:val="0"/>
                <w:szCs w:val="24"/>
                <w:lang w:val="en-US" w:eastAsia="en-US" w:bidi="ar-SA"/>
              </w:rPr>
              <w:t>MON_N_PROFILE=32</w:t>
            </w:r>
            <w:r>
              <w:rPr>
                <w:rFonts w:eastAsia="Cambria" w:cs=""/>
                <w:kern w:val="0"/>
                <w:sz w:val="24"/>
                <w:szCs w:val="24"/>
                <w:lang w:val="en-US" w:eastAsia="en-US" w:bidi="ar-SA"/>
              </w:rPr>
              <w:t xml:space="preserve">: WNS +1.513 ns, 139,293 LUTs (68.35%), 0 failed nets; 512 packets in 516 slots on the board, 66.4% smaller than the raw encoding, CRC match, cosim reference within 4 points (2026-10-03 re-measurement: 66.0% / 1.02 slots/packet, within data-dependent noise; bit sha256 </w:t>
            </w:r>
            <w:r>
              <w:rPr>
                <w:rStyle w:val="VerbatimChar"/>
                <w:rFonts w:eastAsia="Cambria" w:cs=""/>
                <w:kern w:val="0"/>
                <w:szCs w:val="24"/>
                <w:lang w:val="en-US" w:eastAsia="en-US" w:bidi="ar-SA"/>
              </w:rPr>
              <w:t>aceec688043ad630879779ddae211814fcc4dc457365d7c06ec95b8a4f348e6b</w:t>
            </w:r>
            <w:r>
              <w:rPr>
                <w:rFonts w:eastAsia="Cambria" w:cs=""/>
                <w:kern w:val="0"/>
                <w:sz w:val="24"/>
                <w:szCs w:val="24"/>
                <w:lang w:val="en-US" w:eastAsia="en-US" w:bidi="ar-SA"/>
              </w:rPr>
              <w:t>, WNS +1.914 ns, 86,865 LUTs)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2026-09-07, </w:t>
            </w:r>
            <w:r>
              <w:rPr>
                <w:rStyle w:val="VerbatimChar"/>
                <w:rFonts w:eastAsia="Cambria" w:cs=""/>
                <w:kern w:val="0"/>
                <w:szCs w:val="24"/>
                <w:lang w:val="en-US" w:eastAsia="en-US" w:bidi="ar-SA"/>
              </w:rPr>
              <w:t>stable-obs/MANIFEST.md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channels, 32-entry tally CAM, WNS +2.191 ns, archived the day a </w:t>
            </w:r>
            <w:r>
              <w:rPr>
                <w:rStyle w:val="VerbatimChar"/>
                <w:rFonts w:eastAsia="Cambria" w:cs=""/>
                <w:kern w:val="0"/>
                <w:szCs w:val="24"/>
                <w:lang w:val="en-US" w:eastAsia="en-US" w:bidi="ar-SA"/>
              </w:rPr>
              <w:t>make clean-all</w:t>
            </w:r>
            <w:r>
              <w:rPr>
                <w:rFonts w:eastAsia="Cambria" w:cs=""/>
                <w:kern w:val="0"/>
                <w:sz w:val="24"/>
                <w:szCs w:val="24"/>
                <w:lang w:val="en-US" w:eastAsia="en-US" w:bidi="ar-SA"/>
              </w:rPr>
              <w:t xml:space="preserve"> destroyed the previous obs bitstream and it turned out obs had been synthesizing at 100.01 percent of the LUTs and placing by luck (2026-10-03 re-measurement: </w:t>
            </w:r>
            <w:r>
              <w:rPr>
                <w:rStyle w:val="VerbatimChar"/>
                <w:rFonts w:eastAsia="Cambria" w:cs=""/>
                <w:kern w:val="0"/>
                <w:szCs w:val="24"/>
                <w:lang w:val="en-US" w:eastAsia="en-US" w:bidi="ar-SA"/>
              </w:rPr>
              <w:t>build-obs/results/obs_board_2026-10-03.txt</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60696ace63fed2c77ad4d3f1f511d06dd85801c9b5a9dac1d4078454192bfa5f</w:t>
            </w:r>
            <w:r>
              <w:rPr>
                <w:rFonts w:eastAsia="Cambria" w:cs=""/>
                <w:kern w:val="0"/>
                <w:sz w:val="24"/>
                <w:szCs w:val="24"/>
                <w:lang w:val="en-US" w:eastAsia="en-US" w:bidi="ar-SA"/>
              </w:rPr>
              <w:t>, WNS +3.925 ns, 73,809 LUTs; the observer instrument changed 2026-09-27, commit 78cddb5e2 — lite taps, no perf/debug cone, caps0 bit4/bit5 read 0)</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reports on disk</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68,139 LUTs (33.4%), 24 BRAM tiles in </w:t>
            </w:r>
            <w:r>
              <w:rPr>
                <w:rStyle w:val="VerbatimChar"/>
                <w:rFonts w:eastAsia="Cambria" w:cs=""/>
                <w:kern w:val="0"/>
                <w:szCs w:val="24"/>
                <w:lang w:val="en-US" w:eastAsia="en-US" w:bidi="ar-SA"/>
              </w:rPr>
              <w:t>build-perf/fpga/reports</w:t>
            </w:r>
            <w:r>
              <w:rPr>
                <w:rFonts w:eastAsia="Cambria" w:cs=""/>
                <w:kern w:val="0"/>
                <w:sz w:val="24"/>
                <w:szCs w:val="24"/>
                <w:lang w:val="en-US" w:eastAsia="en-US" w:bidi="ar-SA"/>
              </w:rPr>
              <w:t xml:space="preserve">; the sweeps behind </w:t>
            </w:r>
            <w:r>
              <w:rPr>
                <w:rStyle w:val="VerbatimChar"/>
                <w:rFonts w:eastAsia="Cambria" w:cs=""/>
                <w:kern w:val="0"/>
                <w:szCs w:val="24"/>
                <w:lang w:val="en-US" w:eastAsia="en-US" w:bidi="ar-SA"/>
              </w:rPr>
              <w:t>reports/perf</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reports/ext_addressing</w:t>
            </w:r>
            <w:r>
              <w:rPr>
                <w:rFonts w:eastAsia="Cambria" w:cs=""/>
                <w:kern w:val="0"/>
                <w:sz w:val="24"/>
                <w:szCs w:val="24"/>
                <w:lang w:val="en-US" w:eastAsia="en-US" w:bidi="ar-SA"/>
              </w:rPr>
              <w:t xml:space="preserve"> (2026-10-03 re-measurement: </w:t>
            </w:r>
            <w:r>
              <w:rPr>
                <w:rStyle w:val="VerbatimChar"/>
                <w:rFonts w:eastAsia="Cambria" w:cs=""/>
                <w:kern w:val="0"/>
                <w:szCs w:val="24"/>
                <w:lang w:val="en-US" w:eastAsia="en-US" w:bidi="ar-SA"/>
              </w:rPr>
              <w:t>build-perf/results/perf_sweep_2026-10-03.{csv,json}</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d26f9b7b3ac534a1507ab5a519e728d541b1045cf67000329fbedf77e3b9512c</w:t>
            </w:r>
            <w:r>
              <w:rPr>
                <w:rFonts w:eastAsia="Cambria" w:cs=""/>
                <w:kern w:val="0"/>
                <w:sz w:val="24"/>
                <w:szCs w:val="24"/>
                <w:lang w:val="en-US" w:eastAsia="en-US" w:bidi="ar-SA"/>
              </w:rPr>
              <w:t>, WNS +1.175 ns, 64,305 LUTs)</w:t>
            </w:r>
          </w:p>
        </w:tc>
      </w:tr>
    </w:tbl>
    <w:p>
      <w:pPr>
        <w:pStyle w:val="BodyText"/>
        <w:rPr/>
      </w:pPr>
      <w:r>
        <w:rPr>
          <w:sz w:val="20"/>
        </w:rPr>
        <w:t xml:space="preserve">The </w:t>
      </w:r>
      <w:r>
        <w:rPr>
          <w:rStyle w:val="VerbatimChar"/>
          <w:sz w:val="20"/>
        </w:rPr>
        <w:t>stable/</w:t>
      </w:r>
      <w:r>
        <w:rPr>
          <w:sz w:val="20"/>
        </w:rPr>
        <w:t xml:space="preserve"> directories hold exactly one build each, with the bitstream, the Vivado reports for that bitstream, the board results measured on it and a manifest naming the tree SHA it was built from. They exist because </w:t>
      </w:r>
      <w:r>
        <w:rPr>
          <w:rStyle w:val="VerbatimChar"/>
          <w:sz w:val="20"/>
        </w:rPr>
        <w:t>make clean-all</w:t>
      </w:r>
      <w:r>
        <w:rPr>
          <w:sz w:val="20"/>
        </w:rPr>
        <w:t xml:space="preserve"> in a build directory deletes tracked bitstreams and reports, and that has destroyed a verified bitstream more than once; </w:t>
      </w:r>
      <w:r>
        <w:rPr>
          <w:rStyle w:val="VerbatimChar"/>
          <w:sz w:val="20"/>
        </w:rPr>
        <w:t>stable/</w:t>
      </w:r>
      <w:r>
        <w:rPr>
          <w:sz w:val="20"/>
        </w:rPr>
        <w:t xml:space="preserve"> is a sibling of the build directories, outside that blast radius.</w:t>
      </w:r>
      <w:bookmarkEnd w:id="67"/>
    </w:p>
    <w:p>
      <w:pPr>
        <w:pStyle w:val="Heading2"/>
        <w:pBdr>
          <w:bottom w:val="single" w:sz="12" w:space="0" w:color="228B22"/>
        </w:pBdr>
        <w:spacing w:before="280" w:after="80"/>
        <w:rPr/>
      </w:pPr>
      <w:bookmarkStart w:id="69" w:name="__RefHeading___Toc4257_4061534799"/>
      <w:bookmarkStart w:id="70" w:name="the-knobs-behind-the-rows"/>
      <w:bookmarkEnd w:id="69"/>
      <w:r>
        <w:rPr>
          <w:rStyle w:val="SectionNumber"/>
          <w:b/>
          <w:color w:val="228B22"/>
          <w:sz w:val="28"/>
        </w:rPr>
        <w:t>5.4</w:t>
      </w:r>
      <w:r>
        <w:rPr>
          <w:b/>
          <w:color w:val="228B22"/>
          <w:sz w:val="28"/>
        </w:rPr>
        <w:tab/>
        <w:t>The knobs behind the rows</w:t>
      </w:r>
    </w:p>
    <w:p>
      <w:pPr>
        <w:pStyle w:val="TableCaption"/>
        <w:rPr/>
      </w:pPr>
      <w:bookmarkStart w:id="71" w:name="_Tab_11_Table_3_3__The_knobs"/>
      <w:r>
        <w:rPr/>
        <w:t>Table 3.3: The knobs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183"/>
        <w:gridCol w:w="5305"/>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STREAM_NUM_CHANNELS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8 for mon and perf, 4 for obs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rd/wr/descriptor monitors, their CAMs, and the compression pipeline (gated on this flavour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OBS_ENABLE_MON_TAPS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harness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the observers’ MonBus event taps; the observers’ meters and histograms count without them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MON_CONES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monitor cones are built; the sign-off is the union including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MON_N_PROFILE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CLKOUT0_DIVIDE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parameter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80 or 60 MHz harness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stream_env</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build’s </w:t>
            </w:r>
            <w:r>
              <w:rPr>
                <w:rStyle w:val="VerbatimChar"/>
                <w:rFonts w:eastAsia="Cambria" w:cs=""/>
                <w:kern w:val="0"/>
                <w:szCs w:val="24"/>
                <w:lang w:val="en-US" w:eastAsia="en-US" w:bidi="ar-SA"/>
              </w:rPr>
              <w:t>host/</w:t>
            </w:r>
            <w:r>
              <w:rPr>
                <w:rFonts w:eastAsia="Cambria" w:cs=""/>
                <w:kern w:val="0"/>
                <w:sz w:val="24"/>
                <w:szCs w:val="24"/>
                <w:lang w:val="en-US" w:eastAsia="en-US" w:bidi="ar-SA"/>
              </w:rPr>
              <w:t xml:space="preserve"> layer goes on the Python path (default </w:t>
            </w:r>
            <w:r>
              <w:rPr>
                <w:rStyle w:val="VerbatimChar"/>
                <w:rFonts w:eastAsia="Cambria" w:cs=""/>
                <w:kern w:val="0"/>
                <w:szCs w:val="24"/>
                <w:lang w:val="en-US" w:eastAsia="en-US" w:bidi="ar-SA"/>
              </w:rPr>
              <w:t>mon</w:t>
            </w:r>
            <w:r>
              <w:rPr>
                <w:rFonts w:eastAsia="Cambria" w:cs=""/>
                <w:kern w:val="0"/>
                <w:sz w:val="24"/>
                <w:szCs w:val="24"/>
                <w:lang w:val="en-US" w:eastAsia="en-US" w:bidi="ar-SA"/>
              </w:rPr>
              <w:t>; perf sets it explicitly so a perf program cannot import mon’s copy of a sibling)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one-rtl-three-builds"/>
      <w:bookmarkStart w:id="73" w:name="the-knobs-behind-the-row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4259_4061534799"/>
      <w:bookmarkStart w:id="75" w:name="host-tools-and-flow"/>
      <w:bookmarkEnd w:id="74"/>
      <w:r>
        <w:rPr>
          <w:rStyle w:val="SectionNumber"/>
          <w:b/>
          <w:color w:val="FFFFFF"/>
          <w:sz w:val="32"/>
        </w:rPr>
        <w:t>6</w:t>
      </w:r>
      <w:r>
        <w:rPr>
          <w:b/>
          <w:color w:val="FFFFFF"/>
          <w:sz w:val="32"/>
        </w:rPr>
        <w:tab/>
        <w:t>Host Tools and Flow</w:t>
      </w:r>
    </w:p>
    <w:p>
      <w:pPr>
        <w:pStyle w:val="Heading2"/>
        <w:pBdr>
          <w:bottom w:val="single" w:sz="12" w:space="0" w:color="228B22"/>
        </w:pBdr>
        <w:spacing w:before="280" w:after="80"/>
        <w:rPr/>
      </w:pPr>
      <w:bookmarkStart w:id="76" w:name="__RefHeading___Toc4261_4061534799"/>
      <w:bookmarkEnd w:id="76"/>
      <w:r>
        <w:rPr>
          <w:rStyle w:val="SectionNumber"/>
          <w:b/>
          <w:color w:val="228B22"/>
          <w:sz w:val="28"/>
        </w:rPr>
        <w:t>6.1</w:t>
      </w:r>
      <w:r>
        <w:rPr>
          <w:b/>
          <w:color w:val="228B22"/>
          <w:sz w:val="28"/>
        </w:rPr>
        <w:tab/>
        <w:t>The shared flow</w:t>
      </w:r>
    </w:p>
    <w:p>
      <w:pPr>
        <w:pStyle w:val="FirstParagraph"/>
        <w:rPr/>
      </w:pPr>
      <w:r>
        <w:rPr>
          <w:sz w:val="20"/>
        </w:rPr>
        <w:t xml:space="preserve">The area Makefile is a dispatcher: </w:t>
      </w:r>
      <w:r>
        <w:rPr>
          <w:rStyle w:val="VerbatimChar"/>
          <w:sz w:val="20"/>
        </w:rPr>
        <w:t>make bitstream BUILD=obs</w:t>
      </w:r>
      <w:r>
        <w:rPr>
          <w:sz w:val="20"/>
        </w:rPr>
        <w:t xml:space="preserve"> runs the target in </w:t>
      </w:r>
      <w:r>
        <w:rPr>
          <w:rStyle w:val="VerbatimChar"/>
          <w:sz w:val="20"/>
        </w:rPr>
        <w:t>build-obs/</w:t>
      </w:r>
      <w:r>
        <w:rPr>
          <w:sz w:val="20"/>
        </w:rPr>
        <w:t xml:space="preserve">, whose Makefile is variables plus an include of </w:t>
      </w:r>
      <w:r>
        <w:rPr>
          <w:rStyle w:val="VerbatimChar"/>
          <w:sz w:val="20"/>
        </w:rPr>
        <w:t>make/fpga_flow.mk</w:t>
      </w:r>
      <w:r>
        <w:rPr>
          <w:sz w:val="20"/>
        </w:rPr>
        <w:t>. The flow’s targets are therefore identical across the three builds and across the other Genesys 2 and Nexys A7 systems that use it.</w:t>
      </w:r>
    </w:p>
    <w:p>
      <w:pPr>
        <w:pStyle w:val="TableCaption"/>
        <w:rPr/>
      </w:pPr>
      <w:bookmarkStart w:id="77" w:name="_Tab_12_Table_4_1__Flow_targ"/>
      <w:r>
        <w:rPr/>
        <w:t xml:space="preserve">Table 4.1: Flow targets (from </w:t>
      </w:r>
      <w:r>
        <w:rPr>
          <w:rStyle w:val="VerbatimChar"/>
        </w:rPr>
        <w:t>make/fpga_flow.mk</w:t>
      </w:r>
      <w:r>
        <w:rPr/>
        <w:t>)</w:t>
      </w:r>
      <w:bookmarkEnd w:id="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flat-filelist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lint-decl-order</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lint of the whole harness against the expanded filelist, before any Vivado run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prebuild</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build’s PREBUILD step: here, regenerate the bridges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the Vivado project; synthesis only with utilization and failing-path reports; the full flow with every report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bitstream-ila</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design plus an ILA on the marked debug nets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build’s harness cosim (cocotb, Verilator)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naming the file, falling back to the hold copy after a clean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 SEQUENCES="..."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seq-list</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the programmed board through the area’s sequences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copy the bitstream to </w:t>
            </w:r>
            <w:r>
              <w:rPr>
                <w:rStyle w:val="VerbatimChar"/>
                <w:rFonts w:eastAsia="Cambria" w:cs=""/>
                <w:kern w:val="0"/>
                <w:szCs w:val="24"/>
                <w:lang w:val="en-US" w:eastAsia="en-US" w:bidi="ar-SA"/>
              </w:rPr>
              <w:t>RDS_HOLD_DIR</w:t>
            </w:r>
            <w:r>
              <w:rPr>
                <w:rFonts w:eastAsia="Cambria" w:cs=""/>
                <w:kern w:val="0"/>
                <w:sz w:val="24"/>
                <w:szCs w:val="24"/>
                <w:lang w:val="en-US" w:eastAsia="en-US" w:bidi="ar-SA"/>
              </w:rPr>
              <w:t xml:space="preserve"> outside the repo and the reports to </w:t>
            </w:r>
            <w:r>
              <w:rPr>
                <w:rStyle w:val="VerbatimChar"/>
                <w:rFonts w:eastAsia="Cambria" w:cs=""/>
                <w:kern w:val="0"/>
                <w:szCs w:val="24"/>
                <w:lang w:val="en-US" w:eastAsia="en-US" w:bidi="ar-SA"/>
              </w:rPr>
              <w:t>../stable/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Vivado artifacts, cosim trees, everything; </w:t>
            </w:r>
            <w:r>
              <w:rPr>
                <w:rStyle w:val="VerbatimChar"/>
                <w:rFonts w:eastAsia="Cambria" w:cs=""/>
                <w:kern w:val="0"/>
                <w:szCs w:val="24"/>
                <w:lang w:val="en-US" w:eastAsia="en-US" w:bidi="ar-SA"/>
              </w:rPr>
              <w:t>clean-all</w:t>
            </w:r>
            <w:r>
              <w:rPr>
                <w:rFonts w:eastAsia="Cambria" w:cs=""/>
                <w:kern w:val="0"/>
                <w:sz w:val="24"/>
                <w:szCs w:val="24"/>
                <w:lang w:val="en-US" w:eastAsia="en-US" w:bidi="ar-SA"/>
              </w:rPr>
              <w:t xml:space="preserve"> is what </w:t>
            </w:r>
            <w:r>
              <w:rPr>
                <w:rStyle w:val="VerbatimChar"/>
                <w:rFonts w:eastAsia="Cambria" w:cs=""/>
                <w:kern w:val="0"/>
                <w:szCs w:val="24"/>
                <w:lang w:val="en-US" w:eastAsia="en-US" w:bidi="ar-SA"/>
              </w:rPr>
              <w:t>stable/</w:t>
            </w:r>
            <w:r>
              <w:rPr>
                <w:rFonts w:eastAsia="Cambria" w:cs=""/>
                <w:kern w:val="0"/>
                <w:sz w:val="24"/>
                <w:szCs w:val="24"/>
                <w:lang w:val="en-US" w:eastAsia="en-US" w:bidi="ar-SA"/>
              </w:rPr>
              <w:t xml:space="preserve"> protects against</w:t>
            </w:r>
            <w:bookmarkStart w:id="78" w:name="the-shared-flow"/>
            <w:bookmarkEnd w:id="78"/>
          </w:p>
        </w:tc>
      </w:tr>
    </w:tbl>
    <w:p>
      <w:pPr>
        <w:pStyle w:val="Heading2"/>
        <w:pBdr>
          <w:bottom w:val="single" w:sz="12" w:space="0" w:color="228B22"/>
        </w:pBdr>
        <w:spacing w:before="280" w:after="80"/>
        <w:rPr/>
      </w:pPr>
      <w:bookmarkStart w:id="79" w:name="__RefHeading___Toc4263_4061534799"/>
      <w:bookmarkEnd w:id="79"/>
      <w:r>
        <w:rPr>
          <w:rStyle w:val="SectionNumber"/>
          <w:b/>
          <w:color w:val="228B22"/>
          <w:sz w:val="28"/>
        </w:rPr>
        <w:t>6.2</w:t>
      </w:r>
      <w:r>
        <w:rPr>
          <w:b/>
          <w:color w:val="228B22"/>
          <w:sz w:val="28"/>
        </w:rPr>
        <w:tab/>
        <w:t>The host layers</w:t>
      </w:r>
    </w:p>
    <w:p>
      <w:pPr>
        <w:pStyle w:val="FirstParagraph"/>
        <w:rPr/>
      </w:pPr>
      <w:r>
        <w:rPr>
          <w:sz w:val="20"/>
        </w:rPr>
        <w:t xml:space="preserve">Two levels of Python. The component </w:t>
      </w:r>
      <w:r>
        <w:rPr>
          <w:rStyle w:val="VerbatimChar"/>
          <w:sz w:val="20"/>
        </w:rPr>
        <w:t>bin/</w:t>
      </w:r>
      <w:r>
        <w:rPr>
          <w:sz w:val="20"/>
        </w:rPr>
        <w:t xml:space="preserve"> holds what every build uses: </w:t>
      </w:r>
      <w:r>
        <w:rPr>
          <w:rStyle w:val="VerbatimChar"/>
          <w:sz w:val="20"/>
        </w:rPr>
        <w:t>stream_device.py</w:t>
      </w:r>
      <w:r>
        <w:rPr>
          <w:sz w:val="20"/>
        </w:rPr>
        <w:t xml:space="preserve"> (the UART link and register access by name), </w:t>
      </w:r>
      <w:r>
        <w:rPr>
          <w:rStyle w:val="VerbatimChar"/>
          <w:sz w:val="20"/>
        </w:rPr>
        <w:t>harness_kick.py</w:t>
      </w:r>
      <w:r>
        <w:rPr>
          <w:sz w:val="20"/>
        </w:rPr>
        <w:t xml:space="preserve"> (staging the channel kicks), </w:t>
      </w:r>
      <w:r>
        <w:rPr>
          <w:rStyle w:val="VerbatimChar"/>
          <w:sz w:val="20"/>
        </w:rPr>
        <w:t>bus_meters.py</w:t>
      </w:r>
      <w:r>
        <w:rPr>
          <w:sz w:val="20"/>
        </w:rPr>
        <w:t xml:space="preserve"> (the meter packing, one definition shared with the cosim so both measure the same thing), </w:t>
      </w:r>
      <w:r>
        <w:rPr>
          <w:rStyle w:val="VerbatimChar"/>
          <w:sz w:val="20"/>
        </w:rPr>
        <w:t>tally.py</w:t>
      </w:r>
      <w:r>
        <w:rPr>
          <w:sz w:val="20"/>
        </w:rPr>
        <w:t xml:space="preserve"> and </w:t>
      </w:r>
      <w:r>
        <w:rPr>
          <w:rStyle w:val="VerbatimChar"/>
          <w:sz w:val="20"/>
        </w:rPr>
        <w:t>dump_monbus.py</w:t>
      </w:r>
      <w:r>
        <w:rPr>
          <w:sz w:val="20"/>
        </w:rPr>
        <w:t xml:space="preserve"> (reading the tallies and decoding a capture), </w:t>
      </w:r>
      <w:r>
        <w:rPr>
          <w:rStyle w:val="VerbatimChar"/>
          <w:sz w:val="20"/>
        </w:rPr>
        <w:t>characterization.py</w:t>
      </w:r>
      <w:r>
        <w:rPr>
          <w:sz w:val="20"/>
        </w:rPr>
        <w:t xml:space="preserve"> and </w:t>
      </w:r>
      <w:r>
        <w:rPr>
          <w:rStyle w:val="VerbatimChar"/>
          <w:sz w:val="20"/>
        </w:rPr>
        <w:t>stream_ext_suite.py</w:t>
      </w:r>
      <w:r>
        <w:rPr>
          <w:sz w:val="20"/>
        </w:rPr>
        <w:t xml:space="preserve"> (the campaign runners), </w:t>
      </w:r>
      <w:r>
        <w:rPr>
          <w:rStyle w:val="VerbatimChar"/>
          <w:sz w:val="20"/>
        </w:rPr>
        <w:t>stream_monitors.py</w:t>
      </w:r>
      <w:r>
        <w:rPr>
          <w:sz w:val="20"/>
        </w:rPr>
        <w:t xml:space="preserve"> (monitor and observer configuration), and the plotting scripts. Each build then has its own </w:t>
      </w:r>
      <w:r>
        <w:rPr>
          <w:rStyle w:val="VerbatimChar"/>
          <w:sz w:val="20"/>
        </w:rPr>
        <w:t>host/</w:t>
      </w:r>
      <w:r>
        <w:rPr>
          <w:sz w:val="20"/>
        </w:rPr>
        <w:t xml:space="preserve"> with the programs that only make sense on that bitstream:</w:t>
      </w:r>
    </w:p>
    <w:p>
      <w:pPr>
        <w:pStyle w:val="TableCaption"/>
        <w:rPr/>
      </w:pPr>
      <w:bookmarkStart w:id="80" w:name="_Tab_13_Table_4_2__Per_build"/>
      <w:r>
        <w:rPr/>
        <w:t>Table 4.2: Per-build host programs</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host_characterize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host_bus_meters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host_desc_perf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host_rw_perf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host_ext_char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host_ext_soak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host_probe_multichannel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host_verify_descriptors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host_perf_json_to_csv</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host_mon_coverage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host_mon_compress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host_mon_err_probe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host_mon_fault_probe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host_obs_campaign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host_obs_matrix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bl>
    <w:p>
      <w:pPr>
        <w:pStyle w:val="BodyText"/>
        <w:rPr/>
      </w:pPr>
      <w:r>
        <w:rPr>
          <w:rStyle w:val="VerbatimChar"/>
          <w:sz w:val="20"/>
        </w:rPr>
        <w:t>stream_env</w:t>
      </w:r>
      <w:r>
        <w:rPr>
          <w:sz w:val="20"/>
        </w:rPr>
        <w:t xml:space="preserve"> selects which build’s </w:t>
      </w:r>
      <w:r>
        <w:rPr>
          <w:rStyle w:val="VerbatimChar"/>
          <w:sz w:val="20"/>
        </w:rPr>
        <w:t>host/</w:t>
      </w:r>
      <w:r>
        <w:rPr>
          <w:sz w:val="20"/>
        </w:rPr>
        <w:t xml:space="preserve"> goes on the Python path. Its default is </w:t>
      </w:r>
      <w:r>
        <w:rPr>
          <w:rStyle w:val="VerbatimChar"/>
          <w:sz w:val="20"/>
        </w:rPr>
        <w:t>mon</w:t>
      </w:r>
      <w:r>
        <w:rPr>
          <w:sz w:val="20"/>
        </w:rPr>
        <w:t xml:space="preserve">; </w:t>
      </w:r>
      <w:r>
        <w:rPr>
          <w:rStyle w:val="VerbatimChar"/>
          <w:sz w:val="20"/>
        </w:rPr>
        <w:t>build-perf</w:t>
      </w:r>
      <w:r>
        <w:rPr>
          <w:sz w:val="20"/>
        </w:rPr>
        <w:t xml:space="preserve"> sets it explicitly because without that a perf program importing a sibling from its own directory would get mon’s copy, and it would appear to work, since Python also puts the running script’s own directory first.</w:t>
      </w:r>
    </w:p>
    <w:p>
      <w:pPr>
        <w:pStyle w:val="Heading3"/>
        <w:spacing w:before="200" w:after="80"/>
        <w:rPr/>
      </w:pPr>
      <w:bookmarkStart w:id="81" w:name="__RefHeading___Toc4265_4061534799"/>
      <w:bookmarkStart w:id="82" w:name="Xd69c0e83a63449e03c27ce5d7596f669cc080e3"/>
      <w:bookmarkStart w:id="83" w:name="_Fig_5_What_each_build_meas"/>
      <w:bookmarkEnd w:id="81"/>
      <w:r>
        <w:rPr>
          <w:rStyle w:val="SectionNumber"/>
          <w:b/>
          <w:color w:val="404040"/>
          <w:sz w:val="24"/>
        </w:rPr>
        <w:t>6.2.1</w:t>
      </w:r>
      <w:r>
        <w:rPr>
          <w:b/>
          <w:color w:val="404040"/>
          <w:sz w:val="24"/>
        </w:rPr>
        <w:tab/>
        <w:t>Figure 4.1: What each build measures, end to end</w:t>
      </w:r>
      <w:bookmarkEnd w:id="83"/>
    </w:p>
    <w:p>
      <w:pPr>
        <w:pStyle w:val="CaptionedFigure"/>
        <w:rPr/>
      </w:pPr>
      <w:r>
        <w:rPr/>
        <w:drawing>
          <wp:inline distT="0" distB="0" distL="0" distR="0">
            <wp:extent cx="5334000" cy="3133725"/>
            <wp:effectExtent l="0" t="0" r="0" b="0"/>
            <wp:docPr id="20" name="Image5" descr="The three measur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The three measurement paths"/>
                    <pic:cNvPicPr>
                      <a:picLocks noChangeAspect="1" noChangeArrowheads="1"/>
                    </pic:cNvPicPr>
                  </pic:nvPicPr>
                  <pic:blipFill>
                    <a:blip r:embed="rId12"/>
                    <a:stretch>
                      <a:fillRect/>
                    </a:stretch>
                  </pic:blipFill>
                  <pic:spPr bwMode="auto">
                    <a:xfrm>
                      <a:off x="0" y="0"/>
                      <a:ext cx="5334000" cy="3133725"/>
                    </a:xfrm>
                    <a:prstGeom prst="rect">
                      <a:avLst/>
                    </a:prstGeom>
                  </pic:spPr>
                </pic:pic>
              </a:graphicData>
            </a:graphic>
          </wp:inline>
        </w:drawing>
      </w:r>
    </w:p>
    <w:p>
      <w:pPr>
        <w:pStyle w:val="ImageCaption"/>
        <w:rPr/>
      </w:pPr>
      <w:r>
        <w:rPr/>
        <w:t>The three measurement paths</w:t>
      </w:r>
    </w:p>
    <w:p>
      <w:pPr>
        <w:pStyle w:val="BodyText"/>
        <w:rPr/>
      </w:pPr>
      <w:r>
        <w:rPr>
          <w:b/>
          <w:bCs/>
          <w:sz w:val="20"/>
        </w:rPr>
        <w:t>Source:</w:t>
      </w:r>
      <w:r>
        <w:rPr>
          <w:sz w:val="20"/>
        </w:rPr>
        <w:t xml:space="preserve"> </w:t>
      </w:r>
      <w:hyperlink r:id="rId13">
        <w:r>
          <w:rPr>
            <w:rStyle w:val="Hyperlink"/>
          </w:rPr>
          <w:t>04_measurement_path.dot</w:t>
        </w:r>
      </w:hyperlink>
      <w:bookmarkEnd w:id="82"/>
    </w:p>
    <w:p>
      <w:pPr>
        <w:pStyle w:val="Heading2"/>
        <w:pBdr>
          <w:bottom w:val="single" w:sz="12" w:space="0" w:color="228B22"/>
        </w:pBdr>
        <w:spacing w:before="280" w:after="80"/>
        <w:rPr/>
      </w:pPr>
      <w:bookmarkStart w:id="84" w:name="__RefHeading___Toc4267_4061534799"/>
      <w:bookmarkStart w:id="85" w:name="one-program-two-targets"/>
      <w:bookmarkEnd w:id="84"/>
      <w:r>
        <w:rPr>
          <w:rStyle w:val="SectionNumber"/>
          <w:b/>
          <w:color w:val="228B22"/>
          <w:sz w:val="28"/>
        </w:rPr>
        <w:t>6.3</w:t>
      </w:r>
      <w:r>
        <w:rPr>
          <w:b/>
          <w:color w:val="228B22"/>
          <w:sz w:val="28"/>
        </w:rPr>
        <w:tab/>
        <w:t>One program, two targets</w:t>
      </w:r>
    </w:p>
    <w:p>
      <w:pPr>
        <w:pStyle w:val="FirstParagraph"/>
        <w:rPr/>
      </w:pPr>
      <w:r>
        <w:rPr>
          <w:sz w:val="20"/>
        </w:rPr>
        <w:t xml:space="preserve">The same host program runs against the cosim and against the board. The cocotb harness testbench presents the UART bytestream to </w:t>
      </w:r>
      <w:r>
        <w:rPr>
          <w:rStyle w:val="VerbatimChar"/>
          <w:sz w:val="20"/>
        </w:rPr>
        <w:t>stream_harness</w:t>
      </w:r>
      <w:r>
        <w:rPr>
          <w:sz w:val="20"/>
        </w:rPr>
        <w:t xml:space="preserve"> exactly as the FT232R does, the harness carries the bridge and the CSRs, and the generics are the build’s. A monitor coverage result on the board is therefore compared with the same program’s result in cosim, and the sign-off manifest records both (512 packets in 516 slots on the board against 1.12 slots per packet in cosim, for the compression program). A host program that only works on one target is a defect in the harness or the program, not a difference in kind.</w:t>
      </w:r>
    </w:p>
    <w:p>
      <w:pPr>
        <w:pStyle w:val="BodyText"/>
        <w:rPr/>
      </w:pPr>
      <w:bookmarkStart w:id="86" w:name="one-program-two-targets"/>
      <w:r>
        <w:rPr>
          <w:sz w:val="20"/>
        </w:rPr>
        <w:t>The sign-off discipline before a build is the same on every flavour: the FULL-level sim suites of all three builds green on a verified-clean tree, recorded in the manifest with the tree SHA, so the bitstream is reproducible from the recorded source.</w:t>
      </w:r>
      <w:bookmarkEnd w:id="86"/>
    </w:p>
    <w:p>
      <w:pPr>
        <w:pStyle w:val="Heading2"/>
        <w:pBdr>
          <w:bottom w:val="single" w:sz="12" w:space="0" w:color="228B22"/>
        </w:pBdr>
        <w:spacing w:before="280" w:after="80"/>
        <w:rPr/>
      </w:pPr>
      <w:bookmarkStart w:id="87" w:name="__RefHeading___Toc4269_4061534799"/>
      <w:bookmarkStart w:id="88" w:name="where-the-results-go"/>
      <w:bookmarkEnd w:id="87"/>
      <w:r>
        <w:rPr>
          <w:rStyle w:val="SectionNumber"/>
          <w:b/>
          <w:color w:val="228B22"/>
          <w:sz w:val="28"/>
        </w:rPr>
        <w:t>6.4</w:t>
      </w:r>
      <w:r>
        <w:rPr>
          <w:b/>
          <w:color w:val="228B22"/>
          <w:sz w:val="28"/>
        </w:rPr>
        <w:tab/>
        <w:t>Where the results go</w:t>
      </w:r>
    </w:p>
    <w:p>
      <w:pPr>
        <w:pStyle w:val="TableCaption"/>
        <w:rPr/>
      </w:pPr>
      <w:bookmarkStart w:id="89" w:name="_Tab_14_Table_4_3__Reports"/>
      <w:r>
        <w:rPr/>
        <w:t>Table 4.3: Reports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build</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reports/perf</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utilization sweeps: channels, descriptors, sizes, latency (the CSV data under </w:t>
            </w:r>
            <w:r>
              <w:rPr>
                <w:rStyle w:val="VerbatimChar"/>
                <w:rFonts w:eastAsia="Cambria" w:cs=""/>
                <w:kern w:val="0"/>
                <w:szCs w:val="24"/>
                <w:lang w:val="en-US" w:eastAsia="en-US" w:bidi="ar-SA"/>
              </w:rPr>
              <w:t>docs/data/</w:t>
            </w:r>
            <w:r>
              <w:rPr>
                <w:rFonts w:eastAsia="Cambria" w:cs=""/>
                <w:kern w:val="0"/>
                <w:sz w:val="24"/>
                <w:szCs w:val="24"/>
                <w:lang w:val="en-US" w:eastAsia="en-US" w:bidi="ar-SA"/>
              </w:rPr>
              <w: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reports/compression</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compression on the board against the cosim</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reports/area</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monitors and the readback logic cost in LUTs per channel count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reports/ext_addressing</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extended row/column addressing campaign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sweeps measured on the sign-off bitstream</w:t>
            </w:r>
          </w:p>
        </w:tc>
      </w:tr>
    </w:tbl>
    <w:p>
      <w:pPr>
        <w:pStyle w:val="BodyText"/>
        <w:spacing w:before="180" w:after="180"/>
        <w:rPr/>
      </w:pPr>
      <w:bookmarkStart w:id="90" w:name="host-tools-and-flow"/>
      <w:bookmarkStart w:id="91" w:name="where-the-results-go"/>
      <w:r>
        <w:rPr>
          <w:sz w:val="20"/>
        </w:rPr>
        <w:t>Each report directory has its own README and, where a deliverable exists, the versioned DOCX and PDF built through the house pipeline.</w:t>
      </w:r>
      <w:bookmarkEnd w:id="90"/>
      <w:bookmarkEnd w:id="91"/>
    </w:p>
    <w:sectPr>
      <w:footerReference w:type="even" r:id="rId14"/>
      <w:footerReference w:type="default" r:id="rId15"/>
      <w:footerReference w:type="first" r:id="rId1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hyperlink" Target="02_address_map.md" TargetMode="External"/><Relationship Id="rId8" Type="http://schemas.openxmlformats.org/officeDocument/2006/relationships/image" Target="media/image4.png"/><Relationship Id="rId9" Type="http://schemas.openxmlformats.org/officeDocument/2006/relationships/hyperlink" Target="../assets/graphviz/05_address_map.dot" TargetMode="External"/><Relationship Id="rId10" Type="http://schemas.openxmlformats.org/officeDocument/2006/relationships/image" Target="media/image5.png"/><Relationship Id="rId11" Type="http://schemas.openxmlformats.org/officeDocument/2006/relationships/hyperlink" Target="../assets/graphviz/03_build_variants.dot" TargetMode="External"/><Relationship Id="rId12" Type="http://schemas.openxmlformats.org/officeDocument/2006/relationships/image" Target="media/image6.png"/><Relationship Id="rId13" Type="http://schemas.openxmlformats.org/officeDocument/2006/relationships/hyperlink" Target="../assets/graphviz/04_measurement_path.dot"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2026-10-15T14:39:09Z</dcterms:created>
  <dc:creator/>
  <dc:description/>
  <dc:language>en-US</dc:language>
  <cp:lastModifiedBy/>
  <dcterms:modified xsi:type="dcterms:W3CDTF">2026-10-15T07:39:12Z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