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ALU-INFER Micro-Architecture Specification 0.50</w:t>
      </w:r>
    </w:p>
    <w:p>
      <w:pPr>
        <w:pStyle w:val="Normal"/>
        <w:keepNext w:val="true"/>
        <w:spacing w:before="400" w:after="200"/>
        <w:jc w:val="center"/>
        <w:rPr/>
      </w:pPr>
      <w:r>
        <w:rPr>
          <w:rFonts w:ascii="Calibri" w:hAnsi="Calibri"/>
          <w:b/>
          <w:color w:val="000000"/>
          <w:sz w:val="20"/>
        </w:rPr>
        <w:t>October 18,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2103_211582255">
            <w:r>
              <w:rPr>
                <w:webHidden/>
                <w:rStyle w:val="IndexLink"/>
              </w:rPr>
              <w:t>1 Alu Infer Mas Index</w:t>
              <w:tab/>
              <w:t>12</w:t>
            </w:r>
          </w:hyperlink>
        </w:p>
        <w:p>
          <w:pPr>
            <w:pStyle w:val="TOC1"/>
            <w:tabs>
              <w:tab w:val="clear" w:pos="9360"/>
              <w:tab w:val="right" w:pos="9359" w:leader="dot"/>
            </w:tabs>
            <w:rPr/>
          </w:pPr>
          <w:hyperlink w:anchor="__RefHeading___Toc12105_211582255">
            <w:r>
              <w:rPr>
                <w:webHidden/>
                <w:rStyle w:val="IndexLink"/>
              </w:rPr>
              <w:t>2 ALU-INFER — Cell Inference ALU Product Requirements Document</w:t>
              <w:tab/>
              <w:t>13</w:t>
            </w:r>
          </w:hyperlink>
        </w:p>
        <w:p>
          <w:pPr>
            <w:pStyle w:val="TOC2"/>
            <w:tabs>
              <w:tab w:val="clear" w:pos="9077"/>
              <w:tab w:val="right" w:pos="9359" w:leader="dot"/>
            </w:tabs>
            <w:rPr/>
          </w:pPr>
          <w:hyperlink w:anchor="__RefHeading___Toc12107_211582255">
            <w:r>
              <w:rPr>
                <w:webHidden/>
                <w:rStyle w:val="IndexLink"/>
              </w:rPr>
              <w:t>2.1 1. Identity and scope</w:t>
              <w:tab/>
              <w:t>14</w:t>
            </w:r>
          </w:hyperlink>
        </w:p>
        <w:p>
          <w:pPr>
            <w:pStyle w:val="TOC2"/>
            <w:tabs>
              <w:tab w:val="clear" w:pos="9077"/>
              <w:tab w:val="right" w:pos="9359" w:leader="dot"/>
            </w:tabs>
            <w:rPr/>
          </w:pPr>
          <w:hyperlink w:anchor="__RefHeading___Toc12109_211582255">
            <w:r>
              <w:rPr>
                <w:webHidden/>
                <w:rStyle w:val="IndexLink"/>
              </w:rPr>
              <w:t>2.2 2. Element model</w:t>
              <w:tab/>
              <w:t>15</w:t>
            </w:r>
          </w:hyperlink>
        </w:p>
        <w:p>
          <w:pPr>
            <w:pStyle w:val="TOC2"/>
            <w:tabs>
              <w:tab w:val="clear" w:pos="9077"/>
              <w:tab w:val="right" w:pos="9359" w:leader="dot"/>
            </w:tabs>
            <w:rPr/>
          </w:pPr>
          <w:hyperlink w:anchor="__RefHeading___Toc12111_211582255">
            <w:r>
              <w:rPr>
                <w:webHidden/>
                <w:rStyle w:val="IndexLink"/>
              </w:rPr>
              <w:t>2.3 3. Function set (v1)</w:t>
              <w:tab/>
              <w:t>16</w:t>
            </w:r>
          </w:hyperlink>
        </w:p>
        <w:p>
          <w:pPr>
            <w:pStyle w:val="TOC3"/>
            <w:tabs>
              <w:tab w:val="clear" w:pos="8793"/>
              <w:tab w:val="right" w:pos="9359" w:leader="dot"/>
            </w:tabs>
            <w:rPr/>
          </w:pPr>
          <w:hyperlink w:anchor="__RefHeading___Toc12113_211582255">
            <w:r>
              <w:rPr>
                <w:webHidden/>
                <w:rStyle w:val="IndexLink"/>
              </w:rPr>
              <w:t>2.3.1 Function-set roadmap (owner ruling 2026-10-19)</w:t>
              <w:tab/>
              <w:t>17</w:t>
            </w:r>
          </w:hyperlink>
        </w:p>
        <w:p>
          <w:pPr>
            <w:pStyle w:val="TOC2"/>
            <w:tabs>
              <w:tab w:val="clear" w:pos="9077"/>
              <w:tab w:val="right" w:pos="9359" w:leader="dot"/>
            </w:tabs>
            <w:rPr/>
          </w:pPr>
          <w:hyperlink w:anchor="__RefHeading___Toc12115_211582255">
            <w:r>
              <w:rPr>
                <w:webHidden/>
                <w:rStyle w:val="IndexLink"/>
              </w:rPr>
              <w:t>2.4 4. Interface contract</w:t>
              <w:tab/>
              <w:t>19</w:t>
            </w:r>
          </w:hyperlink>
        </w:p>
        <w:p>
          <w:pPr>
            <w:pStyle w:val="TOC2"/>
            <w:tabs>
              <w:tab w:val="clear" w:pos="9077"/>
              <w:tab w:val="right" w:pos="9359" w:leader="dot"/>
            </w:tabs>
            <w:rPr/>
          </w:pPr>
          <w:hyperlink w:anchor="__RefHeading___Toc12117_211582255">
            <w:r>
              <w:rPr>
                <w:webHidden/>
                <w:rStyle w:val="IndexLink"/>
              </w:rPr>
              <w:t>2.5 5. Control interface — gatling issues the ALU; in-band everything</w:t>
              <w:tab/>
              <w:t>23</w:t>
            </w:r>
          </w:hyperlink>
        </w:p>
        <w:p>
          <w:pPr>
            <w:pStyle w:val="TOC2"/>
            <w:tabs>
              <w:tab w:val="clear" w:pos="9077"/>
              <w:tab w:val="right" w:pos="9359" w:leader="dot"/>
            </w:tabs>
            <w:rPr/>
          </w:pPr>
          <w:hyperlink w:anchor="__RefHeading___Toc12119_211582255">
            <w:r>
              <w:rPr>
                <w:webHidden/>
                <w:rStyle w:val="IndexLink"/>
              </w:rPr>
              <w:t>2.6 6. Verification hooks</w:t>
              <w:tab/>
              <w:t>24</w:t>
            </w:r>
          </w:hyperlink>
        </w:p>
        <w:p>
          <w:pPr>
            <w:pStyle w:val="TOC2"/>
            <w:tabs>
              <w:tab w:val="clear" w:pos="9077"/>
              <w:tab w:val="right" w:pos="9359" w:leader="dot"/>
            </w:tabs>
            <w:rPr/>
          </w:pPr>
          <w:hyperlink w:anchor="__RefHeading___Toc12121_211582255">
            <w:r>
              <w:rPr>
                <w:webHidden/>
                <w:rStyle w:val="IndexLink"/>
              </w:rPr>
              <w:t>2.7 7. Deferred and growth</w:t>
              <w:tab/>
              <w:t>25</w:t>
            </w:r>
          </w:hyperlink>
        </w:p>
        <w:p>
          <w:pPr>
            <w:pStyle w:val="TOC2"/>
            <w:tabs>
              <w:tab w:val="clear" w:pos="9077"/>
              <w:tab w:val="right" w:pos="9359" w:leader="dot"/>
            </w:tabs>
            <w:rPr/>
          </w:pPr>
          <w:hyperlink w:anchor="__RefHeading___Toc12123_211582255">
            <w:r>
              <w:rPr>
                <w:webHidden/>
                <w:rStyle w:val="IndexLink"/>
              </w:rPr>
              <w:t>2.8 8. Open questions</w:t>
              <w:tab/>
              <w:t>26</w:t>
            </w:r>
          </w:hyperlink>
        </w:p>
        <w:p>
          <w:pPr>
            <w:pStyle w:val="TOC2"/>
            <w:tabs>
              <w:tab w:val="clear" w:pos="9077"/>
              <w:tab w:val="right" w:pos="9359" w:leader="dot"/>
            </w:tabs>
            <w:rPr/>
          </w:pPr>
          <w:hyperlink w:anchor="__RefHeading___Toc12125_211582255">
            <w:r>
              <w:rPr>
                <w:webHidden/>
                <w:rStyle w:val="IndexLink"/>
              </w:rPr>
              <w:t>2.9 9. Dependencies</w:t>
              <w:tab/>
              <w:t>27</w:t>
            </w:r>
          </w:hyperlink>
        </w:p>
        <w:p>
          <w:pPr>
            <w:pStyle w:val="TOC2"/>
            <w:tabs>
              <w:tab w:val="clear" w:pos="9077"/>
              <w:tab w:val="right" w:pos="9359" w:leader="dot"/>
            </w:tabs>
            <w:rPr/>
          </w:pPr>
          <w:hyperlink w:anchor="__RefHeading___Toc12127_211582255">
            <w:r>
              <w:rPr>
                <w:webHidden/>
                <w:rStyle w:val="IndexLink"/>
              </w:rPr>
              <w:t>2.10 10. References</w:t>
              <w:tab/>
              <w:t>28</w:t>
            </w:r>
          </w:hyperlink>
        </w:p>
        <w:p>
          <w:pPr>
            <w:pStyle w:val="TOC1"/>
            <w:tabs>
              <w:tab w:val="clear" w:pos="9360"/>
              <w:tab w:val="right" w:pos="9359" w:leader="dot"/>
            </w:tabs>
            <w:rPr/>
          </w:pPr>
          <w:hyperlink w:anchor="__RefHeading___Toc12129_211582255">
            <w:r>
              <w:rPr>
                <w:webHidden/>
                <w:rStyle w:val="IndexLink"/>
              </w:rPr>
              <w:t>3 GATLING PRD — Tetrad Compute Engine</w:t>
              <w:tab/>
              <w:t>29</w:t>
            </w:r>
          </w:hyperlink>
        </w:p>
        <w:p>
          <w:pPr>
            <w:pStyle w:val="TOC2"/>
            <w:tabs>
              <w:tab w:val="clear" w:pos="9077"/>
              <w:tab w:val="right" w:pos="9359" w:leader="dot"/>
            </w:tabs>
            <w:rPr/>
          </w:pPr>
          <w:hyperlink w:anchor="__RefHeading___Toc12131_211582255">
            <w:r>
              <w:rPr>
                <w:webHidden/>
                <w:rStyle w:val="IndexLink"/>
              </w:rPr>
              <w:t>3.1 1. Purpose</w:t>
              <w:tab/>
              <w:t>30</w:t>
            </w:r>
          </w:hyperlink>
        </w:p>
        <w:p>
          <w:pPr>
            <w:pStyle w:val="TOC2"/>
            <w:tabs>
              <w:tab w:val="clear" w:pos="9077"/>
              <w:tab w:val="right" w:pos="9359" w:leader="dot"/>
            </w:tabs>
            <w:rPr/>
          </w:pPr>
          <w:hyperlink w:anchor="__RefHeading___Toc12133_211582255">
            <w:r>
              <w:rPr>
                <w:webHidden/>
                <w:rStyle w:val="IndexLink"/>
              </w:rPr>
              <w:t>3.2 2. Non-goals</w:t>
              <w:tab/>
              <w:t>31</w:t>
            </w:r>
          </w:hyperlink>
        </w:p>
        <w:p>
          <w:pPr>
            <w:pStyle w:val="TOC2"/>
            <w:tabs>
              <w:tab w:val="clear" w:pos="9077"/>
              <w:tab w:val="right" w:pos="9359" w:leader="dot"/>
            </w:tabs>
            <w:rPr/>
          </w:pPr>
          <w:hyperlink w:anchor="__RefHeading___Toc12135_211582255">
            <w:r>
              <w:rPr>
                <w:webHidden/>
                <w:rStyle w:val="IndexLink"/>
              </w:rPr>
              <w:t>3.3 3. ISA — RV32I + Xcell</w:t>
              <w:tab/>
              <w:t>32</w:t>
            </w:r>
          </w:hyperlink>
        </w:p>
        <w:p>
          <w:pPr>
            <w:pStyle w:val="TOC3"/>
            <w:tabs>
              <w:tab w:val="clear" w:pos="8793"/>
              <w:tab w:val="right" w:pos="9359" w:leader="dot"/>
            </w:tabs>
            <w:rPr/>
          </w:pPr>
          <w:hyperlink w:anchor="__RefHeading___Toc12137_211582255">
            <w:r>
              <w:rPr>
                <w:webHidden/>
                <w:rStyle w:val="IndexLink"/>
              </w:rPr>
              <w:t>3.3.1 3.1 Xcell encoding (custom-0, opcode 0x0B)</w:t>
              <w:tab/>
              <w:t>32</w:t>
            </w:r>
          </w:hyperlink>
        </w:p>
        <w:p>
          <w:pPr>
            <w:pStyle w:val="TOC3"/>
            <w:tabs>
              <w:tab w:val="clear" w:pos="8793"/>
              <w:tab w:val="right" w:pos="9359" w:leader="dot"/>
            </w:tabs>
            <w:rPr/>
          </w:pPr>
          <w:hyperlink w:anchor="__RefHeading___Toc12139_211582255">
            <w:r>
              <w:rPr>
                <w:webHidden/>
                <w:rStyle w:val="IndexLink"/>
              </w:rPr>
              <w:t>3.3.2 3.2 Assembly mnemonics</w:t>
              <w:tab/>
              <w:t>34</w:t>
            </w:r>
          </w:hyperlink>
        </w:p>
        <w:p>
          <w:pPr>
            <w:pStyle w:val="TOC2"/>
            <w:tabs>
              <w:tab w:val="clear" w:pos="9077"/>
              <w:tab w:val="right" w:pos="9359" w:leader="dot"/>
            </w:tabs>
            <w:rPr/>
          </w:pPr>
          <w:hyperlink w:anchor="__RefHeading___Toc12141_211582255">
            <w:r>
              <w:rPr>
                <w:webHidden/>
                <w:rStyle w:val="IndexLink"/>
              </w:rPr>
              <w:t>3.4 4. Barrel microarchitecture</w:t>
              <w:tab/>
              <w:t>35</w:t>
            </w:r>
          </w:hyperlink>
        </w:p>
        <w:p>
          <w:pPr>
            <w:pStyle w:val="TOC3"/>
            <w:tabs>
              <w:tab w:val="clear" w:pos="8793"/>
              <w:tab w:val="right" w:pos="9359" w:leader="dot"/>
            </w:tabs>
            <w:rPr/>
          </w:pPr>
          <w:hyperlink w:anchor="__RefHeading___Toc12143_211582255">
            <w:r>
              <w:rPr>
                <w:webHidden/>
                <w:rStyle w:val="IndexLink"/>
              </w:rPr>
              <w:t>3.4.1 4.1 The model</w:t>
              <w:tab/>
              <w:t>35</w:t>
            </w:r>
          </w:hyperlink>
        </w:p>
        <w:p>
          <w:pPr>
            <w:pStyle w:val="TOC3"/>
            <w:tabs>
              <w:tab w:val="clear" w:pos="8793"/>
              <w:tab w:val="right" w:pos="9359" w:leader="dot"/>
            </w:tabs>
            <w:rPr/>
          </w:pPr>
          <w:hyperlink w:anchor="__RefHeading___Toc12145_211582255">
            <w:r>
              <w:rPr>
                <w:webHidden/>
                <w:rStyle w:val="IndexLink"/>
              </w:rPr>
              <w:t>3.4.2 4.2 Structural hazards (all resolved by rotation, by construction)</w:t>
              <w:tab/>
              <w:t>35</w:t>
            </w:r>
          </w:hyperlink>
        </w:p>
        <w:p>
          <w:pPr>
            <w:pStyle w:val="TOC3"/>
            <w:tabs>
              <w:tab w:val="clear" w:pos="8793"/>
              <w:tab w:val="right" w:pos="9359" w:leader="dot"/>
            </w:tabs>
            <w:rPr/>
          </w:pPr>
          <w:hyperlink w:anchor="__RefHeading___Toc12147_211582255">
            <w:r>
              <w:rPr>
                <w:webHidden/>
                <w:rStyle w:val="IndexLink"/>
              </w:rPr>
              <w:t>3.4.3 4.3 Branch behavior</w:t>
              <w:tab/>
              <w:t>35</w:t>
            </w:r>
          </w:hyperlink>
        </w:p>
        <w:p>
          <w:pPr>
            <w:pStyle w:val="TOC3"/>
            <w:tabs>
              <w:tab w:val="clear" w:pos="8793"/>
              <w:tab w:val="right" w:pos="9359" w:leader="dot"/>
            </w:tabs>
            <w:rPr/>
          </w:pPr>
          <w:hyperlink w:anchor="__RefHeading___Toc12149_211582255">
            <w:r>
              <w:rPr>
                <w:webHidden/>
                <w:rStyle w:val="IndexLink"/>
              </w:rPr>
              <w:t>3.4.4 4.4 Halt/trap</w:t>
              <w:tab/>
              <w:t>35</w:t>
            </w:r>
          </w:hyperlink>
        </w:p>
        <w:p>
          <w:pPr>
            <w:pStyle w:val="TOC2"/>
            <w:tabs>
              <w:tab w:val="clear" w:pos="9077"/>
              <w:tab w:val="right" w:pos="9359" w:leader="dot"/>
            </w:tabs>
            <w:rPr/>
          </w:pPr>
          <w:hyperlink w:anchor="__RefHeading___Toc12151_211582255">
            <w:r>
              <w:rPr>
                <w:webHidden/>
                <w:rStyle w:val="IndexLink"/>
              </w:rPr>
              <w:t>3.5 5. Contract fit (cell PRD 0.1, unchanged interfaces)</w:t>
              <w:tab/>
              <w:t>36</w:t>
            </w:r>
          </w:hyperlink>
        </w:p>
        <w:p>
          <w:pPr>
            <w:pStyle w:val="TOC2"/>
            <w:tabs>
              <w:tab w:val="clear" w:pos="9077"/>
              <w:tab w:val="right" w:pos="9359" w:leader="dot"/>
            </w:tabs>
            <w:rPr/>
          </w:pPr>
          <w:hyperlink w:anchor="__RefHeading___Toc12153_211582255">
            <w:r>
              <w:rPr>
                <w:webHidden/>
                <w:rStyle w:val="IndexLink"/>
              </w:rPr>
              <w:t>3.6 6. Verification</w:t>
              <w:tab/>
              <w:t>37</w:t>
            </w:r>
          </w:hyperlink>
        </w:p>
        <w:p>
          <w:pPr>
            <w:pStyle w:val="TOC2"/>
            <w:tabs>
              <w:tab w:val="clear" w:pos="9077"/>
              <w:tab w:val="right" w:pos="9359" w:leader="dot"/>
            </w:tabs>
            <w:rPr/>
          </w:pPr>
          <w:hyperlink w:anchor="__RefHeading___Toc12155_211582255">
            <w:r>
              <w:rPr>
                <w:webHidden/>
                <w:rStyle w:val="IndexLink"/>
              </w:rPr>
              <w:t>3.7 7. Open items (owner decisions needed)</w:t>
              <w:tab/>
              <w:t>38</w:t>
            </w:r>
          </w:hyperlink>
        </w:p>
        <w:p>
          <w:pPr>
            <w:pStyle w:val="TOC2"/>
            <w:tabs>
              <w:tab w:val="clear" w:pos="9077"/>
              <w:tab w:val="right" w:pos="9359" w:leader="dot"/>
            </w:tabs>
            <w:rPr/>
          </w:pPr>
          <w:hyperlink w:anchor="__RefHeading___Toc12157_211582255">
            <w:r>
              <w:rPr>
                <w:webHidden/>
                <w:rStyle w:val="IndexLink"/>
              </w:rPr>
              <w:t>3.8 8. Deliverables &amp; sequencing</w:t>
              <w:tab/>
              <w:t>39</w:t>
            </w:r>
          </w:hyperlink>
        </w:p>
        <w:p>
          <w:pPr>
            <w:pStyle w:val="TOC2"/>
            <w:tabs>
              <w:tab w:val="clear" w:pos="9077"/>
              <w:tab w:val="right" w:pos="9359" w:leader="dot"/>
            </w:tabs>
            <w:rPr/>
          </w:pPr>
          <w:hyperlink w:anchor="__RefHeading___Toc12159_211582255">
            <w:r>
              <w:rPr>
                <w:webHidden/>
                <w:rStyle w:val="IndexLink"/>
              </w:rPr>
              <w:t>3.9 9. History</w:t>
              <w:tab/>
              <w:t>40</w:t>
            </w:r>
          </w:hyperlink>
        </w:p>
        <w:p>
          <w:pPr>
            <w:pStyle w:val="TOC1"/>
            <w:tabs>
              <w:tab w:val="clear" w:pos="9360"/>
              <w:tab w:val="right" w:pos="9359" w:leader="dot"/>
            </w:tabs>
            <w:rPr/>
          </w:pPr>
          <w:hyperlink w:anchor="__RefHeading___Toc12161_211582255">
            <w:r>
              <w:rPr>
                <w:webHidden/>
                <w:rStyle w:val="IndexLink"/>
              </w:rPr>
              <w:t>4 Cell — Compute Engine IP Product Requirements Document</w:t>
              <w:tab/>
              <w:t>41</w:t>
            </w:r>
          </w:hyperlink>
        </w:p>
        <w:p>
          <w:pPr>
            <w:pStyle w:val="TOC2"/>
            <w:tabs>
              <w:tab w:val="clear" w:pos="9077"/>
              <w:tab w:val="right" w:pos="9359" w:leader="dot"/>
            </w:tabs>
            <w:rPr/>
          </w:pPr>
          <w:hyperlink w:anchor="__RefHeading___Toc12163_211582255">
            <w:r>
              <w:rPr>
                <w:webHidden/>
                <w:rStyle w:val="IndexLink"/>
              </w:rPr>
              <w:t>4.1 1. Identity and scope</w:t>
              <w:tab/>
              <w:t>42</w:t>
            </w:r>
          </w:hyperlink>
        </w:p>
        <w:p>
          <w:pPr>
            <w:pStyle w:val="TOC2"/>
            <w:tabs>
              <w:tab w:val="clear" w:pos="9077"/>
              <w:tab w:val="right" w:pos="9359" w:leader="dot"/>
            </w:tabs>
            <w:rPr/>
          </w:pPr>
          <w:hyperlink w:anchor="__RefHeading___Toc12165_211582255">
            <w:r>
              <w:rPr>
                <w:webHidden/>
                <w:rStyle w:val="IndexLink"/>
              </w:rPr>
              <w:t>4.2 2. Architecture</w:t>
              <w:tab/>
              <w:t>43</w:t>
            </w:r>
          </w:hyperlink>
        </w:p>
        <w:p>
          <w:pPr>
            <w:pStyle w:val="TOC3"/>
            <w:tabs>
              <w:tab w:val="clear" w:pos="8793"/>
              <w:tab w:val="right" w:pos="9359" w:leader="dot"/>
            </w:tabs>
            <w:rPr/>
          </w:pPr>
          <w:hyperlink w:anchor="__RefHeading___Toc12167_211582255">
            <w:r>
              <w:rPr>
                <w:webHidden/>
                <w:rStyle w:val="IndexLink"/>
              </w:rPr>
              <w:t>4.2.1 Figure 1: Cell top-level block plan (house style — three flows: programming down the center, operand fill on the left, results and credits back up the right)</w:t>
              <w:tab/>
              <w:t>43</w:t>
            </w:r>
          </w:hyperlink>
        </w:p>
        <w:p>
          <w:pPr>
            <w:pStyle w:val="TOC2"/>
            <w:tabs>
              <w:tab w:val="clear" w:pos="9077"/>
              <w:tab w:val="right" w:pos="9359" w:leader="dot"/>
            </w:tabs>
            <w:rPr/>
          </w:pPr>
          <w:hyperlink w:anchor="__RefHeading___Toc12169_211582255">
            <w:r>
              <w:rPr>
                <w:webHidden/>
                <w:rStyle w:val="IndexLink"/>
              </w:rPr>
              <w:t>4.3 3. Dataflow</w:t>
              <w:tab/>
              <w:t>46</w:t>
            </w:r>
          </w:hyperlink>
        </w:p>
        <w:p>
          <w:pPr>
            <w:pStyle w:val="TOC2"/>
            <w:tabs>
              <w:tab w:val="clear" w:pos="9077"/>
              <w:tab w:val="right" w:pos="9359" w:leader="dot"/>
            </w:tabs>
            <w:rPr/>
          </w:pPr>
          <w:hyperlink w:anchor="__RefHeading___Toc12171_211582255">
            <w:r>
              <w:rPr>
                <w:webHidden/>
                <w:rStyle w:val="IndexLink"/>
              </w:rPr>
              <w:t>4.4 4. ALU and execution FSM</w:t>
              <w:tab/>
              <w:t>47</w:t>
            </w:r>
          </w:hyperlink>
        </w:p>
        <w:p>
          <w:pPr>
            <w:pStyle w:val="TOC2"/>
            <w:tabs>
              <w:tab w:val="clear" w:pos="9077"/>
              <w:tab w:val="right" w:pos="9359" w:leader="dot"/>
            </w:tabs>
            <w:rPr/>
          </w:pPr>
          <w:hyperlink w:anchor="__RefHeading___Toc12173_211582255">
            <w:r>
              <w:rPr>
                <w:webHidden/>
                <w:rStyle w:val="IndexLink"/>
              </w:rPr>
              <w:t>4.5 5. Packet interface</w:t>
              <w:tab/>
              <w:t>48</w:t>
            </w:r>
          </w:hyperlink>
        </w:p>
        <w:p>
          <w:pPr>
            <w:pStyle w:val="TOC2"/>
            <w:tabs>
              <w:tab w:val="clear" w:pos="9077"/>
              <w:tab w:val="right" w:pos="9359" w:leader="dot"/>
            </w:tabs>
            <w:rPr/>
          </w:pPr>
          <w:hyperlink w:anchor="__RefHeading___Toc12175_211582255">
            <w:r>
              <w:rPr>
                <w:webHidden/>
                <w:rStyle w:val="IndexLink"/>
              </w:rPr>
              <w:t>4.6 6. Credit behavior</w:t>
              <w:tab/>
              <w:t>49</w:t>
            </w:r>
          </w:hyperlink>
        </w:p>
        <w:p>
          <w:pPr>
            <w:pStyle w:val="TOC3"/>
            <w:tabs>
              <w:tab w:val="clear" w:pos="8793"/>
              <w:tab w:val="right" w:pos="9359" w:leader="dot"/>
            </w:tabs>
            <w:rPr/>
          </w:pPr>
          <w:hyperlink w:anchor="__RefHeading___Toc12177_211582255">
            <w:r>
              <w:rPr>
                <w:webHidden/>
                <w:rStyle w:val="IndexLink"/>
              </w:rPr>
              <w:t>4.6.1 6.1 Boot advertisement</w:t>
              <w:tab/>
              <w:t>49</w:t>
            </w:r>
          </w:hyperlink>
        </w:p>
        <w:p>
          <w:pPr>
            <w:pStyle w:val="TOC3"/>
            <w:tabs>
              <w:tab w:val="clear" w:pos="8793"/>
              <w:tab w:val="right" w:pos="9359" w:leader="dot"/>
            </w:tabs>
            <w:rPr/>
          </w:pPr>
          <w:hyperlink w:anchor="__RefHeading___Toc12179_211582255">
            <w:r>
              <w:rPr>
                <w:webHidden/>
                <w:rStyle w:val="IndexLink"/>
              </w:rPr>
              <w:t>4.6.2 6.2 Consumed-line credit returns</w:t>
              <w:tab/>
              <w:t>49</w:t>
            </w:r>
          </w:hyperlink>
        </w:p>
        <w:p>
          <w:pPr>
            <w:pStyle w:val="TOC3"/>
            <w:tabs>
              <w:tab w:val="clear" w:pos="8793"/>
              <w:tab w:val="right" w:pos="9359" w:leader="dot"/>
            </w:tabs>
            <w:rPr/>
          </w:pPr>
          <w:hyperlink w:anchor="__RefHeading___Toc12181_211582255">
            <w:r>
              <w:rPr>
                <w:webHidden/>
                <w:rStyle w:val="IndexLink"/>
              </w:rPr>
              <w:t>4.6.3 6.3 Straps on the result path</w:t>
              <w:tab/>
              <w:t>49</w:t>
            </w:r>
          </w:hyperlink>
        </w:p>
        <w:p>
          <w:pPr>
            <w:pStyle w:val="TOC2"/>
            <w:tabs>
              <w:tab w:val="clear" w:pos="9077"/>
              <w:tab w:val="right" w:pos="9359" w:leader="dot"/>
            </w:tabs>
            <w:rPr/>
          </w:pPr>
          <w:hyperlink w:anchor="__RefHeading___Toc12183_211582255">
            <w:r>
              <w:rPr>
                <w:webHidden/>
                <w:rStyle w:val="IndexLink"/>
              </w:rPr>
              <w:t>4.7 7. Config registers</w:t>
              <w:tab/>
              <w:t>51</w:t>
            </w:r>
          </w:hyperlink>
        </w:p>
        <w:p>
          <w:pPr>
            <w:pStyle w:val="TOC2"/>
            <w:tabs>
              <w:tab w:val="clear" w:pos="9077"/>
              <w:tab w:val="right" w:pos="9359" w:leader="dot"/>
            </w:tabs>
            <w:rPr/>
          </w:pPr>
          <w:hyperlink w:anchor="__RefHeading___Toc12185_211582255">
            <w:r>
              <w:rPr>
                <w:webHidden/>
                <w:rStyle w:val="IndexLink"/>
              </w:rPr>
              <w:t>4.8 8. Status and observability</w:t>
              <w:tab/>
              <w:t>54</w:t>
            </w:r>
          </w:hyperlink>
        </w:p>
        <w:p>
          <w:pPr>
            <w:pStyle w:val="TOC2"/>
            <w:tabs>
              <w:tab w:val="clear" w:pos="9077"/>
              <w:tab w:val="right" w:pos="9359" w:leader="dot"/>
            </w:tabs>
            <w:rPr/>
          </w:pPr>
          <w:hyperlink w:anchor="__RefHeading___Toc12187_211582255">
            <w:r>
              <w:rPr>
                <w:webHidden/>
                <w:rStyle w:val="IndexLink"/>
              </w:rPr>
              <w:t>4.9 9. Verification hooks</w:t>
              <w:tab/>
              <w:t>55</w:t>
            </w:r>
          </w:hyperlink>
        </w:p>
        <w:p>
          <w:pPr>
            <w:pStyle w:val="TOC2"/>
            <w:tabs>
              <w:tab w:val="clear" w:pos="9077"/>
              <w:tab w:val="right" w:pos="9359" w:leader="dot"/>
            </w:tabs>
            <w:rPr/>
          </w:pPr>
          <w:hyperlink w:anchor="__RefHeading___Toc12189_211582255">
            <w:r>
              <w:rPr>
                <w:webHidden/>
                <w:rStyle w:val="IndexLink"/>
              </w:rPr>
              <w:t>4.10 10. Dependencies</w:t>
              <w:tab/>
              <w:t>56</w:t>
            </w:r>
          </w:hyperlink>
        </w:p>
        <w:p>
          <w:pPr>
            <w:pStyle w:val="TOC2"/>
            <w:tabs>
              <w:tab w:val="clear" w:pos="9077"/>
              <w:tab w:val="right" w:pos="9359" w:leader="dot"/>
            </w:tabs>
            <w:rPr/>
          </w:pPr>
          <w:hyperlink w:anchor="__RefHeading___Toc12191_211582255">
            <w:r>
              <w:rPr>
                <w:webHidden/>
                <w:rStyle w:val="IndexLink"/>
              </w:rPr>
              <w:t>4.11 11. Deferred</w:t>
              <w:tab/>
              <w:t>57</w:t>
            </w:r>
          </w:hyperlink>
        </w:p>
        <w:p>
          <w:pPr>
            <w:pStyle w:val="TOC2"/>
            <w:tabs>
              <w:tab w:val="clear" w:pos="9077"/>
              <w:tab w:val="right" w:pos="9359" w:leader="dot"/>
            </w:tabs>
            <w:rPr/>
          </w:pPr>
          <w:hyperlink w:anchor="__RefHeading___Toc12193_211582255">
            <w:r>
              <w:rPr>
                <w:webHidden/>
                <w:rStyle w:val="IndexLink"/>
              </w:rPr>
              <w:t>4.12 12. Open questions</w:t>
              <w:tab/>
              <w:t>58</w:t>
            </w:r>
          </w:hyperlink>
        </w:p>
        <w:p>
          <w:pPr>
            <w:pStyle w:val="TOC2"/>
            <w:tabs>
              <w:tab w:val="clear" w:pos="9077"/>
              <w:tab w:val="right" w:pos="9359" w:leader="dot"/>
            </w:tabs>
            <w:rPr/>
          </w:pPr>
          <w:hyperlink w:anchor="__RefHeading___Toc12195_211582255">
            <w:r>
              <w:rPr>
                <w:webHidden/>
                <w:rStyle w:val="IndexLink"/>
              </w:rPr>
              <w:t>4.13 References</w:t>
              <w:tab/>
              <w:t>59</w:t>
            </w:r>
          </w:hyperlink>
        </w:p>
        <w:p>
          <w:pPr>
            <w:pStyle w:val="TOC1"/>
            <w:tabs>
              <w:tab w:val="clear" w:pos="9360"/>
              <w:tab w:val="right" w:pos="9359" w:leader="dot"/>
            </w:tabs>
            <w:rPr/>
          </w:pPr>
          <w:hyperlink w:anchor="__RefHeading___Toc12197_211582255">
            <w:r>
              <w:rPr>
                <w:webHidden/>
                <w:rStyle w:val="IndexLink"/>
              </w:rPr>
              <w:t>5 alu-infer — Cell Inference ALU (definition)</w:t>
              <w:tab/>
              <w:t>60</w:t>
            </w:r>
          </w:hyperlink>
        </w:p>
        <w:p>
          <w:pPr>
            <w:pStyle w:val="TOC1"/>
            <w:tabs>
              <w:tab w:val="clear" w:pos="9360"/>
              <w:tab w:val="right" w:pos="9359" w:leader="dot"/>
            </w:tabs>
            <w:rPr/>
          </w:pPr>
          <w:hyperlink w:anchor="__RefHeading___Toc12199_211582255">
            <w:r>
              <w:rPr>
                <w:webHidden/>
                <w:rStyle w:val="IndexLink"/>
              </w:rPr>
              <w:t>6 rtl-math module index</w:t>
              <w:tab/>
              <w:t>61</w:t>
            </w:r>
          </w:hyperlink>
        </w:p>
        <w:p>
          <w:pPr>
            <w:pStyle w:val="TOC2"/>
            <w:tabs>
              <w:tab w:val="clear" w:pos="9077"/>
              <w:tab w:val="right" w:pos="9359" w:leader="dot"/>
            </w:tabs>
            <w:rPr/>
          </w:pPr>
          <w:hyperlink w:anchor="__RefHeading___Toc12201_211582255">
            <w:r>
              <w:rPr>
                <w:webHidden/>
                <w:rStyle w:val="IndexLink"/>
              </w:rPr>
              <w:t>6.1 Overview</w:t>
              <w:tab/>
              <w:t>62</w:t>
            </w:r>
          </w:hyperlink>
        </w:p>
        <w:p>
          <w:pPr>
            <w:pStyle w:val="TOC2"/>
            <w:tabs>
              <w:tab w:val="clear" w:pos="9077"/>
              <w:tab w:val="right" w:pos="9359" w:leader="dot"/>
            </w:tabs>
            <w:rPr/>
          </w:pPr>
          <w:hyperlink w:anchor="__RefHeading___Toc12203_211582255">
            <w:r>
              <w:rPr>
                <w:webHidden/>
                <w:rStyle w:val="IndexLink"/>
              </w:rPr>
              <w:t>6.2 Module categories</w:t>
              <w:tab/>
              <w:t>63</w:t>
            </w:r>
          </w:hyperlink>
        </w:p>
        <w:p>
          <w:pPr>
            <w:pStyle w:val="TOC3"/>
            <w:tabs>
              <w:tab w:val="clear" w:pos="8793"/>
              <w:tab w:val="right" w:pos="9359" w:leader="dot"/>
            </w:tabs>
            <w:rPr/>
          </w:pPr>
          <w:hyperlink w:anchor="__RefHeading___Toc12205_211582255">
            <w:r>
              <w:rPr>
                <w:webHidden/>
                <w:rStyle w:val="IndexLink"/>
              </w:rPr>
              <w:t>6.2.1 Basic arithmetic</w:t>
              <w:tab/>
              <w:t>63</w:t>
            </w:r>
          </w:hyperlink>
        </w:p>
        <w:p>
          <w:pPr>
            <w:pStyle w:val="TOC3"/>
            <w:tabs>
              <w:tab w:val="clear" w:pos="8793"/>
              <w:tab w:val="right" w:pos="9359" w:leader="dot"/>
            </w:tabs>
            <w:rPr/>
          </w:pPr>
          <w:hyperlink w:anchor="__RefHeading___Toc12207_211582255">
            <w:r>
              <w:rPr>
                <w:webHidden/>
                <w:rStyle w:val="IndexLink"/>
              </w:rPr>
              <w:t>6.2.2 Advanced adders</w:t>
              <w:tab/>
              <w:t>63</w:t>
            </w:r>
          </w:hyperlink>
        </w:p>
        <w:p>
          <w:pPr>
            <w:pStyle w:val="TOC3"/>
            <w:tabs>
              <w:tab w:val="clear" w:pos="8793"/>
              <w:tab w:val="right" w:pos="9359" w:leader="dot"/>
            </w:tabs>
            <w:rPr/>
          </w:pPr>
          <w:hyperlink w:anchor="__RefHeading___Toc12209_211582255">
            <w:r>
              <w:rPr>
                <w:webHidden/>
                <w:rStyle w:val="IndexLink"/>
              </w:rPr>
              <w:t>6.2.3 Division</w:t>
              <w:tab/>
              <w:t>64</w:t>
            </w:r>
          </w:hyperlink>
        </w:p>
        <w:p>
          <w:pPr>
            <w:pStyle w:val="TOC3"/>
            <w:tabs>
              <w:tab w:val="clear" w:pos="8793"/>
              <w:tab w:val="right" w:pos="9359" w:leader="dot"/>
            </w:tabs>
            <w:rPr/>
          </w:pPr>
          <w:hyperlink w:anchor="__RefHeading___Toc12211_211582255">
            <w:r>
              <w:rPr>
                <w:webHidden/>
                <w:rStyle w:val="IndexLink"/>
              </w:rPr>
              <w:t>6.2.4 Subtraction</w:t>
              <w:tab/>
              <w:t>64</w:t>
            </w:r>
          </w:hyperlink>
        </w:p>
        <w:p>
          <w:pPr>
            <w:pStyle w:val="TOC3"/>
            <w:tabs>
              <w:tab w:val="clear" w:pos="8793"/>
              <w:tab w:val="right" w:pos="9359" w:leader="dot"/>
            </w:tabs>
            <w:rPr/>
          </w:pPr>
          <w:hyperlink w:anchor="__RefHeading___Toc12213_211582255">
            <w:r>
              <w:rPr>
                <w:webHidden/>
                <w:rStyle w:val="IndexLink"/>
              </w:rPr>
              <w:t>6.2.5 Multiplication</w:t>
              <w:tab/>
              <w:t>64</w:t>
            </w:r>
          </w:hyperlink>
        </w:p>
        <w:p>
          <w:pPr>
            <w:pStyle w:val="TOC3"/>
            <w:tabs>
              <w:tab w:val="clear" w:pos="8793"/>
              <w:tab w:val="right" w:pos="9359" w:leader="dot"/>
            </w:tabs>
            <w:rPr/>
          </w:pPr>
          <w:hyperlink w:anchor="__RefHeading___Toc12215_211582255">
            <w:r>
              <w:rPr>
                <w:webHidden/>
                <w:rStyle w:val="IndexLink"/>
              </w:rPr>
              <w:t>6.2.6 BF16 floating-point arithmetic</w:t>
              <w:tab/>
              <w:t>65</w:t>
            </w:r>
          </w:hyperlink>
        </w:p>
        <w:p>
          <w:pPr>
            <w:pStyle w:val="TOC3"/>
            <w:tabs>
              <w:tab w:val="clear" w:pos="8793"/>
              <w:tab w:val="right" w:pos="9359" w:leader="dot"/>
            </w:tabs>
            <w:rPr/>
          </w:pPr>
          <w:hyperlink w:anchor="__RefHeading___Toc12217_211582255">
            <w:r>
              <w:rPr>
                <w:webHidden/>
                <w:rStyle w:val="IndexLink"/>
              </w:rPr>
              <w:t>6.2.7 FP16 (half-precision) floating-point</w:t>
              <w:tab/>
              <w:t>66</w:t>
            </w:r>
          </w:hyperlink>
        </w:p>
        <w:p>
          <w:pPr>
            <w:pStyle w:val="TOC3"/>
            <w:tabs>
              <w:tab w:val="clear" w:pos="8793"/>
              <w:tab w:val="right" w:pos="9359" w:leader="dot"/>
            </w:tabs>
            <w:rPr/>
          </w:pPr>
          <w:hyperlink w:anchor="__RefHeading___Toc12219_211582255">
            <w:r>
              <w:rPr>
                <w:webHidden/>
                <w:rStyle w:val="IndexLink"/>
              </w:rPr>
              <w:t>6.2.8 FP32 (single-precision) floating-point</w:t>
              <w:tab/>
              <w:t>66</w:t>
            </w:r>
          </w:hyperlink>
        </w:p>
        <w:p>
          <w:pPr>
            <w:pStyle w:val="TOC3"/>
            <w:tabs>
              <w:tab w:val="clear" w:pos="8793"/>
              <w:tab w:val="right" w:pos="9359" w:leader="dot"/>
            </w:tabs>
            <w:rPr/>
          </w:pPr>
          <w:hyperlink w:anchor="__RefHeading___Toc12221_211582255">
            <w:r>
              <w:rPr>
                <w:webHidden/>
                <w:rStyle w:val="IndexLink"/>
              </w:rPr>
              <w:t>6.2.9 FP8 (8-bit floating-point)</w:t>
              <w:tab/>
              <w:t>66</w:t>
            </w:r>
          </w:hyperlink>
        </w:p>
        <w:p>
          <w:pPr>
            <w:pStyle w:val="TOC3"/>
            <w:tabs>
              <w:tab w:val="clear" w:pos="8793"/>
              <w:tab w:val="right" w:pos="9359" w:leader="dot"/>
            </w:tabs>
            <w:rPr/>
          </w:pPr>
          <w:hyperlink w:anchor="__RefHeading___Toc12223_211582255">
            <w:r>
              <w:rPr>
                <w:webHidden/>
                <w:rStyle w:val="IndexLink"/>
              </w:rPr>
              <w:t>6.2.10 IEEE 754-2008 compliant arithmetic</w:t>
              <w:tab/>
              <w:t>66</w:t>
            </w:r>
          </w:hyperlink>
        </w:p>
        <w:p>
          <w:pPr>
            <w:pStyle w:val="TOC3"/>
            <w:tabs>
              <w:tab w:val="clear" w:pos="8793"/>
              <w:tab w:val="right" w:pos="9359" w:leader="dot"/>
            </w:tabs>
            <w:rPr/>
          </w:pPr>
          <w:hyperlink w:anchor="__RefHeading___Toc12225_211582255">
            <w:r>
              <w:rPr>
                <w:webHidden/>
                <w:rStyle w:val="IndexLink"/>
              </w:rPr>
              <w:t>6.2.11 Compressors and prefix cells</w:t>
              <w:tab/>
              <w:t>66</w:t>
            </w:r>
          </w:hyperlink>
        </w:p>
        <w:p>
          <w:pPr>
            <w:pStyle w:val="TOC2"/>
            <w:tabs>
              <w:tab w:val="clear" w:pos="9077"/>
              <w:tab w:val="right" w:pos="9359" w:leader="dot"/>
            </w:tabs>
            <w:rPr/>
          </w:pPr>
          <w:hyperlink w:anchor="__RefHeading___Toc12227_211582255">
            <w:r>
              <w:rPr>
                <w:webHidden/>
                <w:rStyle w:val="IndexLink"/>
              </w:rPr>
              <w:t>6.3 Related Modules</w:t>
              <w:tab/>
              <w:t>68</w:t>
            </w:r>
          </w:hyperlink>
        </w:p>
        <w:p>
          <w:pPr>
            <w:pStyle w:val="TOC2"/>
            <w:tabs>
              <w:tab w:val="clear" w:pos="9077"/>
              <w:tab w:val="right" w:pos="9359" w:leader="dot"/>
            </w:tabs>
            <w:rPr/>
          </w:pPr>
          <w:hyperlink w:anchor="__RefHeading___Toc12229_211582255">
            <w:r>
              <w:rPr>
                <w:webHidden/>
                <w:rStyle w:val="IndexLink"/>
              </w:rPr>
              <w:t>6.4 Navigation</w:t>
              <w:tab/>
              <w:t>69</w:t>
            </w:r>
          </w:hyperlink>
        </w:p>
        <w:p>
          <w:pPr>
            <w:pStyle w:val="TOC1"/>
            <w:tabs>
              <w:tab w:val="clear" w:pos="9360"/>
              <w:tab w:val="right" w:pos="9359" w:leader="dot"/>
            </w:tabs>
            <w:rPr/>
          </w:pPr>
          <w:hyperlink w:anchor="__RefHeading___Toc12231_211582255">
            <w:r>
              <w:rPr>
                <w:webHidden/>
                <w:rStyle w:val="IndexLink"/>
              </w:rPr>
              <w:t>7 Document Information</w:t>
              <w:tab/>
              <w:t>70</w:t>
            </w:r>
          </w:hyperlink>
        </w:p>
        <w:p>
          <w:pPr>
            <w:pStyle w:val="TOC2"/>
            <w:tabs>
              <w:tab w:val="clear" w:pos="9077"/>
              <w:tab w:val="right" w:pos="9359" w:leader="dot"/>
            </w:tabs>
            <w:rPr/>
          </w:pPr>
          <w:hyperlink w:anchor="__RefHeading___Toc12233_211582255">
            <w:r>
              <w:rPr>
                <w:webHidden/>
                <w:rStyle w:val="IndexLink"/>
              </w:rPr>
              <w:t>7.1 Overview</w:t>
              <w:tab/>
              <w:t>70</w:t>
            </w:r>
          </w:hyperlink>
        </w:p>
        <w:p>
          <w:pPr>
            <w:pStyle w:val="TOC3"/>
            <w:tabs>
              <w:tab w:val="clear" w:pos="8793"/>
              <w:tab w:val="right" w:pos="9359" w:leader="dot"/>
            </w:tabs>
            <w:rPr/>
          </w:pPr>
          <w:hyperlink w:anchor="__RefHeading___Toc12235_211582255">
            <w:r>
              <w:rPr>
                <w:webHidden/>
                <w:rStyle w:val="IndexLink"/>
              </w:rPr>
              <w:t>7.1.1 ALU-INFER Micro-Architecture Specification</w:t>
              <w:tab/>
              <w:t>70</w:t>
            </w:r>
          </w:hyperlink>
        </w:p>
        <w:p>
          <w:pPr>
            <w:pStyle w:val="TOC3"/>
            <w:tabs>
              <w:tab w:val="clear" w:pos="8793"/>
              <w:tab w:val="right" w:pos="9359" w:leader="dot"/>
            </w:tabs>
            <w:rPr/>
          </w:pPr>
          <w:hyperlink w:anchor="__RefHeading___Toc12237_211582255">
            <w:r>
              <w:rPr>
                <w:webHidden/>
                <w:rStyle w:val="IndexLink"/>
              </w:rPr>
              <w:t>7.1.2 Document Purpose</w:t>
              <w:tab/>
              <w:t>70</w:t>
            </w:r>
          </w:hyperlink>
        </w:p>
        <w:p>
          <w:pPr>
            <w:pStyle w:val="TOC3"/>
            <w:tabs>
              <w:tab w:val="clear" w:pos="8793"/>
              <w:tab w:val="right" w:pos="9359" w:leader="dot"/>
            </w:tabs>
            <w:rPr/>
          </w:pPr>
          <w:hyperlink w:anchor="__RefHeading___Toc12239_211582255">
            <w:r>
              <w:rPr>
                <w:webHidden/>
                <w:rStyle w:val="IndexLink"/>
              </w:rPr>
              <w:t>7.1.3 Intended Audience</w:t>
              <w:tab/>
              <w:t>71</w:t>
            </w:r>
          </w:hyperlink>
        </w:p>
        <w:p>
          <w:pPr>
            <w:pStyle w:val="TOC2"/>
            <w:tabs>
              <w:tab w:val="clear" w:pos="9077"/>
              <w:tab w:val="right" w:pos="9359" w:leader="dot"/>
            </w:tabs>
            <w:rPr/>
          </w:pPr>
          <w:hyperlink w:anchor="__RefHeading___Toc12241_211582255">
            <w:r>
              <w:rPr>
                <w:webHidden/>
                <w:rStyle w:val="IndexLink"/>
              </w:rPr>
              <w:t>7.2 Design Notes</w:t>
              <w:tab/>
              <w:t>72</w:t>
            </w:r>
          </w:hyperlink>
        </w:p>
        <w:p>
          <w:pPr>
            <w:pStyle w:val="TOC3"/>
            <w:tabs>
              <w:tab w:val="clear" w:pos="8793"/>
              <w:tab w:val="right" w:pos="9359" w:leader="dot"/>
            </w:tabs>
            <w:rPr/>
          </w:pPr>
          <w:hyperlink w:anchor="__RefHeading___Toc12243_211582255">
            <w:r>
              <w:rPr>
                <w:webHidden/>
                <w:rStyle w:val="IndexLink"/>
              </w:rPr>
              <w:t>7.2.1 Revision History</w:t>
              <w:tab/>
              <w:t>72</w:t>
            </w:r>
          </w:hyperlink>
        </w:p>
        <w:p>
          <w:pPr>
            <w:pStyle w:val="TOC2"/>
            <w:tabs>
              <w:tab w:val="clear" w:pos="9077"/>
              <w:tab w:val="right" w:pos="9359" w:leader="dot"/>
            </w:tabs>
            <w:rPr/>
          </w:pPr>
          <w:hyperlink w:anchor="__RefHeading___Toc12245_211582255">
            <w:r>
              <w:rPr>
                <w:webHidden/>
                <w:rStyle w:val="IndexLink"/>
              </w:rPr>
              <w:t>7.3 References</w:t>
              <w:tab/>
              <w:t>75</w:t>
            </w:r>
          </w:hyperlink>
        </w:p>
        <w:p>
          <w:pPr>
            <w:pStyle w:val="TOC3"/>
            <w:tabs>
              <w:tab w:val="clear" w:pos="8793"/>
              <w:tab w:val="right" w:pos="9359" w:leader="dot"/>
            </w:tabs>
            <w:rPr/>
          </w:pPr>
          <w:hyperlink w:anchor="__RefHeading___Toc12247_211582255">
            <w:r>
              <w:rPr>
                <w:webHidden/>
                <w:rStyle w:val="IndexLink"/>
              </w:rPr>
              <w:t>7.3.1 Related Documents</w:t>
              <w:tab/>
              <w:t>75</w:t>
            </w:r>
          </w:hyperlink>
        </w:p>
        <w:p>
          <w:pPr>
            <w:pStyle w:val="TOC1"/>
            <w:tabs>
              <w:tab w:val="clear" w:pos="9360"/>
              <w:tab w:val="right" w:pos="9359" w:leader="dot"/>
            </w:tabs>
            <w:rPr/>
          </w:pPr>
          <w:hyperlink w:anchor="__RefHeading___Toc12249_211582255">
            <w:r>
              <w:rPr>
                <w:webHidden/>
                <w:rStyle w:val="IndexLink"/>
              </w:rPr>
              <w:t>8 Design Philosophy and Datapath Organization</w:t>
              <w:tab/>
              <w:t>76</w:t>
            </w:r>
          </w:hyperlink>
        </w:p>
        <w:p>
          <w:pPr>
            <w:pStyle w:val="TOC2"/>
            <w:tabs>
              <w:tab w:val="clear" w:pos="9077"/>
              <w:tab w:val="right" w:pos="9359" w:leader="dot"/>
            </w:tabs>
            <w:rPr/>
          </w:pPr>
          <w:hyperlink w:anchor="__RefHeading___Toc12251_211582255">
            <w:r>
              <w:rPr>
                <w:webHidden/>
                <w:rStyle w:val="IndexLink"/>
              </w:rPr>
              <w:t>8.1 What This Block Is</w:t>
              <w:tab/>
              <w:t>76</w:t>
            </w:r>
          </w:hyperlink>
        </w:p>
        <w:p>
          <w:pPr>
            <w:pStyle w:val="TOC2"/>
            <w:tabs>
              <w:tab w:val="clear" w:pos="9077"/>
              <w:tab w:val="right" w:pos="9359" w:leader="dot"/>
            </w:tabs>
            <w:rPr/>
          </w:pPr>
          <w:hyperlink w:anchor="__RefHeading___Toc12253_211582255">
            <w:r>
              <w:rPr>
                <w:webHidden/>
                <w:rStyle w:val="IndexLink"/>
              </w:rPr>
              <w:t>8.2 The Dataflow in One Paragraph</w:t>
              <w:tab/>
              <w:t>77</w:t>
            </w:r>
          </w:hyperlink>
        </w:p>
        <w:p>
          <w:pPr>
            <w:pStyle w:val="TOC3"/>
            <w:tabs>
              <w:tab w:val="clear" w:pos="8793"/>
              <w:tab w:val="right" w:pos="9359" w:leader="dot"/>
            </w:tabs>
            <w:rPr/>
          </w:pPr>
          <w:hyperlink w:anchor="__RefHeading___Toc12255_211582255">
            <w:r>
              <w:rPr>
                <w:webHidden/>
                <w:rStyle w:val="IndexLink"/>
              </w:rPr>
              <w:t>8.2.1 Figure 1.1: ALU-INFER datapath overview</w:t>
              <w:tab/>
              <w:t>77</w:t>
            </w:r>
          </w:hyperlink>
        </w:p>
        <w:p>
          <w:pPr>
            <w:pStyle w:val="TOC2"/>
            <w:tabs>
              <w:tab w:val="clear" w:pos="9077"/>
              <w:tab w:val="right" w:pos="9359" w:leader="dot"/>
            </w:tabs>
            <w:rPr/>
          </w:pPr>
          <w:hyperlink w:anchor="__RefHeading___Toc12257_211582255">
            <w:r>
              <w:rPr>
                <w:webHidden/>
                <w:rStyle w:val="IndexLink"/>
              </w:rPr>
              <w:t>8.3 Element Formats</w:t>
              <w:tab/>
              <w:t>78</w:t>
            </w:r>
          </w:hyperlink>
        </w:p>
        <w:p>
          <w:pPr>
            <w:pStyle w:val="TOC2"/>
            <w:tabs>
              <w:tab w:val="clear" w:pos="9077"/>
              <w:tab w:val="right" w:pos="9359" w:leader="dot"/>
            </w:tabs>
            <w:rPr/>
          </w:pPr>
          <w:hyperlink w:anchor="__RefHeading___Toc12259_211582255">
            <w:r>
              <w:rPr>
                <w:webHidden/>
                <w:rStyle w:val="IndexLink"/>
              </w:rPr>
              <w:t>8.4 Relationship to Gatling and the Cell</w:t>
              <w:tab/>
              <w:t>79</w:t>
            </w:r>
          </w:hyperlink>
        </w:p>
        <w:p>
          <w:pPr>
            <w:pStyle w:val="TOC2"/>
            <w:tabs>
              <w:tab w:val="clear" w:pos="9077"/>
              <w:tab w:val="right" w:pos="9359" w:leader="dot"/>
            </w:tabs>
            <w:rPr/>
          </w:pPr>
          <w:hyperlink w:anchor="__RefHeading___Toc12261_211582255">
            <w:r>
              <w:rPr>
                <w:webHidden/>
                <w:rStyle w:val="IndexLink"/>
              </w:rPr>
              <w:t>8.5 Status of This Specification</w:t>
              <w:tab/>
              <w:t>80</w:t>
            </w:r>
          </w:hyperlink>
        </w:p>
        <w:p>
          <w:pPr>
            <w:pStyle w:val="TOC1"/>
            <w:tabs>
              <w:tab w:val="clear" w:pos="9360"/>
              <w:tab w:val="right" w:pos="9359" w:leader="dot"/>
            </w:tabs>
            <w:rPr/>
          </w:pPr>
          <w:hyperlink w:anchor="__RefHeading___Toc12263_211582255">
            <w:r>
              <w:rPr>
                <w:webHidden/>
                <w:rStyle w:val="IndexLink"/>
              </w:rPr>
              <w:t>9 alu_infer_top (module tree)</w:t>
              <w:tab/>
              <w:t>81</w:t>
            </w:r>
          </w:hyperlink>
        </w:p>
        <w:p>
          <w:pPr>
            <w:pStyle w:val="TOC2"/>
            <w:tabs>
              <w:tab w:val="clear" w:pos="9077"/>
              <w:tab w:val="right" w:pos="9359" w:leader="dot"/>
            </w:tabs>
            <w:rPr/>
          </w:pPr>
          <w:hyperlink w:anchor="__RefHeading___Toc12265_211582255">
            <w:r>
              <w:rPr>
                <w:webHidden/>
                <w:rStyle w:val="IndexLink"/>
              </w:rPr>
              <w:t>9.1 Purpose</w:t>
              <w:tab/>
              <w:t>81</w:t>
            </w:r>
          </w:hyperlink>
        </w:p>
        <w:p>
          <w:pPr>
            <w:pStyle w:val="TOC2"/>
            <w:tabs>
              <w:tab w:val="clear" w:pos="9077"/>
              <w:tab w:val="right" w:pos="9359" w:leader="dot"/>
            </w:tabs>
            <w:rPr/>
          </w:pPr>
          <w:hyperlink w:anchor="__RefHeading___Toc12267_211582255">
            <w:r>
              <w:rPr>
                <w:webHidden/>
                <w:rStyle w:val="IndexLink"/>
              </w:rPr>
              <w:t>9.2 Module Tree</w:t>
              <w:tab/>
              <w:t>82</w:t>
            </w:r>
          </w:hyperlink>
        </w:p>
        <w:p>
          <w:pPr>
            <w:pStyle w:val="TOC3"/>
            <w:tabs>
              <w:tab w:val="clear" w:pos="8793"/>
              <w:tab w:val="right" w:pos="9359" w:leader="dot"/>
            </w:tabs>
            <w:rPr/>
          </w:pPr>
          <w:hyperlink w:anchor="__RefHeading___Toc12269_211582255">
            <w:r>
              <w:rPr>
                <w:webHidden/>
                <w:rStyle w:val="IndexLink"/>
              </w:rPr>
              <w:t>9.2.1 Figure 2.1: ALU-INFER full block diagram</w:t>
              <w:tab/>
              <w:t>83</w:t>
            </w:r>
          </w:hyperlink>
        </w:p>
        <w:p>
          <w:pPr>
            <w:pStyle w:val="TOC2"/>
            <w:tabs>
              <w:tab w:val="clear" w:pos="9077"/>
              <w:tab w:val="right" w:pos="9359" w:leader="dot"/>
            </w:tabs>
            <w:rPr/>
          </w:pPr>
          <w:hyperlink w:anchor="__RefHeading___Toc12271_211582255">
            <w:r>
              <w:rPr>
                <w:webHidden/>
                <w:rStyle w:val="IndexLink"/>
              </w:rPr>
              <w:t>9.3 Parameters</w:t>
              <w:tab/>
              <w:t>84</w:t>
            </w:r>
          </w:hyperlink>
        </w:p>
        <w:p>
          <w:pPr>
            <w:pStyle w:val="TOC2"/>
            <w:tabs>
              <w:tab w:val="clear" w:pos="9077"/>
              <w:tab w:val="right" w:pos="9359" w:leader="dot"/>
            </w:tabs>
            <w:rPr/>
          </w:pPr>
          <w:hyperlink w:anchor="__RefHeading___Toc12273_211582255">
            <w:r>
              <w:rPr>
                <w:webHidden/>
                <w:rStyle w:val="IndexLink"/>
              </w:rPr>
              <w:t>9.4 Clock and Reset</w:t>
              <w:tab/>
              <w:t>86</w:t>
            </w:r>
          </w:hyperlink>
        </w:p>
        <w:p>
          <w:pPr>
            <w:pStyle w:val="TOC1"/>
            <w:tabs>
              <w:tab w:val="clear" w:pos="9360"/>
              <w:tab w:val="right" w:pos="9359" w:leader="dot"/>
            </w:tabs>
            <w:rPr/>
          </w:pPr>
          <w:hyperlink w:anchor="__RefHeading___Toc12275_211582255">
            <w:r>
              <w:rPr>
                <w:webHidden/>
                <w:rStyle w:val="IndexLink"/>
              </w:rPr>
              <w:t>10 The Function Rows</w:t>
              <w:tab/>
              <w:t>87</w:t>
            </w:r>
          </w:hyperlink>
        </w:p>
        <w:p>
          <w:pPr>
            <w:pStyle w:val="TOC2"/>
            <w:tabs>
              <w:tab w:val="clear" w:pos="9077"/>
              <w:tab w:val="right" w:pos="9359" w:leader="dot"/>
            </w:tabs>
            <w:rPr/>
          </w:pPr>
          <w:hyperlink w:anchor="__RefHeading___Toc12277_211582255">
            <w:r>
              <w:rPr>
                <w:webHidden/>
                <w:rStyle w:val="IndexLink"/>
              </w:rPr>
              <w:t>10.1 Opcode Map</w:t>
              <w:tab/>
              <w:t>88</w:t>
            </w:r>
          </w:hyperlink>
        </w:p>
        <w:p>
          <w:pPr>
            <w:pStyle w:val="TOC2"/>
            <w:tabs>
              <w:tab w:val="clear" w:pos="9077"/>
              <w:tab w:val="right" w:pos="9359" w:leader="dot"/>
            </w:tabs>
            <w:rPr/>
          </w:pPr>
          <w:hyperlink w:anchor="__RefHeading___Toc12279_211582255">
            <w:r>
              <w:rPr>
                <w:webHidden/>
                <w:rStyle w:val="IndexLink"/>
              </w:rPr>
              <w:t>10.2 Elementwise Rows per Format</w:t>
              <w:tab/>
              <w:t>90</w:t>
            </w:r>
          </w:hyperlink>
        </w:p>
        <w:p>
          <w:pPr>
            <w:pStyle w:val="TOC2"/>
            <w:tabs>
              <w:tab w:val="clear" w:pos="9077"/>
              <w:tab w:val="right" w:pos="9359" w:leader="dot"/>
            </w:tabs>
            <w:rPr/>
          </w:pPr>
          <w:hyperlink w:anchor="__RefHeading___Toc12281_211582255">
            <w:r>
              <w:rPr>
                <w:webHidden/>
                <w:rStyle w:val="IndexLink"/>
              </w:rPr>
              <w:t>10.3 Per-Row Notes</w:t>
              <w:tab/>
              <w:t>91</w:t>
            </w:r>
          </w:hyperlink>
        </w:p>
        <w:p>
          <w:pPr>
            <w:pStyle w:val="TOC2"/>
            <w:tabs>
              <w:tab w:val="clear" w:pos="9077"/>
              <w:tab w:val="right" w:pos="9359" w:leader="dot"/>
            </w:tabs>
            <w:rPr/>
          </w:pPr>
          <w:hyperlink w:anchor="__RefHeading___Toc12283_211582255">
            <w:r>
              <w:rPr>
                <w:webHidden/>
                <w:rStyle w:val="IndexLink"/>
              </w:rPr>
              <w:t>10.4 Activation and Scaling Rows</w:t>
              <w:tab/>
              <w:t>92</w:t>
            </w:r>
          </w:hyperlink>
        </w:p>
        <w:p>
          <w:pPr>
            <w:pStyle w:val="TOC2"/>
            <w:tabs>
              <w:tab w:val="clear" w:pos="9077"/>
              <w:tab w:val="right" w:pos="9359" w:leader="dot"/>
            </w:tabs>
            <w:rPr/>
          </w:pPr>
          <w:hyperlink w:anchor="__RefHeading___Toc12285_211582255">
            <w:r>
              <w:rPr>
                <w:webHidden/>
                <w:rStyle w:val="IndexLink"/>
              </w:rPr>
              <w:t>10.5 What Every Row Shares</w:t>
              <w:tab/>
              <w:t>93</w:t>
            </w:r>
          </w:hyperlink>
        </w:p>
        <w:p>
          <w:pPr>
            <w:pStyle w:val="TOC1"/>
            <w:tabs>
              <w:tab w:val="clear" w:pos="9360"/>
              <w:tab w:val="right" w:pos="9359" w:leader="dot"/>
            </w:tabs>
            <w:rPr/>
          </w:pPr>
          <w:hyperlink w:anchor="__RefHeading___Toc12287_211582255">
            <w:r>
              <w:rPr>
                <w:webHidden/>
                <w:rStyle w:val="IndexLink"/>
              </w:rPr>
              <w:t>11 The Accumulator Rows: MAC and REDUCE</w:t>
              <w:tab/>
              <w:t>94</w:t>
            </w:r>
          </w:hyperlink>
        </w:p>
        <w:p>
          <w:pPr>
            <w:pStyle w:val="TOC2"/>
            <w:tabs>
              <w:tab w:val="clear" w:pos="9077"/>
              <w:tab w:val="right" w:pos="9359" w:leader="dot"/>
            </w:tabs>
            <w:rPr/>
          </w:pPr>
          <w:hyperlink w:anchor="__RefHeading___Toc12289_211582255">
            <w:r>
              <w:rPr>
                <w:webHidden/>
                <w:rStyle w:val="IndexLink"/>
              </w:rPr>
              <w:t>11.1 Why a Wide Accumulator</w:t>
              <w:tab/>
              <w:t>94</w:t>
            </w:r>
          </w:hyperlink>
        </w:p>
        <w:p>
          <w:pPr>
            <w:pStyle w:val="TOC2"/>
            <w:tabs>
              <w:tab w:val="clear" w:pos="9077"/>
              <w:tab w:val="right" w:pos="9359" w:leader="dot"/>
            </w:tabs>
            <w:rPr/>
          </w:pPr>
          <w:hyperlink w:anchor="__RefHeading___Toc12291_211582255">
            <w:r>
              <w:rPr>
                <w:webHidden/>
                <w:rStyle w:val="IndexLink"/>
              </w:rPr>
              <w:t>11.2 Structure</w:t>
              <w:tab/>
              <w:t>95</w:t>
            </w:r>
          </w:hyperlink>
        </w:p>
        <w:p>
          <w:pPr>
            <w:pStyle w:val="TOC2"/>
            <w:tabs>
              <w:tab w:val="clear" w:pos="9077"/>
              <w:tab w:val="right" w:pos="9359" w:leader="dot"/>
            </w:tabs>
            <w:rPr/>
          </w:pPr>
          <w:hyperlink w:anchor="__RefHeading___Toc12293_211582255">
            <w:r>
              <w:rPr>
                <w:webHidden/>
                <w:rStyle w:val="IndexLink"/>
              </w:rPr>
              <w:t>11.3 Why the Loop Stays Fused</w:t>
              <w:tab/>
              <w:t>96</w:t>
            </w:r>
          </w:hyperlink>
        </w:p>
        <w:p>
          <w:pPr>
            <w:pStyle w:val="TOC2"/>
            <w:tabs>
              <w:tab w:val="clear" w:pos="9077"/>
              <w:tab w:val="right" w:pos="9359" w:leader="dot"/>
            </w:tabs>
            <w:rPr/>
          </w:pPr>
          <w:hyperlink w:anchor="__RefHeading___Toc12295_211582255">
            <w:r>
              <w:rPr>
                <w:webHidden/>
                <w:rStyle w:val="IndexLink"/>
              </w:rPr>
              <w:t>11.4 acc_ctrl</w:t>
              <w:tab/>
              <w:t>97</w:t>
            </w:r>
          </w:hyperlink>
        </w:p>
        <w:p>
          <w:pPr>
            <w:pStyle w:val="TOC2"/>
            <w:tabs>
              <w:tab w:val="clear" w:pos="9077"/>
              <w:tab w:val="right" w:pos="9359" w:leader="dot"/>
            </w:tabs>
            <w:rPr/>
          </w:pPr>
          <w:hyperlink w:anchor="__RefHeading___Toc12297_211582255">
            <w:r>
              <w:rPr>
                <w:webHidden/>
                <w:rStyle w:val="IndexLink"/>
              </w:rPr>
              <w:t>11.5 Presentation (decision M7)</w:t>
              <w:tab/>
              <w:t>98</w:t>
            </w:r>
          </w:hyperlink>
        </w:p>
        <w:p>
          <w:pPr>
            <w:pStyle w:val="TOC2"/>
            <w:tabs>
              <w:tab w:val="clear" w:pos="9077"/>
              <w:tab w:val="right" w:pos="9359" w:leader="dot"/>
            </w:tabs>
            <w:rPr/>
          </w:pPr>
          <w:hyperlink w:anchor="__RefHeading___Toc12299_211582255">
            <w:r>
              <w:rPr>
                <w:webHidden/>
                <w:rStyle w:val="IndexLink"/>
              </w:rPr>
              <w:t>11.6 REDUCE and the Cross-Lane Fold</w:t>
              <w:tab/>
              <w:t>99</w:t>
            </w:r>
          </w:hyperlink>
        </w:p>
        <w:p>
          <w:pPr>
            <w:pStyle w:val="TOC2"/>
            <w:tabs>
              <w:tab w:val="clear" w:pos="9077"/>
              <w:tab w:val="right" w:pos="9359" w:leader="dot"/>
            </w:tabs>
            <w:rPr/>
          </w:pPr>
          <w:hyperlink w:anchor="__RefHeading___Toc12301_211582255">
            <w:r>
              <w:rPr>
                <w:webHidden/>
                <w:rStyle w:val="IndexLink"/>
              </w:rPr>
              <w:t>11.7 Isolation Invariants</w:t>
              <w:tab/>
              <w:t>100</w:t>
            </w:r>
          </w:hyperlink>
        </w:p>
        <w:p>
          <w:pPr>
            <w:pStyle w:val="TOC1"/>
            <w:tabs>
              <w:tab w:val="clear" w:pos="9360"/>
              <w:tab w:val="right" w:pos="9359" w:leader="dot"/>
            </w:tabs>
            <w:rPr/>
          </w:pPr>
          <w:hyperlink w:anchor="__RefHeading___Toc12303_211582255">
            <w:r>
              <w:rPr>
                <w:webHidden/>
                <w:rStyle w:val="IndexLink"/>
              </w:rPr>
              <w:t>12 Decode and Result Ports</w:t>
              <w:tab/>
              <w:t>101</w:t>
            </w:r>
          </w:hyperlink>
        </w:p>
        <w:p>
          <w:pPr>
            <w:pStyle w:val="TOC2"/>
            <w:tabs>
              <w:tab w:val="clear" w:pos="9077"/>
              <w:tab w:val="right" w:pos="9359" w:leader="dot"/>
            </w:tabs>
            <w:rPr/>
          </w:pPr>
          <w:hyperlink w:anchor="__RefHeading___Toc12305_211582255">
            <w:r>
              <w:rPr>
                <w:webHidden/>
                <w:rStyle w:val="IndexLink"/>
              </w:rPr>
              <w:t>12.1 Decode (alu_infer_decode)</w:t>
              <w:tab/>
              <w:t>101</w:t>
            </w:r>
          </w:hyperlink>
        </w:p>
        <w:p>
          <w:pPr>
            <w:pStyle w:val="TOC2"/>
            <w:tabs>
              <w:tab w:val="clear" w:pos="9077"/>
              <w:tab w:val="right" w:pos="9359" w:leader="dot"/>
            </w:tabs>
            <w:rPr/>
          </w:pPr>
          <w:hyperlink w:anchor="__RefHeading___Toc12307_211582255">
            <w:r>
              <w:rPr>
                <w:webHidden/>
                <w:rStyle w:val="IndexLink"/>
              </w:rPr>
              <w:t>12.2 The Four Result Ports</w:t>
              <w:tab/>
              <w:t>102</w:t>
            </w:r>
          </w:hyperlink>
        </w:p>
        <w:p>
          <w:pPr>
            <w:pStyle w:val="TOC2"/>
            <w:tabs>
              <w:tab w:val="clear" w:pos="9077"/>
              <w:tab w:val="right" w:pos="9359" w:leader="dot"/>
            </w:tabs>
            <w:rPr/>
          </w:pPr>
          <w:hyperlink w:anchor="__RefHeading___Toc12309_211582255">
            <w:r>
              <w:rPr>
                <w:webHidden/>
                <w:rStyle w:val="IndexLink"/>
              </w:rPr>
              <w:t>12.3 The Tag FIFO and Arrival Join (alu_infer_pipe)</w:t>
              <w:tab/>
              <w:t>103</w:t>
            </w:r>
          </w:hyperlink>
        </w:p>
        <w:p>
          <w:pPr>
            <w:pStyle w:val="TOC1"/>
            <w:tabs>
              <w:tab w:val="clear" w:pos="9360"/>
              <w:tab w:val="right" w:pos="9359" w:leader="dot"/>
            </w:tabs>
            <w:rPr/>
          </w:pPr>
          <w:hyperlink w:anchor="__RefHeading___Toc12311_211582255">
            <w:r>
              <w:rPr>
                <w:webHidden/>
                <w:rStyle w:val="IndexLink"/>
              </w:rPr>
              <w:t>13 The PWL LUT Activation</w:t>
              <w:tab/>
              <w:t>104</w:t>
            </w:r>
          </w:hyperlink>
        </w:p>
        <w:p>
          <w:pPr>
            <w:pStyle w:val="TOC2"/>
            <w:tabs>
              <w:tab w:val="clear" w:pos="9077"/>
              <w:tab w:val="right" w:pos="9359" w:leader="dot"/>
            </w:tabs>
            <w:rPr/>
          </w:pPr>
          <w:hyperlink w:anchor="__RefHeading___Toc12313_211582255">
            <w:r>
              <w:rPr>
                <w:webHidden/>
                <w:rStyle w:val="IndexLink"/>
              </w:rPr>
              <w:t>13.1 Segments</w:t>
              <w:tab/>
              <w:t>105</w:t>
            </w:r>
          </w:hyperlink>
        </w:p>
        <w:p>
          <w:pPr>
            <w:pStyle w:val="TOC2"/>
            <w:tabs>
              <w:tab w:val="clear" w:pos="9077"/>
              <w:tab w:val="right" w:pos="9359" w:leader="dot"/>
            </w:tabs>
            <w:rPr/>
          </w:pPr>
          <w:hyperlink w:anchor="__RefHeading___Toc12315_211582255">
            <w:r>
              <w:rPr>
                <w:webHidden/>
                <w:rStyle w:val="IndexLink"/>
              </w:rPr>
              <w:t>13.2 Evaluation</w:t>
              <w:tab/>
              <w:t>106</w:t>
            </w:r>
          </w:hyperlink>
        </w:p>
        <w:p>
          <w:pPr>
            <w:pStyle w:val="TOC2"/>
            <w:tabs>
              <w:tab w:val="clear" w:pos="9077"/>
              <w:tab w:val="right" w:pos="9359" w:leader="dot"/>
            </w:tabs>
            <w:rPr/>
          </w:pPr>
          <w:hyperlink w:anchor="__RefHeading___Toc12317_211582255">
            <w:r>
              <w:rPr>
                <w:webHidden/>
                <w:rStyle w:val="IndexLink"/>
              </w:rPr>
              <w:t>13.3 Loading In-Band</w:t>
              <w:tab/>
              <w:t>107</w:t>
            </w:r>
          </w:hyperlink>
        </w:p>
        <w:p>
          <w:pPr>
            <w:pStyle w:val="TOC2"/>
            <w:tabs>
              <w:tab w:val="clear" w:pos="9077"/>
              <w:tab w:val="right" w:pos="9359" w:leader="dot"/>
            </w:tabs>
            <w:rPr/>
          </w:pPr>
          <w:hyperlink w:anchor="__RefHeading___Toc12319_211582255">
            <w:r>
              <w:rPr>
                <w:webHidden/>
                <w:rStyle w:val="IndexLink"/>
              </w:rPr>
              <w:t>13.4 The Table Builder</w:t>
              <w:tab/>
              <w:t>108</w:t>
            </w:r>
          </w:hyperlink>
        </w:p>
        <w:p>
          <w:pPr>
            <w:pStyle w:val="TOC1"/>
            <w:tabs>
              <w:tab w:val="clear" w:pos="9360"/>
              <w:tab w:val="right" w:pos="9359" w:leader="dot"/>
            </w:tabs>
            <w:rPr/>
          </w:pPr>
          <w:hyperlink w:anchor="__RefHeading___Toc12321_211582255">
            <w:r>
              <w:rPr>
                <w:webHidden/>
                <w:rStyle w:val="IndexLink"/>
              </w:rPr>
              <w:t>14 Format Conversions</w:t>
              <w:tab/>
              <w:t>109</w:t>
            </w:r>
          </w:hyperlink>
        </w:p>
        <w:p>
          <w:pPr>
            <w:pStyle w:val="TOC2"/>
            <w:tabs>
              <w:tab w:val="clear" w:pos="9077"/>
              <w:tab w:val="right" w:pos="9359" w:leader="dot"/>
            </w:tabs>
            <w:rPr/>
          </w:pPr>
          <w:hyperlink w:anchor="__RefHeading___Toc12323_211582255">
            <w:r>
              <w:rPr>
                <w:webHidden/>
                <w:rStyle w:val="IndexLink"/>
              </w:rPr>
              <w:t>14.1 Lane Packing</w:t>
              <w:tab/>
              <w:t>110</w:t>
            </w:r>
          </w:hyperlink>
        </w:p>
        <w:p>
          <w:pPr>
            <w:pStyle w:val="TOC2"/>
            <w:tabs>
              <w:tab w:val="clear" w:pos="9077"/>
              <w:tab w:val="right" w:pos="9359" w:leader="dot"/>
            </w:tabs>
            <w:rPr/>
          </w:pPr>
          <w:hyperlink w:anchor="__RefHeading___Toc12325_211582255">
            <w:r>
              <w:rPr>
                <w:webHidden/>
                <w:rStyle w:val="IndexLink"/>
              </w:rPr>
              <w:t>14.2 Pairs</w:t>
              <w:tab/>
              <w:t>111</w:t>
            </w:r>
          </w:hyperlink>
        </w:p>
        <w:p>
          <w:pPr>
            <w:pStyle w:val="TOC2"/>
            <w:tabs>
              <w:tab w:val="clear" w:pos="9077"/>
              <w:tab w:val="right" w:pos="9359" w:leader="dot"/>
            </w:tabs>
            <w:rPr/>
          </w:pPr>
          <w:hyperlink w:anchor="__RefHeading___Toc12327_211582255">
            <w:r>
              <w:rPr>
                <w:webHidden/>
                <w:rStyle w:val="IndexLink"/>
              </w:rPr>
              <w:t>14.3 ALTFMT (bf16 only)</w:t>
              <w:tab/>
              <w:t>112</w:t>
            </w:r>
          </w:hyperlink>
        </w:p>
        <w:p>
          <w:pPr>
            <w:pStyle w:val="TOC1"/>
            <w:tabs>
              <w:tab w:val="clear" w:pos="9360"/>
              <w:tab w:val="right" w:pos="9359" w:leader="dot"/>
            </w:tabs>
            <w:rPr/>
          </w:pPr>
          <w:hyperlink w:anchor="__RefHeading___Toc12329_211582255">
            <w:r>
              <w:rPr>
                <w:webHidden/>
                <w:rStyle w:val="IndexLink"/>
              </w:rPr>
              <w:t>15 The Issue Seam</w:t>
              <w:tab/>
              <w:t>113</w:t>
            </w:r>
          </w:hyperlink>
        </w:p>
        <w:p>
          <w:pPr>
            <w:pStyle w:val="TOC2"/>
            <w:tabs>
              <w:tab w:val="clear" w:pos="9077"/>
              <w:tab w:val="right" w:pos="9359" w:leader="dot"/>
            </w:tabs>
            <w:rPr/>
          </w:pPr>
          <w:hyperlink w:anchor="__RefHeading___Toc12331_211582255">
            <w:r>
              <w:rPr>
                <w:webHidden/>
                <w:rStyle w:val="IndexLink"/>
              </w:rPr>
              <w:t>15.1 Signal Contract</w:t>
              <w:tab/>
              <w:t>114</w:t>
            </w:r>
          </w:hyperlink>
        </w:p>
        <w:p>
          <w:pPr>
            <w:pStyle w:val="TOC2"/>
            <w:tabs>
              <w:tab w:val="clear" w:pos="9077"/>
              <w:tab w:val="right" w:pos="9359" w:leader="dot"/>
            </w:tabs>
            <w:rPr/>
          </w:pPr>
          <w:hyperlink w:anchor="__RefHeading___Toc12333_211582255">
            <w:r>
              <w:rPr>
                <w:webHidden/>
                <w:rStyle w:val="IndexLink"/>
              </w:rPr>
              <w:t>15.2 Handshake Rules</w:t>
              <w:tab/>
              <w:t>116</w:t>
            </w:r>
          </w:hyperlink>
        </w:p>
        <w:p>
          <w:pPr>
            <w:pStyle w:val="TOC3"/>
            <w:tabs>
              <w:tab w:val="clear" w:pos="8793"/>
              <w:tab w:val="right" w:pos="9359" w:leader="dot"/>
            </w:tabs>
            <w:rPr/>
          </w:pPr>
          <w:hyperlink w:anchor="__RefHeading___Toc12335_211582255">
            <w:r>
              <w:rPr>
                <w:webHidden/>
                <w:rStyle w:val="IndexLink"/>
              </w:rPr>
              <w:t>15.2.1 Waveform 3.1: Elastic handshake — natural latency, output stall, ready stays high</w:t>
              <w:tab/>
              <w:t>117</w:t>
            </w:r>
          </w:hyperlink>
        </w:p>
        <w:p>
          <w:pPr>
            <w:pStyle w:val="TOC3"/>
            <w:tabs>
              <w:tab w:val="clear" w:pos="8793"/>
              <w:tab w:val="right" w:pos="9359" w:leader="dot"/>
            </w:tabs>
            <w:rPr/>
          </w:pPr>
          <w:hyperlink w:anchor="__RefHeading___Toc12337_211582255">
            <w:r>
              <w:rPr>
                <w:webHidden/>
                <w:rStyle w:val="IndexLink"/>
              </w:rPr>
              <w:t>15.2.2 Waveform 3.2: Back-to-back issue — mixed latencies, in-order results</w:t>
              <w:tab/>
              <w:t>117</w:t>
            </w:r>
          </w:hyperlink>
        </w:p>
        <w:p>
          <w:pPr>
            <w:pStyle w:val="TOC2"/>
            <w:tabs>
              <w:tab w:val="clear" w:pos="9077"/>
              <w:tab w:val="right" w:pos="9359" w:leader="dot"/>
            </w:tabs>
            <w:rPr/>
          </w:pPr>
          <w:hyperlink w:anchor="__RefHeading___Toc12339_211582255">
            <w:r>
              <w:rPr>
                <w:webHidden/>
                <w:rStyle w:val="IndexLink"/>
              </w:rPr>
              <w:t>15.3 Boundary Notes</w:t>
              <w:tab/>
              <w:t>118</w:t>
            </w:r>
          </w:hyperlink>
        </w:p>
        <w:p>
          <w:pPr>
            <w:pStyle w:val="TOC1"/>
            <w:tabs>
              <w:tab w:val="clear" w:pos="9360"/>
              <w:tab w:val="right" w:pos="9359" w:leader="dot"/>
            </w:tabs>
            <w:rPr/>
          </w:pPr>
          <w:hyperlink w:anchor="__RefHeading___Toc12341_211582255">
            <w:r>
              <w:rPr>
                <w:webHidden/>
                <w:rStyle w:val="IndexLink"/>
              </w:rPr>
              <w:t>16 The Compute Cycle, per Opcode Class</w:t>
              <w:tab/>
              <w:t>119</w:t>
            </w:r>
          </w:hyperlink>
        </w:p>
        <w:p>
          <w:pPr>
            <w:pStyle w:val="TOC2"/>
            <w:tabs>
              <w:tab w:val="clear" w:pos="9077"/>
              <w:tab w:val="right" w:pos="9359" w:leader="dot"/>
            </w:tabs>
            <w:rPr/>
          </w:pPr>
          <w:hyperlink w:anchor="__RefHeading___Toc12343_211582255">
            <w:r>
              <w:rPr>
                <w:webHidden/>
                <w:rStyle w:val="IndexLink"/>
              </w:rPr>
              <w:t>16.1 Unary Rows (copy, relu, activations, PWL, const)</w:t>
              <w:tab/>
              <w:t>120</w:t>
            </w:r>
          </w:hyperlink>
        </w:p>
        <w:p>
          <w:pPr>
            <w:pStyle w:val="TOC2"/>
            <w:tabs>
              <w:tab w:val="clear" w:pos="9077"/>
              <w:tab w:val="right" w:pos="9359" w:leader="dot"/>
            </w:tabs>
            <w:rPr/>
          </w:pPr>
          <w:hyperlink w:anchor="__RefHeading___Toc12345_211582255">
            <w:r>
              <w:rPr>
                <w:webHidden/>
                <w:rStyle w:val="IndexLink"/>
              </w:rPr>
              <w:t>16.2 Binary Rows (add, sub, mul, min/max, compare)</w:t>
              <w:tab/>
              <w:t>121</w:t>
            </w:r>
          </w:hyperlink>
        </w:p>
        <w:p>
          <w:pPr>
            <w:pStyle w:val="TOC2"/>
            <w:tabs>
              <w:tab w:val="clear" w:pos="9077"/>
              <w:tab w:val="right" w:pos="9359" w:leader="dot"/>
            </w:tabs>
            <w:rPr/>
          </w:pPr>
          <w:hyperlink w:anchor="__RefHeading___Toc12347_211582255">
            <w:r>
              <w:rPr>
                <w:webHidden/>
                <w:rStyle w:val="IndexLink"/>
              </w:rPr>
              <w:t>16.3 Conversions</w:t>
              <w:tab/>
              <w:t>122</w:t>
            </w:r>
          </w:hyperlink>
        </w:p>
        <w:p>
          <w:pPr>
            <w:pStyle w:val="TOC2"/>
            <w:tabs>
              <w:tab w:val="clear" w:pos="9077"/>
              <w:tab w:val="right" w:pos="9359" w:leader="dot"/>
            </w:tabs>
            <w:rPr/>
          </w:pPr>
          <w:hyperlink w:anchor="__RefHeading___Toc12349_211582255">
            <w:r>
              <w:rPr>
                <w:webHidden/>
                <w:rStyle w:val="IndexLink"/>
              </w:rPr>
              <w:t>16.4 MAC and REDUCE (the chains that matter)</w:t>
              <w:tab/>
              <w:t>123</w:t>
            </w:r>
          </w:hyperlink>
        </w:p>
        <w:p>
          <w:pPr>
            <w:pStyle w:val="TOC3"/>
            <w:tabs>
              <w:tab w:val="clear" w:pos="8793"/>
              <w:tab w:val="right" w:pos="9359" w:leader="dot"/>
            </w:tabs>
            <w:rPr/>
          </w:pPr>
          <w:hyperlink w:anchor="__RefHeading___Toc12351_211582255">
            <w:r>
              <w:rPr>
                <w:webHidden/>
                <w:rStyle w:val="IndexLink"/>
              </w:rPr>
              <w:t>16.4.1 Waveform 4.1: MAC chain — clear, three accumulates, drain</w:t>
              <w:tab/>
              <w:t>123</w:t>
            </w:r>
          </w:hyperlink>
        </w:p>
        <w:p>
          <w:pPr>
            <w:pStyle w:val="TOC2"/>
            <w:tabs>
              <w:tab w:val="clear" w:pos="9077"/>
              <w:tab w:val="right" w:pos="9359" w:leader="dot"/>
            </w:tabs>
            <w:rPr/>
          </w:pPr>
          <w:hyperlink w:anchor="__RefHeading___Toc12353_211582255">
            <w:r>
              <w:rPr>
                <w:webHidden/>
                <w:rStyle w:val="IndexLink"/>
              </w:rPr>
              <w:t>16.5 Overlapping Invocations</w:t>
              <w:tab/>
              <w:t>124</w:t>
            </w:r>
          </w:hyperlink>
        </w:p>
        <w:p>
          <w:pPr>
            <w:pStyle w:val="TOC1"/>
            <w:tabs>
              <w:tab w:val="clear" w:pos="9360"/>
              <w:tab w:val="right" w:pos="9359" w:leader="dot"/>
            </w:tabs>
            <w:rPr/>
          </w:pPr>
          <w:hyperlink w:anchor="__RefHeading___Toc12355_211582255">
            <w:r>
              <w:rPr>
                <w:webHidden/>
                <w:rStyle w:val="IndexLink"/>
              </w:rPr>
              <w:t>17 Verification Hooks and Observability</w:t>
              <w:tab/>
              <w:t>125</w:t>
            </w:r>
          </w:hyperlink>
        </w:p>
        <w:p>
          <w:pPr>
            <w:pStyle w:val="TOC2"/>
            <w:tabs>
              <w:tab w:val="clear" w:pos="9077"/>
              <w:tab w:val="right" w:pos="9359" w:leader="dot"/>
            </w:tabs>
            <w:rPr/>
          </w:pPr>
          <w:hyperlink w:anchor="__RefHeading___Toc12357_211582255">
            <w:r>
              <w:rPr>
                <w:webHidden/>
                <w:rStyle w:val="IndexLink"/>
              </w:rPr>
              <w:t>17.1 The Golden Models: the Library’s Own</w:t>
              <w:tab/>
              <w:t>126</w:t>
            </w:r>
          </w:hyperlink>
        </w:p>
        <w:p>
          <w:pPr>
            <w:pStyle w:val="TOC2"/>
            <w:tabs>
              <w:tab w:val="clear" w:pos="9077"/>
              <w:tab w:val="right" w:pos="9359" w:leader="dot"/>
            </w:tabs>
            <w:rPr/>
          </w:pPr>
          <w:hyperlink w:anchor="__RefHeading___Toc12359_211582255">
            <w:r>
              <w:rPr>
                <w:webHidden/>
                <w:rStyle w:val="IndexLink"/>
              </w:rPr>
              <w:t>17.2 Scenarios</w:t>
              <w:tab/>
              <w:t>127</w:t>
            </w:r>
          </w:hyperlink>
        </w:p>
        <w:p>
          <w:pPr>
            <w:pStyle w:val="TOC2"/>
            <w:tabs>
              <w:tab w:val="clear" w:pos="9077"/>
              <w:tab w:val="right" w:pos="9359" w:leader="dot"/>
            </w:tabs>
            <w:rPr/>
          </w:pPr>
          <w:hyperlink w:anchor="__RefHeading___Toc12361_211582255">
            <w:r>
              <w:rPr>
                <w:webHidden/>
                <w:rStyle w:val="IndexLink"/>
              </w:rPr>
              <w:t>17.3 Build Configurations</w:t>
              <w:tab/>
              <w:t>128</w:t>
            </w:r>
          </w:hyperlink>
        </w:p>
        <w:p>
          <w:pPr>
            <w:pStyle w:val="TOC2"/>
            <w:tabs>
              <w:tab w:val="clear" w:pos="9077"/>
              <w:tab w:val="right" w:pos="9359" w:leader="dot"/>
            </w:tabs>
            <w:rPr/>
          </w:pPr>
          <w:hyperlink w:anchor="__RefHeading___Toc12363_211582255">
            <w:r>
              <w:rPr>
                <w:webHidden/>
                <w:rStyle w:val="IndexLink"/>
              </w:rPr>
              <w:t>17.4 Coverage Matrix</w:t>
              <w:tab/>
              <w:t>129</w:t>
            </w:r>
          </w:hyperlink>
        </w:p>
        <w:p>
          <w:pPr>
            <w:pStyle w:val="TOC2"/>
            <w:tabs>
              <w:tab w:val="clear" w:pos="9077"/>
              <w:tab w:val="right" w:pos="9359" w:leader="dot"/>
            </w:tabs>
            <w:rPr/>
          </w:pPr>
          <w:hyperlink w:anchor="__RefHeading___Toc12365_211582255">
            <w:r>
              <w:rPr>
                <w:webHidden/>
                <w:rStyle w:val="IndexLink"/>
              </w:rPr>
              <w:t>17.5 Observability</w:t>
              <w:tab/>
              <w:t>130</w:t>
            </w:r>
          </w:hyperlink>
        </w:p>
        <w:p>
          <w:pPr>
            <w:pStyle w:val="TOC1"/>
            <w:tabs>
              <w:tab w:val="clear" w:pos="9360"/>
              <w:tab w:val="right" w:pos="9359" w:leader="dot"/>
            </w:tabs>
            <w:rPr/>
          </w:pPr>
          <w:hyperlink w:anchor="__RefHeading___Toc12367_211582255">
            <w:r>
              <w:rPr>
                <w:webHidden/>
                <w:rStyle w:val="IndexLink"/>
              </w:rPr>
              <w:t>18 Parameters, Encodings, and Open Items</w:t>
              <w:tab/>
              <w:t>131</w:t>
            </w:r>
          </w:hyperlink>
        </w:p>
        <w:p>
          <w:pPr>
            <w:pStyle w:val="TOC2"/>
            <w:tabs>
              <w:tab w:val="clear" w:pos="9077"/>
              <w:tab w:val="right" w:pos="9359" w:leader="dot"/>
            </w:tabs>
            <w:rPr/>
          </w:pPr>
          <w:hyperlink w:anchor="__RefHeading___Toc12369_211582255">
            <w:r>
              <w:rPr>
                <w:webHidden/>
                <w:rStyle w:val="IndexLink"/>
              </w:rPr>
              <w:t>18.1 Parameters</w:t>
              <w:tab/>
              <w:t>131</w:t>
            </w:r>
          </w:hyperlink>
        </w:p>
        <w:p>
          <w:pPr>
            <w:pStyle w:val="TOC2"/>
            <w:tabs>
              <w:tab w:val="clear" w:pos="9077"/>
              <w:tab w:val="right" w:pos="9359" w:leader="dot"/>
            </w:tabs>
            <w:rPr/>
          </w:pPr>
          <w:hyperlink w:anchor="__RefHeading___Toc12371_211582255">
            <w:r>
              <w:rPr>
                <w:webHidden/>
                <w:rStyle w:val="IndexLink"/>
              </w:rPr>
              <w:t>18.2 func_sel Encoding</w:t>
              <w:tab/>
              <w:t>132</w:t>
            </w:r>
          </w:hyperlink>
        </w:p>
        <w:p>
          <w:pPr>
            <w:pStyle w:val="TOC2"/>
            <w:tabs>
              <w:tab w:val="clear" w:pos="9077"/>
              <w:tab w:val="right" w:pos="9359" w:leader="dot"/>
            </w:tabs>
            <w:rPr/>
          </w:pPr>
          <w:hyperlink w:anchor="__RefHeading___Toc12373_211582255">
            <w:r>
              <w:rPr>
                <w:webHidden/>
                <w:rStyle w:val="IndexLink"/>
              </w:rPr>
              <w:t>18.3 acc_ctrl Encoding</w:t>
              <w:tab/>
              <w:t>133</w:t>
            </w:r>
          </w:hyperlink>
        </w:p>
        <w:p>
          <w:pPr>
            <w:pStyle w:val="TOC2"/>
            <w:tabs>
              <w:tab w:val="clear" w:pos="9077"/>
              <w:tab w:val="right" w:pos="9359" w:leader="dot"/>
            </w:tabs>
            <w:rPr/>
          </w:pPr>
          <w:hyperlink w:anchor="__RefHeading___Toc12375_211582255">
            <w:r>
              <w:rPr>
                <w:webHidden/>
                <w:rStyle w:val="IndexLink"/>
              </w:rPr>
              <w:t>18.4 threshold_imm Uses</w:t>
              <w:tab/>
              <w:t>134</w:t>
            </w:r>
          </w:hyperlink>
        </w:p>
        <w:p>
          <w:pPr>
            <w:pStyle w:val="TOC2"/>
            <w:tabs>
              <w:tab w:val="clear" w:pos="9077"/>
              <w:tab w:val="right" w:pos="9359" w:leader="dot"/>
            </w:tabs>
            <w:rPr/>
          </w:pPr>
          <w:hyperlink w:anchor="__RefHeading___Toc12377_211582255">
            <w:r>
              <w:rPr>
                <w:webHidden/>
                <w:rStyle w:val="IndexLink"/>
              </w:rPr>
              <w:t>18.5 Filelists</w:t>
              <w:tab/>
              <w:t>135</w:t>
            </w:r>
          </w:hyperlink>
        </w:p>
        <w:p>
          <w:pPr>
            <w:pStyle w:val="TOC2"/>
            <w:tabs>
              <w:tab w:val="clear" w:pos="9077"/>
              <w:tab w:val="right" w:pos="9359" w:leader="dot"/>
            </w:tabs>
            <w:rPr/>
          </w:pPr>
          <w:hyperlink w:anchor="__RefHeading___Toc12379_211582255">
            <w:r>
              <w:rPr>
                <w:webHidden/>
                <w:rStyle w:val="IndexLink"/>
              </w:rPr>
              <w:t>18.6 Open Items Register</w:t>
              <w:tab/>
              <w:t>136</w:t>
            </w:r>
          </w:hyperlink>
          <w:r>
            <w:rPr>
              <w:rStyle w:val="IndexLink"/>
            </w:rPr>
            <w:fldChar w:fldCharType="end"/>
          </w:r>
        </w:p>
      </w:sdtContent>
    </w:sdt>
    <w:p>
      <w:pPr>
        <w:pStyle w:val="Normal"/>
        <w:rPr/>
      </w:pPr>
      <w:r>
        <w:rPr/>
      </w:r>
      <w:bookmarkStart w:id="0" w:name="alu-infer-mas-index"/>
      <w:bookmarkStart w:id="1" w:name="alu-infer-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Cell_top_level_block">
        <w:r>
          <w:rPr>
            <w:rStyle w:val="ListLabel1"/>
            <w:color w:val="000000"/>
            <w:sz w:val="24"/>
          </w:rPr>
          <w:t>Figure 1: Cell top-level block plan (house style — three flows: programming down the center, operand fill on the left, results and credits back up the right)</w:t>
        </w:r>
        <w:r>
          <w:rPr>
            <w:rStyle w:val="ListLabel1"/>
          </w:rPr>
          <w:tab/>
        </w:r>
        <w:r>
          <w:rPr>
            <w:rStyle w:val="ListLabel1"/>
          </w:rPr>
          <w:fldChar w:fldCharType="begin"/>
        </w:r>
        <w:r>
          <w:rPr>
            <w:rStyle w:val="ListLabel1"/>
          </w:rPr>
          <w:instrText xml:space="preserve"> PAGEREF _Fig_1_Cell_top_level_block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Fig_2_ALU_INFER_datapath_o">
        <w:r>
          <w:rPr>
            <w:rStyle w:val="ListLabel1"/>
            <w:color w:val="000000"/>
            <w:sz w:val="24"/>
          </w:rPr>
          <w:t>Figure 1.1: ALU-INFER datapath overview</w:t>
        </w:r>
        <w:r>
          <w:rPr>
            <w:rStyle w:val="ListLabel1"/>
          </w:rPr>
          <w:tab/>
        </w:r>
        <w:r>
          <w:rPr>
            <w:rStyle w:val="ListLabel1"/>
          </w:rPr>
          <w:fldChar w:fldCharType="begin"/>
        </w:r>
        <w:r>
          <w:rPr>
            <w:rStyle w:val="ListLabel1"/>
          </w:rPr>
          <w:instrText xml:space="preserve"> PAGEREF _Fig_2_ALU_INFER_datapath_o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Fig_3_ALU_INFER_full_block">
        <w:r>
          <w:rPr>
            <w:rStyle w:val="ListLabel1"/>
            <w:color w:val="000000"/>
            <w:sz w:val="24"/>
          </w:rPr>
          <w:t>Figure 2.1: ALU-INFER full block diagram</w:t>
        </w:r>
        <w:r>
          <w:rPr>
            <w:rStyle w:val="ListLabel1"/>
          </w:rPr>
          <w:tab/>
        </w:r>
        <w:r>
          <w:rPr>
            <w:rStyle w:val="ListLabel1"/>
          </w:rPr>
          <w:fldChar w:fldCharType="begin"/>
        </w:r>
        <w:r>
          <w:rPr>
            <w:rStyle w:val="ListLabel1"/>
          </w:rPr>
          <w:instrText xml:space="preserve"> PAGEREF _Fig_3_ALU_INFER_full_block \h </w:instrText>
        </w:r>
        <w:r>
          <w:rPr>
            <w:rStyle w:val="ListLabel1"/>
          </w:rPr>
          <w:fldChar w:fldCharType="separate"/>
        </w:r>
        <w:r>
          <w:rPr>
            <w:rStyle w:val="ListLabel1"/>
          </w:rPr>
          <w:t>83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information">
        <w:r>
          <w:rPr>
            <w:rStyle w:val="ListLabel1"/>
            <w:color w:val="000000"/>
            <w:sz w:val="24"/>
          </w:rPr>
          <w:t>Table 1: Document information</w:t>
        </w:r>
        <w:r>
          <w:rPr>
            <w:rStyle w:val="ListLabel1"/>
          </w:rPr>
          <w:tab/>
        </w:r>
        <w:r>
          <w:rPr>
            <w:rStyle w:val="ListLabel1"/>
          </w:rPr>
          <w:fldChar w:fldCharType="begin"/>
        </w:r>
        <w:r>
          <w:rPr>
            <w:rStyle w:val="ListLabel1"/>
          </w:rPr>
          <w:instrText xml:space="preserve"> PAGEREF _Tab_1_Document_information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3_Table_1_1__element_f">
        <w:r>
          <w:rPr>
            <w:rStyle w:val="ListLabel1"/>
            <w:color w:val="000000"/>
            <w:sz w:val="24"/>
          </w:rPr>
          <w:t>Table 3: Table 1.1: element formats</w:t>
        </w:r>
        <w:r>
          <w:rPr>
            <w:rStyle w:val="ListLabel1"/>
          </w:rPr>
          <w:tab/>
        </w:r>
        <w:r>
          <w:rPr>
            <w:rStyle w:val="ListLabel1"/>
          </w:rPr>
          <w:fldChar w:fldCharType="begin"/>
        </w:r>
        <w:r>
          <w:rPr>
            <w:rStyle w:val="ListLabel1"/>
          </w:rPr>
          <w:instrText xml:space="preserve"> PAGEREF _Tab_3_Table_1_1__element_f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4_Table_2_1__alu_infer">
        <w:r>
          <w:rPr>
            <w:rStyle w:val="ListLabel1"/>
            <w:color w:val="000000"/>
            <w:sz w:val="24"/>
          </w:rPr>
          <w:t>Table 4: Table 2.1: alu_infer_top parameters</w:t>
        </w:r>
        <w:r>
          <w:rPr>
            <w:rStyle w:val="ListLabel1"/>
          </w:rPr>
          <w:tab/>
        </w:r>
        <w:r>
          <w:rPr>
            <w:rStyle w:val="ListLabel1"/>
          </w:rPr>
          <w:fldChar w:fldCharType="begin"/>
        </w:r>
        <w:r>
          <w:rPr>
            <w:rStyle w:val="ListLabel1"/>
          </w:rPr>
          <w:instrText xml:space="preserve"> PAGEREF _Tab_4_Table_2_1__alu_infer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5_Table_2_2__the_funct">
        <w:r>
          <w:rPr>
            <w:rStyle w:val="ListLabel1"/>
            <w:color w:val="000000"/>
            <w:sz w:val="24"/>
          </w:rPr>
          <w:t>Table 5: Table 2.2: the function rows</w:t>
        </w:r>
        <w:r>
          <w:rPr>
            <w:rStyle w:val="ListLabel1"/>
          </w:rPr>
          <w:tab/>
        </w:r>
        <w:r>
          <w:rPr>
            <w:rStyle w:val="ListLabel1"/>
          </w:rPr>
          <w:fldChar w:fldCharType="begin"/>
        </w:r>
        <w:r>
          <w:rPr>
            <w:rStyle w:val="ListLabel1"/>
          </w:rPr>
          <w:instrText xml:space="preserve"> PAGEREF _Tab_5_Table_2_2__the_funct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6_Table_2_3__elementwi">
        <w:r>
          <w:rPr>
            <w:rStyle w:val="ListLabel1"/>
            <w:color w:val="000000"/>
            <w:sz w:val="24"/>
          </w:rPr>
          <w:t>Table 6: Table 2.3: elementwise rows</w:t>
        </w:r>
        <w:r>
          <w:rPr>
            <w:rStyle w:val="ListLabel1"/>
          </w:rPr>
          <w:tab/>
        </w:r>
        <w:r>
          <w:rPr>
            <w:rStyle w:val="ListLabel1"/>
          </w:rPr>
          <w:fldChar w:fldCharType="begin"/>
        </w:r>
        <w:r>
          <w:rPr>
            <w:rStyle w:val="ListLabel1"/>
          </w:rPr>
          <w:instrText xml:space="preserve"> PAGEREF _Tab_6_Table_2_3__elementwi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7_Table_2_4__accumulat">
        <w:r>
          <w:rPr>
            <w:rStyle w:val="ListLabel1"/>
            <w:color w:val="000000"/>
            <w:sz w:val="24"/>
          </w:rPr>
          <w:t>Table 7: Table 2.4: accumulate operation per format</w:t>
        </w:r>
        <w:r>
          <w:rPr>
            <w:rStyle w:val="ListLabel1"/>
          </w:rPr>
          <w:tab/>
        </w:r>
        <w:r>
          <w:rPr>
            <w:rStyle w:val="ListLabel1"/>
          </w:rPr>
          <w:fldChar w:fldCharType="begin"/>
        </w:r>
        <w:r>
          <w:rPr>
            <w:rStyle w:val="ListLabel1"/>
          </w:rPr>
          <w:instrText xml:space="preserve"> PAGEREF _Tab_7_Table_2_4__accumulat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8_Table_2_5__accumulat">
        <w:r>
          <w:rPr>
            <w:rStyle w:val="ListLabel1"/>
            <w:color w:val="000000"/>
            <w:sz w:val="24"/>
          </w:rPr>
          <w:t>Table 8: Table 2.5: accumulator actions</w:t>
        </w:r>
        <w:r>
          <w:rPr>
            <w:rStyle w:val="ListLabel1"/>
          </w:rPr>
          <w:tab/>
        </w:r>
        <w:r>
          <w:rPr>
            <w:rStyle w:val="ListLabel1"/>
          </w:rPr>
          <w:fldChar w:fldCharType="begin"/>
        </w:r>
        <w:r>
          <w:rPr>
            <w:rStyle w:val="ListLabel1"/>
          </w:rPr>
          <w:instrText xml:space="preserve"> PAGEREF _Tab_8_Table_2_5__accumulat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9_Table_2_6__result_po">
        <w:r>
          <w:rPr>
            <w:rStyle w:val="ListLabel1"/>
            <w:color w:val="000000"/>
            <w:sz w:val="24"/>
          </w:rPr>
          <w:t>Table 9: Table 2.6: result ports</w:t>
        </w:r>
        <w:r>
          <w:rPr>
            <w:rStyle w:val="ListLabel1"/>
          </w:rPr>
          <w:tab/>
        </w:r>
        <w:r>
          <w:rPr>
            <w:rStyle w:val="ListLabel1"/>
          </w:rPr>
          <w:fldChar w:fldCharType="begin"/>
        </w:r>
        <w:r>
          <w:rPr>
            <w:rStyle w:val="ListLabel1"/>
          </w:rPr>
          <w:instrText xml:space="preserve"> PAGEREF _Tab_9_Table_2_6__result_po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10_Table_2_7__modeled_P">
        <w:r>
          <w:rPr>
            <w:rStyle w:val="ListLabel1"/>
            <w:color w:val="000000"/>
            <w:sz w:val="24"/>
          </w:rPr>
          <w:t>Table 10: Table 2.7: modeled PWL accuracy (relative error only where |f| &gt; 2^-6)</w:t>
        </w:r>
        <w:r>
          <w:rPr>
            <w:rStyle w:val="ListLabel1"/>
          </w:rPr>
          <w:tab/>
        </w:r>
        <w:r>
          <w:rPr>
            <w:rStyle w:val="ListLabel1"/>
          </w:rPr>
          <w:fldChar w:fldCharType="begin"/>
        </w:r>
        <w:r>
          <w:rPr>
            <w:rStyle w:val="ListLabel1"/>
          </w:rPr>
          <w:instrText xml:space="preserve"> PAGEREF _Tab_10_Table_2_7__modeled_P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11_Table_2_8__CVT_pairs">
        <w:r>
          <w:rPr>
            <w:rStyle w:val="ListLabel1"/>
            <w:color w:val="000000"/>
            <w:sz w:val="24"/>
          </w:rPr>
          <w:t>Table 11: Table 2.8: CVT pairs</w:t>
        </w:r>
        <w:r>
          <w:rPr>
            <w:rStyle w:val="ListLabel1"/>
          </w:rPr>
          <w:tab/>
        </w:r>
        <w:r>
          <w:rPr>
            <w:rStyle w:val="ListLabel1"/>
          </w:rPr>
          <w:fldChar w:fldCharType="begin"/>
        </w:r>
        <w:r>
          <w:rPr>
            <w:rStyle w:val="ListLabel1"/>
          </w:rPr>
          <w:instrText xml:space="preserve"> PAGEREF _Tab_11_Table_2_8__CVT_pairs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12_Table_2_9__ALTFMT_su">
        <w:r>
          <w:rPr>
            <w:rStyle w:val="ListLabel1"/>
            <w:color w:val="000000"/>
            <w:sz w:val="24"/>
          </w:rPr>
          <w:t>Table 12: Table 2.9: ALTFMT sub-ops</w:t>
        </w:r>
        <w:r>
          <w:rPr>
            <w:rStyle w:val="ListLabel1"/>
          </w:rPr>
          <w:tab/>
        </w:r>
        <w:r>
          <w:rPr>
            <w:rStyle w:val="ListLabel1"/>
          </w:rPr>
          <w:fldChar w:fldCharType="begin"/>
        </w:r>
        <w:r>
          <w:rPr>
            <w:rStyle w:val="ListLabel1"/>
          </w:rPr>
          <w:instrText xml:space="preserve"> PAGEREF _Tab_12_Table_2_9__ALTFMT_su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13_Table_3_1__issue_sea">
        <w:r>
          <w:rPr>
            <w:rStyle w:val="ListLabel1"/>
            <w:color w:val="000000"/>
            <w:sz w:val="24"/>
          </w:rPr>
          <w:t>Table 13: Table 3.1: issue-seam signals</w:t>
        </w:r>
        <w:r>
          <w:rPr>
            <w:rStyle w:val="ListLabel1"/>
          </w:rPr>
          <w:tab/>
        </w:r>
        <w:r>
          <w:rPr>
            <w:rStyle w:val="ListLabel1"/>
          </w:rPr>
          <w:fldChar w:fldCharType="begin"/>
        </w:r>
        <w:r>
          <w:rPr>
            <w:rStyle w:val="ListLabel1"/>
          </w:rPr>
          <w:instrText xml:space="preserve"> PAGEREF _Tab_13_Table_3_1__issue_sea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14_Table_5_1__test_scen">
        <w:r>
          <w:rPr>
            <w:rStyle w:val="ListLabel1"/>
            <w:color w:val="000000"/>
            <w:sz w:val="24"/>
          </w:rPr>
          <w:t>Table 14: Table 5.1: test scenarios</w:t>
        </w:r>
        <w:r>
          <w:rPr>
            <w:rStyle w:val="ListLabel1"/>
          </w:rPr>
          <w:tab/>
        </w:r>
        <w:r>
          <w:rPr>
            <w:rStyle w:val="ListLabel1"/>
          </w:rPr>
          <w:fldChar w:fldCharType="begin"/>
        </w:r>
        <w:r>
          <w:rPr>
            <w:rStyle w:val="ListLabel1"/>
          </w:rPr>
          <w:instrText xml:space="preserve"> PAGEREF _Tab_14_Table_5_1__test_scen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15_Table_5_2__build_con">
        <w:r>
          <w:rPr>
            <w:rStyle w:val="ListLabel1"/>
            <w:color w:val="000000"/>
            <w:sz w:val="24"/>
          </w:rPr>
          <w:t>Table 15: Table 5.2: build configurations</w:t>
        </w:r>
        <w:r>
          <w:rPr>
            <w:rStyle w:val="ListLabel1"/>
          </w:rPr>
          <w:tab/>
        </w:r>
        <w:r>
          <w:rPr>
            <w:rStyle w:val="ListLabel1"/>
          </w:rPr>
          <w:fldChar w:fldCharType="begin"/>
        </w:r>
        <w:r>
          <w:rPr>
            <w:rStyle w:val="ListLabel1"/>
          </w:rPr>
          <w:instrText xml:space="preserve"> PAGEREF _Tab_15_Table_5_2__build_con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16_Table_5_3__coverage_">
        <w:r>
          <w:rPr>
            <w:rStyle w:val="ListLabel1"/>
            <w:color w:val="000000"/>
            <w:sz w:val="24"/>
          </w:rPr>
          <w:t>Table 16: Table 5.3: coverage matrix</w:t>
        </w:r>
        <w:r>
          <w:rPr>
            <w:rStyle w:val="ListLabel1"/>
          </w:rPr>
          <w:tab/>
        </w:r>
        <w:r>
          <w:rPr>
            <w:rStyle w:val="ListLabel1"/>
          </w:rPr>
          <w:fldChar w:fldCharType="begin"/>
        </w:r>
        <w:r>
          <w:rPr>
            <w:rStyle w:val="ListLabel1"/>
          </w:rPr>
          <w:instrText xml:space="preserve"> PAGEREF _Tab_16_Table_5_3__coverage_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17_Table_6_1__func_sel_">
        <w:r>
          <w:rPr>
            <w:rStyle w:val="ListLabel1"/>
            <w:color w:val="000000"/>
            <w:sz w:val="24"/>
          </w:rPr>
          <w:t>Table 17: Table 6.1: func_sel fields</w:t>
        </w:r>
        <w:r>
          <w:rPr>
            <w:rStyle w:val="ListLabel1"/>
          </w:rPr>
          <w:tab/>
        </w:r>
        <w:r>
          <w:rPr>
            <w:rStyle w:val="ListLabel1"/>
          </w:rPr>
          <w:fldChar w:fldCharType="begin"/>
        </w:r>
        <w:r>
          <w:rPr>
            <w:rStyle w:val="ListLabel1"/>
          </w:rPr>
          <w:instrText xml:space="preserve"> PAGEREF _Tab_17_Table_6_1__func_sel_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18_Table_6_2__acc_ctrl_">
        <w:r>
          <w:rPr>
            <w:rStyle w:val="ListLabel1"/>
            <w:color w:val="000000"/>
            <w:sz w:val="24"/>
          </w:rPr>
          <w:t>Table 18: Table 6.2: acc_ctrl encoding (accepted 2026-10-17, “works for now”)</w:t>
        </w:r>
        <w:r>
          <w:rPr>
            <w:rStyle w:val="ListLabel1"/>
          </w:rPr>
          <w:tab/>
        </w:r>
        <w:r>
          <w:rPr>
            <w:rStyle w:val="ListLabel1"/>
          </w:rPr>
          <w:fldChar w:fldCharType="begin"/>
        </w:r>
        <w:r>
          <w:rPr>
            <w:rStyle w:val="ListLabel1"/>
          </w:rPr>
          <w:instrText xml:space="preserve"> PAGEREF _Tab_18_Table_6_2__acc_ctrl_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19_Table_6_3__immediate">
        <w:r>
          <w:rPr>
            <w:rStyle w:val="ListLabel1"/>
            <w:color w:val="000000"/>
            <w:sz w:val="24"/>
          </w:rPr>
          <w:t>Table 19: Table 6.3: immediate uses</w:t>
        </w:r>
        <w:r>
          <w:rPr>
            <w:rStyle w:val="ListLabel1"/>
          </w:rPr>
          <w:tab/>
        </w:r>
        <w:r>
          <w:rPr>
            <w:rStyle w:val="ListLabel1"/>
          </w:rPr>
          <w:fldChar w:fldCharType="begin"/>
        </w:r>
        <w:r>
          <w:rPr>
            <w:rStyle w:val="ListLabel1"/>
          </w:rPr>
          <w:instrText xml:space="preserve"> PAGEREF _Tab_19_Table_6_3__immediate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20_Table_6_4__open_item">
        <w:r>
          <w:rPr>
            <w:rStyle w:val="ListLabel1"/>
            <w:color w:val="000000"/>
            <w:sz w:val="24"/>
          </w:rPr>
          <w:t>Table 20: Table 6.4: open items M1–M8</w:t>
        </w:r>
        <w:r>
          <w:rPr>
            <w:rStyle w:val="ListLabel1"/>
          </w:rPr>
          <w:tab/>
        </w:r>
        <w:r>
          <w:rPr>
            <w:rStyle w:val="ListLabel1"/>
          </w:rPr>
          <w:fldChar w:fldCharType="begin"/>
        </w:r>
        <w:r>
          <w:rPr>
            <w:rStyle w:val="ListLabel1"/>
          </w:rPr>
          <w:instrText xml:space="preserve"> PAGEREF _Tab_20_Table_6_4__open_item \h </w:instrText>
        </w:r>
        <w:r>
          <w:rPr>
            <w:rStyle w:val="ListLabel1"/>
          </w:rPr>
          <w:fldChar w:fldCharType="separate"/>
        </w:r>
        <w:r>
          <w:rPr>
            <w:rStyle w:val="ListLabel1"/>
          </w:rPr>
          <w:t>136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3_1_Elastic_handshake___">
        <w:r>
          <w:rPr>
            <w:rStyle w:val="ListLabel1"/>
            <w:color w:val="000000"/>
            <w:sz w:val="24"/>
          </w:rPr>
          <w:t>Waveform 3.1: Elastic handshake — natural latency, output stall, ready stays high</w:t>
        </w:r>
        <w:r>
          <w:rPr>
            <w:rStyle w:val="ListLabel1"/>
          </w:rPr>
          <w:tab/>
        </w:r>
        <w:r>
          <w:rPr>
            <w:rStyle w:val="ListLabel1"/>
          </w:rPr>
          <w:fldChar w:fldCharType="begin"/>
        </w:r>
        <w:r>
          <w:rPr>
            <w:rStyle w:val="ListLabel1"/>
          </w:rPr>
          <w:instrText xml:space="preserve"> PAGEREF _Wave_3_1_Elastic_handshake___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Wave_3_2_Back_to_back_issue__">
        <w:r>
          <w:rPr>
            <w:rStyle w:val="ListLabel1"/>
            <w:color w:val="000000"/>
            <w:sz w:val="24"/>
          </w:rPr>
          <w:t>Waveform 3.2: Back-to-back issue — mixed latencies, in-order results</w:t>
        </w:r>
        <w:r>
          <w:rPr>
            <w:rStyle w:val="ListLabel1"/>
          </w:rPr>
          <w:tab/>
        </w:r>
        <w:r>
          <w:rPr>
            <w:rStyle w:val="ListLabel1"/>
          </w:rPr>
          <w:fldChar w:fldCharType="begin"/>
        </w:r>
        <w:r>
          <w:rPr>
            <w:rStyle w:val="ListLabel1"/>
          </w:rPr>
          <w:instrText xml:space="preserve"> PAGEREF _Wave_3_2_Back_to_back_issue__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Wave_4_1_MAC_chain___clear__t">
        <w:r>
          <w:rPr>
            <w:rStyle w:val="ListLabel1"/>
            <w:color w:val="000000"/>
            <w:sz w:val="24"/>
          </w:rPr>
          <w:t>Waveform 4.1: MAC chain — clear, three accumulates, drain</w:t>
        </w:r>
        <w:r>
          <w:rPr>
            <w:rStyle w:val="ListLabel1"/>
          </w:rPr>
          <w:tab/>
        </w:r>
        <w:r>
          <w:rPr>
            <w:rStyle w:val="ListLabel1"/>
          </w:rPr>
          <w:fldChar w:fldCharType="begin"/>
        </w:r>
        <w:r>
          <w:rPr>
            <w:rStyle w:val="ListLabel1"/>
          </w:rPr>
          <w:instrText xml:space="preserve"> PAGEREF _Wave_4_1_MAC_chain___clear__t \h </w:instrText>
        </w:r>
        <w:r>
          <w:rPr>
            <w:rStyle w:val="ListLabel1"/>
          </w:rPr>
          <w:fldChar w:fldCharType="separate"/>
        </w:r>
        <w:r>
          <w:rPr>
            <w:rStyle w:val="ListLabel1"/>
          </w:rPr>
          <w:t>123</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2103_211582255"/>
      <w:bookmarkEnd w:id="2"/>
      <w:r>
        <w:rPr>
          <w:rStyle w:val="SectionNumber"/>
          <w:b/>
          <w:color w:val="FFFFFF"/>
          <w:sz w:val="32"/>
        </w:rPr>
        <w:t>1</w:t>
      </w:r>
      <w:r>
        <w:rPr>
          <w:b/>
          <w:color w:val="FFFFFF"/>
          <w:sz w:val="32"/>
        </w:rPr>
        <w:tab/>
        <w:t>Alu Infer Mas Index</w:t>
      </w:r>
    </w:p>
    <w:p>
      <w:pPr>
        <w:pStyle w:val="FirstParagraph"/>
        <w:rPr/>
      </w:pPr>
      <w:r>
        <w:rPr>
          <w:b/>
          <w:bCs/>
          <w:sz w:val="20"/>
        </w:rPr>
        <w:t>Generated: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hyperlink r:id="rId3">
        <w:r>
          <w:rPr>
            <w:rStyle w:val="Hyperlink"/>
            <w:b/>
            <w:bCs/>
          </w:rPr>
          <w:t xml:space="preserve">← </w:t>
        </w:r>
        <w:r>
          <w:rPr>
            <w:rStyle w:val="Hyperlink"/>
            <w:b/>
            <w:bCs/>
          </w:rPr>
          <w:t>Back to compute-eng-ip</w:t>
        </w:r>
      </w:hyperlink>
      <w:bookmarkEnd w:id="1"/>
      <w:r>
        <w:br w:type="page"/>
      </w:r>
    </w:p>
    <w:p>
      <w:pPr>
        <w:pStyle w:val="Heading1"/>
        <w:shd w:val="clear" w:color="auto" w:fill="404040"/>
        <w:spacing w:before="360" w:after="120"/>
        <w:rPr/>
      </w:pPr>
      <w:bookmarkStart w:id="3" w:name="__RefHeading___Toc12105_211582255"/>
      <w:bookmarkStart w:id="4" w:name="X5133519a57097df74fa2fc51583c27d6bc5443f"/>
      <w:bookmarkEnd w:id="3"/>
      <w:r>
        <w:rPr>
          <w:rStyle w:val="SectionNumber"/>
          <w:b/>
          <w:color w:val="FFFFFF"/>
          <w:sz w:val="32"/>
        </w:rPr>
        <w:t>2</w:t>
      </w:r>
      <w:r>
        <w:rPr>
          <w:b/>
          <w:color w:val="FFFFFF"/>
          <w:sz w:val="32"/>
        </w:rPr>
        <w:tab/>
        <w:t>ALU-INFER — Cell Inference ALU Product Requirements Document</w:t>
      </w:r>
    </w:p>
    <w:p>
      <w:pPr>
        <w:pStyle w:val="FirstParagraph"/>
        <w:rPr/>
      </w:pPr>
      <w:r>
        <w:rPr>
          <w:b/>
          <w:bCs/>
          <w:sz w:val="20"/>
        </w:rPr>
        <w:t>Version:</w:t>
      </w:r>
      <w:r>
        <w:rPr>
          <w:sz w:val="20"/>
        </w:rPr>
        <w:t xml:space="preserve"> 0.50 (2026-10-18 — </w:t>
      </w:r>
      <w:r>
        <w:rPr>
          <w:b/>
          <w:bCs/>
          <w:sz w:val="20"/>
        </w:rPr>
        <w:t>revs pinned at 0.50 per owner, “for now,”</w:t>
      </w:r>
      <w:r>
        <w:rPr>
          <w:sz w:val="20"/>
        </w:rPr>
        <w:t xml:space="preserve"> while the ALU heads to the board; this rev accumulates every ruling to date). Accumulated since the v0.3 base: </w:t>
      </w:r>
      <w:r>
        <w:rPr>
          <w:b/>
          <w:bCs/>
          <w:sz w:val="20"/>
        </w:rPr>
        <w:t>tag-based elastic alignment</w:t>
      </w:r>
      <w:r>
        <w:rPr>
          <w:sz w:val="20"/>
        </w:rPr>
        <w:t xml:space="preserve"> (§4 invariant 3) — each loaded invocation takes an 8-bit tag, common to all ops that must execute in parallel; a FIFO tracks tags in flight; an op asserts its valid only when every op of its tag group is ready; tags stay inside the block and the seam keeps its two valid/ready pairs only; enables the §7 growth item (deep-pipelining the multiplier / FMA rows with the adder’s </w:t>
      </w:r>
      <w:r>
        <w:rPr>
          <w:rStyle w:val="VerbatimChar"/>
          <w:sz w:val="20"/>
        </w:rPr>
        <w:t>PIPE_STAGE_*</w:t>
      </w:r>
      <w:r>
        <w:rPr>
          <w:sz w:val="20"/>
        </w:rPr>
        <w:t xml:space="preserve"> pattern). </w:t>
      </w:r>
      <w:r>
        <w:rPr>
          <w:b/>
          <w:bCs/>
          <w:sz w:val="20"/>
        </w:rPr>
        <w:t>Tetrad-engine deferral / gatling ruling 2026-10-19</w:t>
      </w:r>
      <w:r>
        <w:rPr>
          <w:sz w:val="20"/>
        </w:rPr>
        <w:t xml:space="preserve"> (§5) — the per-tetrad core is defined after the cell is fully defined and working; the owner-authored gatling-rv32itetrad barrel-core PRD is the </w:t>
      </w:r>
      <w:r>
        <w:rPr>
          <w:b/>
          <w:bCs/>
          <w:sz w:val="20"/>
        </w:rPr>
        <w:t>selected sequencer</w:t>
      </w:r>
      <w:r>
        <w:rPr>
          <w:sz w:val="20"/>
        </w:rPr>
        <w:t xml:space="preserve"> for its tetrad (kestrel-class stays a </w:t>
      </w:r>
      <w:r>
        <w:rPr>
          <w:rStyle w:val="VerbatimChar"/>
          <w:sz w:val="20"/>
        </w:rPr>
        <w:t>CORE_FLAVOR</w:t>
      </w:r>
      <w:r>
        <w:rPr>
          <w:sz w:val="20"/>
        </w:rPr>
        <w:t xml:space="preserve"> candidate). </w:t>
      </w:r>
      <w:r>
        <w:rPr>
          <w:b/>
          <w:bCs/>
          <w:sz w:val="20"/>
        </w:rPr>
        <w:t>Port-width correction</w:t>
      </w:r>
      <w:r>
        <w:rPr>
          <w:sz w:val="20"/>
        </w:rPr>
        <w:t xml:space="preserve"> — operand ports stay </w:t>
      </w:r>
      <w:r>
        <w:rPr>
          <w:rStyle w:val="VerbatimChar"/>
          <w:sz w:val="20"/>
        </w:rPr>
        <w:t>LINE_W</w:t>
      </w:r>
      <w:r>
        <w:rPr>
          <w:sz w:val="20"/>
        </w:rPr>
        <w:t xml:space="preserve"> each (one line per side, both captured in the same clock); the earlier “widening” was a line-vs-lane mis-count. </w:t>
      </w:r>
      <w:r>
        <w:rPr>
          <w:b/>
          <w:bCs/>
          <w:sz w:val="20"/>
        </w:rPr>
        <w:t>Owner accept-and-defer</w:t>
      </w:r>
      <w:r>
        <w:rPr>
          <w:sz w:val="20"/>
        </w:rPr>
        <w:t xml:space="preserve"> — M7 and </w:t>
      </w:r>
      <w:r>
        <w:rPr>
          <w:rStyle w:val="VerbatimChar"/>
          <w:sz w:val="20"/>
        </w:rPr>
        <w:t>acc_ctrl</w:t>
      </w:r>
      <w:r>
        <w:rPr>
          <w:sz w:val="20"/>
        </w:rPr>
        <w:t xml:space="preserve"> accepted as drafted; per-row latency work deferred to FPGA bring-up (M8). </w:t>
      </w:r>
      <w:r>
        <w:rPr>
          <w:b/>
          <w:bCs/>
          <w:sz w:val="20"/>
        </w:rPr>
        <w:t>Elastic-pipeline interface</w:t>
      </w:r>
      <w:r>
        <w:rPr>
          <w:sz w:val="20"/>
        </w:rPr>
        <w:t xml:space="preserve"> — valid/ready at both ends, backpressure freezes the alignment tracking, II=1 while draining, no padded stages on quick rows, in-order results. </w:t>
      </w:r>
      <w:r>
        <w:rPr>
          <w:b/>
          <w:bCs/>
          <w:sz w:val="20"/>
        </w:rPr>
        <w:t>Base decisions</w:t>
      </w:r>
      <w:r>
        <w:rPr>
          <w:sz w:val="20"/>
        </w:rPr>
        <w:t xml:space="preserve"> — bf16 element model on the rtl/math </w:t>
      </w:r>
      <w:r>
        <w:rPr>
          <w:rStyle w:val="VerbatimChar"/>
          <w:sz w:val="20"/>
        </w:rPr>
        <w:t>math_bf16_*</w:t>
      </w:r>
      <w:r>
        <w:rPr>
          <w:sz w:val="20"/>
        </w:rPr>
        <w:t xml:space="preserve"> library, fp32 MAC accumulate, one RV32I core per tetrad with in-band everything. </w:t>
      </w:r>
      <w:r>
        <w:rPr>
          <w:b/>
          <w:bCs/>
          <w:sz w:val="20"/>
        </w:rPr>
        <w:t>Implementation (2026-10-20, revs still pinned):</w:t>
      </w:r>
      <w:r>
        <w:rPr>
          <w:sz w:val="20"/>
        </w:rPr>
        <w:t xml:space="preserve"> every row of §3 — the v1 table, the function-set roadmap (reduce, PWL/LUT, const), the format roadmap (int8, fp32, plus fp8 e4m3 from §7) and the growth list — is built and verified, except what this PRD rules out (a true divider, the B4–B32 companion mode, the CGRA replacement). The issuer is gatling (§5). The MAS is the as-built record. </w:t>
      </w:r>
      <w:r>
        <w:rPr>
          <w:b/>
          <w:bCs/>
          <w:sz w:val="20"/>
        </w:rPr>
        <w:t>Status:</w:t>
      </w:r>
      <w:r>
        <w:rPr>
          <w:sz w:val="20"/>
        </w:rPr>
        <w:t xml:space="preserve"> Pre-HAS PRD, and the </w:t>
      </w:r>
      <w:r>
        <w:rPr>
          <w:b/>
          <w:bCs/>
          <w:sz w:val="20"/>
        </w:rPr>
        <w:t>normative definition of the cell’s ALU block</w:t>
      </w:r>
      <w:r>
        <w:rPr>
          <w:sz w:val="20"/>
        </w:rPr>
        <w:t>: the RTL implementation lives in this component (</w:t>
      </w:r>
      <w:r>
        <w:rPr>
          <w:rStyle w:val="VerbatimChar"/>
          <w:sz w:val="20"/>
        </w:rPr>
        <w:t>alu-infer/rtl/</w:t>
      </w:r>
      <w:r>
        <w:rPr>
          <w:sz w:val="20"/>
        </w:rPr>
        <w:t xml:space="preserve">, unit tests in </w:t>
      </w:r>
      <w:r>
        <w:rPr>
          <w:rStyle w:val="VerbatimChar"/>
          <w:sz w:val="20"/>
        </w:rPr>
        <w:t>alu-infer/dv/tests/</w:t>
      </w:r>
      <w:r>
        <w:rPr>
          <w:sz w:val="20"/>
        </w:rPr>
        <w:t xml:space="preserve">; moved from </w:t>
      </w:r>
      <w:r>
        <w:rPr>
          <w:rStyle w:val="VerbatimChar"/>
          <w:sz w:val="20"/>
        </w:rPr>
        <w:t>cell/rtl/</w:t>
      </w:r>
      <w:r>
        <w:rPr>
          <w:sz w:val="20"/>
        </w:rPr>
        <w:t xml:space="preserve"> 2026-10-20) and the </w:t>
      </w:r>
      <w:r>
        <w:rPr>
          <w:b/>
          <w:bCs/>
          <w:sz w:val="20"/>
        </w:rPr>
        <w:t>cell</w:t>
      </w:r>
      <w:r>
        <w:rPr>
          <w:sz w:val="20"/>
        </w:rPr>
        <w:t xml:space="preserve"> component integrates it. Where this document and the </w:t>
      </w:r>
      <w:hyperlink r:id="rId4">
        <w:r>
          <w:rPr>
            <w:rStyle w:val="Hyperlink"/>
          </w:rPr>
          <w:t>cell PRD</w:t>
        </w:r>
      </w:hyperlink>
      <w:r>
        <w:rPr>
          <w:sz w:val="20"/>
        </w:rPr>
        <w:t xml:space="preserve"> touch the ALU, this one governs (the cell PRD was reconciled to it 2026-10-17; see §2).</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5" w:name="__RefHeading___Toc12107_211582255"/>
      <w:bookmarkStart w:id="6" w:name="identity-and-scope"/>
      <w:bookmarkEnd w:id="5"/>
      <w:r>
        <w:rPr>
          <w:rStyle w:val="SectionNumber"/>
          <w:b/>
          <w:color w:val="228B22"/>
          <w:sz w:val="28"/>
        </w:rPr>
        <w:t>2.1</w:t>
      </w:r>
      <w:r>
        <w:rPr>
          <w:b/>
          <w:color w:val="228B22"/>
          <w:sz w:val="28"/>
        </w:rPr>
        <w:tab/>
        <w:t>1. Identity and scope</w:t>
      </w:r>
    </w:p>
    <w:p>
      <w:pPr>
        <w:pStyle w:val="FirstParagraph"/>
        <w:rPr/>
      </w:pPr>
      <w:r>
        <w:rPr>
          <w:b/>
          <w:bCs/>
          <w:sz w:val="20"/>
        </w:rPr>
        <w:t>alu-infer</w:t>
      </w:r>
      <w:r>
        <w:rPr>
          <w:sz w:val="20"/>
        </w:rPr>
        <w:t xml:space="preserve"> is the compute engine of the </w:t>
      </w:r>
      <w:r>
        <w:rPr>
          <w:b/>
          <w:bCs/>
          <w:sz w:val="20"/>
        </w:rPr>
        <w:t>cell</w:t>
      </w:r>
      <w:r>
        <w:rPr>
          <w:sz w:val="20"/>
        </w:rPr>
        <w:t xml:space="preserve">: the function array the tetrad’s </w:t>
      </w:r>
      <w:r>
        <w:rPr>
          <w:b/>
          <w:bCs/>
          <w:sz w:val="20"/>
        </w:rPr>
        <w:t>gatling</w:t>
      </w:r>
      <w:r>
        <w:rPr>
          <w:sz w:val="20"/>
        </w:rPr>
        <w:t xml:space="preserve"> core issues (§5) to turn input-memory lines into result-memory lines. It is an </w:t>
      </w:r>
      <w:r>
        <w:rPr>
          <w:i/>
          <w:iCs/>
          <w:sz w:val="20"/>
        </w:rPr>
        <w:t>inference</w:t>
      </w:r>
      <w:r>
        <w:rPr>
          <w:sz w:val="20"/>
        </w:rPr>
        <w:t xml:space="preserve"> ALU — the arithmetic a neural-network layer needs (add, multiply, fused accumulate, min/max, threshold, ReLU-family activations), not a general-purpose ISA datapath.</w:t>
      </w:r>
    </w:p>
    <w:p>
      <w:pPr>
        <w:pStyle w:val="BodyText"/>
        <w:rPr/>
      </w:pPr>
      <w:r>
        <w:rPr>
          <w:b/>
          <w:bCs/>
          <w:sz w:val="20"/>
        </w:rPr>
        <w:t xml:space="preserve">Component base (owner direction 2026-10-17): the implementation is built mostly from the </w:t>
      </w:r>
      <w:r>
        <w:rPr>
          <w:rStyle w:val="VerbatimChar"/>
          <w:b/>
          <w:bCs/>
          <w:sz w:val="20"/>
        </w:rPr>
        <w:t>math_bf16_*</w:t>
      </w:r>
      <w:r>
        <w:rPr>
          <w:b/>
          <w:bCs/>
          <w:sz w:val="20"/>
        </w:rPr>
        <w:t xml:space="preserve"> family of </w:t>
      </w:r>
      <w:hyperlink r:id="rId5">
        <w:r>
          <w:rPr>
            <w:rStyle w:val="ListLabel724"/>
            <w:rFonts w:ascii="Consolas" w:hAnsi="Consolas"/>
            <w:b/>
            <w:bCs/>
            <w:sz w:val="22"/>
            <w:sz w:val="22"/>
          </w:rPr>
          <w:t>rtl/math/</w:t>
        </w:r>
      </w:hyperlink>
      <w:r>
        <w:rPr>
          <w:sz w:val="20"/>
        </w:rPr>
        <w:t xml:space="preserve"> — the repo’s existing brain-float arithmetic library. Nearly every v1 function row has a block there (adder, multiplier, FMA, comparator, min/max, ReLU, and the rest of the activation set), so the ALU is the math library’s inference consumer the same way the falcon suite’s garuda rung is its IEEE-fp32 consumer. Rows without a bf16 block (copy, and the compare </w:t>
      </w:r>
      <w:r>
        <w:rPr>
          <w:i/>
          <w:iCs/>
          <w:sz w:val="20"/>
        </w:rPr>
        <w:t>mask</w:t>
      </w:r>
      <w:r>
        <w:rPr>
          <w:sz w:val="20"/>
        </w:rPr>
        <w:t xml:space="preserve"> packing) are wires and glue.</w:t>
      </w:r>
    </w:p>
    <w:p>
      <w:pPr>
        <w:pStyle w:val="BodyText"/>
        <w:rPr/>
      </w:pPr>
      <w:r>
        <w:rPr>
          <w:sz w:val="20"/>
        </w:rPr>
        <w:t>Placement (owner decision 2026-10-17, updated 2026-10-20): this directory holds the product definition, verification doctrine, the RTL (</w:t>
      </w:r>
      <w:r>
        <w:rPr>
          <w:rStyle w:val="VerbatimChar"/>
          <w:sz w:val="20"/>
        </w:rPr>
        <w:t>rtl/</w:t>
      </w:r>
      <w:r>
        <w:rPr>
          <w:sz w:val="20"/>
        </w:rPr>
        <w:t>, SystemVerilog), and its cocotb unit tests (</w:t>
      </w:r>
      <w:r>
        <w:rPr>
          <w:rStyle w:val="VerbatimChar"/>
          <w:sz w:val="20"/>
        </w:rPr>
        <w:t>dv/tests/</w:t>
      </w:r>
      <w:r>
        <w:rPr>
          <w:sz w:val="20"/>
        </w:rPr>
        <w:t xml:space="preserve">) — organized like the repo’s other component areas (the dma-ip/stream pattern: flat RTL with per-block filelists and a lint master, a four-line area Makefile, and a discoverable </w:t>
      </w:r>
      <w:r>
        <w:rPr>
          <w:rStyle w:val="VerbatimChar"/>
          <w:sz w:val="20"/>
        </w:rPr>
        <w:t>dv/tests</w:t>
      </w:r>
      <w:r>
        <w:rPr>
          <w:sz w:val="20"/>
        </w:rPr>
        <w:t xml:space="preserve"> suite). The </w:t>
      </w:r>
      <w:hyperlink r:id="rId6">
        <w:r>
          <w:rPr>
            <w:rStyle w:val="ListLabel725"/>
            <w:rFonts w:ascii="Consolas" w:hAnsi="Consolas"/>
            <w:sz w:val="22"/>
            <w:sz w:val="22"/>
          </w:rPr>
          <w:t>cell/</w:t>
        </w:r>
      </w:hyperlink>
      <w:r>
        <w:rPr>
          <w:sz w:val="20"/>
        </w:rPr>
        <w:t xml:space="preserve"> component integrates the block as the cell’s “ALU” element (gatling replaced the execution FSM as its driver, owner ruling 2026-10-19): the cell filelists include this block’s filelist, and cell-level tests will verify it with the memories, packetizer, and credit logic it serves. The block boundaries in the cell PRD were chosen so a future CGRA array replaces this ALU without disturbing the network, credit, or observation contracts (cell PRD §11); this PRD’s interface contract (§4) is written to that same seam.</w:t>
      </w:r>
    </w:p>
    <w:p>
      <w:pPr>
        <w:pStyle w:val="BodyText"/>
        <w:rPr/>
      </w:pPr>
      <w:bookmarkStart w:id="7" w:name="identity-and-scope"/>
      <w:r>
        <w:rPr>
          <w:sz w:val="20"/>
        </w:rPr>
        <w:t>Out of scope: the issuer’s sequencing policy (gatling’s), the memories, the packetizer, credit/grant logic, and the delta node (all cell PRD territory).</w:t>
      </w:r>
      <w:bookmarkEnd w:id="7"/>
      <w:r>
        <w:br w:type="page"/>
      </w:r>
    </w:p>
    <w:p>
      <w:pPr>
        <w:pStyle w:val="Heading2"/>
        <w:pBdr>
          <w:bottom w:val="single" w:sz="12" w:space="0" w:color="228B22"/>
        </w:pBdr>
        <w:spacing w:before="280" w:after="80"/>
        <w:rPr/>
      </w:pPr>
      <w:bookmarkStart w:id="8" w:name="__RefHeading___Toc12109_211582255"/>
      <w:bookmarkStart w:id="9" w:name="element-model"/>
      <w:bookmarkEnd w:id="8"/>
      <w:r>
        <w:rPr>
          <w:rStyle w:val="SectionNumber"/>
          <w:b/>
          <w:color w:val="228B22"/>
          <w:sz w:val="28"/>
        </w:rPr>
        <w:t>2.2</w:t>
      </w:r>
      <w:r>
        <w:rPr>
          <w:b/>
          <w:color w:val="228B22"/>
          <w:sz w:val="28"/>
        </w:rPr>
        <w:tab/>
        <w:t>2. Element model</w:t>
      </w:r>
    </w:p>
    <w:p>
      <w:pPr>
        <w:pStyle w:val="FirstParagraph"/>
        <w:rPr/>
      </w:pPr>
      <w:r>
        <w:rPr>
          <w:sz w:val="20"/>
        </w:rPr>
        <w:t xml:space="preserve">Owner direction 2026-10-17: a </w:t>
      </w:r>
      <w:r>
        <w:rPr>
          <w:b/>
          <w:bCs/>
          <w:sz w:val="20"/>
        </w:rPr>
        <w:t>32-bit line is read as 2×bf16 elements</w:t>
      </w:r>
      <w:r>
        <w:rPr>
          <w:sz w:val="20"/>
        </w:rPr>
        <w:t xml:space="preserve"> — two 16-bit brain-float lanes — and the function array is built from </w:t>
      </w:r>
      <w:r>
        <w:rPr>
          <w:rStyle w:val="VerbatimChar"/>
          <w:sz w:val="20"/>
        </w:rPr>
        <w:t>math_bf16_*</w:t>
      </w:r>
      <w:r>
        <w:rPr>
          <w:sz w:val="20"/>
        </w:rPr>
        <w:t xml:space="preserve"> blocks. bf16 keeps fp32’s 8-bit exponent and truncates the mantissa to 7 bits, which is why the library’s inference blocks (and the quantization literature behind them) chose it: full fp32 range at half the storage. The packed-line structure of cell PRD §4 is retained: the configured function applies to every element in the line </w:t>
      </w:r>
      <w:r>
        <w:rPr>
          <w:b/>
          <w:bCs/>
          <w:sz w:val="20"/>
        </w:rPr>
        <w:t>in parallel</w:t>
      </w:r>
      <w:r>
        <w:rPr>
          <w:sz w:val="20"/>
        </w:rPr>
        <w:t xml:space="preserve"> (2 lanes per 32-bit line), and wider lines (cell PRD §12) scale the lane count, never the element width.</w:t>
      </w:r>
    </w:p>
    <w:p>
      <w:pPr>
        <w:pStyle w:val="BodyText"/>
        <w:rPr/>
      </w:pPr>
      <w:r>
        <w:rPr>
          <w:b/>
          <w:bCs/>
          <w:sz w:val="20"/>
        </w:rPr>
        <w:t>Supersession, reconciled.</w:t>
      </w:r>
      <w:r>
        <w:rPr>
          <w:sz w:val="20"/>
        </w:rPr>
        <w:t xml:space="preserve"> Cell PRD §4’s element-width note (owner, 2026-10-16) defined B4/B8/B16/B32 </w:t>
      </w:r>
      <w:r>
        <w:rPr>
          <w:i/>
          <w:iCs/>
          <w:sz w:val="20"/>
        </w:rPr>
        <w:t>integer</w:t>
      </w:r>
      <w:r>
        <w:rPr>
          <w:sz w:val="20"/>
        </w:rPr>
        <w:t xml:space="preserve"> widths; that note is superseded by this bf16 model. The cell PRD was updated to match on 2026-10-17 — the B4–B32 integer model is not planned (a companion integer mode is deferred, §7). One source per fact: this PRD owns the ALU’s element model; the cell PRD links here rather than restating it.</w:t>
      </w:r>
    </w:p>
    <w:p>
      <w:pPr>
        <w:pStyle w:val="CaptionedFigure"/>
        <w:rPr/>
      </w:pPr>
      <w:r>
        <w:rPr/>
        <w:drawing>
          <wp:inline distT="0" distB="0" distL="0" distR="0">
            <wp:extent cx="5334000" cy="3488690"/>
            <wp:effectExtent l="0" t="0" r="0" b="0"/>
            <wp:docPr id="6" name="Picture" descr="ALU-INFER data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ALU-INFER datapath"/>
                    <pic:cNvPicPr>
                      <a:picLocks noChangeAspect="1" noChangeArrowheads="1"/>
                    </pic:cNvPicPr>
                  </pic:nvPicPr>
                  <pic:blipFill>
                    <a:blip r:embed="rId7"/>
                    <a:stretch>
                      <a:fillRect/>
                    </a:stretch>
                  </pic:blipFill>
                  <pic:spPr bwMode="auto">
                    <a:xfrm>
                      <a:off x="0" y="0"/>
                      <a:ext cx="5334000" cy="3488690"/>
                    </a:xfrm>
                    <a:prstGeom prst="rect">
                      <a:avLst/>
                    </a:prstGeom>
                  </pic:spPr>
                </pic:pic>
              </a:graphicData>
            </a:graphic>
          </wp:inline>
        </w:drawing>
      </w:r>
    </w:p>
    <w:p>
      <w:pPr>
        <w:pStyle w:val="ImageCaption"/>
        <w:rPr/>
      </w:pPr>
      <w:bookmarkStart w:id="10" w:name="element-model"/>
      <w:r>
        <w:rPr/>
        <w:t>ALU-INFER datapath</w:t>
      </w:r>
      <w:bookmarkEnd w:id="10"/>
      <w:r>
        <w:br w:type="page"/>
      </w:r>
    </w:p>
    <w:p>
      <w:pPr>
        <w:pStyle w:val="Heading2"/>
        <w:pBdr>
          <w:bottom w:val="single" w:sz="12" w:space="0" w:color="228B22"/>
        </w:pBdr>
        <w:spacing w:before="280" w:after="80"/>
        <w:rPr/>
      </w:pPr>
      <w:bookmarkStart w:id="11" w:name="__RefHeading___Toc12111_211582255"/>
      <w:bookmarkStart w:id="12" w:name="function-set-v1"/>
      <w:bookmarkEnd w:id="11"/>
      <w:r>
        <w:rPr>
          <w:rStyle w:val="SectionNumber"/>
          <w:b/>
          <w:color w:val="228B22"/>
          <w:sz w:val="28"/>
        </w:rPr>
        <w:t>2.3</w:t>
      </w:r>
      <w:r>
        <w:rPr>
          <w:b/>
          <w:color w:val="228B22"/>
          <w:sz w:val="28"/>
        </w:rPr>
        <w:tab/>
        <w:t>3. Function set (v1)</w:t>
      </w:r>
    </w:p>
    <w:p>
      <w:pPr>
        <w:pStyle w:val="FirstParagraph"/>
        <w:rPr/>
      </w:pPr>
      <w:r>
        <w:rPr>
          <w:sz w:val="20"/>
        </w:rPr>
        <w:t xml:space="preserve">Opcode rows on the bf16 base; the </w:t>
      </w:r>
      <w:r>
        <w:rPr>
          <w:rStyle w:val="VerbatimChar"/>
          <w:sz w:val="20"/>
        </w:rPr>
        <w:t>math_bf16_*</w:t>
      </w:r>
      <w:r>
        <w:rPr>
          <w:sz w:val="20"/>
        </w:rPr>
        <w:t xml:space="preserve"> block named in each row is the implementation base in the ALU’s RTL. Each row is an RTL table entry, not a new block.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rtl/math</w:t>
            </w:r>
            <w:r>
              <w:rPr>
                <w:rFonts w:eastAsia="Cambria" w:cs=""/>
                <w:b/>
                <w:kern w:val="0"/>
                <w:sz w:val="20"/>
                <w:szCs w:val="24"/>
                <w:lang w:val="en-US" w:eastAsia="en-US" w:bidi="ar-SA"/>
              </w:rPr>
              <w:t xml:space="preserve"> base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Operand pattern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copy / passthrough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line → 1 line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math_bf16_adder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 → 1 line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math_bf16_adder</w:t>
            </w:r>
            <w:r>
              <w:rPr>
                <w:rFonts w:eastAsia="Cambria" w:cs=""/>
                <w:kern w:val="0"/>
                <w:sz w:val="24"/>
                <w:szCs w:val="24"/>
                <w:lang w:val="en-US" w:eastAsia="en-US" w:bidi="ar-SA"/>
              </w:rPr>
              <w:t xml:space="preserve"> (sign-flipped operand)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 → 1 line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math_bf16_multiplier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math_bf16_mantissa_mult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math_bf16_exponent_adder</w:t>
            </w: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 → 1 line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math_bf16_fma</w:t>
            </w:r>
            <w:r>
              <w:rPr>
                <w:rFonts w:eastAsia="Cambria" w:cs=""/>
                <w:kern w:val="0"/>
                <w:sz w:val="24"/>
                <w:szCs w:val="24"/>
                <w:lang w:val="en-US" w:eastAsia="en-US" w:bidi="ar-SA"/>
              </w:rPr>
              <w:t xml:space="preserve"> — fused, fp32 accumulate (§3 note)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 + accumulator → 1 line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 max (sub-op 1b)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math_bf16_min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math_bf16_max</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math_bf16_comparator</w:t>
            </w: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 → 1 line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 threshold (sub-op)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math_bf16_comparator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lines or line + imm → 1 mask line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math_bf16_relu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line → 1 line</w:t>
            </w:r>
          </w:p>
        </w:tc>
      </w:tr>
    </w:tbl>
    <w:p>
      <w:pPr>
        <w:pStyle w:val="BodyText"/>
        <w:rPr/>
      </w:pPr>
      <w:r>
        <w:rPr>
          <w:b/>
          <w:bCs/>
          <w:sz w:val="20"/>
        </w:rPr>
        <w:t>MAC accumulation (decided 2026-10-17):</w:t>
      </w:r>
      <w:r>
        <w:rPr>
          <w:sz w:val="20"/>
        </w:rPr>
        <w:t xml:space="preserve"> the FMA row computes the bf16 product </w:t>
      </w:r>
      <w:r>
        <w:rPr>
          <w:b/>
          <w:bCs/>
          <w:sz w:val="20"/>
        </w:rPr>
        <w:t>exactly in fp32</w:t>
      </w:r>
      <w:r>
        <w:rPr>
          <w:sz w:val="20"/>
        </w:rPr>
        <w:t xml:space="preserve"> (8×8 significand bits fit fp32’s 24) and accumulates in a </w:t>
      </w:r>
      <w:r>
        <w:rPr>
          <w:b/>
          <w:bCs/>
          <w:sz w:val="20"/>
        </w:rPr>
        <w:t>per-lane fp32 accumulator</w:t>
      </w:r>
      <w:r>
        <w:rPr>
          <w:sz w:val="20"/>
        </w:rPr>
        <w:t>; one rounding to bf16 per result line at drain. This is the production bf16 pattern; it promotes the v0.2 open question to a decision.</w:t>
      </w:r>
    </w:p>
    <w:p>
      <w:pPr>
        <w:pStyle w:val="BodyText"/>
        <w:rPr/>
      </w:pPr>
      <w:r>
        <w:rPr>
          <w:sz w:val="20"/>
        </w:rPr>
        <w:t>Opcode space reserves 5 bits; sub-ops 2 bits; 8–31 are growth. The fused family (</w:t>
      </w:r>
      <w:r>
        <w:rPr>
          <w:rStyle w:val="VerbatimChar"/>
          <w:sz w:val="20"/>
        </w:rPr>
        <w:t>math_bf16_fma</w:t>
      </w:r>
      <w:r>
        <w:rPr>
          <w:sz w:val="20"/>
        </w:rPr>
        <w:t>) makes the mac row the workhorse an inference workload expects.</w:t>
      </w:r>
    </w:p>
    <w:p>
      <w:pPr>
        <w:pStyle w:val="BodyText"/>
        <w:rPr/>
      </w:pPr>
      <w:r>
        <w:rPr>
          <w:sz w:val="20"/>
        </w:rPr>
        <w:t xml:space="preserve">The full block diagram — every v1 row with its </w:t>
      </w:r>
      <w:r>
        <w:rPr>
          <w:rStyle w:val="VerbatimChar"/>
          <w:sz w:val="20"/>
        </w:rPr>
        <w:t>rtl/math</w:t>
      </w:r>
      <w:r>
        <w:rPr>
          <w:sz w:val="20"/>
        </w:rPr>
        <w:t xml:space="preserve"> block, the fp32 accumulator, and the sideband plane:</w:t>
      </w:r>
    </w:p>
    <w:p>
      <w:pPr>
        <w:pStyle w:val="CaptionedFigure"/>
        <w:rPr/>
      </w:pPr>
      <w:r>
        <w:rPr/>
        <w:drawing>
          <wp:inline distT="0" distB="0" distL="0" distR="0">
            <wp:extent cx="5334000" cy="2887345"/>
            <wp:effectExtent l="0" t="0" r="0" b="0"/>
            <wp:docPr id="7" name="Image2" descr="ALU-INF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ALU-INFER block diagram"/>
                    <pic:cNvPicPr>
                      <a:picLocks noChangeAspect="1" noChangeArrowheads="1"/>
                    </pic:cNvPicPr>
                  </pic:nvPicPr>
                  <pic:blipFill>
                    <a:blip r:embed="rId8"/>
                    <a:stretch>
                      <a:fillRect/>
                    </a:stretch>
                  </pic:blipFill>
                  <pic:spPr bwMode="auto">
                    <a:xfrm>
                      <a:off x="0" y="0"/>
                      <a:ext cx="5334000" cy="2887345"/>
                    </a:xfrm>
                    <a:prstGeom prst="rect">
                      <a:avLst/>
                    </a:prstGeom>
                  </pic:spPr>
                </pic:pic>
              </a:graphicData>
            </a:graphic>
          </wp:inline>
        </w:drawing>
      </w:r>
    </w:p>
    <w:p>
      <w:pPr>
        <w:pStyle w:val="ImageCaption"/>
        <w:rPr/>
      </w:pPr>
      <w:r>
        <w:rPr/>
        <w:t>ALU-INFER block diagram</w:t>
      </w:r>
    </w:p>
    <w:p>
      <w:pPr>
        <w:pStyle w:val="BodyText"/>
        <w:rPr/>
      </w:pPr>
      <w:r>
        <w:rPr>
          <w:b/>
          <w:bCs/>
          <w:sz w:val="20"/>
        </w:rPr>
        <w:t>Growth rows</w:t>
      </w:r>
      <w:r>
        <w:rPr>
          <w:sz w:val="20"/>
        </w:rPr>
        <w:t xml:space="preserve"> (same table, later opcodes — the library blocks already exist): leaky-relu / gelu / sigmoid / silu / tanh activations (</w:t>
      </w:r>
      <w:r>
        <w:rPr>
          <w:rStyle w:val="VerbatimChar"/>
          <w:sz w:val="20"/>
        </w:rPr>
        <w:t>math_bf16_leaky_relu</w:t>
      </w:r>
      <w:r>
        <w:rPr>
          <w:sz w:val="20"/>
        </w:rPr>
        <w:t xml:space="preserve">, </w:t>
      </w:r>
      <w:r>
        <w:rPr>
          <w:rStyle w:val="VerbatimChar"/>
          <w:sz w:val="20"/>
        </w:rPr>
        <w:t>math_bf16_gelu</w:t>
      </w:r>
      <w:r>
        <w:rPr>
          <w:sz w:val="20"/>
        </w:rPr>
        <w:t xml:space="preserve">, </w:t>
      </w:r>
      <w:r>
        <w:rPr>
          <w:rStyle w:val="VerbatimChar"/>
          <w:sz w:val="20"/>
        </w:rPr>
        <w:t>math_bf16_sigmoid</w:t>
      </w:r>
      <w:r>
        <w:rPr>
          <w:sz w:val="20"/>
        </w:rPr>
        <w:t xml:space="preserve">, </w:t>
      </w:r>
      <w:r>
        <w:rPr>
          <w:rStyle w:val="VerbatimChar"/>
          <w:sz w:val="20"/>
        </w:rPr>
        <w:t>math_bf16_silu</w:t>
      </w:r>
      <w:r>
        <w:rPr>
          <w:sz w:val="20"/>
        </w:rPr>
        <w:t xml:space="preserve">, </w:t>
      </w:r>
      <w:r>
        <w:rPr>
          <w:rStyle w:val="VerbatimChar"/>
          <w:sz w:val="20"/>
        </w:rPr>
        <w:t>math_bf16_tanh</w:t>
      </w:r>
      <w:r>
        <w:rPr>
          <w:sz w:val="20"/>
        </w:rPr>
        <w:t>); reciprocal and divide (</w:t>
      </w:r>
      <w:r>
        <w:rPr>
          <w:rStyle w:val="VerbatimChar"/>
          <w:sz w:val="20"/>
        </w:rPr>
        <w:t>math_bf16_reciprocal</w:t>
      </w:r>
      <w:r>
        <w:rPr>
          <w:sz w:val="20"/>
        </w:rPr>
        <w:t xml:space="preserve">, </w:t>
      </w:r>
      <w:r>
        <w:rPr>
          <w:rStyle w:val="VerbatimChar"/>
          <w:sz w:val="20"/>
        </w:rPr>
        <w:t>math_bf16_newton_raphson_recip</w:t>
      </w:r>
      <w:r>
        <w:rPr>
          <w:sz w:val="20"/>
        </w:rPr>
        <w:t xml:space="preserve">, </w:t>
      </w:r>
      <w:r>
        <w:rPr>
          <w:rStyle w:val="VerbatimChar"/>
          <w:sz w:val="20"/>
        </w:rPr>
        <w:t>math_bf16_goldschmidt_div</w:t>
      </w:r>
      <w:r>
        <w:rPr>
          <w:sz w:val="20"/>
        </w:rPr>
        <w:t>); exp2 / log2 scaling (</w:t>
      </w:r>
      <w:r>
        <w:rPr>
          <w:rStyle w:val="VerbatimChar"/>
          <w:sz w:val="20"/>
        </w:rPr>
        <w:t>math_bf16_exp2</w:t>
      </w:r>
      <w:r>
        <w:rPr>
          <w:sz w:val="20"/>
        </w:rPr>
        <w:t xml:space="preserve">, </w:t>
      </w:r>
      <w:r>
        <w:rPr>
          <w:rStyle w:val="VerbatimChar"/>
          <w:sz w:val="20"/>
        </w:rPr>
        <w:t>math_bf16_log2</w:t>
      </w:r>
      <w:r>
        <w:rPr>
          <w:sz w:val="20"/>
        </w:rPr>
        <w:t xml:space="preserve">, </w:t>
      </w:r>
      <w:r>
        <w:rPr>
          <w:rStyle w:val="VerbatimChar"/>
          <w:sz w:val="20"/>
        </w:rPr>
        <w:t>math_bf16_log2_scale</w:t>
      </w:r>
      <w:r>
        <w:rPr>
          <w:sz w:val="20"/>
        </w:rPr>
        <w:t>); int8 drain (</w:t>
      </w:r>
      <w:r>
        <w:rPr>
          <w:rStyle w:val="VerbatimChar"/>
          <w:sz w:val="20"/>
        </w:rPr>
        <w:t>math_bf16_scale_to_int8</w:t>
      </w:r>
      <w:r>
        <w:rPr>
          <w:sz w:val="20"/>
        </w:rPr>
        <w:t>); format conversions (</w:t>
      </w:r>
      <w:r>
        <w:rPr>
          <w:rStyle w:val="VerbatimChar"/>
          <w:sz w:val="20"/>
        </w:rPr>
        <w:t>math_bf16_to_fp32</w:t>
      </w:r>
      <w:r>
        <w:rPr>
          <w:sz w:val="20"/>
        </w:rPr>
        <w:t xml:space="preserve">, </w:t>
      </w:r>
      <w:r>
        <w:rPr>
          <w:rStyle w:val="VerbatimChar"/>
          <w:sz w:val="20"/>
        </w:rPr>
        <w:t>math_bf16_to_fp16</w:t>
      </w:r>
      <w:r>
        <w:rPr>
          <w:sz w:val="20"/>
        </w:rPr>
        <w:t xml:space="preserve">, </w:t>
      </w:r>
      <w:r>
        <w:rPr>
          <w:rStyle w:val="VerbatimChar"/>
          <w:sz w:val="20"/>
        </w:rPr>
        <w:t>math_bf16_to_fp8_e4m3/e5m2</w:t>
      </w:r>
      <w:r>
        <w:rPr>
          <w:sz w:val="20"/>
        </w:rPr>
        <w:t>).</w:t>
      </w:r>
    </w:p>
    <w:p>
      <w:pPr>
        <w:pStyle w:val="BodyText"/>
        <w:rPr/>
      </w:pPr>
      <w:r>
        <w:rPr>
          <w:rStyle w:val="VerbatimChar"/>
          <w:sz w:val="20"/>
        </w:rPr>
        <w:t>FUNC_SEL</w:t>
      </w:r>
      <w:r>
        <w:rPr>
          <w:sz w:val="20"/>
        </w:rPr>
        <w:t xml:space="preserve"> (cell PRD §7) carries {opcode 5b, sub-op 2b, element-width 2b} — the element-width field is </w:t>
      </w:r>
      <w:r>
        <w:rPr>
          <w:b/>
          <w:bCs/>
          <w:sz w:val="20"/>
        </w:rPr>
        <w:t>reserved</w:t>
      </w:r>
      <w:r>
        <w:rPr>
          <w:sz w:val="20"/>
        </w:rPr>
        <w:t xml:space="preserve"> under this model (bf16 is the only v1 element width); its final disposition is §8.</w:t>
      </w:r>
    </w:p>
    <w:p>
      <w:pPr>
        <w:pStyle w:val="Heading3"/>
        <w:spacing w:before="200" w:after="80"/>
        <w:rPr/>
      </w:pPr>
      <w:bookmarkStart w:id="13" w:name="__RefHeading___Toc12113_211582255"/>
      <w:bookmarkStart w:id="14" w:name="Xbdcb1081b3d6a75a32dc422b8249ca108fe17da"/>
      <w:bookmarkEnd w:id="13"/>
      <w:r>
        <w:rPr>
          <w:rStyle w:val="SectionNumber"/>
          <w:b/>
          <w:color w:val="404040"/>
          <w:sz w:val="24"/>
        </w:rPr>
        <w:t>2.3.1</w:t>
      </w:r>
      <w:r>
        <w:rPr>
          <w:b/>
          <w:color w:val="404040"/>
          <w:sz w:val="24"/>
        </w:rPr>
        <w:tab/>
        <w:t>Function-set roadmap (owner ruling 2026-10-19)</w:t>
      </w:r>
    </w:p>
    <w:p>
      <w:pPr>
        <w:pStyle w:val="FirstParagraph"/>
        <w:rPr/>
      </w:pPr>
      <w:r>
        <w:rPr>
          <w:sz w:val="20"/>
        </w:rPr>
        <w:t>The v1 rows 0–7 in the table above stand unchanged. Row additions after FPGA bring-up, in priority order (all three implemented 2026-10-20 as opcodes 8, 9–10 and 11; MAS Chapter 2):</w:t>
      </w:r>
    </w:p>
    <w:p>
      <w:pPr>
        <w:pStyle w:val="Compact"/>
        <w:numPr>
          <w:ilvl w:val="0"/>
          <w:numId w:val="81"/>
        </w:numPr>
        <w:rPr/>
      </w:pPr>
      <w:r>
        <w:rPr>
          <w:b/>
          <w:bCs/>
        </w:rPr>
        <w:t>reduce</w:t>
      </w:r>
      <w:r>
        <w:rPr/>
        <w:t xml:space="preserve"> — sum/max tree over a span of lines into the fp32 accumulator; unlocks softmax/layernorm/pooling.</w:t>
      </w:r>
    </w:p>
    <w:p>
      <w:pPr>
        <w:pStyle w:val="Compact"/>
        <w:numPr>
          <w:ilvl w:val="0"/>
          <w:numId w:val="1"/>
        </w:numPr>
        <w:rPr/>
      </w:pPr>
      <w:r>
        <w:rPr>
          <w:b/>
          <w:bCs/>
        </w:rPr>
        <w:t>PWL/LUT activation</w:t>
      </w:r>
      <w:r>
        <w:rPr/>
        <w:t xml:space="preserve"> — 256-entry LUT + linear interpolation covering sigmoid/tanh/gelu/exp; </w:t>
      </w:r>
      <w:r>
        <w:rPr>
          <w:rStyle w:val="VerbatimChar"/>
        </w:rPr>
        <w:t>exp</w:t>
      </w:r>
      <w:r>
        <w:rPr/>
        <w:t xml:space="preserve"> plus reciprocal-multiply covers softmax’s divide. No true divider is planned.</w:t>
      </w:r>
    </w:p>
    <w:p>
      <w:pPr>
        <w:pStyle w:val="Compact"/>
        <w:numPr>
          <w:ilvl w:val="0"/>
          <w:numId w:val="1"/>
        </w:numPr>
        <w:rPr/>
      </w:pPr>
      <w:r>
        <w:rPr>
          <w:b/>
          <w:bCs/>
        </w:rPr>
        <w:t>const/bias</w:t>
      </w:r>
      <w:r>
        <w:rPr/>
        <w:t xml:space="preserve"> — emit the immediate register as a result line so programs can build bias lines without memory traffic.</w:t>
      </w:r>
    </w:p>
    <w:p>
      <w:pPr>
        <w:pStyle w:val="FirstParagraph"/>
        <w:rPr/>
      </w:pPr>
      <w:r>
        <w:rPr>
          <w:sz w:val="20"/>
        </w:rPr>
        <w:t xml:space="preserve">Format roadmap, via the reserved </w:t>
      </w:r>
      <w:r>
        <w:rPr>
          <w:rStyle w:val="VerbatimChar"/>
          <w:sz w:val="20"/>
        </w:rPr>
        <w:t>func_sel[8:7]</w:t>
      </w:r>
      <w:r>
        <w:rPr>
          <w:sz w:val="20"/>
        </w:rPr>
        <w:t xml:space="preserve"> element-width field (open item M6): </w:t>
      </w:r>
      <w:r>
        <w:rPr>
          <w:b/>
          <w:bCs/>
          <w:sz w:val="20"/>
        </w:rPr>
        <w:t>int8</w:t>
      </w:r>
      <w:r>
        <w:rPr>
          <w:sz w:val="20"/>
        </w:rPr>
        <w:t xml:space="preserve"> (4 lanes per 32-bit line) first — the same MAC fabric runs 4 MACs/clk and teaches quantization; </w:t>
      </w:r>
      <w:r>
        <w:rPr>
          <w:b/>
          <w:bCs/>
          <w:sz w:val="20"/>
        </w:rPr>
        <w:t>fp32</w:t>
      </w:r>
      <w:r>
        <w:rPr>
          <w:sz w:val="20"/>
        </w:rPr>
        <w:t xml:space="preserve"> (1 lane per line) second — a general vector engine. </w:t>
      </w:r>
      <w:r>
        <w:rPr>
          <w:b/>
          <w:bCs/>
          <w:sz w:val="20"/>
        </w:rPr>
        <w:t>bf16 stays the v1 format.</w:t>
      </w:r>
      <w:r>
        <w:rPr>
          <w:sz w:val="20"/>
        </w:rPr>
        <w:t xml:space="preserve"> Both implemented 2026-10-20 (</w:t>
      </w:r>
      <w:r>
        <w:rPr>
          <w:rStyle w:val="VerbatimChar"/>
          <w:sz w:val="20"/>
        </w:rPr>
        <w:t>func_sel[8:7]</w:t>
      </w:r>
      <w:r>
        <w:rPr>
          <w:sz w:val="20"/>
        </w:rPr>
        <w:t xml:space="preserve"> = 1 int8, 2 fp32), with fp8 e4m3 (§7) as format 3.</w:t>
      </w:r>
    </w:p>
    <w:p>
      <w:pPr>
        <w:pStyle w:val="BodyText"/>
        <w:rPr/>
      </w:pPr>
      <w:r>
        <w:rPr>
          <w:b/>
          <w:bCs/>
          <w:sz w:val="20"/>
        </w:rPr>
        <w:t>No-fork rationale:</w:t>
      </w:r>
      <w:r>
        <w:rPr>
          <w:sz w:val="20"/>
        </w:rPr>
        <w:t xml:space="preserve"> there are no A/B/C ALU variants — one ALU per cell; heterogeneity belongs at cell/tile granularity because delta/tile is payload-agnostic. The </w:t>
      </w:r>
      <w:r>
        <w:rPr>
          <w:rStyle w:val="VerbatimChar"/>
          <w:sz w:val="20"/>
        </w:rPr>
        <w:t>alu-rv32i</w:t>
      </w:r>
      <w:r>
        <w:rPr>
          <w:sz w:val="20"/>
        </w:rPr>
        <w:t xml:space="preserve"> and </w:t>
      </w:r>
      <w:r>
        <w:rPr>
          <w:rStyle w:val="VerbatimChar"/>
          <w:sz w:val="20"/>
        </w:rPr>
        <w:t>alu-rv32f</w:t>
      </w:r>
      <w:r>
        <w:rPr>
          <w:sz w:val="20"/>
        </w:rPr>
        <w:t xml:space="preserve"> blocks are ISA-datapath ALUs for the falcon cores (a different role, not variants of this one).</w:t>
      </w:r>
      <w:bookmarkEnd w:id="12"/>
      <w:bookmarkEnd w:id="14"/>
      <w:r>
        <w:br w:type="page"/>
      </w:r>
    </w:p>
    <w:p>
      <w:pPr>
        <w:pStyle w:val="Heading2"/>
        <w:pBdr>
          <w:bottom w:val="single" w:sz="12" w:space="0" w:color="228B22"/>
        </w:pBdr>
        <w:spacing w:before="280" w:after="80"/>
        <w:rPr/>
      </w:pPr>
      <w:bookmarkStart w:id="15" w:name="__RefHeading___Toc12115_211582255"/>
      <w:bookmarkStart w:id="16" w:name="interface-contract"/>
      <w:bookmarkEnd w:id="15"/>
      <w:r>
        <w:rPr>
          <w:rStyle w:val="SectionNumber"/>
          <w:b/>
          <w:color w:val="228B22"/>
          <w:sz w:val="28"/>
        </w:rPr>
        <w:t>2.4</w:t>
      </w:r>
      <w:r>
        <w:rPr>
          <w:b/>
          <w:color w:val="228B22"/>
          <w:sz w:val="28"/>
        </w:rPr>
        <w:tab/>
        <w:t>4. Interface contract</w:t>
      </w:r>
    </w:p>
    <w:p>
      <w:pPr>
        <w:pStyle w:val="FirstParagraph"/>
        <w:rPr/>
      </w:pPr>
      <w:r>
        <w:rPr>
          <w:sz w:val="20"/>
        </w:rPr>
        <w:t xml:space="preserve">The contract the cell implementation obeys at the issue seam (the ALU↔gatling seam; the MAS chapter “The Issue Seam” is the signal-level form, including the </w:t>
      </w:r>
      <w:r>
        <w:rPr>
          <w:rStyle w:val="VerbatimChar"/>
          <w:sz w:val="20"/>
        </w:rPr>
        <w:t>err_opcode</w:t>
      </w:r>
      <w:r>
        <w:rPr>
          <w:sz w:val="20"/>
        </w:rPr>
        <w:t xml:space="preserve"> status pulse added 2026-10-20):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group</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op_line_a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op_line_b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LINE_W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operands — the function’s </w:t>
            </w:r>
            <w:r>
              <w:rPr>
                <w:rStyle w:val="VerbatimChar"/>
                <w:rFonts w:eastAsia="Cambria" w:cs=""/>
                <w:kern w:val="0"/>
                <w:szCs w:val="24"/>
                <w:lang w:val="en-US" w:eastAsia="en-US" w:bidi="ar-SA"/>
              </w:rPr>
              <w:t>OP_LINES</w:t>
            </w:r>
            <w:r>
              <w:rPr>
                <w:rFonts w:eastAsia="Cambria" w:cs=""/>
                <w:kern w:val="0"/>
                <w:sz w:val="24"/>
                <w:szCs w:val="24"/>
                <w:lang w:val="en-US" w:eastAsia="en-US" w:bidi="ar-SA"/>
              </w:rPr>
              <w:t xml:space="preserve"> count is across both ports (1 for copy/relu: the A line only; 2 for binary/mac: the A line and the B line); both lines are presented </w:t>
            </w:r>
            <w:r>
              <w:rPr>
                <w:rFonts w:eastAsia="Cambria" w:cs=""/>
                <w:b/>
                <w:bCs/>
                <w:kern w:val="0"/>
                <w:sz w:val="24"/>
                <w:szCs w:val="24"/>
                <w:lang w:val="en-US" w:eastAsia="en-US" w:bidi="ar-SA"/>
              </w:rPr>
              <w:t>in the same clock</w:t>
            </w:r>
            <w:r>
              <w:rPr>
                <w:rFonts w:eastAsia="Cambria" w:cs=""/>
                <w:kern w:val="0"/>
                <w:sz w:val="24"/>
                <w:szCs w:val="24"/>
                <w:lang w:val="en-US" w:eastAsia="en-US" w:bidi="ar-SA"/>
              </w:rPr>
              <w:t xml:space="preserve"> and captured at the issue edge (owner ruling 2026-10-17: two ops scheduled in the same clock finish at the same time)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threshold_imm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(bf16)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operand for opcode 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func_sel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sub-op, reserved} — the legacy element-width field is reserved (§3)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accumulator clear / hold / accumulate (opcode 4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line per invocation for all v1 rows (2 bf16 lanes, fp32-rounded at drain for opcode 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result_flags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opcode-6 mask — one bit per lane, packed low (M5 closed 2026-10-17, owner ruling); zero for other rows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handshake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elastic issue: the invocation enters the row pipeline when </w:t>
            </w:r>
            <w:r>
              <w:rPr>
                <w:rStyle w:val="VerbatimChar"/>
                <w:rFonts w:eastAsia="Cambria" w:cs=""/>
                <w:kern w:val="0"/>
                <w:szCs w:val="24"/>
                <w:lang w:val="en-US" w:eastAsia="en-US" w:bidi="ar-SA"/>
              </w:rPr>
              <w:t>valid &amp;&amp; 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deasserts only under downstream backpressure, so a new invocation may be accepted </w:t>
            </w:r>
            <w:r>
              <w:rPr>
                <w:rFonts w:eastAsia="Cambria" w:cs=""/>
                <w:b/>
                <w:bCs/>
                <w:kern w:val="0"/>
                <w:sz w:val="24"/>
                <w:szCs w:val="24"/>
                <w:lang w:val="en-US" w:eastAsia="en-US" w:bidi="ar-SA"/>
              </w:rPr>
              <w:t>every clock</w:t>
            </w:r>
            <w:r>
              <w:rPr>
                <w:rFonts w:eastAsia="Cambria" w:cs=""/>
                <w:kern w:val="0"/>
                <w:sz w:val="24"/>
                <w:szCs w:val="24"/>
                <w:lang w:val="en-US" w:eastAsia="en-US" w:bidi="ar-SA"/>
              </w:rPr>
              <w:t xml:space="preserve"> while the output drains (II=1); the issuer holds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and its operands/config stable while </w:t>
            </w: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is 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result_ready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handshake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elastic retire: each result is offered at its row’s natural latency (MAS Table 2.6; the retired mailbox’s uniform </w:t>
            </w:r>
            <w:r>
              <w:rPr>
                <w:rStyle w:val="VerbatimChar"/>
                <w:rFonts w:eastAsia="Cambria" w:cs=""/>
                <w:kern w:val="0"/>
                <w:szCs w:val="24"/>
                <w:lang w:val="en-US" w:eastAsia="en-US" w:bidi="ar-SA"/>
              </w:rPr>
              <w:t>ROW_LATENCY</w:t>
            </w:r>
            <w:r>
              <w:rPr>
                <w:rFonts w:eastAsia="Cambria" w:cs=""/>
                <w:kern w:val="0"/>
                <w:sz w:val="24"/>
                <w:szCs w:val="24"/>
                <w:lang w:val="en-US" w:eastAsia="en-US" w:bidi="ar-SA"/>
              </w:rPr>
              <w:t xml:space="preserve"> is gone) and held with stable data until accepted; results retire strictly in issue order</w:t>
            </w:r>
          </w:p>
        </w:tc>
      </w:tr>
    </w:tbl>
    <w:p>
      <w:pPr>
        <w:pStyle w:val="BodyText"/>
        <w:rPr/>
      </w:pPr>
      <w:r>
        <w:rPr>
          <w:sz w:val="20"/>
        </w:rPr>
        <w:t>Invariants:</w:t>
      </w:r>
    </w:p>
    <w:p>
      <w:pPr>
        <w:pStyle w:val="Compact"/>
        <w:numPr>
          <w:ilvl w:val="0"/>
          <w:numId w:val="82"/>
        </w:numPr>
        <w:rPr/>
      </w:pPr>
      <w:r>
        <w:rPr>
          <w:b/>
          <w:bCs/>
        </w:rPr>
        <w:t>Lane independence.</w:t>
      </w:r>
      <w:r>
        <w:rPr/>
        <w:t xml:space="preserve"> Except for opcode 4’s accumulator, no lane of a result line depends on any other lane of the same or the other operand line. A lane can be checked against a scalar golden reference in isolation.</w:t>
      </w:r>
    </w:p>
    <w:p>
      <w:pPr>
        <w:pStyle w:val="Compact"/>
        <w:numPr>
          <w:ilvl w:val="0"/>
          <w:numId w:val="83"/>
        </w:numPr>
        <w:rPr/>
      </w:pPr>
      <w:r>
        <w:rPr>
          <w:b/>
          <w:bCs/>
        </w:rPr>
        <w:t>Accumulator isolation.</w:t>
      </w:r>
      <w:r>
        <w:rPr/>
        <w:t xml:space="preserve"> The fp32 accumulator is per-lane, private to opcode 4, cleared only by </w:t>
      </w:r>
      <w:r>
        <w:rPr>
          <w:rStyle w:val="VerbatimChar"/>
        </w:rPr>
        <w:t>acc_ctrl</w:t>
      </w:r>
      <w:r>
        <w:rPr/>
        <w:t>.</w:t>
      </w:r>
    </w:p>
    <w:p>
      <w:pPr>
        <w:pStyle w:val="Compact"/>
        <w:numPr>
          <w:ilvl w:val="0"/>
          <w:numId w:val="84"/>
        </w:numPr>
        <w:rPr/>
      </w:pPr>
      <w:r>
        <w:rPr>
          <w:b/>
          <w:bCs/>
        </w:rPr>
        <w:t>Registered shell, uniform presentation, elastic timing.</w:t>
      </w:r>
      <w:r>
        <w:rPr/>
        <w:t xml:space="preserve"> Rows may be combinational or pipelined (cell MAS decides); the contract is a valid/ready elastic pipeline either way: every result is </w:t>
      </w:r>
      <w:r>
        <w:rPr>
          <w:b/>
          <w:bCs/>
        </w:rPr>
        <w:t>presented</w:t>
      </w:r>
      <w:r>
        <w:rPr/>
        <w:t xml:space="preserve"> exactly </w:t>
      </w:r>
      <w:r>
        <w:rPr>
          <w:rStyle w:val="VerbatimChar"/>
        </w:rPr>
        <w:t>ROW_LATENCY</w:t>
      </w:r>
      <w:r>
        <w:rPr/>
        <w:t xml:space="preserve"> cycles after its issue, in issue order, when the output drains continuously. Quick rows compute in parallel at their natural speed and the block’s alignment mechanism delays their presentation — no padded pipe stages on fast rows. </w:t>
      </w:r>
      <w:r>
        <w:rPr>
          <w:b/>
          <w:bCs/>
        </w:rPr>
        <w:t>Tag-based alignment (owner ruling 2026-10-18):</w:t>
      </w:r>
      <w:r>
        <w:rPr/>
        <w:t xml:space="preserve"> when an invocation is loaded it takes an 8-bit tag, common to all ops that must execute in parallel; a FIFO tracks the tags in flight, and an op asserts its valid only when every op of its tag group is ready — the join yields group-aligned, in-order, elastic retirement without per-op timers. The v1-as-built block realizes the same contract with the alignment-timer mailbox of the MAS; the tag mechanism is the alignment architecture when rows gain uneven pipeline depths (§7). Backpressure propagates: a stalled consumer holds </w:t>
      </w:r>
      <w:r>
        <w:rPr>
          <w:rStyle w:val="VerbatimChar"/>
        </w:rPr>
        <w:t>result_valid</w:t>
      </w:r>
      <w:r>
        <w:rPr/>
        <w:t xml:space="preserve"> (data stable), freezes the alignment tracking, and deasserts </w:t>
      </w:r>
      <w:r>
        <w:rPr>
          <w:rStyle w:val="VerbatimChar"/>
        </w:rPr>
        <w:t>ready</w:t>
      </w:r>
      <w:r>
        <w:rPr/>
        <w:t xml:space="preserve"> at the input once the pipe fills; on release the pipeline resumes where it stopped. </w:t>
      </w:r>
      <w:r>
        <w:rPr>
          <w:b/>
          <w:bCs/>
        </w:rPr>
        <w:t>Scheduler-paced feedback.</w:t>
      </w:r>
      <w:r>
        <w:rPr/>
        <w:t xml:space="preserve"> Whenever results feed back — opcode 4’s chain today, any future recurrence — the scheduler owns the pace entirely: it shapes the </w:t>
      </w:r>
      <w:r>
        <w:rPr>
          <w:rStyle w:val="VerbatimChar"/>
        </w:rPr>
        <w:t>valid</w:t>
      </w:r>
      <w:r>
        <w:rPr/>
        <w:t xml:space="preserve"> stream and obeys </w:t>
      </w:r>
      <w:r>
        <w:rPr>
          <w:rStyle w:val="VerbatimChar"/>
        </w:rPr>
        <w:t>ready</w:t>
      </w:r>
      <w:r>
        <w:rPr/>
        <w:t xml:space="preserve">, and the ALU makes no autonomous pacing decisions (owner ruling 2026-10-17). </w:t>
      </w:r>
      <w:r>
        <w:rPr>
          <w:b/>
          <w:bCs/>
        </w:rPr>
        <w:t>No tags on this seam</w:t>
      </w:r>
      <w:r>
        <w:rPr/>
        <w:t xml:space="preserve"> — the tags above live inside the block; seam flow control is the two valid/ready pairs alone, with no error signal. Steady state, un-stalled, is one invocation per clock regardless of depth.</w:t>
      </w:r>
    </w:p>
    <w:p>
      <w:pPr>
        <w:pStyle w:val="Compact"/>
        <w:numPr>
          <w:ilvl w:val="0"/>
          <w:numId w:val="85"/>
        </w:numPr>
        <w:rPr/>
      </w:pPr>
      <w:r>
        <w:rPr>
          <w:b/>
          <w:bCs/>
        </w:rPr>
        <w:t>Function-table growth.</w:t>
      </w:r>
      <w:r>
        <w:rPr/>
        <w:t xml:space="preserve"> New opcodes and sub-ops are additive rows; they must not change §4’s handshake or the lane-independence invariant.</w:t>
      </w:r>
      <w:bookmarkEnd w:id="16"/>
      <w:r>
        <w:br w:type="page"/>
      </w:r>
    </w:p>
    <w:p>
      <w:pPr>
        <w:pStyle w:val="Heading2"/>
        <w:pBdr>
          <w:bottom w:val="single" w:sz="12" w:space="0" w:color="228B22"/>
        </w:pBdr>
        <w:spacing w:before="280" w:after="80"/>
        <w:rPr/>
      </w:pPr>
      <w:bookmarkStart w:id="17" w:name="__RefHeading___Toc12117_211582255"/>
      <w:bookmarkStart w:id="18" w:name="Xca415aaa25ffc600a5094897030a2e222127e23"/>
      <w:bookmarkEnd w:id="17"/>
      <w:r>
        <w:rPr>
          <w:rStyle w:val="SectionNumber"/>
          <w:b/>
          <w:color w:val="228B22"/>
          <w:sz w:val="28"/>
        </w:rPr>
        <w:t>2.5</w:t>
      </w:r>
      <w:r>
        <w:rPr>
          <w:b/>
          <w:color w:val="228B22"/>
          <w:sz w:val="28"/>
        </w:rPr>
        <w:tab/>
        <w:t>5. Control interface — gatling issues the ALU; in-band everything</w:t>
      </w:r>
    </w:p>
    <w:p>
      <w:pPr>
        <w:pStyle w:val="FirstParagraph"/>
        <w:rPr/>
      </w:pPr>
      <w:r>
        <w:rPr>
          <w:b/>
          <w:bCs/>
          <w:sz w:val="20"/>
        </w:rPr>
        <w:t>Owner ruling 2026-10-19:</w:t>
      </w:r>
      <w:r>
        <w:rPr>
          <w:sz w:val="20"/>
        </w:rPr>
        <w:t xml:space="preserve"> gatling sequences the four ALUs of its adjacent cells. The </w:t>
      </w:r>
      <w:hyperlink r:id="rId9">
        <w:r>
          <w:rPr>
            <w:rStyle w:val="ListLabel725"/>
            <w:rFonts w:ascii="Consolas" w:hAnsi="Consolas"/>
            <w:sz w:val="22"/>
            <w:sz w:val="22"/>
          </w:rPr>
          <w:t>gatling-rv32itetrad</w:t>
        </w:r>
      </w:hyperlink>
      <w:r>
        <w:rPr>
          <w:sz w:val="20"/>
        </w:rPr>
        <w:t xml:space="preserve"> barrel RV32I core runs one context per cell; a context’s program presents operands to the cell’s alu-infer issue handshake and retires result lines (Xcell POP/PUSH, gatling PRD §3). The program is the schedule. The ALU keeps its elastic valid/ready seam and tag-alignment contract (§4) unchanged, and makes no pacing decisions of its own.</w:t>
      </w:r>
    </w:p>
    <w:p>
      <w:pPr>
        <w:pStyle w:val="BodyText"/>
        <w:rPr/>
      </w:pPr>
      <w:r>
        <w:rPr>
          <w:sz w:val="20"/>
        </w:rPr>
        <w:t xml:space="preserve">The tile blocks take </w:t>
      </w:r>
      <w:r>
        <w:rPr>
          <w:b/>
          <w:bCs/>
          <w:sz w:val="20"/>
        </w:rPr>
        <w:t>all data, config, and programming in-band on delta</w:t>
      </w:r>
      <w:r>
        <w:rPr>
          <w:sz w:val="20"/>
        </w:rPr>
        <w:t xml:space="preserve"> (owner ruling 2026-10-17). Configuration rides with the data as </w:t>
      </w:r>
      <w:r>
        <w:rPr>
          <w:rStyle w:val="VerbatimChar"/>
          <w:sz w:val="20"/>
        </w:rPr>
        <w:t>cfg</w:t>
      </w:r>
      <w:r>
        <w:rPr>
          <w:sz w:val="20"/>
        </w:rPr>
        <w:t xml:space="preserve"> packets (cell PRD §3) and the cell’s demux writes its register map from the stream — </w:t>
      </w:r>
      <w:r>
        <w:rPr>
          <w:b/>
          <w:bCs/>
          <w:sz w:val="20"/>
        </w:rPr>
        <w:t>the stream is the programmer</w:t>
      </w:r>
      <w:r>
        <w:rPr>
          <w:sz w:val="20"/>
        </w:rPr>
        <w:t>. Consequences:</w:t>
      </w:r>
    </w:p>
    <w:p>
      <w:pPr>
        <w:pStyle w:val="Compact"/>
        <w:numPr>
          <w:ilvl w:val="0"/>
          <w:numId w:val="3"/>
        </w:numPr>
        <w:rPr/>
      </w:pPr>
      <w:r>
        <w:rPr>
          <w:b/>
          <w:bCs/>
        </w:rPr>
        <w:t>Gatling never originates config traffic.</w:t>
      </w:r>
      <w:r>
        <w:rPr/>
        <w:t xml:space="preserve"> There is no per-tetrad config broadcaster to design or verify.</w:t>
      </w:r>
    </w:p>
    <w:p>
      <w:pPr>
        <w:pStyle w:val="Compact"/>
        <w:numPr>
          <w:ilvl w:val="0"/>
          <w:numId w:val="3"/>
        </w:numPr>
        <w:rPr/>
      </w:pPr>
      <w:r>
        <w:rPr>
          <w:b/>
          <w:bCs/>
        </w:rPr>
        <w:t>One gatling per tetrad</w:t>
      </w:r>
      <w:r>
        <w:rPr/>
        <w:t xml:space="preserve"> (4 cells, four per tile): the tetrad is the tile’s structural group, with one group-done per four cells, and four independent control points allow layer pipelining across tetrads without sixteen instruction streams. SIMD width per tetrad: 4 cells × 2 bf16 lanes = 8 bf16 lanes stepping together (16 int8 or fp8 lanes in those formats).</w:t>
      </w:r>
    </w:p>
    <w:p>
      <w:pPr>
        <w:pStyle w:val="Compact"/>
        <w:numPr>
          <w:ilvl w:val="0"/>
          <w:numId w:val="3"/>
        </w:numPr>
        <w:rPr/>
      </w:pPr>
      <w:r>
        <w:rPr>
          <w:b/>
          <w:bCs/>
        </w:rPr>
        <w:t>Xcell stays minimal</w:t>
      </w:r>
      <w:r>
        <w:rPr/>
        <w:t xml:space="preserve"> (custom-0): CFG/POP/PUSH/ECTX/FLUSH/KICK/WAIT, encodings in the gatling PRD v0.2. How POP/PUSH map onto this block’s issue fields is gatling-MAS scope.</w:t>
      </w:r>
    </w:p>
    <w:p>
      <w:pPr>
        <w:pStyle w:val="Compact"/>
        <w:numPr>
          <w:ilvl w:val="0"/>
          <w:numId w:val="3"/>
        </w:numPr>
        <w:rPr/>
      </w:pPr>
      <w:r>
        <w:rPr>
          <w:b/>
          <w:bCs/>
        </w:rPr>
        <w:t>Observability stays with Ocelus.</w:t>
      </w:r>
      <w:r>
        <w:rPr/>
        <w:t xml:space="preserve"> The tile’s MonBus aggregation and the SERV-based monitor plane are untouched; gatling adds per-context status to the observed set (gatling PRD §5). The ALU exposes no taps.</w:t>
      </w:r>
    </w:p>
    <w:p>
      <w:pPr>
        <w:pStyle w:val="Compact"/>
        <w:numPr>
          <w:ilvl w:val="0"/>
          <w:numId w:val="3"/>
        </w:numPr>
        <w:rPr/>
      </w:pPr>
      <w:r>
        <w:rPr>
          <w:b/>
          <w:bCs/>
        </w:rPr>
        <w:t>Not SERV, not a per-cell FSM:</w:t>
      </w:r>
      <w:r>
        <w:rPr/>
        <w:t xml:space="preserve"> SERV is the Ocelus agent core; the per-cell execution FSM of the first cell PRD is replaced by gatling (gatling PRD §5).</w:t>
      </w:r>
      <w:bookmarkEnd w:id="18"/>
      <w:r>
        <w:br w:type="page"/>
      </w:r>
    </w:p>
    <w:p>
      <w:pPr>
        <w:pStyle w:val="Heading2"/>
        <w:pBdr>
          <w:bottom w:val="single" w:sz="12" w:space="0" w:color="228B22"/>
        </w:pBdr>
        <w:spacing w:before="280" w:after="80"/>
        <w:rPr/>
      </w:pPr>
      <w:bookmarkStart w:id="19" w:name="__RefHeading___Toc12119_211582255"/>
      <w:bookmarkStart w:id="20" w:name="verification-hooks"/>
      <w:bookmarkEnd w:id="19"/>
      <w:r>
        <w:rPr>
          <w:rStyle w:val="SectionNumber"/>
          <w:b/>
          <w:color w:val="228B22"/>
          <w:sz w:val="28"/>
        </w:rPr>
        <w:t>2.6</w:t>
      </w:r>
      <w:r>
        <w:rPr>
          <w:b/>
          <w:color w:val="228B22"/>
          <w:sz w:val="28"/>
        </w:rPr>
        <w:tab/>
        <w:t>6. Verification hooks</w:t>
      </w:r>
    </w:p>
    <w:p>
      <w:pPr>
        <w:pStyle w:val="Compact"/>
        <w:numPr>
          <w:ilvl w:val="0"/>
          <w:numId w:val="86"/>
        </w:numPr>
        <w:rPr/>
      </w:pPr>
      <w:r>
        <w:rPr/>
        <w:t xml:space="preserve">Stack per house convention: cocotb + rds-dv BFMs (cell PRD §9); the ALU’s unit tests live in the cell’s </w:t>
      </w:r>
      <w:r>
        <w:rPr>
          <w:rStyle w:val="VerbatimChar"/>
        </w:rPr>
        <w:t>dv/</w:t>
      </w:r>
      <w:r>
        <w:rPr/>
        <w:t xml:space="preserve"> tree since the RTL does.</w:t>
      </w:r>
    </w:p>
    <w:p>
      <w:pPr>
        <w:pStyle w:val="Compact"/>
        <w:numPr>
          <w:ilvl w:val="0"/>
          <w:numId w:val="87"/>
        </w:numPr>
        <w:rPr/>
      </w:pPr>
      <w:r>
        <w:rPr>
          <w:b/>
          <w:bCs/>
        </w:rPr>
        <w:t>Golden reference:</w:t>
      </w:r>
      <w:r>
        <w:rPr/>
        <w:t xml:space="preserve"> a small bf16 numerics model (fp32 computation per lane, rounded to bf16 RNE) — matching how the math library’s own dv checks the bf16 blocks; lanes compared independently, which §4 invariant 1 makes a strong check. Opcode 4 checks the fp32-accumulate chain (long MAC runs, clear/hold corners, single-round-at-drain).</w:t>
      </w:r>
    </w:p>
    <w:p>
      <w:pPr>
        <w:pStyle w:val="Compact"/>
        <w:numPr>
          <w:ilvl w:val="0"/>
          <w:numId w:val="88"/>
        </w:numPr>
        <w:rPr/>
      </w:pPr>
      <w:r>
        <w:rPr>
          <w:b/>
          <w:bCs/>
        </w:rPr>
        <w:t>Special values are mandatory corners</w:t>
      </w:r>
      <w:r>
        <w:rPr/>
        <w:t xml:space="preserve">, not extras: NaN payloads, ±inf, ±0, and denormals/FTZ behavior (the library’s </w:t>
      </w:r>
      <w:r>
        <w:rPr>
          <w:rStyle w:val="VerbatimChar"/>
        </w:rPr>
        <w:t>SUBNORMAL_SUPPORT</w:t>
      </w:r>
      <w:r>
        <w:rPr/>
        <w:t xml:space="preserve"> parameter lineage — see the math references index) on every arithmetic row.</w:t>
      </w:r>
    </w:p>
    <w:p>
      <w:pPr>
        <w:pStyle w:val="Compact"/>
        <w:numPr>
          <w:ilvl w:val="0"/>
          <w:numId w:val="89"/>
        </w:numPr>
        <w:rPr/>
      </w:pPr>
      <w:r>
        <w:rPr>
          <w:b/>
          <w:bCs/>
        </w:rPr>
        <w:t>Activation rows</w:t>
      </w:r>
      <w:r>
        <w:rPr/>
        <w:t xml:space="preserve"> check against the library’s reference approximations (piecewise/LUT), with the accuracy class stated per row in the cell MAS.</w:t>
      </w:r>
    </w:p>
    <w:p>
      <w:pPr>
        <w:pStyle w:val="Compact"/>
        <w:numPr>
          <w:ilvl w:val="0"/>
          <w:numId w:val="90"/>
        </w:numPr>
        <w:rPr/>
      </w:pPr>
      <w:r>
        <w:rPr>
          <w:b/>
          <w:bCs/>
        </w:rPr>
        <w:t xml:space="preserve">Cross-check against </w:t>
      </w:r>
      <w:r>
        <w:rPr>
          <w:rStyle w:val="VerbatimChar"/>
          <w:b/>
          <w:bCs/>
        </w:rPr>
        <w:t>rtl/math</w:t>
      </w:r>
      <w:r>
        <w:rPr>
          <w:b/>
          <w:bCs/>
        </w:rPr>
        <w:t>:</w:t>
      </w:r>
      <w:r>
        <w:rPr/>
        <w:t xml:space="preserve"> the ALU’s rows instantiate the library blocks; a unit-vs-library diff on identical operands is a bug in exactly one of them.</w:t>
      </w:r>
    </w:p>
    <w:p>
      <w:pPr>
        <w:pStyle w:val="Compact"/>
        <w:numPr>
          <w:ilvl w:val="0"/>
          <w:numId w:val="91"/>
        </w:numPr>
        <w:rPr/>
      </w:pPr>
      <w:r>
        <w:rPr>
          <w:b/>
          <w:bCs/>
        </w:rPr>
        <w:t>Issuer bring-up</w:t>
      </w:r>
      <w:r>
        <w:rPr/>
        <w:t xml:space="preserve"> is gatling’s (its PRD §6: spike lockstep on RV32I, directed Xcell tests); the issue seam itself is verified here, with GAXI BFMs standing in for gatling.</w:t>
      </w:r>
    </w:p>
    <w:p>
      <w:pPr>
        <w:pStyle w:val="Compact"/>
        <w:numPr>
          <w:ilvl w:val="0"/>
          <w:numId w:val="92"/>
        </w:numPr>
        <w:rPr/>
      </w:pPr>
      <w:bookmarkStart w:id="21" w:name="verification-hooks"/>
      <w:r>
        <w:rPr/>
        <w:t>Coverage matrix: opcode (8) × special-value class × lane position (2 per line), plus accumulator chains and threshold immediate corners. The cell PRD’s credit-loop tests already verify lines-in → credits-out independently of the datapath.</w:t>
      </w:r>
      <w:bookmarkEnd w:id="21"/>
      <w:r>
        <w:br w:type="page"/>
      </w:r>
    </w:p>
    <w:p>
      <w:pPr>
        <w:pStyle w:val="Heading2"/>
        <w:pBdr>
          <w:bottom w:val="single" w:sz="12" w:space="0" w:color="228B22"/>
        </w:pBdr>
        <w:spacing w:before="280" w:after="80"/>
        <w:rPr/>
      </w:pPr>
      <w:bookmarkStart w:id="22" w:name="__RefHeading___Toc12121_211582255"/>
      <w:bookmarkStart w:id="23" w:name="deferred-and-growth"/>
      <w:bookmarkEnd w:id="22"/>
      <w:r>
        <w:rPr>
          <w:rStyle w:val="SectionNumber"/>
          <w:b/>
          <w:color w:val="228B22"/>
          <w:sz w:val="28"/>
        </w:rPr>
        <w:t>2.7</w:t>
      </w:r>
      <w:r>
        <w:rPr>
          <w:b/>
          <w:color w:val="228B22"/>
          <w:sz w:val="28"/>
        </w:rPr>
        <w:tab/>
        <w:t>7. Deferred and growth</w:t>
      </w:r>
    </w:p>
    <w:p>
      <w:pPr>
        <w:pStyle w:val="FirstParagraph"/>
        <w:rPr/>
      </w:pPr>
      <w:r>
        <w:rPr>
          <w:sz w:val="20"/>
        </w:rPr>
        <w:t>Status 2026-10-20: implemented — pipelining knobs (</w:t>
      </w:r>
      <w:r>
        <w:rPr>
          <w:rStyle w:val="VerbatimChar"/>
          <w:sz w:val="20"/>
        </w:rPr>
        <w:t>MUL_LATENCY</w:t>
      </w:r>
      <w:r>
        <w:rPr>
          <w:sz w:val="20"/>
        </w:rPr>
        <w:t xml:space="preserve">, and </w:t>
      </w:r>
      <w:r>
        <w:rPr>
          <w:rStyle w:val="VerbatimChar"/>
          <w:sz w:val="20"/>
        </w:rPr>
        <w:t>MAC_LATENCY</w:t>
      </w:r>
      <w:r>
        <w:rPr>
          <w:sz w:val="20"/>
        </w:rPr>
        <w:t xml:space="preserve"> operand stages ahead of a one-cycle fused accumulate), activations, reciprocal, exp2/log2, int8 drain, conversions, fp8 e4m3 lanes. Not implemented, by this PRD’s own rulings: divide (no true divider is planned, §3 roadmap), the B4–B32 companion mode, the CGRA replacement, and the cell-PRD items.</w:t>
      </w:r>
    </w:p>
    <w:p>
      <w:pPr>
        <w:pStyle w:val="Compact"/>
        <w:numPr>
          <w:ilvl w:val="0"/>
          <w:numId w:val="93"/>
        </w:numPr>
        <w:rPr/>
      </w:pPr>
      <w:r>
        <w:rPr>
          <w:b/>
          <w:bCs/>
        </w:rPr>
        <w:t>Deep-pipelined multiplier / FMA rows</w:t>
      </w:r>
      <w:r>
        <w:rPr/>
        <w:t xml:space="preserve"> — the combinational fp32 FMA (with its accumulator feedback) is the timing risk at FPGA bring-up; pipeline it with the adder’s </w:t>
      </w:r>
      <w:r>
        <w:rPr>
          <w:rStyle w:val="VerbatimChar"/>
        </w:rPr>
        <w:t>PIPE_STAGE_*</w:t>
      </w:r>
      <w:r>
        <w:rPr/>
        <w:t xml:space="preserve"> pattern. Mixed row depths then stay II=1 with in-order retirement under the tag-based alignment ruling (§4 invariant 3), which “naturally takes care of the elastic nature” (owner 2026-10-18). A single lane’s serial MAC dependency is arithmetic, not implementation — pipelining does not change it.</w:t>
      </w:r>
    </w:p>
    <w:p>
      <w:pPr>
        <w:pStyle w:val="Compact"/>
        <w:numPr>
          <w:ilvl w:val="0"/>
          <w:numId w:val="94"/>
        </w:numPr>
        <w:rPr/>
      </w:pPr>
      <w:r>
        <w:rPr>
          <w:b/>
          <w:bCs/>
        </w:rPr>
        <w:t>Activation expansion</w:t>
      </w:r>
      <w:r>
        <w:rPr/>
        <w:t xml:space="preserve"> (gelu, sigmoid, silu, tanh, leaky-relu) — library blocks exist; table rows once an owner priority calls for them.</w:t>
      </w:r>
    </w:p>
    <w:p>
      <w:pPr>
        <w:pStyle w:val="Compact"/>
        <w:numPr>
          <w:ilvl w:val="0"/>
          <w:numId w:val="95"/>
        </w:numPr>
        <w:rPr/>
      </w:pPr>
      <w:r>
        <w:rPr>
          <w:b/>
          <w:bCs/>
        </w:rPr>
        <w:t>Reciprocal / divide, exp2 / log2, int8 drain, format conversions</w:t>
      </w:r>
      <w:r>
        <w:rPr/>
        <w:t xml:space="preserve"> — library blocks exist (§3 growth list); same path.</w:t>
      </w:r>
    </w:p>
    <w:p>
      <w:pPr>
        <w:pStyle w:val="Compact"/>
        <w:numPr>
          <w:ilvl w:val="0"/>
          <w:numId w:val="96"/>
        </w:numPr>
        <w:rPr/>
      </w:pPr>
      <w:r>
        <w:rPr>
          <w:b/>
          <w:bCs/>
        </w:rPr>
        <w:t>fp8 element lanes</w:t>
      </w:r>
      <w:r>
        <w:rPr/>
        <w:t xml:space="preserve"> — </w:t>
      </w:r>
      <w:r>
        <w:rPr>
          <w:rStyle w:val="VerbatimChar"/>
        </w:rPr>
        <w:t>math_fp8_e4m3_*</w:t>
      </w:r>
      <w:r>
        <w:rPr/>
        <w:t xml:space="preserve"> / </w:t>
      </w:r>
      <w:r>
        <w:rPr>
          <w:rStyle w:val="VerbatimChar"/>
        </w:rPr>
        <w:t>math_fp8_e5m2_*</w:t>
      </w:r>
      <w:r>
        <w:rPr/>
        <w:t xml:space="preserve"> families exist; a mixed bf16/fp8 mode is an element-model extension, not v1.</w:t>
      </w:r>
    </w:p>
    <w:p>
      <w:pPr>
        <w:pStyle w:val="Compact"/>
        <w:numPr>
          <w:ilvl w:val="0"/>
          <w:numId w:val="97"/>
        </w:numPr>
        <w:rPr/>
      </w:pPr>
      <w:r>
        <w:rPr>
          <w:b/>
          <w:bCs/>
        </w:rPr>
        <w:t>Companion integer mode</w:t>
      </w:r>
      <w:r>
        <w:rPr/>
        <w:t xml:space="preserve"> (B4–B32) — deferred, and not currently planned; the bf16 model is the accelerator’s single datapath (§2).</w:t>
      </w:r>
    </w:p>
    <w:p>
      <w:pPr>
        <w:pStyle w:val="Compact"/>
        <w:numPr>
          <w:ilvl w:val="0"/>
          <w:numId w:val="98"/>
        </w:numPr>
        <w:rPr/>
      </w:pPr>
      <w:r>
        <w:rPr>
          <w:b/>
          <w:bCs/>
        </w:rPr>
        <w:t>CGRA replacement</w:t>
      </w:r>
      <w:r>
        <w:rPr/>
        <w:t xml:space="preserve"> — per cell PRD §11, an array replaces this ALU behind the same issue handshake.</w:t>
      </w:r>
    </w:p>
    <w:p>
      <w:pPr>
        <w:pStyle w:val="Compact"/>
        <w:numPr>
          <w:ilvl w:val="0"/>
          <w:numId w:val="99"/>
        </w:numPr>
        <w:rPr/>
      </w:pPr>
      <w:bookmarkStart w:id="24" w:name="deferred-and-growth"/>
      <w:r>
        <w:rPr/>
        <w:t>Context switching / multi-function pipelines and cell-initiated grant requests (both cell PRD §11) — cross-referenced, not restated.</w:t>
      </w:r>
      <w:bookmarkEnd w:id="24"/>
      <w:r>
        <w:br w:type="page"/>
      </w:r>
    </w:p>
    <w:p>
      <w:pPr>
        <w:pStyle w:val="Heading2"/>
        <w:pBdr>
          <w:bottom w:val="single" w:sz="12" w:space="0" w:color="228B22"/>
        </w:pBdr>
        <w:spacing w:before="280" w:after="80"/>
        <w:rPr/>
      </w:pPr>
      <w:bookmarkStart w:id="25" w:name="__RefHeading___Toc12123_211582255"/>
      <w:bookmarkStart w:id="26" w:name="open-questions"/>
      <w:bookmarkEnd w:id="25"/>
      <w:r>
        <w:rPr>
          <w:rStyle w:val="SectionNumber"/>
          <w:b/>
          <w:color w:val="228B22"/>
          <w:sz w:val="28"/>
        </w:rPr>
        <w:t>2.8</w:t>
      </w:r>
      <w:r>
        <w:rPr>
          <w:b/>
          <w:color w:val="228B22"/>
          <w:sz w:val="28"/>
        </w:rPr>
        <w:tab/>
        <w:t>8. Open questions</w:t>
      </w:r>
    </w:p>
    <w:p>
      <w:pPr>
        <w:pStyle w:val="Compact"/>
        <w:numPr>
          <w:ilvl w:val="0"/>
          <w:numId w:val="100"/>
        </w:numPr>
        <w:rPr/>
      </w:pPr>
      <w:r>
        <w:rPr>
          <w:b/>
          <w:bCs/>
        </w:rPr>
        <w:t>NaN / inf semantics in min/max and activations.</w:t>
      </w:r>
      <w:r>
        <w:rPr/>
        <w:t xml:space="preserve"> IEEE 754-2008 </w:t>
      </w:r>
      <w:r>
        <w:rPr>
          <w:rStyle w:val="VerbatimChar"/>
        </w:rPr>
        <w:t>minNum</w:t>
      </w:r>
      <w:r>
        <w:rPr/>
        <w:t>/</w:t>
      </w:r>
      <w:r>
        <w:rPr>
          <w:rStyle w:val="VerbatimChar"/>
        </w:rPr>
        <w:t>maxNum</w:t>
      </w:r>
      <w:r>
        <w:rPr/>
        <w:t xml:space="preserve"> quiet-NaN propagation vs the inference-convention “ignore NaN” — the library’s </w:t>
      </w:r>
      <w:r>
        <w:rPr>
          <w:rStyle w:val="VerbatimChar"/>
        </w:rPr>
        <w:t>math_bf16_min/max</w:t>
      </w:r>
      <w:r>
        <w:rPr/>
        <w:t xml:space="preserve"> and </w:t>
      </w:r>
      <w:r>
        <w:rPr>
          <w:rStyle w:val="VerbatimChar"/>
        </w:rPr>
        <w:t>math_bf16_comparator</w:t>
      </w:r>
      <w:r>
        <w:rPr/>
        <w:t xml:space="preserve"> semantics decide; state the choice in the cell MAS.</w:t>
      </w:r>
    </w:p>
    <w:p>
      <w:pPr>
        <w:pStyle w:val="Compact"/>
        <w:numPr>
          <w:ilvl w:val="0"/>
          <w:numId w:val="101"/>
        </w:numPr>
        <w:rPr/>
      </w:pPr>
      <w:r>
        <w:rPr>
          <w:b/>
          <w:bCs/>
        </w:rPr>
        <w:t>Rounding and exception policy.</w:t>
      </w:r>
      <w:r>
        <w:rPr/>
        <w:t xml:space="preserve"> RNE throughout per the library; a dynamic rounding mode is out of scope (garuda’s RNE ruling is the precedent). Whether the ALU reports bf16 flag equivalents (the library’s blocks carry IEEE exception outputs) into </w:t>
      </w:r>
      <w:r>
        <w:rPr>
          <w:rStyle w:val="VerbatimChar"/>
        </w:rPr>
        <w:t>result_flags</w:t>
      </w:r>
      <w:r>
        <w:rPr/>
        <w:t>, or leaves them unobserved, is a cell-observability decision.</w:t>
      </w:r>
    </w:p>
    <w:p>
      <w:pPr>
        <w:pStyle w:val="Compact"/>
        <w:numPr>
          <w:ilvl w:val="0"/>
          <w:numId w:val="102"/>
        </w:numPr>
        <w:rPr/>
      </w:pPr>
      <w:r>
        <w:rPr>
          <w:b/>
          <w:bCs/>
        </w:rPr>
        <w:t>Denormal / FTZ behavior</w:t>
      </w:r>
      <w:r>
        <w:rPr/>
        <w:t xml:space="preserve"> on the arithmetic rows — follow each library block’s </w:t>
      </w:r>
      <w:r>
        <w:rPr>
          <w:rStyle w:val="VerbatimChar"/>
        </w:rPr>
        <w:t>SUBNORMAL_SUPPORT</w:t>
      </w:r>
      <w:r>
        <w:rPr/>
        <w:t xml:space="preserve"> default, or force one policy cell-wide?</w:t>
      </w:r>
    </w:p>
    <w:p>
      <w:pPr>
        <w:pStyle w:val="Compact"/>
        <w:numPr>
          <w:ilvl w:val="0"/>
          <w:numId w:val="103"/>
        </w:numPr>
        <w:rPr/>
      </w:pPr>
      <w:r>
        <w:rPr>
          <w:b/>
          <w:bCs/>
        </w:rPr>
        <w:t>Tetrad-controller boundary details</w:t>
      </w:r>
      <w:r>
        <w:rPr/>
        <w:t xml:space="preserve"> — the core’s program-load path and local memory map, the kick/wait encoding, and whether it ever takes a MonBus observation tap (default: no — Ocelus/SERV owns observability). All land in the cell/tile MAS, not this PRD.</w:t>
      </w:r>
    </w:p>
    <w:p>
      <w:pPr>
        <w:pStyle w:val="Compact"/>
        <w:numPr>
          <w:ilvl w:val="0"/>
          <w:numId w:val="104"/>
        </w:numPr>
        <w:rPr/>
      </w:pPr>
      <w:r>
        <w:rPr>
          <w:b/>
          <w:bCs/>
        </w:rPr>
        <w:t>Immediate encoding</w:t>
      </w:r>
      <w:r>
        <w:rPr/>
        <w:t xml:space="preserve"> for opcode 6 (</w:t>
      </w:r>
      <w:r>
        <w:rPr>
          <w:rStyle w:val="VerbatimChar"/>
        </w:rPr>
        <w:t>threshold_imm</w:t>
      </w:r>
      <w:r>
        <w:rPr/>
        <w:t xml:space="preserve"> as a raw bf16 bit pattern vs a small int compared after convert).</w:t>
      </w:r>
    </w:p>
    <w:p>
      <w:pPr>
        <w:pStyle w:val="Compact"/>
        <w:numPr>
          <w:ilvl w:val="0"/>
          <w:numId w:val="105"/>
        </w:numPr>
        <w:rPr/>
      </w:pPr>
      <w:r>
        <w:rPr>
          <w:b/>
          <w:bCs/>
        </w:rPr>
        <w:t>Result-flag line format</w:t>
      </w:r>
      <w:r>
        <w:rPr/>
        <w:t xml:space="preserve"> for opcode 6 — </w:t>
      </w:r>
      <w:r>
        <w:rPr>
          <w:b/>
          <w:bCs/>
        </w:rPr>
        <w:t>closed 2026-10-17</w:t>
      </w:r>
      <w:r>
        <w:rPr/>
        <w:t xml:space="preserve"> (owner ruling): per-lane 1-bit mask, packed low in the </w:t>
      </w:r>
      <w:r>
        <w:rPr>
          <w:rStyle w:val="VerbatimChar"/>
        </w:rPr>
        <w:t>LINE_W</w:t>
      </w:r>
      <w:r>
        <w:rPr/>
        <w:t xml:space="preserve"> line (M5).</w:t>
      </w:r>
    </w:p>
    <w:p>
      <w:pPr>
        <w:pStyle w:val="Compact"/>
        <w:numPr>
          <w:ilvl w:val="0"/>
          <w:numId w:val="106"/>
        </w:numPr>
        <w:rPr/>
      </w:pPr>
      <w:r>
        <w:rPr>
          <w:rStyle w:val="VerbatimChar"/>
          <w:b/>
          <w:bCs/>
        </w:rPr>
        <w:t>FUNC_SEL</w:t>
      </w:r>
      <w:r>
        <w:rPr>
          <w:b/>
          <w:bCs/>
        </w:rPr>
        <w:t xml:space="preserve"> element-width field disposition</w:t>
      </w:r>
      <w:r>
        <w:rPr/>
        <w:t xml:space="preserve"> — </w:t>
      </w:r>
      <w:r>
        <w:rPr>
          <w:b/>
          <w:bCs/>
        </w:rPr>
        <w:t>closed 2026-10-20 by implementation:</w:t>
      </w:r>
      <w:r>
        <w:rPr/>
        <w:t xml:space="preserve"> </w:t>
      </w:r>
      <w:r>
        <w:rPr>
          <w:rStyle w:val="VerbatimChar"/>
        </w:rPr>
        <w:t>func_sel[8:7]</w:t>
      </w:r>
      <w:r>
        <w:rPr/>
        <w:t xml:space="preserve"> is the element-format field (0 bf16, 1 int8, 2 fp32, 3 fp8 e4m3), as the format roadmap planned (M6).</w:t>
      </w:r>
      <w:bookmarkEnd w:id="26"/>
      <w:r>
        <w:br w:type="page"/>
      </w:r>
    </w:p>
    <w:p>
      <w:pPr>
        <w:pStyle w:val="Heading2"/>
        <w:pBdr>
          <w:bottom w:val="single" w:sz="12" w:space="0" w:color="228B22"/>
        </w:pBdr>
        <w:spacing w:before="280" w:after="80"/>
        <w:rPr/>
      </w:pPr>
      <w:bookmarkStart w:id="27" w:name="__RefHeading___Toc12125_211582255"/>
      <w:bookmarkStart w:id="28" w:name="dependencies"/>
      <w:bookmarkEnd w:id="27"/>
      <w:r>
        <w:rPr>
          <w:rStyle w:val="SectionNumber"/>
          <w:b/>
          <w:color w:val="228B22"/>
          <w:sz w:val="28"/>
        </w:rPr>
        <w:t>2.9</w:t>
      </w:r>
      <w:r>
        <w:rPr>
          <w:b/>
          <w:color w:val="228B22"/>
          <w:sz w:val="28"/>
        </w:rPr>
        <w:tab/>
        <w:t>9. Dependencies</w:t>
      </w:r>
    </w:p>
    <w:p>
      <w:pPr>
        <w:pStyle w:val="Compact"/>
        <w:numPr>
          <w:ilvl w:val="0"/>
          <w:numId w:val="107"/>
        </w:numPr>
        <w:rPr/>
      </w:pPr>
      <w:r>
        <w:rPr>
          <w:rStyle w:val="VerbatimChar"/>
        </w:rPr>
        <w:t>rtl/math</w:t>
      </w:r>
      <w:r>
        <w:rPr/>
        <w:t xml:space="preserve"> </w:t>
      </w:r>
      <w:r>
        <w:rPr>
          <w:rStyle w:val="VerbatimChar"/>
        </w:rPr>
        <w:t>math_bf16_*</w:t>
      </w:r>
      <w:r>
        <w:rPr/>
        <w:t xml:space="preserve"> family — the implementation base (§3 names the block per row): adder, multiplier (</w:t>
      </w:r>
      <w:r>
        <w:rPr>
          <w:rStyle w:val="VerbatimChar"/>
        </w:rPr>
        <w:t>mantissa_mult</w:t>
      </w:r>
      <w:r>
        <w:rPr/>
        <w:t xml:space="preserve">, </w:t>
      </w:r>
      <w:r>
        <w:rPr>
          <w:rStyle w:val="VerbatimChar"/>
        </w:rPr>
        <w:t>exponent_adder</w:t>
      </w:r>
      <w:r>
        <w:rPr/>
        <w:t xml:space="preserve">), </w:t>
      </w:r>
      <w:r>
        <w:rPr>
          <w:rStyle w:val="VerbatimChar"/>
        </w:rPr>
        <w:t>fma</w:t>
      </w:r>
      <w:r>
        <w:rPr/>
        <w:t xml:space="preserve">, </w:t>
      </w:r>
      <w:r>
        <w:rPr>
          <w:rStyle w:val="VerbatimChar"/>
        </w:rPr>
        <w:t>comparator</w:t>
      </w:r>
      <w:r>
        <w:rPr/>
        <w:t xml:space="preserve">, </w:t>
      </w:r>
      <w:r>
        <w:rPr>
          <w:rStyle w:val="VerbatimChar"/>
        </w:rPr>
        <w:t>min</w:t>
      </w:r>
      <w:r>
        <w:rPr/>
        <w:t xml:space="preserve">, </w:t>
      </w:r>
      <w:r>
        <w:rPr>
          <w:rStyle w:val="VerbatimChar"/>
        </w:rPr>
        <w:t>max</w:t>
      </w:r>
      <w:r>
        <w:rPr/>
        <w:t xml:space="preserve">, </w:t>
      </w:r>
      <w:r>
        <w:rPr>
          <w:rStyle w:val="VerbatimChar"/>
        </w:rPr>
        <w:t>relu</w:t>
      </w:r>
      <w:r>
        <w:rPr/>
        <w:t>, plus the activation, divide, scale, and conversion blocks of the growth list.</w:t>
      </w:r>
    </w:p>
    <w:p>
      <w:pPr>
        <w:pStyle w:val="Compact"/>
        <w:numPr>
          <w:ilvl w:val="0"/>
          <w:numId w:val="108"/>
        </w:numPr>
        <w:rPr/>
      </w:pPr>
      <w:hyperlink r:id="rId10">
        <w:r>
          <w:rPr>
            <w:rStyle w:val="ListLabel725"/>
            <w:rFonts w:ascii="Consolas" w:hAnsi="Consolas"/>
            <w:sz w:val="22"/>
            <w:sz w:val="22"/>
          </w:rPr>
          <w:t>cell/docs/PRD.md</w:t>
        </w:r>
      </w:hyperlink>
      <w:r>
        <w:rPr/>
        <w:t xml:space="preserve"> — the cell around the ALU (memories, issue seam, packetizer, credits; reconciled to this PRD 2026-10-17).</w:t>
      </w:r>
    </w:p>
    <w:p>
      <w:pPr>
        <w:pStyle w:val="Compact"/>
        <w:numPr>
          <w:ilvl w:val="0"/>
          <w:numId w:val="109"/>
        </w:numPr>
        <w:rPr/>
      </w:pPr>
      <w:hyperlink r:id="rId11">
        <w:r>
          <w:rPr>
            <w:rStyle w:val="ListLabel725"/>
            <w:rFonts w:ascii="Consolas" w:hAnsi="Consolas"/>
            <w:sz w:val="22"/>
            <w:sz w:val="22"/>
          </w:rPr>
          <w:t>gatling-rv32itetrad/</w:t>
        </w:r>
      </w:hyperlink>
      <w:r>
        <w:rPr/>
        <w:t xml:space="preserve"> — the tetrad barrel core that issues the ALU (§5).</w:t>
      </w:r>
    </w:p>
    <w:p>
      <w:pPr>
        <w:pStyle w:val="Compact"/>
        <w:numPr>
          <w:ilvl w:val="0"/>
          <w:numId w:val="110"/>
        </w:numPr>
        <w:rPr/>
      </w:pPr>
      <w:hyperlink r:id="rId12">
        <w:r>
          <w:rPr>
            <w:rStyle w:val="ListLabel725"/>
            <w:rFonts w:ascii="Consolas" w:hAnsi="Consolas"/>
            <w:sz w:val="22"/>
            <w:sz w:val="22"/>
          </w:rPr>
          <w:t>tile/docs/TILE_SPEC.md</w:t>
        </w:r>
      </w:hyperlink>
      <w:r>
        <w:rPr/>
        <w:t xml:space="preserve"> §11 — packet, credit/grant, and coordinate protocols the cell (not the ALU) answers to; listed so a reader of this PRD can find the whole contract.</w:t>
      </w:r>
    </w:p>
    <w:p>
      <w:pPr>
        <w:pStyle w:val="Compact"/>
        <w:numPr>
          <w:ilvl w:val="0"/>
          <w:numId w:val="111"/>
        </w:numPr>
        <w:rPr/>
      </w:pPr>
      <w:hyperlink r:id="rId13">
        <w:r>
          <w:rPr>
            <w:rStyle w:val="ListLabel725"/>
            <w:rFonts w:ascii="Consolas" w:hAnsi="Consolas"/>
            <w:sz w:val="22"/>
            <w:sz w:val="22"/>
          </w:rPr>
          <w:t>rtl/math/references/README.md</w:t>
        </w:r>
      </w:hyperlink>
      <w:r>
        <w:rPr/>
        <w:t xml:space="preserve"> — the central math-paper index (bf16 format, activation, quantization, and fp8 citations for §§3, 7).</w:t>
      </w:r>
      <w:bookmarkEnd w:id="28"/>
      <w:r>
        <w:br w:type="page"/>
      </w:r>
    </w:p>
    <w:p>
      <w:pPr>
        <w:pStyle w:val="Heading2"/>
        <w:pBdr>
          <w:bottom w:val="single" w:sz="12" w:space="0" w:color="228B22"/>
        </w:pBdr>
        <w:spacing w:before="280" w:after="80"/>
        <w:rPr/>
      </w:pPr>
      <w:bookmarkStart w:id="29" w:name="__RefHeading___Toc12127_211582255"/>
      <w:bookmarkStart w:id="30" w:name="references"/>
      <w:bookmarkEnd w:id="29"/>
      <w:r>
        <w:rPr>
          <w:rStyle w:val="SectionNumber"/>
          <w:b/>
          <w:color w:val="228B22"/>
          <w:sz w:val="28"/>
        </w:rPr>
        <w:t>2.10</w:t>
      </w:r>
      <w:r>
        <w:rPr>
          <w:b/>
          <w:color w:val="228B22"/>
          <w:sz w:val="28"/>
        </w:rPr>
        <w:tab/>
        <w:t>10. References</w:t>
      </w:r>
    </w:p>
    <w:p>
      <w:pPr>
        <w:pStyle w:val="Compact"/>
        <w:numPr>
          <w:ilvl w:val="0"/>
          <w:numId w:val="112"/>
        </w:numPr>
        <w:rPr/>
      </w:pPr>
      <w:hyperlink r:id="rId14">
        <w:r>
          <w:rPr>
            <w:rStyle w:val="ListLabel725"/>
            <w:rFonts w:ascii="Consolas" w:hAnsi="Consolas"/>
            <w:sz w:val="22"/>
            <w:sz w:val="22"/>
          </w:rPr>
          <w:t>cell/docs/PRD.md</w:t>
        </w:r>
      </w:hyperlink>
      <w:r>
        <w:rPr/>
        <w:t xml:space="preserve"> — the cell around the ALU (normative for everything except the ALU block, which this PRD owns).</w:t>
      </w:r>
    </w:p>
    <w:p>
      <w:pPr>
        <w:pStyle w:val="Compact"/>
        <w:numPr>
          <w:ilvl w:val="0"/>
          <w:numId w:val="113"/>
        </w:numPr>
        <w:rPr/>
      </w:pPr>
      <w:hyperlink r:id="rId15">
        <w:r>
          <w:rPr>
            <w:rStyle w:val="Hyperlink"/>
            <w:rFonts w:ascii="Consolas" w:hAnsi="Consolas"/>
            <w:sz w:val="22"/>
            <w:sz w:val="22"/>
          </w:rPr>
          <w:t>gatling-rv32itetrad</w:t>
        </w:r>
        <w:r>
          <w:rPr>
            <w:rStyle w:val="Hyperlink"/>
          </w:rPr>
          <w:t xml:space="preserve"> PRD</w:t>
        </w:r>
      </w:hyperlink>
      <w:r>
        <w:rPr/>
        <w:t xml:space="preserve"> — the issuer: barrel RV32I + Xcell, one context per cell.</w:t>
      </w:r>
    </w:p>
    <w:p>
      <w:pPr>
        <w:pStyle w:val="Compact"/>
        <w:numPr>
          <w:ilvl w:val="0"/>
          <w:numId w:val="114"/>
        </w:numPr>
        <w:rPr/>
      </w:pPr>
      <w:r>
        <w:rPr/>
        <w:t xml:space="preserve">S. Wang, P. Kanwar, “BFloat16: The Secret to High Performance on Cloud TPUs,” Google Cloud blog, Aug. 2019 — the bf16 format’s canonical definition (non-peer; citation-only in the math index). </w:t>
      </w:r>
      <w:hyperlink r:id="rId16">
        <w:r>
          <w:rPr>
            <w:rStyle w:val="ListLabel725"/>
            <w:rFonts w:ascii="Consolas" w:hAnsi="Consolas"/>
            <w:sz w:val="22"/>
            <w:sz w:val="22"/>
          </w:rPr>
          <w:t>rtl/math/references/README.md</w:t>
        </w:r>
      </w:hyperlink>
      <w:r>
        <w:rPr/>
        <w:t>.</w:t>
      </w:r>
    </w:p>
    <w:p>
      <w:pPr>
        <w:pStyle w:val="Compact"/>
        <w:numPr>
          <w:ilvl w:val="0"/>
          <w:numId w:val="115"/>
        </w:numPr>
        <w:rPr/>
      </w:pPr>
      <w:r>
        <w:rPr/>
        <w:t xml:space="preserve">V. Nair, G. E. Hinton, “Rectified Linear Units Improve Restricted Boltzmann Machines,” </w:t>
      </w:r>
      <w:r>
        <w:rPr>
          <w:i/>
          <w:iCs/>
        </w:rPr>
        <w:t>Proc. 27th ICML</w:t>
      </w:r>
      <w:r>
        <w:rPr/>
        <w:t xml:space="preserve">, 2010 — backs the opcode-7 ReLU row. PDF: </w:t>
      </w:r>
      <w:hyperlink r:id="rId17">
        <w:r>
          <w:rPr>
            <w:rStyle w:val="ListLabel725"/>
            <w:rFonts w:ascii="Consolas" w:hAnsi="Consolas"/>
            <w:sz w:val="22"/>
            <w:sz w:val="22"/>
          </w:rPr>
          <w:t>rtl/math/references/ReLU__Nair2010.pdf</w:t>
        </w:r>
      </w:hyperlink>
      <w:r>
        <w:rPr/>
        <w:t>.</w:t>
      </w:r>
    </w:p>
    <w:p>
      <w:pPr>
        <w:pStyle w:val="Compact"/>
        <w:numPr>
          <w:ilvl w:val="0"/>
          <w:numId w:val="116"/>
        </w:numPr>
        <w:rPr/>
      </w:pPr>
      <w:r>
        <w:rPr/>
        <w:t xml:space="preserve">D. Hendrycks, K. Gimpel, “Gaussian Error Linear Units (GELUs),” arXiv, 2016 — backs the §7 gelu growth row. PDF: </w:t>
      </w:r>
      <w:hyperlink r:id="rId18">
        <w:r>
          <w:rPr>
            <w:rStyle w:val="ListLabel725"/>
            <w:rFonts w:ascii="Consolas" w:hAnsi="Consolas"/>
            <w:sz w:val="22"/>
            <w:sz w:val="22"/>
          </w:rPr>
          <w:t>rtl/math/references/GELU__Hendrycks2016.pdf</w:t>
        </w:r>
      </w:hyperlink>
      <w:r>
        <w:rPr/>
        <w:t>.</w:t>
      </w:r>
    </w:p>
    <w:p>
      <w:pPr>
        <w:pStyle w:val="Compact"/>
        <w:numPr>
          <w:ilvl w:val="0"/>
          <w:numId w:val="117"/>
        </w:numPr>
        <w:rPr/>
      </w:pPr>
      <w:r>
        <w:rPr/>
        <w:t>S. Elfwing, E. Uchibe, K. Doya, “Sigmoid-Weighted Linear Units…” (</w:t>
      </w:r>
      <w:r>
        <w:rPr>
          <w:i/>
          <w:iCs/>
        </w:rPr>
        <w:t>Neural Networks</w:t>
      </w:r>
      <w:r>
        <w:rPr/>
        <w:t xml:space="preserve">, 2018) and P. Ramachandran, B. Zoph, Q. V. Le, “Searching for Activation Functions” (Swish, arXiv 2017) — back the §7 silu growth row. PDFs: </w:t>
      </w:r>
      <w:hyperlink r:id="rId19">
        <w:r>
          <w:rPr>
            <w:rStyle w:val="ListLabel725"/>
            <w:rFonts w:ascii="Consolas" w:hAnsi="Consolas"/>
            <w:sz w:val="22"/>
            <w:sz w:val="22"/>
          </w:rPr>
          <w:t>rtl/math/references/SiLU__Elfwing2018.pdf</w:t>
        </w:r>
      </w:hyperlink>
      <w:r>
        <w:rPr/>
        <w:t xml:space="preserve">, </w:t>
      </w:r>
      <w:hyperlink r:id="rId20">
        <w:r>
          <w:rPr>
            <w:rStyle w:val="ListLabel725"/>
            <w:rFonts w:ascii="Consolas" w:hAnsi="Consolas"/>
            <w:sz w:val="22"/>
            <w:sz w:val="22"/>
          </w:rPr>
          <w:t>rtl/math/references/Swish__Ramachandran2017.pdf</w:t>
        </w:r>
      </w:hyperlink>
      <w:r>
        <w:rPr/>
        <w:t>.</w:t>
      </w:r>
    </w:p>
    <w:p>
      <w:pPr>
        <w:pStyle w:val="Compact"/>
        <w:numPr>
          <w:ilvl w:val="0"/>
          <w:numId w:val="118"/>
        </w:numPr>
        <w:rPr/>
      </w:pPr>
      <w:r>
        <w:rPr/>
        <w:t xml:space="preserve">B. Jacob et al., “Quantization and Training of Neural Networks for Efficient Integer-Arithmetic-Only Inference,” </w:t>
      </w:r>
      <w:r>
        <w:rPr>
          <w:i/>
          <w:iCs/>
        </w:rPr>
        <w:t>Proc. IEEE CVPR</w:t>
      </w:r>
      <w:r>
        <w:rPr/>
        <w:t>, 2018 — backs the §7 int8-drain row (</w:t>
      </w:r>
      <w:r>
        <w:rPr>
          <w:rStyle w:val="VerbatimChar"/>
        </w:rPr>
        <w:t>math_bf16_scale_to_int8</w:t>
      </w:r>
      <w:r>
        <w:rPr/>
        <w:t xml:space="preserve">) and the §3 int8-lane roadmap. PDF: </w:t>
      </w:r>
      <w:hyperlink r:id="rId21">
        <w:r>
          <w:rPr>
            <w:rStyle w:val="ListLabel725"/>
            <w:rFonts w:ascii="Consolas" w:hAnsi="Consolas"/>
            <w:sz w:val="22"/>
            <w:sz w:val="22"/>
          </w:rPr>
          <w:t>rtl/math/references/Int8Quantization__Jacob2018.pdf</w:t>
        </w:r>
      </w:hyperlink>
      <w:r>
        <w:rPr/>
        <w:t>.</w:t>
      </w:r>
    </w:p>
    <w:p>
      <w:pPr>
        <w:pStyle w:val="Compact"/>
        <w:numPr>
          <w:ilvl w:val="0"/>
          <w:numId w:val="119"/>
        </w:numPr>
        <w:rPr/>
      </w:pPr>
      <w:r>
        <w:rPr/>
        <w:t xml:space="preserve">D. Kalamkar et al., “A Study of BFLOAT16 for Deep Learning,” arXiv, 2019 — backs the bf16 format choice (secondhand citation; primary provenance is the Google Cloud blog and the IEEE 754-2008 fp32 exponent). PDF: </w:t>
      </w:r>
      <w:hyperlink r:id="rId22">
        <w:r>
          <w:rPr>
            <w:rStyle w:val="ListLabel725"/>
            <w:rFonts w:ascii="Consolas" w:hAnsi="Consolas"/>
            <w:sz w:val="22"/>
            <w:sz w:val="22"/>
          </w:rPr>
          <w:t>rtl/math/references/README.md</w:t>
        </w:r>
      </w:hyperlink>
      <w:r>
        <w:rPr/>
        <w:t>.</w:t>
      </w:r>
    </w:p>
    <w:p>
      <w:pPr>
        <w:pStyle w:val="Compact"/>
        <w:numPr>
          <w:ilvl w:val="0"/>
          <w:numId w:val="120"/>
        </w:numPr>
        <w:rPr/>
      </w:pPr>
      <w:r>
        <w:rPr/>
        <w:t>The RISC-V Instruction Set Manual, Volume I: Unprivileged ISA — the custom-0 opcode space is the defined home for the gatling Xcell instruction subset (KICK/WAIT/…) described in §5. https://riscv.org/technical/specifications/</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2026-10-19 </w:t>
      </w:r>
      <w:r>
        <w:rPr>
          <w:b/>
          <w:bCs/>
          <w:sz w:val="20"/>
        </w:rPr>
        <w:t>Maintained By:</w:t>
      </w:r>
      <w:r>
        <w:rPr>
          <w:sz w:val="20"/>
        </w:rPr>
        <w:t xml:space="preserve"> RTL Design Sherpa Project</w:t>
      </w:r>
      <w:bookmarkEnd w:id="4"/>
      <w:bookmarkEnd w:id="30"/>
      <w:r>
        <w:br w:type="page"/>
      </w:r>
    </w:p>
    <w:p>
      <w:pPr>
        <w:pStyle w:val="Heading1"/>
        <w:shd w:val="clear" w:color="auto" w:fill="404040"/>
        <w:spacing w:before="360" w:after="120"/>
        <w:rPr/>
      </w:pPr>
      <w:bookmarkStart w:id="31" w:name="__RefHeading___Toc12129_211582255"/>
      <w:bookmarkStart w:id="32" w:name="gatling-prd-tetrad-compute-engine"/>
      <w:bookmarkEnd w:id="31"/>
      <w:r>
        <w:rPr>
          <w:rStyle w:val="SectionNumber"/>
          <w:b/>
          <w:color w:val="FFFFFF"/>
          <w:sz w:val="32"/>
        </w:rPr>
        <w:t>3</w:t>
      </w:r>
      <w:r>
        <w:rPr>
          <w:b/>
          <w:color w:val="FFFFFF"/>
          <w:sz w:val="32"/>
        </w:rPr>
        <w:tab/>
        <w:t>GATLING PRD — Tetrad Compute Engine</w:t>
      </w:r>
    </w:p>
    <w:p>
      <w:pPr>
        <w:pStyle w:val="FirstParagraph"/>
        <w:rPr/>
      </w:pPr>
      <w:r>
        <w:rPr>
          <w:b/>
          <w:bCs/>
          <w:sz w:val="20"/>
        </w:rPr>
        <w:t>Version:</w:t>
      </w:r>
      <w:r>
        <w:rPr>
          <w:sz w:val="20"/>
        </w:rPr>
        <w:t xml:space="preserve"> 0.2 (2026-10-19 — owner ruling: gatling sequences the four ALUs of its adjacent cells; the barrel core is the programmable sequencer for the tetrad; the cell’s bf16 ALU remains the datapath.) </w:t>
      </w:r>
      <w:r>
        <w:rPr>
          <w:b/>
          <w:bCs/>
          <w:sz w:val="20"/>
        </w:rPr>
        <w:t>Date:</w:t>
      </w:r>
      <w:r>
        <w:rPr>
          <w:sz w:val="20"/>
        </w:rPr>
        <w:t xml:space="preserve"> 2026-10-19 </w:t>
      </w:r>
      <w:r>
        <w:rPr>
          <w:b/>
          <w:bCs/>
          <w:sz w:val="20"/>
        </w:rPr>
        <w:t>Owner decision inputs:</w:t>
      </w:r>
      <w:r>
        <w:rPr>
          <w:sz w:val="20"/>
        </w:rPr>
        <w:t xml:space="preserve"> “Instructions” (over MMIO) for fabric handshake; mini RV per tetrad (over per-cell ALU+FSM); codename gatling (barrel machine). </w:t>
      </w:r>
      <w:r>
        <w:rPr>
          <w:b/>
          <w:bCs/>
          <w:sz w:val="20"/>
        </w:rPr>
        <w:t>Supersedes:</w:t>
      </w:r>
      <w:r>
        <w:rPr>
          <w:sz w:val="20"/>
        </w:rPr>
        <w:t xml:space="preserve"> PRD 0.1 wording that described gatling as replacing the per-cell ALU — the ALU stays; gatling replaces the execution FSM as its driver.</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3" w:name="__RefHeading___Toc12131_211582255"/>
      <w:bookmarkStart w:id="34" w:name="purpose"/>
      <w:bookmarkEnd w:id="33"/>
      <w:r>
        <w:rPr>
          <w:rStyle w:val="SectionNumber"/>
          <w:b/>
          <w:color w:val="228B22"/>
          <w:sz w:val="28"/>
        </w:rPr>
        <w:t>3.1</w:t>
      </w:r>
      <w:r>
        <w:rPr>
          <w:b/>
          <w:color w:val="228B22"/>
          <w:sz w:val="28"/>
        </w:rPr>
        <w:tab/>
        <w:t>1. Purpose</w:t>
      </w:r>
    </w:p>
    <w:p>
      <w:pPr>
        <w:pStyle w:val="FirstParagraph"/>
        <w:rPr/>
      </w:pPr>
      <w:r>
        <w:rPr>
          <w:sz w:val="20"/>
        </w:rPr>
        <w:t>Give each tetrad of the compute tile a programmable engine small enough to instantiate four times per tile, powerful enough to run compiled programs over cell input data, and honest enough to teach: the barrel processor as the kestrel→merlin lesson, inverted — instead of pipeline stages hiding latency for one stream, N contexts hide the multi-cycle latency of one shared datapath.</w:t>
      </w:r>
    </w:p>
    <w:p>
      <w:pPr>
        <w:pStyle w:val="BodyText"/>
        <w:rPr/>
      </w:pPr>
      <w:r>
        <w:rPr>
          <w:sz w:val="20"/>
        </w:rPr>
        <w:t xml:space="preserve">Owner ruling 2026-10-19: gatling sequences the four ALUs of its adjacent cells. The barrel RV32I core is the programmable sequencer for its tetrad — each context runs a small program whose POP presents operands to the cell’s alu-infer issue handshake and whose PUSH retires a result line; the ALU keeps its elastic valid/ready seam and tag-alignment contract unchanged. </w:t>
      </w:r>
      <w:r>
        <w:rPr>
          <w:i/>
          <w:iCs/>
          <w:sz w:val="20"/>
        </w:rPr>
        <w:t>The program is the config</w:t>
      </w:r>
      <w:r>
        <w:rPr>
          <w:sz w:val="20"/>
        </w:rPr>
        <w:t>. Mode bits that remain (element width, credit batch N) move to the CFG read path. Gatling is also a barrel RISC-V with custom commands (Xcell: CFG/POP/PUSH/ECTX/FLUSH/KICK/WAIT) — the program is the schedule. Gatling never originates config traffic; cell configuration arrives in-band over delta.</w:t>
      </w:r>
      <w:bookmarkEnd w:id="34"/>
      <w:r>
        <w:br w:type="page"/>
      </w:r>
    </w:p>
    <w:p>
      <w:pPr>
        <w:pStyle w:val="Heading2"/>
        <w:pBdr>
          <w:bottom w:val="single" w:sz="12" w:space="0" w:color="228B22"/>
        </w:pBdr>
        <w:spacing w:before="280" w:after="80"/>
        <w:rPr/>
      </w:pPr>
      <w:bookmarkStart w:id="35" w:name="__RefHeading___Toc12133_211582255"/>
      <w:bookmarkStart w:id="36" w:name="non-goals"/>
      <w:bookmarkEnd w:id="35"/>
      <w:r>
        <w:rPr>
          <w:rStyle w:val="SectionNumber"/>
          <w:b/>
          <w:color w:val="228B22"/>
          <w:sz w:val="28"/>
        </w:rPr>
        <w:t>3.2</w:t>
      </w:r>
      <w:r>
        <w:rPr>
          <w:b/>
          <w:color w:val="228B22"/>
          <w:sz w:val="28"/>
        </w:rPr>
        <w:tab/>
        <w:t>2. Non-goals</w:t>
      </w:r>
    </w:p>
    <w:p>
      <w:pPr>
        <w:pStyle w:val="Compact"/>
        <w:numPr>
          <w:ilvl w:val="0"/>
          <w:numId w:val="121"/>
        </w:numPr>
        <w:rPr/>
      </w:pPr>
      <w:r>
        <w:rPr/>
        <w:t>Not a falcon-suite rung. No performance chase; IPC-per-context ~ 1 is the target, not a benchmark result.</w:t>
      </w:r>
    </w:p>
    <w:p>
      <w:pPr>
        <w:pStyle w:val="Compact"/>
        <w:numPr>
          <w:ilvl w:val="0"/>
          <w:numId w:val="122"/>
        </w:numPr>
        <w:rPr/>
      </w:pPr>
      <w:r>
        <w:rPr/>
        <w:t>Not per-cell processors. One engine per tetrad; the four cells are the four contexts.</w:t>
      </w:r>
    </w:p>
    <w:p>
      <w:pPr>
        <w:pStyle w:val="Compact"/>
        <w:numPr>
          <w:ilvl w:val="0"/>
          <w:numId w:val="123"/>
        </w:numPr>
        <w:rPr/>
      </w:pPr>
      <w:r>
        <w:rPr/>
        <w:t>No caches, no virtual memory, no interrupts/CLINT, no M/A/F. (Machine state is 4× {PC, x1..x31} + mode CSR shadow. Full stop.)</w:t>
      </w:r>
    </w:p>
    <w:p>
      <w:pPr>
        <w:pStyle w:val="Compact"/>
        <w:numPr>
          <w:ilvl w:val="0"/>
          <w:numId w:val="124"/>
        </w:numPr>
        <w:rPr/>
      </w:pPr>
      <w:r>
        <w:rPr/>
        <w:t xml:space="preserve">No CSRs as a subsystem — </w:t>
      </w:r>
      <w:r>
        <w:rPr>
          <w:rStyle w:val="VerbatimChar"/>
        </w:rPr>
        <w:t>Zicsr</w:t>
      </w:r>
      <w:r>
        <w:rPr/>
        <w:t xml:space="preserve"> deliberately absent; config reaches the program through the Xcell </w:t>
      </w:r>
      <w:r>
        <w:rPr>
          <w:rStyle w:val="VerbatimChar"/>
        </w:rPr>
        <w:t>CFG</w:t>
      </w:r>
      <w:r>
        <w:rPr/>
        <w:t xml:space="preserve"> instruction.</w:t>
      </w:r>
      <w:bookmarkEnd w:id="36"/>
      <w:r>
        <w:br w:type="page"/>
      </w:r>
    </w:p>
    <w:p>
      <w:pPr>
        <w:pStyle w:val="Heading2"/>
        <w:pBdr>
          <w:bottom w:val="single" w:sz="12" w:space="0" w:color="228B22"/>
        </w:pBdr>
        <w:spacing w:before="280" w:after="80"/>
        <w:rPr/>
      </w:pPr>
      <w:bookmarkStart w:id="37" w:name="__RefHeading___Toc12135_211582255"/>
      <w:bookmarkStart w:id="38" w:name="isa-rv32i-xcell"/>
      <w:bookmarkEnd w:id="37"/>
      <w:r>
        <w:rPr>
          <w:rStyle w:val="SectionNumber"/>
          <w:b/>
          <w:color w:val="228B22"/>
          <w:sz w:val="28"/>
        </w:rPr>
        <w:t>3.3</w:t>
      </w:r>
      <w:r>
        <w:rPr>
          <w:b/>
          <w:color w:val="228B22"/>
          <w:sz w:val="28"/>
        </w:rPr>
        <w:tab/>
        <w:t>3. ISA — RV32I + Xcell</w:t>
      </w:r>
    </w:p>
    <w:p>
      <w:pPr>
        <w:pStyle w:val="FirstParagraph"/>
        <w:rPr/>
      </w:pPr>
      <w:r>
        <w:rPr>
          <w:sz w:val="20"/>
        </w:rPr>
        <w:t>Base RV32I exactly as kestrel implements it (same opcode map, same trap/halt contract) so the spike lockstep flow and rv32ui battery carry unchanged. The Xcell extension occupies the custom-0 opcode (</w:t>
      </w:r>
      <w:r>
        <w:rPr>
          <w:rStyle w:val="VerbatimChar"/>
          <w:sz w:val="20"/>
        </w:rPr>
        <w:t>0001011</w:t>
      </w:r>
      <w:r>
        <w:rPr>
          <w:sz w:val="20"/>
        </w:rPr>
        <w:t>, 0x0B) — reserved space, zero collision risk with future standard extensions.</w:t>
      </w:r>
    </w:p>
    <w:p>
      <w:pPr>
        <w:pStyle w:val="Heading3"/>
        <w:spacing w:before="200" w:after="80"/>
        <w:rPr/>
      </w:pPr>
      <w:bookmarkStart w:id="39" w:name="__RefHeading___Toc12137_211582255"/>
      <w:bookmarkStart w:id="40" w:name="xcell-encoding-custom-0-opcode-0x0b"/>
      <w:bookmarkEnd w:id="39"/>
      <w:r>
        <w:rPr>
          <w:rStyle w:val="SectionNumber"/>
          <w:b/>
          <w:color w:val="404040"/>
          <w:sz w:val="24"/>
        </w:rPr>
        <w:t>3.3.1</w:t>
      </w:r>
      <w:r>
        <w:rPr>
          <w:b/>
          <w:color w:val="404040"/>
          <w:sz w:val="24"/>
        </w:rPr>
        <w:tab/>
        <w:t>3.1 Xcell encoding (custom-0, opcode 0x0B)</w:t>
      </w:r>
    </w:p>
    <w:p>
      <w:pPr>
        <w:pStyle w:val="SourceCode"/>
        <w:rPr/>
      </w:pPr>
      <w:r>
        <w:rPr>
          <w:rStyle w:val="VerbatimChar"/>
        </w:rPr>
        <w:t xml:space="preserve"> </w:t>
      </w:r>
      <w:r>
        <w:rPr>
          <w:rStyle w:val="VerbatimChar"/>
        </w:rPr>
        <w:t>31                     15 14   12 11      7 6       0</w:t>
      </w:r>
      <w:r>
        <w:rPr/>
        <w:br/>
      </w:r>
      <w:r>
        <w:rPr>
          <w:rStyle w:val="VerbatimChar"/>
        </w:rPr>
        <w:t>+-------------------------+-------+---------+--------+</w:t>
      </w:r>
      <w:r>
        <w:rPr/>
        <w:br/>
      </w:r>
      <w:r>
        <w:rPr>
          <w:rStyle w:val="VerbatimChar"/>
        </w:rPr>
        <w:t>|        imm[31:12]       | funct3|   rd    | 0x0B   |  CFG</w:t>
      </w:r>
      <w:r>
        <w:rPr/>
        <w:br/>
      </w:r>
      <w:r>
        <w:rPr>
          <w:rStyle w:val="VerbatimChar"/>
        </w:rPr>
        <w:t>|        000000000000     |  000  |   rd    | 0x0B   |  POP</w:t>
      </w:r>
      <w:r>
        <w:rPr/>
        <w:br/>
      </w:r>
      <w:r>
        <w:rPr>
          <w:rStyle w:val="VerbatimChar"/>
        </w:rPr>
        <w:t>|        000000000000     |  001  |  rs1    | 0x0B   |  PUSH</w:t>
      </w:r>
      <w:r>
        <w:rPr/>
        <w:br/>
      </w:r>
      <w:r>
        <w:rPr>
          <w:rStyle w:val="VerbatimChar"/>
        </w:rPr>
        <w:t>|        000000000000     |  010  |  00000  | 0x0B   |  ECTX</w:t>
      </w:r>
      <w:r>
        <w:rPr/>
        <w:br/>
      </w:r>
      <w:r>
        <w:rPr>
          <w:rStyle w:val="VerbatimChar"/>
        </w:rPr>
        <w:t>|        000000000000     |  011  |  rs1    | 0x0B   |  FLUSH</w:t>
      </w:r>
      <w:r>
        <w:rPr/>
        <w:br/>
      </w:r>
      <w:r>
        <w:rPr>
          <w:rStyle w:val="VerbatimChar"/>
        </w:rPr>
        <w:t>|        000000000000     |  100  |  rs1    | 0x0B   |  KICK</w:t>
      </w:r>
      <w:r>
        <w:rPr/>
        <w:br/>
      </w:r>
      <w:r>
        <w:rPr>
          <w:rStyle w:val="VerbatimChar"/>
        </w:rPr>
        <w:t>|        000000000000     |  101  |  rs1    | 0x0B   |  WAIT</w:t>
      </w:r>
      <w:r>
        <w:rPr/>
        <w:br/>
      </w:r>
      <w:r>
        <w:rPr>
          <w:rStyle w:val="VerbatimChar"/>
        </w:rPr>
        <w:t>+-------------------------+-------+---------+--------+</w:t>
      </w:r>
      <w:r>
        <w:rPr/>
        <w:br/>
      </w:r>
      <w:r>
        <w:rPr>
          <w:rStyle w:val="VerbatimChar"/>
        </w:rPr>
        <w:t>funct3 110/111 : reserved.</w:t>
      </w:r>
      <w:r>
        <w:rPr/>
        <w:br/>
      </w:r>
      <w:r>
        <w:rPr>
          <w:rStyle w:val="VerbatimChar"/>
        </w:rPr>
        <w:t>funct3 010 (ECTX) and 011/100/101 (FLUSH/KICK/WAIT) added in v0.2.</w:t>
      </w:r>
      <w:r>
        <w:rPr/>
        <w:br/>
      </w:r>
      <w:r>
        <w:rPr>
          <w:rStyle w:val="VerbatimChar"/>
        </w:rPr>
        <w:t>The v0.1 WAITCD/WAITGT placeholders are superseded by KICK/WAIT pending</w:t>
      </w:r>
      <w:r>
        <w:rPr/>
        <w:br/>
      </w:r>
      <w:r>
        <w:rPr>
          <w:rStyle w:val="VerbatimChar"/>
        </w:rPr>
        <w:t>the tetrad MAS.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Blocking behavior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 rd, imm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 mode-register[imm]: 0=element mode (0=bf16: 2 bf16 lanes per 32-bit line, fp32 accumulate; other values reserved for the int8/fp32 roadmap per alu-infer PRD </w:t>
            </w:r>
            <w:r>
              <w:rPr>
                <w:rStyle w:val="VerbatimChar"/>
                <w:rFonts w:eastAsia="Cambria" w:cs=""/>
                <w:kern w:val="0"/>
                <w:szCs w:val="24"/>
                <w:lang w:val="en-US" w:eastAsia="en-US" w:bidi="ar-SA"/>
              </w:rPr>
              <w:t>func_sel[8:7]</w:t>
            </w:r>
            <w:r>
              <w:rPr>
                <w:rFonts w:eastAsia="Cambria" w:cs=""/>
                <w:kern w:val="0"/>
                <w:sz w:val="24"/>
                <w:szCs w:val="24"/>
                <w:lang w:val="en-US" w:eastAsia="en-US" w:bidi="ar-SA"/>
              </w:rPr>
              <w:t>), 1=credit batch N, 2=context ID (read-only, see §7 open item), 3+=reserved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POP 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next element of this context’s input memory; head advances; consumed-line credit returned to rapids per credit-batch config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stalls if input empty — hardware interlock, not a spin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 rs1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 this context’s result memory; tail advances; grant requested on result path; packetizer batches X flits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stalls if no grant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ECTX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done: freeze PC, raise done status to tetrad MonBus, release datapath share; context restarts on reset/config reload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drains at next context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FLUSH rs1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rs1[14:0] → cell </w:t>
            </w:r>
            <w:r>
              <w:rPr>
                <w:rStyle w:val="VerbatimChar"/>
                <w:rFonts w:eastAsia="Cambria" w:cs=""/>
                <w:kern w:val="0"/>
                <w:szCs w:val="24"/>
                <w:lang w:val="en-US" w:eastAsia="en-US" w:bidi="ar-SA"/>
              </w:rPr>
              <w:t>FLUSH_DEST</w:t>
            </w:r>
            <w:r>
              <w:rPr>
                <w:rFonts w:eastAsia="Cambria" w:cs=""/>
                <w:kern w:val="0"/>
                <w:sz w:val="24"/>
                <w:szCs w:val="24"/>
                <w:lang w:val="en-US" w:eastAsia="en-US" w:bidi="ar-SA"/>
              </w:rPr>
              <w:t xml:space="preserve"> {ext,level,X,Y,Z}; rs1[18:15] → cell </w:t>
            </w:r>
            <w:r>
              <w:rPr>
                <w:rStyle w:val="VerbatimChar"/>
                <w:rFonts w:eastAsia="Cambria" w:cs=""/>
                <w:kern w:val="0"/>
                <w:szCs w:val="24"/>
                <w:lang w:val="en-US" w:eastAsia="en-US" w:bidi="ar-SA"/>
              </w:rPr>
              <w:t>FLUSH_TAG</w:t>
            </w:r>
            <w:r>
              <w:rPr>
                <w:rFonts w:eastAsia="Cambria" w:cs=""/>
                <w:kern w:val="0"/>
                <w:sz w:val="24"/>
                <w:szCs w:val="24"/>
                <w:lang w:val="en-US" w:eastAsia="en-US" w:bidi="ar-SA"/>
              </w:rPr>
              <w:t xml:space="preserve"> (RAPIDS sink-channel tag); trigger cell flush-and-send of result memory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stalls until drain controller accepts command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 rs1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raise tetrad coordination event on the tetrad MonBus with value </w:t>
            </w:r>
            <w:r>
              <w:rPr>
                <w:rStyle w:val="VerbatimChar"/>
                <w:rFonts w:eastAsia="Cambria" w:cs=""/>
                <w:kern w:val="0"/>
                <w:szCs w:val="24"/>
                <w:lang w:val="en-US" w:eastAsia="en-US" w:bidi="ar-SA"/>
              </w:rPr>
              <w:t>rs1</w:t>
            </w:r>
            <w:r>
              <w:rPr>
                <w:rFonts w:eastAsia="Cambria" w:cs=""/>
                <w:kern w:val="0"/>
                <w:sz w:val="24"/>
                <w:szCs w:val="24"/>
                <w:lang w:val="en-US" w:eastAsia="en-US" w:bidi="ar-SA"/>
              </w:rPr>
              <w:t>; provisional encoding pending tetrad MAS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non-blocking once event is posted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 rs1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stall context until the tetrad coordination condition in </w:t>
            </w:r>
            <w:r>
              <w:rPr>
                <w:rStyle w:val="VerbatimChar"/>
                <w:rFonts w:eastAsia="Cambria" w:cs=""/>
                <w:kern w:val="0"/>
                <w:szCs w:val="24"/>
                <w:lang w:val="en-US" w:eastAsia="en-US" w:bidi="ar-SA"/>
              </w:rPr>
              <w:t>rs1</w:t>
            </w:r>
            <w:r>
              <w:rPr>
                <w:rFonts w:eastAsia="Cambria" w:cs=""/>
                <w:kern w:val="0"/>
                <w:sz w:val="24"/>
                <w:szCs w:val="24"/>
                <w:lang w:val="en-US" w:eastAsia="en-US" w:bidi="ar-SA"/>
              </w:rPr>
              <w:t xml:space="preserve"> is observed (e.g. group-done bitmask); provisional encoding pending tetrad MAS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stalls until condition true</w:t>
            </w:r>
          </w:p>
        </w:tc>
      </w:tr>
    </w:tbl>
    <w:p>
      <w:pPr>
        <w:pStyle w:val="BodyText"/>
        <w:rPr/>
      </w:pPr>
      <w:r>
        <w:rPr>
          <w:sz w:val="20"/>
        </w:rPr>
        <w:t>Design note (owner doctrine): fixed hardware owns the line-rate handshake (credit/grant detection, memory ports); the program owns policy. POP/PUSH blocking interlocks subsume most waiting — a context that would wait simply isn’t scheduled. WAIT is an explicit escape hatch for cross-context coordination, not the common case.</w:t>
      </w:r>
    </w:p>
    <w:p>
      <w:pPr>
        <w:pStyle w:val="BodyText"/>
        <w:rPr/>
      </w:pPr>
      <w:bookmarkStart w:id="41" w:name="xcell-encoding-custom-0-opcode-0x0b"/>
      <w:r>
        <w:rPr>
          <w:sz w:val="20"/>
        </w:rPr>
        <w:t>Element semantics: with element width &lt; 32, POP zero-extends into rd and PUSH takes the low bits of rs1; packing/unpacking is the program’s business (one ANDI/SLTI pair, honest and visible).</w:t>
      </w:r>
      <w:bookmarkEnd w:id="41"/>
    </w:p>
    <w:p>
      <w:pPr>
        <w:pStyle w:val="Heading3"/>
        <w:spacing w:before="200" w:after="80"/>
        <w:rPr/>
      </w:pPr>
      <w:bookmarkStart w:id="42" w:name="__RefHeading___Toc12139_211582255"/>
      <w:bookmarkStart w:id="43" w:name="assembly-mnemonics"/>
      <w:bookmarkEnd w:id="42"/>
      <w:r>
        <w:rPr>
          <w:rStyle w:val="SectionNumber"/>
          <w:b/>
          <w:color w:val="404040"/>
          <w:sz w:val="24"/>
        </w:rPr>
        <w:t>3.3.2</w:t>
      </w:r>
      <w:r>
        <w:rPr>
          <w:b/>
          <w:color w:val="404040"/>
          <w:sz w:val="24"/>
        </w:rPr>
        <w:tab/>
        <w:t>3.2 Assembly mnemonics</w:t>
      </w:r>
    </w:p>
    <w:p>
      <w:pPr>
        <w:pStyle w:val="FirstParagraph"/>
        <w:rPr/>
      </w:pPr>
      <w:r>
        <w:rPr>
          <w:rStyle w:val="VerbatimChar"/>
          <w:sz w:val="20"/>
        </w:rPr>
        <w:t>gatling_pop</w:t>
      </w:r>
      <w:r>
        <w:rPr>
          <w:sz w:val="20"/>
        </w:rPr>
        <w:t xml:space="preserve">, </w:t>
      </w:r>
      <w:r>
        <w:rPr>
          <w:rStyle w:val="VerbatimChar"/>
          <w:sz w:val="20"/>
        </w:rPr>
        <w:t>gatling_push</w:t>
      </w:r>
      <w:r>
        <w:rPr>
          <w:sz w:val="20"/>
        </w:rPr>
        <w:t xml:space="preserve">, </w:t>
      </w:r>
      <w:r>
        <w:rPr>
          <w:rStyle w:val="VerbatimChar"/>
          <w:sz w:val="20"/>
        </w:rPr>
        <w:t>gatling_cfg</w:t>
      </w:r>
      <w:r>
        <w:rPr>
          <w:sz w:val="20"/>
        </w:rPr>
        <w:t xml:space="preserve">, </w:t>
      </w:r>
      <w:r>
        <w:rPr>
          <w:rStyle w:val="VerbatimChar"/>
          <w:sz w:val="20"/>
        </w:rPr>
        <w:t>gatling_ectx</w:t>
      </w:r>
      <w:r>
        <w:rPr>
          <w:sz w:val="20"/>
        </w:rPr>
        <w:t xml:space="preserve">, </w:t>
      </w:r>
      <w:r>
        <w:rPr>
          <w:rStyle w:val="VerbatimChar"/>
          <w:sz w:val="20"/>
        </w:rPr>
        <w:t>gatling_flush</w:t>
      </w:r>
      <w:r>
        <w:rPr>
          <w:sz w:val="20"/>
        </w:rPr>
        <w:t xml:space="preserve">, </w:t>
      </w:r>
      <w:r>
        <w:rPr>
          <w:rStyle w:val="VerbatimChar"/>
          <w:sz w:val="20"/>
        </w:rPr>
        <w:t>gatling_kick</w:t>
      </w:r>
      <w:r>
        <w:rPr>
          <w:sz w:val="20"/>
        </w:rPr>
        <w:t xml:space="preserve">, </w:t>
      </w:r>
      <w:r>
        <w:rPr>
          <w:rStyle w:val="VerbatimChar"/>
          <w:sz w:val="20"/>
        </w:rPr>
        <w:t>gatling_wait</w:t>
      </w:r>
      <w:r>
        <w:rPr>
          <w:sz w:val="20"/>
        </w:rPr>
        <w:t xml:space="preserve"> as canonical toolchain names; assembler aliases </w:t>
      </w:r>
      <w:r>
        <w:rPr>
          <w:rStyle w:val="VerbatimChar"/>
          <w:sz w:val="20"/>
        </w:rPr>
        <w:t>pop/push/cfg/ectx/flush/kick/wait</w:t>
      </w:r>
      <w:r>
        <w:rPr>
          <w:sz w:val="20"/>
        </w:rPr>
        <w:t xml:space="preserve"> live in the Xcell binutils fragment when the flow arrives (§8).</w:t>
      </w:r>
      <w:bookmarkEnd w:id="38"/>
      <w:bookmarkEnd w:id="43"/>
      <w:r>
        <w:br w:type="page"/>
      </w:r>
    </w:p>
    <w:p>
      <w:pPr>
        <w:pStyle w:val="Heading2"/>
        <w:pBdr>
          <w:bottom w:val="single" w:sz="12" w:space="0" w:color="228B22"/>
        </w:pBdr>
        <w:spacing w:before="280" w:after="80"/>
        <w:rPr/>
      </w:pPr>
      <w:bookmarkStart w:id="44" w:name="__RefHeading___Toc12141_211582255"/>
      <w:bookmarkStart w:id="45" w:name="barrel-microarchitecture"/>
      <w:bookmarkEnd w:id="44"/>
      <w:r>
        <w:rPr>
          <w:rStyle w:val="SectionNumber"/>
          <w:b/>
          <w:color w:val="228B22"/>
          <w:sz w:val="28"/>
        </w:rPr>
        <w:t>3.4</w:t>
      </w:r>
      <w:r>
        <w:rPr>
          <w:b/>
          <w:color w:val="228B22"/>
          <w:sz w:val="28"/>
        </w:rPr>
        <w:tab/>
        <w:t>4. Barrel microarchitecture</w:t>
      </w:r>
    </w:p>
    <w:p>
      <w:pPr>
        <w:pStyle w:val="Heading3"/>
        <w:spacing w:before="200" w:after="80"/>
        <w:rPr/>
      </w:pPr>
      <w:bookmarkStart w:id="46" w:name="__RefHeading___Toc12143_211582255"/>
      <w:bookmarkStart w:id="47" w:name="the-model"/>
      <w:bookmarkEnd w:id="46"/>
      <w:r>
        <w:rPr>
          <w:rStyle w:val="SectionNumber"/>
          <w:b/>
          <w:color w:val="404040"/>
          <w:sz w:val="24"/>
        </w:rPr>
        <w:t>3.4.1</w:t>
      </w:r>
      <w:r>
        <w:rPr>
          <w:b/>
          <w:color w:val="404040"/>
          <w:sz w:val="24"/>
        </w:rPr>
        <w:tab/>
        <w:t>4.1 The model</w:t>
      </w:r>
    </w:p>
    <w:p>
      <w:pPr>
        <w:pStyle w:val="FirstParagraph"/>
        <w:rPr/>
      </w:pPr>
      <w:r>
        <w:rPr>
          <w:sz w:val="20"/>
        </w:rPr>
        <w:t>Kestrel’s single cycle is PC + regfile-read + ALU + memory in one combinational path — the teaching point and the timing/area cost. Gatling splits that into a 4-state FSM:</w:t>
      </w:r>
    </w:p>
    <w:p>
      <w:pPr>
        <w:pStyle w:val="SourceCode"/>
        <w:rPr/>
      </w:pPr>
      <w:r>
        <w:rPr>
          <w:rStyle w:val="VerbatimChar"/>
        </w:rPr>
        <w:t xml:space="preserve">  </w:t>
      </w:r>
      <w:r>
        <w:rPr>
          <w:rStyle w:val="VerbatimChar"/>
        </w:rPr>
        <w:t>F  : address = ctx[sel].pc; fetch word from ctx program image</w:t>
      </w:r>
      <w:r>
        <w:rPr/>
        <w:br/>
      </w:r>
      <w:r>
        <w:rPr>
          <w:rStyle w:val="VerbatimChar"/>
        </w:rPr>
        <w:t xml:space="preserve">  D  : decode; read ctx[sel] regfile (rs1/rs2 by decoded index)</w:t>
      </w:r>
      <w:r>
        <w:rPr/>
        <w:br/>
      </w:r>
      <w:r>
        <w:rPr>
          <w:rStyle w:val="VerbatimChar"/>
        </w:rPr>
        <w:t xml:space="preserve">  X  : ALU / Xcell unit (POP/PUSH/CFG execute here; interlock check)</w:t>
      </w:r>
      <w:r>
        <w:rPr/>
        <w:br/>
      </w:r>
      <w:r>
        <w:rPr>
          <w:rStyle w:val="VerbatimChar"/>
        </w:rPr>
        <w:t xml:space="preserve">  W  : writeback to ctx[sel] regfile; pc advance (or branch target)</w:t>
      </w:r>
    </w:p>
    <w:p>
      <w:pPr>
        <w:pStyle w:val="FirstParagraph"/>
        <w:rPr/>
      </w:pPr>
      <w:r>
        <w:rPr>
          <w:sz w:val="20"/>
        </w:rPr>
        <w:t xml:space="preserve">Each FSM state advances context </w:t>
      </w:r>
      <w:r>
        <w:rPr>
          <w:rStyle w:val="VerbatimChar"/>
          <w:sz w:val="20"/>
        </w:rPr>
        <w:t>sel</w:t>
      </w:r>
      <w:r>
        <w:rPr>
          <w:sz w:val="20"/>
        </w:rPr>
        <w:t xml:space="preserve"> one step; </w:t>
      </w:r>
      <w:r>
        <w:rPr>
          <w:rStyle w:val="VerbatimChar"/>
          <w:sz w:val="20"/>
        </w:rPr>
        <w:t>sel</w:t>
      </w:r>
      <w:r>
        <w:rPr>
          <w:sz w:val="20"/>
        </w:rPr>
        <w:t xml:space="preserve"> rotates 0→1→2→3→0. Steady state: every context retires one instruction per 4-cycle window ⇒ 1 IPC per context, one gatling ALU, one decoder, one Xcell unit, </w:t>
      </w:r>
      <w:r>
        <w:rPr>
          <w:b/>
          <w:bCs/>
          <w:sz w:val="20"/>
        </w:rPr>
        <w:t>four</w:t>
      </w:r>
      <w:r>
        <w:rPr>
          <w:sz w:val="20"/>
        </w:rPr>
        <w:t xml:space="preserve"> register files + PCs (the cheap replication) — replacing the cell PRD’s four execution FSMs while each cell keeps its own bf16 ALU datapath (owner ruling 2026-10-19).</w:t>
      </w:r>
      <w:bookmarkEnd w:id="47"/>
    </w:p>
    <w:p>
      <w:pPr>
        <w:pStyle w:val="Heading3"/>
        <w:spacing w:before="200" w:after="80"/>
        <w:rPr/>
      </w:pPr>
      <w:bookmarkStart w:id="48" w:name="__RefHeading___Toc12145_211582255"/>
      <w:bookmarkStart w:id="49" w:name="X3be7cbfc06b5f05c3ecee8a1d5343e4c1e10889"/>
      <w:bookmarkEnd w:id="48"/>
      <w:r>
        <w:rPr>
          <w:rStyle w:val="SectionNumber"/>
          <w:b/>
          <w:color w:val="404040"/>
          <w:sz w:val="24"/>
        </w:rPr>
        <w:t>3.4.2</w:t>
      </w:r>
      <w:r>
        <w:rPr>
          <w:b/>
          <w:color w:val="404040"/>
          <w:sz w:val="24"/>
        </w:rPr>
        <w:tab/>
        <w:t>4.2 Structural hazards (all resolved by rotation, by construction)</w:t>
      </w:r>
    </w:p>
    <w:p>
      <w:pPr>
        <w:pStyle w:val="Compact"/>
        <w:numPr>
          <w:ilvl w:val="0"/>
          <w:numId w:val="125"/>
        </w:numPr>
        <w:rPr/>
      </w:pPr>
      <w:r>
        <w:rPr/>
        <w:t>ALU/decoder/memory-port conflict: impossible — one user per state.</w:t>
      </w:r>
    </w:p>
    <w:p>
      <w:pPr>
        <w:pStyle w:val="Compact"/>
        <w:numPr>
          <w:ilvl w:val="0"/>
          <w:numId w:val="126"/>
        </w:numPr>
        <w:rPr/>
      </w:pPr>
      <w:r>
        <w:rPr/>
        <w:t xml:space="preserve">Input/result memory port conflict across contexts: impossible — each context owns its cell’s memories, addressed by </w:t>
      </w:r>
      <w:r>
        <w:rPr>
          <w:rStyle w:val="VerbatimChar"/>
        </w:rPr>
        <w:t>sel</w:t>
      </w:r>
      <w:r>
        <w:rPr/>
        <w:t>.</w:t>
      </w:r>
    </w:p>
    <w:p>
      <w:pPr>
        <w:pStyle w:val="Compact"/>
        <w:numPr>
          <w:ilvl w:val="0"/>
          <w:numId w:val="127"/>
        </w:numPr>
        <w:rPr/>
      </w:pPr>
      <w:r>
        <w:rPr/>
        <w:t xml:space="preserve">Interlock stall (POP empty / PUSH no-grant): only </w:t>
      </w:r>
      <w:r>
        <w:rPr>
          <w:rStyle w:val="VerbatimChar"/>
        </w:rPr>
        <w:t>sel</w:t>
      </w:r>
      <w:r>
        <w:rPr/>
        <w:t xml:space="preserve"> stalls; rotation skips it (bubble) — three contexts keep the datapath busy.</w:t>
      </w:r>
      <w:bookmarkEnd w:id="49"/>
    </w:p>
    <w:p>
      <w:pPr>
        <w:pStyle w:val="Heading3"/>
        <w:spacing w:before="200" w:after="80"/>
        <w:rPr/>
      </w:pPr>
      <w:bookmarkStart w:id="50" w:name="__RefHeading___Toc12147_211582255"/>
      <w:bookmarkStart w:id="51" w:name="branch-behavior"/>
      <w:bookmarkEnd w:id="50"/>
      <w:r>
        <w:rPr>
          <w:rStyle w:val="SectionNumber"/>
          <w:b/>
          <w:color w:val="404040"/>
          <w:sz w:val="24"/>
        </w:rPr>
        <w:t>3.4.3</w:t>
      </w:r>
      <w:r>
        <w:rPr>
          <w:b/>
          <w:color w:val="404040"/>
          <w:sz w:val="24"/>
        </w:rPr>
        <w:tab/>
        <w:t>4.3 Branch behavior</w:t>
      </w:r>
    </w:p>
    <w:p>
      <w:pPr>
        <w:pStyle w:val="FirstParagraph"/>
        <w:rPr/>
      </w:pPr>
      <w:bookmarkStart w:id="52" w:name="branch-behavior"/>
      <w:r>
        <w:rPr>
          <w:sz w:val="20"/>
        </w:rPr>
        <w:t>Predict-not-taken, resolved in X (kestrel semantics carry: the branch decision is one ALU comparison). A taken branch costs the rotating window one bubble for that context — no flush machinery, no BTB. The predictor study belongs to peregrine, not here.</w:t>
      </w:r>
      <w:bookmarkEnd w:id="52"/>
    </w:p>
    <w:p>
      <w:pPr>
        <w:pStyle w:val="Heading3"/>
        <w:spacing w:before="200" w:after="80"/>
        <w:rPr/>
      </w:pPr>
      <w:bookmarkStart w:id="53" w:name="__RefHeading___Toc12149_211582255"/>
      <w:bookmarkStart w:id="54" w:name="halttrap"/>
      <w:bookmarkEnd w:id="53"/>
      <w:r>
        <w:rPr>
          <w:rStyle w:val="SectionNumber"/>
          <w:b/>
          <w:color w:val="404040"/>
          <w:sz w:val="24"/>
        </w:rPr>
        <w:t>3.4.4</w:t>
      </w:r>
      <w:r>
        <w:rPr>
          <w:b/>
          <w:color w:val="404040"/>
          <w:sz w:val="24"/>
        </w:rPr>
        <w:tab/>
        <w:t>4.4 Halt/trap</w:t>
      </w:r>
    </w:p>
    <w:p>
      <w:pPr>
        <w:pStyle w:val="FirstParagraph"/>
        <w:rPr/>
      </w:pPr>
      <w:r>
        <w:rPr>
          <w:sz w:val="20"/>
        </w:rPr>
        <w:t xml:space="preserve">No traps (no exceptions in base scope; illegal instruction → context-local lock with status bit via MonBus, other contexts continue — a tetrad is not a CPU, one bad cell must not sink the tile). </w:t>
      </w:r>
      <w:r>
        <w:rPr>
          <w:rStyle w:val="VerbatimChar"/>
          <w:sz w:val="20"/>
        </w:rPr>
        <w:t>ECTX</w:t>
      </w:r>
      <w:r>
        <w:rPr>
          <w:sz w:val="20"/>
        </w:rPr>
        <w:t xml:space="preserve"> is the normal exit. Reset is per-tile from the tile root; program load via the fabric config path (PKT_CONFIG) into each cell’s program image region — kestrel’s </w:t>
      </w:r>
      <w:r>
        <w:rPr>
          <w:rStyle w:val="VerbatimChar"/>
          <w:sz w:val="20"/>
        </w:rPr>
        <w:t>mem_loader</w:t>
      </w:r>
      <w:r>
        <w:rPr>
          <w:sz w:val="20"/>
        </w:rPr>
        <w:t>/AXIL pattern becomes the in-band loader, per the standing in-band-only fabric decision.</w:t>
      </w:r>
      <w:bookmarkEnd w:id="45"/>
      <w:bookmarkEnd w:id="54"/>
      <w:r>
        <w:br w:type="page"/>
      </w:r>
    </w:p>
    <w:p>
      <w:pPr>
        <w:pStyle w:val="Heading2"/>
        <w:pBdr>
          <w:bottom w:val="single" w:sz="12" w:space="0" w:color="228B22"/>
        </w:pBdr>
        <w:spacing w:before="280" w:after="80"/>
        <w:rPr/>
      </w:pPr>
      <w:bookmarkStart w:id="55" w:name="__RefHeading___Toc12151_211582255"/>
      <w:bookmarkStart w:id="56" w:name="Xaeb0411ae9f9fc81a49b3b79f9347d39c9b389a"/>
      <w:bookmarkEnd w:id="55"/>
      <w:r>
        <w:rPr>
          <w:rStyle w:val="SectionNumber"/>
          <w:b/>
          <w:color w:val="228B22"/>
          <w:sz w:val="28"/>
        </w:rPr>
        <w:t>3.5</w:t>
      </w:r>
      <w:r>
        <w:rPr>
          <w:b/>
          <w:color w:val="228B22"/>
          <w:sz w:val="28"/>
        </w:rPr>
        <w:tab/>
        <w:t>5. Contract fit (cell PRD 0.1, unchanged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Cell PRD block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Stand / change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delta_mesh_cell node, containment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stands — gatling sits behind the node’s local port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memory, line fill by node from rapids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stands; per-context, addressed by </w:t>
            </w:r>
            <w:r>
              <w:rPr>
                <w:rStyle w:val="VerbatimChar"/>
                <w:rFonts w:eastAsia="Cambria" w:cs=""/>
                <w:kern w:val="0"/>
                <w:szCs w:val="24"/>
                <w:lang w:val="en-US" w:eastAsia="en-US" w:bidi="ar-SA"/>
              </w:rPr>
              <w:t>sel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Result memory, X-flit batching, packetizer, grants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Consumed-line credits to rapids, batch N (default 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stands; N read via CFG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Element widths B4/8/16/32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superseded — alu-infer’s bf16 element model (2 bf16 lanes per 32-bit line, fp32 accumulate) is normative; CFG[0] reports the alu-infer element mode (bf16 today; int8/fp32 modes are a roadmap item in the alu-infer PRD via </w:t>
            </w:r>
            <w:r>
              <w:rPr>
                <w:rStyle w:val="VerbatimChar"/>
                <w:rFonts w:eastAsia="Cambria" w:cs=""/>
                <w:kern w:val="0"/>
                <w:szCs w:val="24"/>
                <w:lang w:val="en-US" w:eastAsia="en-US" w:bidi="ar-SA"/>
              </w:rPr>
              <w:t>func_sel[8:7]</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 execution FSM (config-selected fn)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replaced by gatling as the execution FSM driver</w:t>
            </w:r>
            <w:r>
              <w:rPr>
                <w:rFonts w:eastAsia="Cambria" w:cs=""/>
                <w:kern w:val="0"/>
                <w:sz w:val="24"/>
                <w:szCs w:val="24"/>
                <w:lang w:val="en-US" w:eastAsia="en-US" w:bidi="ar-SA"/>
              </w:rPr>
              <w:t xml:space="preserve"> — the cell’s bf16 ALU datapath remains; gatling issues it via POP/PUSH and the alu-infer elastic valid/ready seam (owner ruling 2026-10-19)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observation (per-cell → per-tetrad merge)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stands; gatling adds per-context status (active/stall-reason/done) to the observed set</w:t>
            </w:r>
          </w:p>
        </w:tc>
      </w:tr>
    </w:tbl>
    <w:p>
      <w:pPr>
        <w:pStyle w:val="BodyText"/>
        <w:rPr/>
      </w:pPr>
      <w:r>
        <w:rPr>
          <w:sz w:val="20"/>
        </w:rPr>
        <w:t xml:space="preserve">Consequences that must not fork: credit counting is in </w:t>
      </w:r>
      <w:r>
        <w:rPr>
          <w:i/>
          <w:iCs/>
          <w:sz w:val="20"/>
        </w:rPr>
        <w:t>elements consumed</w:t>
      </w:r>
      <w:r>
        <w:rPr>
          <w:sz w:val="20"/>
        </w:rPr>
        <w:t xml:space="preserve"> (POP), not instructions; grants are in </w:t>
      </w:r>
      <w:r>
        <w:rPr>
          <w:i/>
          <w:iCs/>
          <w:sz w:val="20"/>
        </w:rPr>
        <w:t>elements pushed</w:t>
      </w:r>
      <w:r>
        <w:rPr>
          <w:sz w:val="20"/>
        </w:rPr>
        <w:t xml:space="preserve"> (PUSH), not flits — flit batching stays inside the packetizer.</w:t>
      </w:r>
      <w:bookmarkEnd w:id="56"/>
      <w:r>
        <w:br w:type="page"/>
      </w:r>
    </w:p>
    <w:p>
      <w:pPr>
        <w:pStyle w:val="Heading2"/>
        <w:pBdr>
          <w:bottom w:val="single" w:sz="12" w:space="0" w:color="228B22"/>
        </w:pBdr>
        <w:spacing w:before="280" w:after="80"/>
        <w:rPr/>
      </w:pPr>
      <w:bookmarkStart w:id="57" w:name="__RefHeading___Toc12153_211582255"/>
      <w:bookmarkStart w:id="58" w:name="verification"/>
      <w:bookmarkEnd w:id="57"/>
      <w:r>
        <w:rPr>
          <w:rStyle w:val="SectionNumber"/>
          <w:b/>
          <w:color w:val="228B22"/>
          <w:sz w:val="28"/>
        </w:rPr>
        <w:t>3.6</w:t>
      </w:r>
      <w:r>
        <w:rPr>
          <w:b/>
          <w:color w:val="228B22"/>
          <w:sz w:val="28"/>
        </w:rPr>
        <w:tab/>
        <w:t>6. Verification</w:t>
      </w:r>
    </w:p>
    <w:p>
      <w:pPr>
        <w:pStyle w:val="Compact"/>
        <w:numPr>
          <w:ilvl w:val="0"/>
          <w:numId w:val="128"/>
        </w:numPr>
        <w:rPr/>
      </w:pPr>
      <w:r>
        <w:rPr>
          <w:b/>
          <w:bCs/>
        </w:rPr>
        <w:t>Base ISA:</w:t>
      </w:r>
      <w:r>
        <w:rPr/>
        <w:t xml:space="preserve"> spike lockstep on RV32I exactly as kestrel does it — reuse the rds-dv flow; rv32ui battery is the gate (42/42 precedent).</w:t>
      </w:r>
    </w:p>
    <w:p>
      <w:pPr>
        <w:pStyle w:val="Compact"/>
        <w:numPr>
          <w:ilvl w:val="0"/>
          <w:numId w:val="129"/>
        </w:numPr>
        <w:rPr/>
      </w:pPr>
      <w:r>
        <w:rPr>
          <w:b/>
          <w:bCs/>
        </w:rPr>
        <w:t>Xcell unit:</w:t>
      </w:r>
      <w:r>
        <w:rPr/>
        <w:t xml:space="preserve"> directed cocotb — POP empty-stall / credit batch N=1,2,4; PUSH grant/backpressure; CFG read of mode shadow; ECTX done/observability; element-width zero-extend and slice.</w:t>
      </w:r>
    </w:p>
    <w:p>
      <w:pPr>
        <w:pStyle w:val="Compact"/>
        <w:numPr>
          <w:ilvl w:val="0"/>
          <w:numId w:val="130"/>
        </w:numPr>
        <w:rPr/>
      </w:pPr>
      <w:r>
        <w:rPr>
          <w:b/>
          <w:bCs/>
        </w:rPr>
        <w:t>Barrel properties:</w:t>
      </w:r>
      <w:r>
        <w:rPr/>
        <w:t xml:space="preserve"> cocotb assertions — one retirement per context per rotation window; stall of context k never stalls j≠k; rotation fairness (round-robin, no starvation with all-runnable).</w:t>
      </w:r>
    </w:p>
    <w:p>
      <w:pPr>
        <w:pStyle w:val="Compact"/>
        <w:numPr>
          <w:ilvl w:val="0"/>
          <w:numId w:val="131"/>
        </w:numPr>
        <w:rPr/>
      </w:pPr>
      <w:r>
        <w:rPr>
          <w:b/>
          <w:bCs/>
        </w:rPr>
        <w:t>Tetrad integration:</w:t>
      </w:r>
      <w:r>
        <w:rPr/>
        <w:t xml:space="preserve"> the eventual </w:t>
      </w:r>
      <w:r>
        <w:rPr>
          <w:rStyle w:val="VerbatimChar"/>
        </w:rPr>
        <w:t>tetrad.sv</w:t>
      </w:r>
      <w:r>
        <w:rPr/>
        <w:t xml:space="preserve"> TB drives four input-memory streams, checks per-context result memories and the credit/grant ledger against the cell PRD reference model.</w:t>
      </w:r>
    </w:p>
    <w:p>
      <w:pPr>
        <w:pStyle w:val="Compact"/>
        <w:numPr>
          <w:ilvl w:val="0"/>
          <w:numId w:val="132"/>
        </w:numPr>
        <w:rPr/>
      </w:pPr>
      <w:r>
        <w:rPr>
          <w:b/>
          <w:bCs/>
        </w:rPr>
        <w:t>Formal (where it pays):</w:t>
      </w:r>
      <w:r>
        <w:rPr/>
        <w:t xml:space="preserve"> deadlock freedom of the interlock (POP-empty ∨ PUSH-no-grant ∧ no ECTX ⇒ eventually credit ∨ grant), following the repo’s targeted-formal doctrine.</w:t>
      </w:r>
      <w:bookmarkEnd w:id="58"/>
      <w:r>
        <w:br w:type="page"/>
      </w:r>
    </w:p>
    <w:p>
      <w:pPr>
        <w:pStyle w:val="Heading2"/>
        <w:pBdr>
          <w:bottom w:val="single" w:sz="12" w:space="0" w:color="228B22"/>
        </w:pBdr>
        <w:spacing w:before="280" w:after="80"/>
        <w:rPr/>
      </w:pPr>
      <w:bookmarkStart w:id="59" w:name="__RefHeading___Toc12155_211582255"/>
      <w:bookmarkStart w:id="60" w:name="open-items-owner-decisions-needed"/>
      <w:bookmarkEnd w:id="59"/>
      <w:r>
        <w:rPr>
          <w:rStyle w:val="SectionNumber"/>
          <w:b/>
          <w:color w:val="228B22"/>
          <w:sz w:val="28"/>
        </w:rPr>
        <w:t>3.7</w:t>
      </w:r>
      <w:r>
        <w:rPr>
          <w:b/>
          <w:color w:val="228B22"/>
          <w:sz w:val="28"/>
        </w:rPr>
        <w:tab/>
        <w:t>7. Open items (owner decisions needed)</w:t>
      </w:r>
    </w:p>
    <w:p>
      <w:pPr>
        <w:pStyle w:val="Compact"/>
        <w:numPr>
          <w:ilvl w:val="0"/>
          <w:numId w:val="133"/>
        </w:numPr>
        <w:rPr/>
      </w:pPr>
      <w:r>
        <w:rPr>
          <w:b/>
          <w:bCs/>
        </w:rPr>
        <w:t>ALU-infer relationship:</w:t>
      </w:r>
      <w:r>
        <w:rPr/>
        <w:t xml:space="preserve"> RESOLVED 2026-10-19 — gatling is the programmable sequencer for the tetrad’s four bf16 ALUs; each context runs a small program whose POP presents operands to the cell’s alu-infer issue handshake and whose PUSH retires a result line; the ALU keeps its elastic valid/ready seam and tag-alignment contract unchanged. The v0.1 wording that made gatling “the ALU</w:t>
      </w:r>
    </w:p>
    <w:p>
      <w:pPr>
        <w:pStyle w:val="Compact"/>
        <w:numPr>
          <w:ilvl w:val="1"/>
          <w:numId w:val="134"/>
        </w:numPr>
        <w:rPr/>
      </w:pPr>
      <w:r>
        <w:rPr/>
        <w:t>execution FSM” is superseded.</w:t>
      </w:r>
    </w:p>
    <w:p>
      <w:pPr>
        <w:pStyle w:val="Compact"/>
        <w:numPr>
          <w:ilvl w:val="0"/>
          <w:numId w:val="135"/>
        </w:numPr>
        <w:rPr/>
      </w:pPr>
      <w:r>
        <w:rPr>
          <w:b/>
          <w:bCs/>
        </w:rPr>
        <w:t>Context visibility:</w:t>
      </w:r>
      <w:r>
        <w:rPr/>
        <w:t xml:space="preserve"> implicit (hardware-only </w:t>
      </w:r>
      <w:r>
        <w:rPr>
          <w:rStyle w:val="VerbatimChar"/>
        </w:rPr>
        <w:t>sel</w:t>
      </w:r>
      <w:r>
        <w:rPr/>
        <w:t>; software cannot tell contexts apart — simplest, binaries uniform) vs explicit (CFG[2] returns context ID, enabling per-context specialization). Leaning implicit; one word settles it.</w:t>
      </w:r>
    </w:p>
    <w:p>
      <w:pPr>
        <w:pStyle w:val="Compact"/>
        <w:numPr>
          <w:ilvl w:val="0"/>
          <w:numId w:val="136"/>
        </w:numPr>
        <w:rPr/>
      </w:pPr>
      <w:r>
        <w:rPr>
          <w:b/>
          <w:bCs/>
        </w:rPr>
        <w:t>Program image placement:</w:t>
      </w:r>
      <w:r>
        <w:rPr/>
        <w:t xml:space="preserve"> input memory holds both program and data (self-contained cell, POP-after-code addressing) vs separate program region (needs a second read port or F-state fetch from program image, D-state POP from data). Separate is cleaner; self-contained is cheaper. Open.</w:t>
      </w:r>
    </w:p>
    <w:p>
      <w:pPr>
        <w:pStyle w:val="Compact"/>
        <w:numPr>
          <w:ilvl w:val="0"/>
          <w:numId w:val="137"/>
        </w:numPr>
        <w:rPr/>
      </w:pPr>
      <w:r>
        <w:rPr>
          <w:b/>
          <w:bCs/>
        </w:rPr>
        <w:t>Illegal-instruction policy:</w:t>
      </w:r>
      <w:r>
        <w:rPr/>
        <w:t xml:space="preserve"> context-lock (proposed §4.4) vs tetrad-lock. Leaning context-lock.</w:t>
      </w:r>
    </w:p>
    <w:p>
      <w:pPr>
        <w:pStyle w:val="Compact"/>
        <w:numPr>
          <w:ilvl w:val="0"/>
          <w:numId w:val="138"/>
        </w:numPr>
        <w:rPr/>
      </w:pPr>
      <w:r>
        <w:rPr>
          <w:b/>
          <w:bCs/>
        </w:rPr>
        <w:t>Xcell binutils/toolchain:</w:t>
      </w:r>
      <w:r>
        <w:rPr/>
        <w:t xml:space="preserve"> hand-assembled hex for bring-up; gcc/binutils fragment later. Non-blocking.</w:t>
      </w:r>
    </w:p>
    <w:p>
      <w:pPr>
        <w:pStyle w:val="FirstParagraph"/>
        <w:rPr/>
      </w:pPr>
      <w:bookmarkStart w:id="61" w:name="open-items-owner-decisions-needed"/>
      <w:r>
        <w:rPr>
          <w:sz w:val="20"/>
        </w:rPr>
        <w:t>Resolved/added in v0.2: the FLUSH/KICK/WAIT Xcell encodings of §3.1 (answer TILE_SPEC §11.14 and the alu-infer PRD §5 tetrad-coordination pair). Their exact field layouts and MonBus integration remain provisional pending the tetrad MAS.</w:t>
      </w:r>
      <w:bookmarkEnd w:id="61"/>
      <w:r>
        <w:br w:type="page"/>
      </w:r>
    </w:p>
    <w:p>
      <w:pPr>
        <w:pStyle w:val="Heading2"/>
        <w:pBdr>
          <w:bottom w:val="single" w:sz="12" w:space="0" w:color="228B22"/>
        </w:pBdr>
        <w:spacing w:before="280" w:after="80"/>
        <w:rPr/>
      </w:pPr>
      <w:bookmarkStart w:id="62" w:name="__RefHeading___Toc12157_211582255"/>
      <w:bookmarkStart w:id="63" w:name="deliverables-sequencing"/>
      <w:bookmarkEnd w:id="62"/>
      <w:r>
        <w:rPr>
          <w:rStyle w:val="SectionNumber"/>
          <w:b/>
          <w:color w:val="228B22"/>
          <w:sz w:val="28"/>
        </w:rPr>
        <w:t>3.8</w:t>
      </w:r>
      <w:r>
        <w:rPr>
          <w:b/>
          <w:color w:val="228B22"/>
          <w:sz w:val="28"/>
        </w:rPr>
        <w:tab/>
        <w:t>8. Deliverables &amp; sequencing</w:t>
      </w:r>
    </w:p>
    <w:p>
      <w:pPr>
        <w:pStyle w:val="Compact"/>
        <w:numPr>
          <w:ilvl w:val="0"/>
          <w:numId w:val="139"/>
        </w:numPr>
        <w:rPr/>
      </w:pPr>
      <w:r>
        <w:rPr>
          <w:rStyle w:val="VerbatimChar"/>
        </w:rPr>
        <w:t>docs/barrel_model/</w:t>
      </w:r>
      <w:r>
        <w:rPr/>
        <w:t xml:space="preserve"> study chapter (kestrel cost → interleave fix) — writes first, it is the justification.</w:t>
      </w:r>
    </w:p>
    <w:p>
      <w:pPr>
        <w:pStyle w:val="Compact"/>
        <w:numPr>
          <w:ilvl w:val="0"/>
          <w:numId w:val="140"/>
        </w:numPr>
        <w:rPr/>
      </w:pPr>
      <w:r>
        <w:rPr>
          <w:rStyle w:val="VerbatimChar"/>
        </w:rPr>
        <w:t>gatling_has</w:t>
      </w:r>
      <w:r>
        <w:rPr/>
        <w:t xml:space="preserve"> + ISA appendix (Xcell table as authority).</w:t>
      </w:r>
    </w:p>
    <w:p>
      <w:pPr>
        <w:pStyle w:val="Compact"/>
        <w:numPr>
          <w:ilvl w:val="0"/>
          <w:numId w:val="141"/>
        </w:numPr>
        <w:rPr/>
      </w:pPr>
      <w:r>
        <w:rPr/>
        <w:t xml:space="preserve">RTL: fubs (kestrel-derived) → </w:t>
      </w:r>
      <w:r>
        <w:rPr>
          <w:rStyle w:val="VerbatimChar"/>
        </w:rPr>
        <w:t>gatling_top</w:t>
      </w:r>
      <w:r>
        <w:rPr/>
        <w:t xml:space="preserve"> barrel + Xcell unit → flists; unit TBs per fub on repo rails.</w:t>
      </w:r>
    </w:p>
    <w:p>
      <w:pPr>
        <w:pStyle w:val="Compact"/>
        <w:numPr>
          <w:ilvl w:val="0"/>
          <w:numId w:val="142"/>
        </w:numPr>
        <w:rPr/>
      </w:pPr>
      <w:r>
        <w:rPr/>
        <w:t>Spike lockstep bring-up of the RV32I subset; then Xcell directeds.</w:t>
      </w:r>
    </w:p>
    <w:p>
      <w:pPr>
        <w:pStyle w:val="Compact"/>
        <w:numPr>
          <w:ilvl w:val="0"/>
          <w:numId w:val="143"/>
        </w:numPr>
        <w:rPr/>
      </w:pPr>
      <w:r>
        <w:rPr/>
        <w:t xml:space="preserve">Tetrad integration when </w:t>
      </w:r>
      <w:r>
        <w:rPr>
          <w:rStyle w:val="VerbatimChar"/>
        </w:rPr>
        <w:t>tetrad.sv</w:t>
      </w:r>
      <w:r>
        <w:rPr/>
        <w:t xml:space="preserve"> lands in </w:t>
      </w:r>
      <w:r>
        <w:rPr>
          <w:rStyle w:val="VerbatimChar"/>
        </w:rPr>
        <w:t>tile/</w:t>
      </w:r>
      <w:r>
        <w:rPr/>
        <w:t>.</w:t>
      </w:r>
      <w:bookmarkEnd w:id="63"/>
      <w:r>
        <w:br w:type="page"/>
      </w:r>
    </w:p>
    <w:p>
      <w:pPr>
        <w:pStyle w:val="Heading2"/>
        <w:pBdr>
          <w:bottom w:val="single" w:sz="12" w:space="0" w:color="228B22"/>
        </w:pBdr>
        <w:spacing w:before="280" w:after="80"/>
        <w:rPr/>
      </w:pPr>
      <w:bookmarkStart w:id="64" w:name="__RefHeading___Toc12159_211582255"/>
      <w:bookmarkStart w:id="65" w:name="history"/>
      <w:bookmarkEnd w:id="64"/>
      <w:r>
        <w:rPr>
          <w:rStyle w:val="SectionNumber"/>
          <w:b/>
          <w:color w:val="228B22"/>
          <w:sz w:val="28"/>
        </w:rPr>
        <w:t>3.9</w:t>
      </w:r>
      <w:r>
        <w:rPr>
          <w:b/>
          <w:color w:val="228B22"/>
          <w:sz w:val="28"/>
        </w:rPr>
        <w:tab/>
        <w:t>9. History</w:t>
      </w:r>
    </w:p>
    <w:p>
      <w:pPr>
        <w:pStyle w:val="Compact"/>
        <w:numPr>
          <w:ilvl w:val="0"/>
          <w:numId w:val="144"/>
        </w:numPr>
        <w:rPr/>
      </w:pPr>
      <w:r>
        <w:rPr/>
        <w:t xml:space="preserve">2026-10-19: PRD 0.2. Owner ruling: gatling sequences the four ALUs of its adjacent cells — the barrel core is the programmable sequencer for the tetrad, the cell’s bf16 ALU remains the datapath, and gatling never originates config traffic. Added FLUSH/KICK/WAIT Xcell encodings; fixed POP to read </w:t>
      </w:r>
      <w:r>
        <w:rPr>
          <w:rStyle w:val="VerbatimChar"/>
        </w:rPr>
        <w:t>rd</w:t>
      </w:r>
      <w:r>
        <w:rPr/>
        <w:t>; updated CFG[0] to report the alu-infer element mode.</w:t>
      </w:r>
    </w:p>
    <w:p>
      <w:pPr>
        <w:pStyle w:val="Compact"/>
        <w:numPr>
          <w:ilvl w:val="0"/>
          <w:numId w:val="145"/>
        </w:numPr>
        <w:rPr/>
      </w:pPr>
      <w:r>
        <w:rPr/>
        <w:t>2026-10-17: PRD 0.1 scaffold. Owner decisions: instructions over MMIO; mini RV per tetrad; codename gatling; four contexts = four cells; blocking POP/PUSH interlock; ECTX exit. Cell PRD 0.1 contracts confirmed unchanged outside the replaced ALU/FSM block.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hyperlink r:id="rId23">
        <w:r>
          <w:rPr>
            <w:rStyle w:val="Hyperlink"/>
            <w:b/>
            <w:bCs/>
          </w:rPr>
          <w:t xml:space="preserve">← </w:t>
        </w:r>
        <w:r>
          <w:rPr>
            <w:rStyle w:val="Hyperlink"/>
            <w:b/>
            <w:bCs/>
          </w:rPr>
          <w:t>Back to cell</w:t>
        </w:r>
      </w:hyperlink>
      <w:bookmarkEnd w:id="32"/>
      <w:bookmarkEnd w:id="65"/>
      <w:r>
        <w:br w:type="page"/>
      </w:r>
    </w:p>
    <w:p>
      <w:pPr>
        <w:pStyle w:val="Heading1"/>
        <w:shd w:val="clear" w:color="auto" w:fill="404040"/>
        <w:spacing w:before="360" w:after="120"/>
        <w:rPr/>
      </w:pPr>
      <w:bookmarkStart w:id="66" w:name="__RefHeading___Toc12161_211582255"/>
      <w:bookmarkStart w:id="67" w:name="Xed9d1483e256ed7bf8fe18e3ce586e66a09a99f"/>
      <w:bookmarkEnd w:id="66"/>
      <w:r>
        <w:rPr>
          <w:rStyle w:val="SectionNumber"/>
          <w:b/>
          <w:color w:val="FFFFFF"/>
          <w:sz w:val="32"/>
        </w:rPr>
        <w:t>4</w:t>
      </w:r>
      <w:r>
        <w:rPr>
          <w:b/>
          <w:color w:val="FFFFFF"/>
          <w:sz w:val="32"/>
        </w:rPr>
        <w:tab/>
        <w:t>Cell — Compute Engine IP Product Requirements Document</w:t>
      </w:r>
    </w:p>
    <w:p>
      <w:pPr>
        <w:pStyle w:val="FirstParagraph"/>
        <w:rPr/>
      </w:pPr>
      <w:r>
        <w:rPr>
          <w:b/>
          <w:bCs/>
          <w:sz w:val="20"/>
        </w:rPr>
        <w:t>Version:</w:t>
      </w:r>
      <w:r>
        <w:rPr>
          <w:sz w:val="20"/>
        </w:rPr>
        <w:t xml:space="preserve"> 0.5 (2026-10-19): records the 2026-10-19 owner ruling that </w:t>
      </w:r>
      <w:r>
        <w:rPr>
          <w:b/>
          <w:bCs/>
          <w:sz w:val="20"/>
        </w:rPr>
        <w:t>gatling sequences the cell ALU</w:t>
      </w:r>
      <w:r>
        <w:rPr>
          <w:sz w:val="20"/>
        </w:rPr>
        <w:t xml:space="preserve"> (</w:t>
      </w:r>
      <w:r>
        <w:rPr>
          <w:rStyle w:val="VerbatimChar"/>
          <w:sz w:val="20"/>
        </w:rPr>
        <w:t>POP</w:t>
      </w:r>
      <w:r>
        <w:rPr>
          <w:sz w:val="20"/>
        </w:rPr>
        <w:t>/</w:t>
      </w:r>
      <w:r>
        <w:rPr>
          <w:rStyle w:val="VerbatimChar"/>
          <w:sz w:val="20"/>
        </w:rPr>
        <w:t>PUSH</w:t>
      </w:r>
      <w:r>
        <w:rPr>
          <w:sz w:val="20"/>
        </w:rPr>
        <w:t>/</w:t>
      </w:r>
      <w:r>
        <w:rPr>
          <w:rStyle w:val="VerbatimChar"/>
          <w:sz w:val="20"/>
        </w:rPr>
        <w:t>FLUSH</w:t>
      </w:r>
      <w:r>
        <w:rPr>
          <w:sz w:val="20"/>
        </w:rPr>
        <w:t xml:space="preserve"> Xcell encodings, gatling PRD v0.2) while the slice-3 </w:t>
      </w:r>
      <w:r>
        <w:rPr>
          <w:rStyle w:val="VerbatimChar"/>
          <w:sz w:val="20"/>
        </w:rPr>
        <w:t>cell_exec_fsm</w:t>
      </w:r>
      <w:r>
        <w:rPr>
          <w:sz w:val="20"/>
        </w:rPr>
        <w:t xml:space="preserve"> remains the standalone bring-up driver; </w:t>
      </w:r>
      <w:r>
        <w:rPr>
          <w:rStyle w:val="VerbatimChar"/>
          <w:sz w:val="20"/>
        </w:rPr>
        <w:t>DEST</w:t>
      </w:r>
      <w:r>
        <w:rPr>
          <w:sz w:val="20"/>
        </w:rPr>
        <w:t xml:space="preserve"> is explicitly reserved for the deferred cell→cell path and </w:t>
      </w:r>
      <w:r>
        <w:rPr>
          <w:rStyle w:val="VerbatimChar"/>
          <w:sz w:val="20"/>
        </w:rPr>
        <w:t>FLUSH_DEST</w:t>
      </w:r>
      <w:r>
        <w:rPr>
          <w:sz w:val="20"/>
        </w:rPr>
        <w:t>/</w:t>
      </w:r>
      <w:r>
        <w:rPr>
          <w:rStyle w:val="VerbatimChar"/>
          <w:sz w:val="20"/>
        </w:rPr>
        <w:t>FLUSH_TAG</w:t>
      </w:r>
      <w:r>
        <w:rPr>
          <w:sz w:val="20"/>
        </w:rPr>
        <w:t xml:space="preserve"> are the operational drain destination; strap terminology replaces remaining grant terms in §§6.3/7/10 (slice-1 RTL still uses the old grant identifiers, noted in the MAS). Carries v0.4 (2026-10-18): §6.3 rewritten to the strap model (</w:t>
      </w:r>
      <w:r>
        <w:rPr>
          <w:rStyle w:val="VerbatimChar"/>
          <w:sz w:val="20"/>
        </w:rPr>
        <w:t>TILE_LAND_FLITS</w:t>
      </w:r>
      <w:r>
        <w:rPr>
          <w:sz w:val="20"/>
        </w:rPr>
        <w:t xml:space="preserve">, RAPIDS returns on drain; owner direction 2026-10-18) and the result destination becomes gatling-programmed (TILE_SPEC §11.14) — </w:t>
      </w:r>
      <w:r>
        <w:rPr>
          <w:rStyle w:val="VerbatimChar"/>
          <w:sz w:val="20"/>
        </w:rPr>
        <w:t>DEST</w:t>
      </w:r>
      <w:r>
        <w:rPr>
          <w:sz w:val="20"/>
        </w:rPr>
        <w:t xml:space="preserve"> chain-back superseded, register retained for the deferred cell-destined path. Carries v0.3 (2026-10-18): </w:t>
      </w:r>
      <w:r>
        <w:rPr>
          <w:b/>
          <w:bCs/>
          <w:sz w:val="20"/>
        </w:rPr>
        <w:t>cell register file + sender-generic credits</w:t>
      </w:r>
      <w:r>
        <w:rPr>
          <w:sz w:val="20"/>
        </w:rPr>
        <w:t xml:space="preserve"> — owner direction 2026-10-18 defines the cell as the lowest module: the alu-infer ALU, one delta node, the config registers, the ALU registers (</w:t>
      </w:r>
      <w:r>
        <w:rPr>
          <w:rStyle w:val="VerbatimChar"/>
          <w:sz w:val="20"/>
        </w:rPr>
        <w:t>A</w:t>
      </w:r>
      <w:r>
        <w:rPr>
          <w:sz w:val="20"/>
        </w:rPr>
        <w:t>/</w:t>
      </w:r>
      <w:r>
        <w:rPr>
          <w:rStyle w:val="VerbatimChar"/>
          <w:sz w:val="20"/>
        </w:rPr>
        <w:t>B</w:t>
      </w:r>
      <w:r>
        <w:rPr>
          <w:sz w:val="20"/>
        </w:rPr>
        <w:t>/</w:t>
      </w:r>
      <w:r>
        <w:rPr>
          <w:rStyle w:val="VerbatimChar"/>
          <w:sz w:val="20"/>
        </w:rPr>
        <w:t>C</w:t>
      </w:r>
      <w:r>
        <w:rPr>
          <w:sz w:val="20"/>
        </w:rPr>
        <w:t>/</w:t>
      </w:r>
      <w:r>
        <w:rPr>
          <w:rStyle w:val="VerbatimChar"/>
          <w:sz w:val="20"/>
        </w:rPr>
        <w:t>D</w:t>
      </w:r>
      <w:r>
        <w:rPr>
          <w:sz w:val="20"/>
        </w:rPr>
        <w:t xml:space="preserve"> + </w:t>
      </w:r>
      <w:r>
        <w:rPr>
          <w:rStyle w:val="VerbatimChar"/>
          <w:sz w:val="20"/>
        </w:rPr>
        <w:t>T</w:t>
      </w:r>
      <w:r>
        <w:rPr>
          <w:sz w:val="20"/>
        </w:rPr>
        <w:t>) as persistent operands for repeated calculations over a run (</w:t>
      </w:r>
      <w:r>
        <w:rPr>
          <w:rStyle w:val="VerbatimChar"/>
          <w:sz w:val="20"/>
        </w:rPr>
        <w:t>OP_SRC</w:t>
      </w:r>
      <w:r>
        <w:rPr>
          <w:sz w:val="20"/>
        </w:rPr>
        <w:t xml:space="preserve"> operand-source mux, </w:t>
      </w:r>
      <w:r>
        <w:rPr>
          <w:rStyle w:val="VerbatimChar"/>
          <w:sz w:val="20"/>
        </w:rPr>
        <w:t>IP</w:t>
      </w:r>
      <w:r>
        <w:rPr>
          <w:sz w:val="20"/>
        </w:rPr>
        <w:t>/</w:t>
      </w:r>
      <w:r>
        <w:rPr>
          <w:rStyle w:val="VerbatimChar"/>
          <w:sz w:val="20"/>
        </w:rPr>
        <w:t>OP</w:t>
      </w:r>
      <w:r>
        <w:rPr>
          <w:sz w:val="20"/>
        </w:rPr>
        <w:t xml:space="preserve"> memory pointers), and the data-in / data-out memories; the tetrad engine is deferred (the owner-authored gatling-rv32itetrad barrel-core PRD is the leading candidate; §10). Credit returns become sender-generic — per-source batching to the recorded source coordinate; the packetizer gains </w:t>
      </w:r>
      <w:r>
        <w:rPr>
          <w:rStyle w:val="VerbatimChar"/>
          <w:sz w:val="20"/>
        </w:rPr>
        <w:t>DEST</w:t>
      </w:r>
      <w:r>
        <w:rPr>
          <w:sz w:val="20"/>
        </w:rPr>
        <w:t xml:space="preserve"> (default: recorded source, chain-back). §4 reconciles to the alu-infer elastic valid/ready pipeline (“one-function-at-a-time” superseded). The house-style graphviz figure replaces the ASCII block diagram. Carries v0.2: ALU element model, function set, and control interface reconciled to the alu-infer PRD v0.3 (owner direction 2026-10-17; owner datapath decisions 2026-10-16). </w:t>
      </w:r>
      <w:r>
        <w:rPr>
          <w:b/>
          <w:bCs/>
          <w:sz w:val="20"/>
        </w:rPr>
        <w:t>Status:</w:t>
      </w:r>
      <w:r>
        <w:rPr>
          <w:sz w:val="20"/>
        </w:rPr>
        <w:t xml:space="preserve"> Pre-HAS PRD. This document is the cell’s product definition; the HAS/MAS follow it. The tile architecture it plugs into is the adopted hierarchy of </w:t>
      </w:r>
      <w:hyperlink r:id="rId24">
        <w:r>
          <w:rPr>
            <w:rStyle w:val="ListLabel725"/>
            <w:rFonts w:ascii="Consolas" w:hAnsi="Consolas"/>
            <w:sz w:val="22"/>
            <w:sz w:val="22"/>
          </w:rPr>
          <w:t>tile/docs/TILE_SPEC.md</w:t>
        </w:r>
      </w:hyperlink>
      <w:r>
        <w:rPr>
          <w:sz w:val="20"/>
        </w:rPr>
        <w:t xml:space="preserve"> §11 (owner decision 2026-10-16); the packet header, payload types, coordinate, and credit/grant protocols referenced below are defined there and are not restated except where the cell consumes them.</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8" w:name="__RefHeading___Toc12163_211582255"/>
      <w:bookmarkStart w:id="69" w:name="identity-and-scope-1"/>
      <w:bookmarkEnd w:id="68"/>
      <w:r>
        <w:rPr>
          <w:rStyle w:val="SectionNumber"/>
          <w:b/>
          <w:color w:val="228B22"/>
          <w:sz w:val="28"/>
        </w:rPr>
        <w:t>4.1</w:t>
      </w:r>
      <w:r>
        <w:rPr>
          <w:b/>
          <w:color w:val="228B22"/>
          <w:sz w:val="28"/>
        </w:rPr>
        <w:tab/>
        <w:t>1. Identity and scope</w:t>
      </w:r>
    </w:p>
    <w:p>
      <w:pPr>
        <w:pStyle w:val="FirstParagraph"/>
        <w:rPr/>
      </w:pPr>
      <w:r>
        <w:rPr>
          <w:sz w:val="20"/>
        </w:rPr>
        <w:t xml:space="preserve">The </w:t>
      </w:r>
      <w:r>
        <w:rPr>
          <w:b/>
          <w:bCs/>
          <w:sz w:val="20"/>
        </w:rPr>
        <w:t>cell</w:t>
      </w:r>
      <w:r>
        <w:rPr>
          <w:sz w:val="20"/>
        </w:rPr>
        <w:t xml:space="preserve"> is the tile’s compute unit: sixteen of them make a tile. Each cell contains exactly </w:t>
      </w:r>
      <w:r>
        <w:rPr>
          <w:b/>
          <w:bCs/>
          <w:sz w:val="20"/>
        </w:rPr>
        <w:t>one delta node</w:t>
      </w:r>
      <w:r>
        <w:rPr>
          <w:sz w:val="20"/>
        </w:rPr>
        <w:t xml:space="preserve"> — a </w:t>
      </w:r>
      <w:r>
        <w:rPr>
          <w:rStyle w:val="VerbatimChar"/>
          <w:sz w:val="20"/>
        </w:rPr>
        <w:t>delta_mesh_cell</w:t>
      </w:r>
      <w:r>
        <w:rPr>
          <w:sz w:val="20"/>
        </w:rPr>
        <w:t xml:space="preserve"> instantiated inside the cell, its local port facing the cell’s internal datapath and its seven other ports passing through to the cell boundary. That containment is the </w:t>
      </w:r>
      <w:r>
        <w:rPr>
          <w:b/>
          <w:bCs/>
          <w:sz w:val="20"/>
        </w:rPr>
        <w:t>entire</w:t>
      </w:r>
      <w:r>
        <w:rPr>
          <w:sz w:val="20"/>
        </w:rPr>
        <w:t xml:space="preserve"> cell↔delta relationship (owner clarification 2026-10-16): the node is a black-box subcomponent governed by delta’s own HAS/MAS, and everything else in the cell — the memories, the execution FSM, the ALU, the ALU registers, the packetizer, the credit logic, the registers — is the cell’s own design, speaking the tile-level contracts of TILE_SPEC §11, not delta internals. The node fills the cell’s input memory from delta traffic; the cell’s ALU and execution FSM consume that memory and produce results; results leave as batched flits back through the node toward their destination. As each input line is consumed, a credit returns to the line’s sender so it may write more.</w:t>
      </w:r>
    </w:p>
    <w:p>
      <w:pPr>
        <w:pStyle w:val="BodyText"/>
        <w:rPr/>
      </w:pPr>
      <w:r>
        <w:rPr>
          <w:sz w:val="20"/>
        </w:rPr>
        <w:t xml:space="preserve">Owner decision 2026-10-16: the cell’s compute engine is the </w:t>
      </w:r>
      <w:r>
        <w:rPr>
          <w:b/>
          <w:bCs/>
          <w:sz w:val="20"/>
        </w:rPr>
        <w:t>ALU + execution FSM</w:t>
      </w:r>
      <w:r>
        <w:rPr>
          <w:sz w:val="20"/>
        </w:rPr>
        <w:t xml:space="preserve"> described here. The earlier CGRA-array ambition (</w:t>
      </w:r>
      <w:hyperlink r:id="rId25">
        <w:r>
          <w:rPr>
            <w:rStyle w:val="Hyperlink"/>
          </w:rPr>
          <w:t>README</w:t>
        </w:r>
      </w:hyperlink>
      <w:r>
        <w:rPr>
          <w:sz w:val="20"/>
        </w:rPr>
        <w:t xml:space="preserve">, 2026-10-13) is </w:t>
      </w:r>
      <w:r>
        <w:rPr>
          <w:b/>
          <w:bCs/>
          <w:sz w:val="20"/>
        </w:rPr>
        <w:t>deferred</w:t>
      </w:r>
      <w:r>
        <w:rPr>
          <w:sz w:val="20"/>
        </w:rPr>
        <w:t xml:space="preserve"> — §11 — and the </w:t>
      </w:r>
      <w:hyperlink r:id="rId26">
        <w:r>
          <w:rPr>
            <w:rStyle w:val="ListLabel725"/>
            <w:rFonts w:ascii="Consolas" w:hAnsi="Consolas"/>
            <w:sz w:val="22"/>
            <w:sz w:val="22"/>
          </w:rPr>
          <w:t>axon_spec.md</w:t>
        </w:r>
      </w:hyperlink>
      <w:r>
        <w:rPr>
          <w:sz w:val="20"/>
        </w:rPr>
        <w:t xml:space="preserve"> sketch (SERV-based result collector) is </w:t>
      </w:r>
      <w:r>
        <w:rPr>
          <w:b/>
          <w:bCs/>
          <w:sz w:val="20"/>
        </w:rPr>
        <w:t>superseded</w:t>
      </w:r>
      <w:r>
        <w:rPr>
          <w:sz w:val="20"/>
        </w:rPr>
        <w:t>: the result collection, packetization, and streaming it proposed are this PRD’s output path, and its interfaces section predates the adopted §11 header/credit protocols.</w:t>
      </w:r>
    </w:p>
    <w:p>
      <w:pPr>
        <w:pStyle w:val="BodyText"/>
        <w:rPr/>
      </w:pPr>
      <w:r>
        <w:rPr>
          <w:sz w:val="20"/>
        </w:rPr>
        <w:t xml:space="preserve">Owner direction 2026-10-17: the ALU block is governed by the </w:t>
      </w:r>
      <w:hyperlink r:id="rId27">
        <w:r>
          <w:rPr>
            <w:rStyle w:val="Hyperlink"/>
            <w:rFonts w:ascii="Consolas" w:hAnsi="Consolas"/>
            <w:sz w:val="22"/>
            <w:sz w:val="22"/>
          </w:rPr>
          <w:t>alu-infer</w:t>
        </w:r>
        <w:r>
          <w:rPr>
            <w:rStyle w:val="Hyperlink"/>
          </w:rPr>
          <w:t xml:space="preserve"> PRD</w:t>
        </w:r>
      </w:hyperlink>
      <w:r>
        <w:rPr>
          <w:sz w:val="20"/>
        </w:rPr>
        <w:t xml:space="preserve"> — bf16 element model on the </w:t>
      </w:r>
      <w:r>
        <w:rPr>
          <w:rStyle w:val="VerbatimChar"/>
          <w:sz w:val="20"/>
        </w:rPr>
        <w:t>rtl/math</w:t>
      </w:r>
      <w:r>
        <w:rPr>
          <w:sz w:val="20"/>
        </w:rPr>
        <w:t xml:space="preserve"> </w:t>
      </w:r>
      <w:r>
        <w:rPr>
          <w:rStyle w:val="VerbatimChar"/>
          <w:sz w:val="20"/>
        </w:rPr>
        <w:t>math_bf16_*</w:t>
      </w:r>
      <w:r>
        <w:rPr>
          <w:sz w:val="20"/>
        </w:rPr>
        <w:t xml:space="preserve"> library, fp32 MAC accumulation, and a per-tetrad RV32I control core (not SERV; SERV is the Ocelus observability agent). Config and programming arrive in-band with the delta traffic; the tetrad core is a local reaction agent, not a config originator. See alu-infer PRD §5.</w:t>
      </w:r>
    </w:p>
    <w:p>
      <w:pPr>
        <w:pStyle w:val="BodyText"/>
        <w:rPr/>
      </w:pPr>
      <w:r>
        <w:rPr>
          <w:sz w:val="20"/>
        </w:rPr>
        <w:t xml:space="preserve">Owner direction 2026-10-18: </w:t>
      </w:r>
      <w:r>
        <w:rPr>
          <w:b/>
          <w:bCs/>
          <w:sz w:val="20"/>
        </w:rPr>
        <w:t>the cell is the lowest module and is defined first.</w:t>
      </w:r>
      <w:r>
        <w:rPr>
          <w:sz w:val="20"/>
        </w:rPr>
        <w:t xml:space="preserve"> Its contents: the alu-infer ALU, one delta node, the config registers (§7), the ALU registers </w:t>
      </w:r>
      <w:r>
        <w:rPr>
          <w:rStyle w:val="VerbatimChar"/>
          <w:sz w:val="20"/>
        </w:rPr>
        <w:t>A</w:t>
      </w:r>
      <w:r>
        <w:rPr>
          <w:sz w:val="20"/>
        </w:rPr>
        <w:t>/</w:t>
      </w:r>
      <w:r>
        <w:rPr>
          <w:rStyle w:val="VerbatimChar"/>
          <w:sz w:val="20"/>
        </w:rPr>
        <w:t>B</w:t>
      </w:r>
      <w:r>
        <w:rPr>
          <w:sz w:val="20"/>
        </w:rPr>
        <w:t>/</w:t>
      </w:r>
      <w:r>
        <w:rPr>
          <w:rStyle w:val="VerbatimChar"/>
          <w:sz w:val="20"/>
        </w:rPr>
        <w:t>C</w:t>
      </w:r>
      <w:r>
        <w:rPr>
          <w:sz w:val="20"/>
        </w:rPr>
        <w:t>/</w:t>
      </w:r>
      <w:r>
        <w:rPr>
          <w:rStyle w:val="VerbatimChar"/>
          <w:sz w:val="20"/>
        </w:rPr>
        <w:t>D</w:t>
      </w:r>
      <w:r>
        <w:rPr>
          <w:sz w:val="20"/>
        </w:rPr>
        <w:t xml:space="preserve"> (+</w:t>
      </w:r>
      <w:r>
        <w:rPr>
          <w:rStyle w:val="VerbatimChar"/>
          <w:sz w:val="20"/>
        </w:rPr>
        <w:t>T</w:t>
      </w:r>
      <w:r>
        <w:rPr>
          <w:sz w:val="20"/>
        </w:rPr>
        <w:t xml:space="preserve">) — persistent operands for a sequence of the same calculations over a run — the data-in memory, and the data-out memory. The tetrad-level engine is </w:t>
      </w:r>
      <w:r>
        <w:rPr>
          <w:b/>
          <w:bCs/>
          <w:sz w:val="20"/>
        </w:rPr>
        <w:t>deferred</w:t>
      </w:r>
      <w:r>
        <w:rPr>
          <w:sz w:val="20"/>
        </w:rPr>
        <w:t xml:space="preserve">: gatling/tetrad is figured out once the cell is fully defined and working, with the owner-authored </w:t>
      </w:r>
      <w:hyperlink r:id="rId28">
        <w:r>
          <w:rPr>
            <w:rStyle w:val="ListLabel725"/>
            <w:rFonts w:ascii="Consolas" w:hAnsi="Consolas"/>
            <w:sz w:val="22"/>
            <w:sz w:val="22"/>
          </w:rPr>
          <w:t>gatling-rv32itetrad</w:t>
        </w:r>
      </w:hyperlink>
      <w:r>
        <w:rPr>
          <w:sz w:val="20"/>
        </w:rPr>
        <w:t xml:space="preserve"> barrel-core PRD (2026-10-17) the leading candidate. See §10.</w:t>
      </w:r>
    </w:p>
    <w:p>
      <w:pPr>
        <w:pStyle w:val="BodyText"/>
        <w:rPr/>
      </w:pPr>
      <w:bookmarkStart w:id="70" w:name="identity-and-scope-1"/>
      <w:r>
        <w:rPr>
          <w:sz w:val="20"/>
        </w:rPr>
        <w:t>Out of scope: tetrad/root node internals, rapids internals, the CXS modules themselves, and fabric-level Z stacking.</w:t>
      </w:r>
      <w:bookmarkEnd w:id="70"/>
      <w:r>
        <w:br w:type="page"/>
      </w:r>
    </w:p>
    <w:p>
      <w:pPr>
        <w:pStyle w:val="Heading2"/>
        <w:pBdr>
          <w:bottom w:val="single" w:sz="12" w:space="0" w:color="228B22"/>
        </w:pBdr>
        <w:spacing w:before="280" w:after="80"/>
        <w:rPr/>
      </w:pPr>
      <w:bookmarkStart w:id="71" w:name="__RefHeading___Toc12165_211582255"/>
      <w:bookmarkEnd w:id="71"/>
      <w:r>
        <w:rPr>
          <w:rStyle w:val="SectionNumber"/>
          <w:b/>
          <w:color w:val="228B22"/>
          <w:sz w:val="28"/>
        </w:rPr>
        <w:t>4.2</w:t>
      </w:r>
      <w:r>
        <w:rPr>
          <w:b/>
          <w:color w:val="228B22"/>
          <w:sz w:val="28"/>
        </w:rPr>
        <w:tab/>
        <w:t>2. Architecture</w:t>
      </w:r>
    </w:p>
    <w:p>
      <w:pPr>
        <w:pStyle w:val="Heading3"/>
        <w:spacing w:before="200" w:after="80"/>
        <w:rPr/>
      </w:pPr>
      <w:bookmarkStart w:id="72" w:name="__RefHeading___Toc12167_211582255"/>
      <w:bookmarkStart w:id="73" w:name="_Fig_1_Cell_top_level_block"/>
      <w:bookmarkEnd w:id="72"/>
      <w:r>
        <w:rPr>
          <w:rStyle w:val="SectionNumber"/>
          <w:b/>
          <w:color w:val="404040"/>
          <w:sz w:val="24"/>
        </w:rPr>
        <w:t>4.2.1</w:t>
      </w:r>
      <w:r>
        <w:rPr>
          <w:b/>
          <w:color w:val="404040"/>
          <w:sz w:val="24"/>
        </w:rPr>
        <w:tab/>
        <w:t>Figure 1: Cell top-level block plan (house style — three flows: programming down the center, operand fill on the left, results and credits back up the right)</w:t>
      </w:r>
      <w:bookmarkEnd w:id="73"/>
    </w:p>
    <w:p>
      <w:pPr>
        <w:pStyle w:val="CaptionedFigure"/>
        <w:rPr/>
      </w:pPr>
      <w:r>
        <w:rPr/>
        <w:drawing>
          <wp:inline distT="0" distB="0" distL="0" distR="0">
            <wp:extent cx="5334000" cy="4173220"/>
            <wp:effectExtent l="0" t="0" r="0" b="0"/>
            <wp:docPr id="16" name="Image3" descr="Cell top-level block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descr="Cell top-level block plan"/>
                    <pic:cNvPicPr>
                      <a:picLocks noChangeAspect="1" noChangeArrowheads="1"/>
                    </pic:cNvPicPr>
                  </pic:nvPicPr>
                  <pic:blipFill>
                    <a:blip r:embed="rId29"/>
                    <a:stretch>
                      <a:fillRect/>
                    </a:stretch>
                  </pic:blipFill>
                  <pic:spPr bwMode="auto">
                    <a:xfrm>
                      <a:off x="0" y="0"/>
                      <a:ext cx="5334000" cy="4173220"/>
                    </a:xfrm>
                    <a:prstGeom prst="rect">
                      <a:avLst/>
                    </a:prstGeom>
                  </pic:spPr>
                </pic:pic>
              </a:graphicData>
            </a:graphic>
          </wp:inline>
        </w:drawing>
      </w:r>
    </w:p>
    <w:p>
      <w:pPr>
        <w:pStyle w:val="ImageCaption"/>
        <w:rPr/>
      </w:pPr>
      <w:r>
        <w:rPr/>
        <w:t>Cell top-level block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delta_mesh_cell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attachment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instantiated black box, not owned, here — containment is the whole cell↔delta relationship (owner clarification 2026-10-16); the cell consumes its local port and passes its mesh ports through; delta HAS/MAS govern only the node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header/demux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parses the §11.5 tile header (first data flit) and delta’s route header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on AXIS), routes payload to input memory, handles </w:t>
            </w:r>
            <w:r>
              <w:rPr>
                <w:rStyle w:val="VerbatimChar"/>
                <w:rFonts w:eastAsia="Cambria" w:cs=""/>
                <w:kern w:val="0"/>
                <w:szCs w:val="24"/>
                <w:lang w:val="en-US" w:eastAsia="en-US" w:bidi="ar-SA"/>
              </w:rPr>
              <w:t>cfg</w:t>
            </w:r>
            <w:r>
              <w:rPr>
                <w:rFonts w:eastAsia="Cambria" w:cs=""/>
                <w:kern w:val="0"/>
                <w:sz w:val="24"/>
                <w:szCs w:val="24"/>
                <w:lang w:val="en-US" w:eastAsia="en-US" w:bidi="ar-SA"/>
              </w:rPr>
              <w:t xml:space="preserve"> writes to registers, routes </w:t>
            </w:r>
            <w:r>
              <w:rPr>
                <w:rStyle w:val="VerbatimChar"/>
                <w:rFonts w:eastAsia="Cambria" w:cs=""/>
                <w:kern w:val="0"/>
                <w:szCs w:val="24"/>
                <w:lang w:val="en-US" w:eastAsia="en-US" w:bidi="ar-SA"/>
              </w:rPr>
              <w:t>credit</w:t>
            </w:r>
            <w:r>
              <w:rPr>
                <w:rFonts w:eastAsia="Cambria" w:cs=""/>
                <w:kern w:val="0"/>
                <w:sz w:val="24"/>
                <w:szCs w:val="24"/>
                <w:lang w:val="en-US" w:eastAsia="en-US" w:bidi="ar-SA"/>
              </w:rPr>
              <w:t xml:space="preserve"> packets to the credit logic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§11.6 (TILE_SPEC v1.6 clarification: tile header = first data beat on both transports; cell-bound traffic rides delta QoS ≠ 0 — QoS 0 is the node’s own config plane); records each packet’s tile-header source coordinate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memory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delta-written operand/input buffer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sized in lines; its flit capacity is the boot advertisement value; each line carries a source-coordinate tag for credit returns (§6.2); read pointer </w:t>
            </w:r>
            <w:r>
              <w:rPr>
                <w:rStyle w:val="VerbatimChar"/>
                <w:rFonts w:eastAsia="Cambria" w:cs=""/>
                <w:kern w:val="0"/>
                <w:szCs w:val="24"/>
                <w:lang w:val="en-US" w:eastAsia="en-US" w:bidi="ar-SA"/>
              </w:rPr>
              <w:t>IP</w:t>
            </w:r>
            <w:r>
              <w:rPr>
                <w:rFonts w:eastAsia="Cambria" w:cs=""/>
                <w:kern w:val="0"/>
                <w:sz w:val="24"/>
                <w:szCs w:val="24"/>
                <w:lang w:val="en-US" w:eastAsia="en-US" w:bidi="ar-SA"/>
              </w:rPr>
              <w:t xml:space="preserve"> auto-increments on pop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registers-only per house rule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§7 — </w:t>
            </w:r>
            <w:r>
              <w:rPr>
                <w:rStyle w:val="VerbatimChar"/>
                <w:rFonts w:eastAsia="Cambria" w:cs=""/>
                <w:kern w:val="0"/>
                <w:szCs w:val="24"/>
                <w:lang w:val="en-US" w:eastAsia="en-US" w:bidi="ar-SA"/>
              </w:rPr>
              <w:t>CTRL</w:t>
            </w:r>
            <w:r>
              <w:rPr>
                <w:rFonts w:eastAsia="Cambria" w:cs=""/>
                <w:kern w:val="0"/>
                <w:sz w:val="24"/>
                <w:szCs w:val="24"/>
                <w:lang w:val="en-US" w:eastAsia="en-US" w:bidi="ar-SA"/>
              </w:rPr>
              <w:t>/</w:t>
            </w:r>
            <w:r>
              <w:rPr>
                <w:rStyle w:val="VerbatimChar"/>
                <w:rFonts w:eastAsia="Cambria" w:cs=""/>
                <w:kern w:val="0"/>
                <w:szCs w:val="24"/>
                <w:lang w:val="en-US" w:eastAsia="en-US" w:bidi="ar-SA"/>
              </w:rPr>
              <w:t>STATUS</w:t>
            </w:r>
            <w:r>
              <w:rPr>
                <w:rFonts w:eastAsia="Cambria" w:cs=""/>
                <w:kern w:val="0"/>
                <w:sz w:val="24"/>
                <w:szCs w:val="24"/>
                <w:lang w:val="en-US" w:eastAsia="en-US" w:bidi="ar-SA"/>
              </w:rPr>
              <w:t>/</w:t>
            </w:r>
            <w:r>
              <w:rPr>
                <w:rStyle w:val="VerbatimChar"/>
                <w:rFonts w:eastAsia="Cambria" w:cs=""/>
                <w:kern w:val="0"/>
                <w:szCs w:val="24"/>
                <w:lang w:val="en-US" w:eastAsia="en-US" w:bidi="ar-SA"/>
              </w:rPr>
              <w:t>FUNC_SEL</w:t>
            </w:r>
            <w:r>
              <w:rPr>
                <w:rFonts w:eastAsia="Cambria" w:cs=""/>
                <w:kern w:val="0"/>
                <w:sz w:val="24"/>
                <w:szCs w:val="24"/>
                <w:lang w:val="en-US" w:eastAsia="en-US" w:bidi="ar-SA"/>
              </w:rPr>
              <w:t>/</w:t>
            </w:r>
            <w:r>
              <w:rPr>
                <w:rStyle w:val="VerbatimChar"/>
                <w:rFonts w:eastAsia="Cambria" w:cs=""/>
                <w:kern w:val="0"/>
                <w:szCs w:val="24"/>
                <w:lang w:val="en-US" w:eastAsia="en-US" w:bidi="ar-SA"/>
              </w:rPr>
              <w:t>OP_SRC</w:t>
            </w:r>
            <w:r>
              <w:rPr>
                <w:rFonts w:eastAsia="Cambria" w:cs=""/>
                <w:kern w:val="0"/>
                <w:sz w:val="24"/>
                <w:szCs w:val="24"/>
                <w:lang w:val="en-US" w:eastAsia="en-US" w:bidi="ar-SA"/>
              </w:rPr>
              <w:t>/</w:t>
            </w:r>
            <w:r>
              <w:rPr>
                <w:rStyle w:val="VerbatimChar"/>
                <w:rFonts w:eastAsia="Cambria" w:cs=""/>
                <w:kern w:val="0"/>
                <w:szCs w:val="24"/>
                <w:lang w:val="en-US" w:eastAsia="en-US" w:bidi="ar-SA"/>
              </w:rPr>
              <w:t>DEST</w:t>
            </w:r>
            <w:r>
              <w:rPr>
                <w:rFonts w:eastAsia="Cambria" w:cs=""/>
                <w:kern w:val="0"/>
                <w:sz w:val="24"/>
                <w:szCs w:val="24"/>
                <w:lang w:val="en-US" w:eastAsia="en-US" w:bidi="ar-SA"/>
              </w:rPr>
              <w:t>/batching knobs/</w:t>
            </w:r>
            <w:r>
              <w:rPr>
                <w:rStyle w:val="VerbatimChar"/>
                <w:rFonts w:eastAsia="Cambria" w:cs=""/>
                <w:kern w:val="0"/>
                <w:szCs w:val="24"/>
                <w:lang w:val="en-US" w:eastAsia="en-US" w:bidi="ar-SA"/>
              </w:rPr>
              <w:t>IP</w:t>
            </w:r>
            <w:r>
              <w:rPr>
                <w:rFonts w:eastAsia="Cambria" w:cs=""/>
                <w:kern w:val="0"/>
                <w:sz w:val="24"/>
                <w:szCs w:val="24"/>
                <w:lang w:val="en-US" w:eastAsia="en-US" w:bidi="ar-SA"/>
              </w:rPr>
              <w:t>/</w:t>
            </w:r>
            <w:r>
              <w:rPr>
                <w:rStyle w:val="VerbatimChar"/>
                <w:rFonts w:eastAsia="Cambria" w:cs=""/>
                <w:kern w:val="0"/>
                <w:szCs w:val="24"/>
                <w:lang w:val="en-US" w:eastAsia="en-US" w:bidi="ar-SA"/>
              </w:rPr>
              <w: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
            </w:r>
            <w:r>
              <w:rPr>
                <w:rFonts w:eastAsia="Cambria" w:cs=""/>
                <w:kern w:val="0"/>
                <w:sz w:val="24"/>
                <w:szCs w:val="24"/>
                <w:lang w:val="en-US" w:eastAsia="en-US" w:bidi="ar-SA"/>
              </w:rPr>
              <w:t>·</w:t>
            </w:r>
            <w:r>
              <w:rPr>
                <w:rStyle w:val="VerbatimChar"/>
                <w:rFonts w:eastAsia="Cambria" w:cs=""/>
                <w:kern w:val="0"/>
                <w:szCs w:val="24"/>
                <w:lang w:val="en-US" w:eastAsia="en-US" w:bidi="ar-SA"/>
              </w:rPr>
              <w:t>B</w:t>
            </w:r>
            <w:r>
              <w:rPr>
                <w:rFonts w:eastAsia="Cambria" w:cs=""/>
                <w:kern w:val="0"/>
                <w:sz w:val="24"/>
                <w:szCs w:val="24"/>
                <w:lang w:val="en-US" w:eastAsia="en-US" w:bidi="ar-SA"/>
              </w:rPr>
              <w:t>·</w:t>
            </w:r>
            <w:r>
              <w:rPr>
                <w:rStyle w:val="VerbatimChar"/>
                <w:rFonts w:eastAsia="Cambria" w:cs=""/>
                <w:kern w:val="0"/>
                <w:szCs w:val="24"/>
                <w:lang w:val="en-US" w:eastAsia="en-US" w:bidi="ar-SA"/>
              </w:rPr>
              <w:t>C</w:t>
            </w:r>
            <w:r>
              <w:rPr>
                <w:rFonts w:eastAsia="Cambria" w:cs=""/>
                <w:kern w:val="0"/>
                <w:sz w:val="24"/>
                <w:szCs w:val="24"/>
                <w:lang w:val="en-US" w:eastAsia="en-US" w:bidi="ar-SA"/>
              </w:rPr>
              <w:t>·</w:t>
            </w:r>
            <w:r>
              <w:rPr>
                <w:rStyle w:val="VerbatimChar"/>
                <w:rFonts w:eastAsia="Cambria" w:cs=""/>
                <w:kern w:val="0"/>
                <w:szCs w:val="24"/>
                <w:lang w:val="en-US" w:eastAsia="en-US" w:bidi="ar-SA"/>
              </w:rPr>
              <w:t>D</w:t>
            </w:r>
            <w:r>
              <w:rPr>
                <w:rFonts w:eastAsia="Cambria" w:cs=""/>
                <w:kern w:val="0"/>
                <w:sz w:val="24"/>
                <w:szCs w:val="24"/>
                <w:lang w:val="en-US" w:eastAsia="en-US" w:bidi="ar-SA"/>
              </w:rPr>
              <w:t xml:space="preserve"> persistent operands + </w:t>
            </w:r>
            <w:r>
              <w:rPr>
                <w:rStyle w:val="VerbatimChar"/>
                <w:rFonts w:eastAsia="Cambria" w:cs=""/>
                <w:kern w:val="0"/>
                <w:szCs w:val="24"/>
                <w:lang w:val="en-US" w:eastAsia="en-US" w:bidi="ar-SA"/>
              </w:rPr>
              <w:t>T</w:t>
            </w:r>
            <w:r>
              <w:rPr>
                <w:rFonts w:eastAsia="Cambria" w:cs=""/>
                <w:kern w:val="0"/>
                <w:sz w:val="24"/>
                <w:szCs w:val="24"/>
                <w:lang w:val="en-US" w:eastAsia="en-US" w:bidi="ar-SA"/>
              </w:rPr>
              <w:t xml:space="preserve"> threshold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§7; written by </w:t>
            </w:r>
            <w:r>
              <w:rPr>
                <w:rStyle w:val="VerbatimChar"/>
                <w:rFonts w:eastAsia="Cambria" w:cs=""/>
                <w:kern w:val="0"/>
                <w:szCs w:val="24"/>
                <w:lang w:val="en-US" w:eastAsia="en-US" w:bidi="ar-SA"/>
              </w:rPr>
              <w:t>cfg</w:t>
            </w:r>
            <w:r>
              <w:rPr>
                <w:rFonts w:eastAsia="Cambria" w:cs=""/>
                <w:kern w:val="0"/>
                <w:sz w:val="24"/>
                <w:szCs w:val="24"/>
                <w:lang w:val="en-US" w:eastAsia="en-US" w:bidi="ar-SA"/>
              </w:rPr>
              <w:t xml:space="preserve"> packets or AXIL, read into the ALU operand muxes per </w:t>
            </w:r>
            <w:r>
              <w:rPr>
                <w:rStyle w:val="VerbatimChar"/>
                <w:rFonts w:eastAsia="Cambria" w:cs=""/>
                <w:kern w:val="0"/>
                <w:szCs w:val="24"/>
                <w:lang w:val="en-US" w:eastAsia="en-US" w:bidi="ar-SA"/>
              </w:rPr>
              <w:t>OP_SRC</w:t>
            </w:r>
            <w:r>
              <w:rPr>
                <w:rFonts w:eastAsia="Cambria" w:cs=""/>
                <w:kern w:val="0"/>
                <w:sz w:val="24"/>
                <w:szCs w:val="24"/>
                <w:lang w:val="en-US" w:eastAsia="en-US" w:bidi="ar-SA"/>
              </w:rPr>
              <w:t>; persistent across a run (owner direction 2026-10-18)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logic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credits to the recorded sender of each consumed input 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§6.2; per-source batching, N configurable, default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 execution FSM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pops line(s), issues them to the ALU’s elastic pipeline, pushes result line(s)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the cell’s only datapath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result memory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buffers result lines before packetization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sized with §12; write pointer </w:t>
            </w:r>
            <w:r>
              <w:rPr>
                <w:rStyle w:val="VerbatimChar"/>
                <w:rFonts w:eastAsia="Cambria" w:cs=""/>
                <w:kern w:val="0"/>
                <w:szCs w:val="24"/>
                <w:lang w:val="en-US" w:eastAsia="en-US" w:bidi="ar-SA"/>
              </w:rPr>
              <w:t>OP</w:t>
            </w:r>
            <w:r>
              <w:rPr>
                <w:rFonts w:eastAsia="Cambria" w:cs=""/>
                <w:kern w:val="0"/>
                <w:sz w:val="24"/>
                <w:szCs w:val="24"/>
                <w:lang w:val="en-US" w:eastAsia="en-US" w:bidi="ar-SA"/>
              </w:rPr>
              <w:t xml:space="preserve"> auto-increments on push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packetizer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batches result writes into X flits, builds §11.5 header (destination per §6.3 — gatling-programmed drain), sends via node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sends only against the </w:t>
            </w:r>
            <w:r>
              <w:rPr>
                <w:rStyle w:val="VerbatimChar"/>
                <w:rFonts w:eastAsia="Cambria" w:cs=""/>
                <w:kern w:val="0"/>
                <w:szCs w:val="24"/>
                <w:lang w:val="en-US" w:eastAsia="en-US" w:bidi="ar-SA"/>
              </w:rPr>
              <w:t>TILE_LAND_FLITS</w:t>
            </w:r>
            <w:r>
              <w:rPr>
                <w:rFonts w:eastAsia="Cambria" w:cs=""/>
                <w:kern w:val="0"/>
                <w:sz w:val="24"/>
                <w:szCs w:val="24"/>
                <w:lang w:val="en-US" w:eastAsia="en-US" w:bidi="ar-SA"/>
              </w:rPr>
              <w:t xml:space="preserve"> strap counter (§6.3)</w:t>
            </w:r>
            <w:bookmarkStart w:id="74" w:name="architecture"/>
            <w:bookmarkStart w:id="75" w:name="Xab5d77a85a015a509a6b29a1faca4bdeac27ce0"/>
            <w:bookmarkEnd w:id="74"/>
            <w:bookmarkEnd w:id="75"/>
          </w:p>
        </w:tc>
      </w:tr>
    </w:tbl>
    <w:p>
      <w:pPr>
        <w:pStyle w:val="Heading2"/>
        <w:pBdr>
          <w:bottom w:val="single" w:sz="12" w:space="0" w:color="228B22"/>
        </w:pBdr>
        <w:spacing w:before="280" w:after="80"/>
        <w:rPr/>
      </w:pPr>
      <w:r>
        <w:br w:type="page"/>
      </w:r>
      <w:bookmarkStart w:id="76" w:name="__RefHeading___Toc12169_211582255"/>
      <w:bookmarkEnd w:id="76"/>
      <w:r>
        <w:rPr>
          <w:rStyle w:val="SectionNumber"/>
          <w:b/>
          <w:color w:val="228B22"/>
          <w:sz w:val="28"/>
        </w:rPr>
        <w:t>4.3</w:t>
      </w:r>
      <w:r>
        <w:rPr>
          <w:b/>
          <w:color w:val="228B22"/>
          <w:sz w:val="28"/>
        </w:rPr>
        <w:tab/>
        <w:t>3. Dataflow</w:t>
      </w:r>
    </w:p>
    <w:p>
      <w:pPr>
        <w:pStyle w:val="FirstParagraph"/>
        <w:rPr/>
      </w:pPr>
      <w:r>
        <w:rPr>
          <w:sz w:val="20"/>
        </w:rPr>
        <w:t>A run is programmed first, then fed; everything — data, config, and programming — arrives in-band (owner ruling 2026-10-17):</w:t>
      </w:r>
    </w:p>
    <w:p>
      <w:pPr>
        <w:pStyle w:val="Compact"/>
        <w:numPr>
          <w:ilvl w:val="0"/>
          <w:numId w:val="146"/>
        </w:numPr>
        <w:rPr/>
      </w:pPr>
      <w:r>
        <w:rPr>
          <w:b/>
          <w:bCs/>
        </w:rPr>
        <w:t>Program.</w:t>
      </w:r>
      <w:r>
        <w:rPr/>
        <w:t xml:space="preserve"> </w:t>
      </w:r>
      <w:r>
        <w:rPr>
          <w:rStyle w:val="VerbatimChar"/>
        </w:rPr>
        <w:t>cfg</w:t>
      </w:r>
      <w:r>
        <w:rPr/>
        <w:t xml:space="preserve"> packets (</w:t>
      </w:r>
      <w:r>
        <w:rPr>
          <w:rStyle w:val="VerbatimChar"/>
        </w:rPr>
        <w:t>ptype</w:t>
      </w:r>
      <w:r>
        <w:rPr/>
        <w:t xml:space="preserve"> = </w:t>
      </w:r>
      <w:r>
        <w:rPr>
          <w:rStyle w:val="VerbatimChar"/>
        </w:rPr>
        <w:t>cfg</w:t>
      </w:r>
      <w:r>
        <w:rPr/>
        <w:t xml:space="preserve">) write the §7 registers — </w:t>
      </w:r>
      <w:r>
        <w:rPr>
          <w:rStyle w:val="VerbatimChar"/>
        </w:rPr>
        <w:t>FUNC_SEL</w:t>
      </w:r>
      <w:r>
        <w:rPr/>
        <w:t xml:space="preserve">, </w:t>
      </w:r>
      <w:r>
        <w:rPr>
          <w:rStyle w:val="VerbatimChar"/>
        </w:rPr>
        <w:t>OP_SRC</w:t>
      </w:r>
      <w:r>
        <w:rPr/>
        <w:t xml:space="preserve">, </w:t>
      </w:r>
      <w:r>
        <w:rPr>
          <w:rStyle w:val="VerbatimChar"/>
        </w:rPr>
        <w:t>DEST</w:t>
      </w:r>
      <w:r>
        <w:rPr/>
        <w:t xml:space="preserve">, the persistent operands </w:t>
      </w:r>
      <w:r>
        <w:rPr>
          <w:rStyle w:val="VerbatimChar"/>
        </w:rPr>
        <w:t>A</w:t>
      </w:r>
      <w:r>
        <w:rPr/>
        <w:t>–</w:t>
      </w:r>
      <w:r>
        <w:rPr>
          <w:rStyle w:val="VerbatimChar"/>
        </w:rPr>
        <w:t>D</w:t>
      </w:r>
      <w:r>
        <w:rPr/>
        <w:t xml:space="preserve">, </w:t>
      </w:r>
      <w:r>
        <w:rPr>
          <w:rStyle w:val="VerbatimChar"/>
        </w:rPr>
        <w:t>T</w:t>
      </w:r>
      <w:r>
        <w:rPr/>
        <w:t xml:space="preserve">, and the batching knobs — instead of the input memory. A </w:t>
      </w:r>
      <w:r>
        <w:rPr>
          <w:rStyle w:val="VerbatimChar"/>
        </w:rPr>
        <w:t>cfg</w:t>
      </w:r>
      <w:r>
        <w:rPr/>
        <w:t xml:space="preserve"> read is answered with a write-format packet echoing the tag, per §11.8.</w:t>
      </w:r>
    </w:p>
    <w:p>
      <w:pPr>
        <w:pStyle w:val="Compact"/>
        <w:numPr>
          <w:ilvl w:val="0"/>
          <w:numId w:val="147"/>
        </w:numPr>
        <w:rPr/>
      </w:pPr>
      <w:r>
        <w:rPr>
          <w:b/>
          <w:bCs/>
        </w:rPr>
        <w:t>Fill.</w:t>
      </w:r>
      <w:r>
        <w:rPr/>
        <w:t xml:space="preserve"> A write packet (</w:t>
      </w:r>
      <w:r>
        <w:rPr>
          <w:rStyle w:val="VerbatimChar"/>
        </w:rPr>
        <w:t>ptype</w:t>
      </w:r>
      <w:r>
        <w:rPr/>
        <w:t xml:space="preserve"> = </w:t>
      </w:r>
      <w:r>
        <w:rPr>
          <w:rStyle w:val="VerbatimChar"/>
        </w:rPr>
        <w:t>mem</w:t>
      </w:r>
      <w:r>
        <w:rPr/>
        <w:t xml:space="preserve">, destination coordinate </w:t>
      </w:r>
      <w:r>
        <w:rPr>
          <w:rStyle w:val="VerbatimChar"/>
        </w:rPr>
        <w:t>{level=0, cell X, Y, Z}</w:t>
      </w:r>
      <w:r>
        <w:rPr/>
        <w:t>, target address inside the cell’s input-memory window) arrives on the node’s local port — from rapids in the v1 flow, but sender-generic by construction: any node may send it. The demux writes payload lines into the input memory and tags each line with its packet’s source coordinate. The sender spends one end-to-end credit per flit sent, header included, from the per-destination counter it holds for this cell (§11.9).</w:t>
      </w:r>
    </w:p>
    <w:p>
      <w:pPr>
        <w:pStyle w:val="Compact"/>
        <w:numPr>
          <w:ilvl w:val="0"/>
          <w:numId w:val="148"/>
        </w:numPr>
        <w:rPr/>
      </w:pPr>
      <w:r>
        <w:rPr>
          <w:b/>
          <w:bCs/>
        </w:rPr>
        <w:t>Consume.</w:t>
      </w:r>
      <w:r>
        <w:rPr/>
        <w:t xml:space="preserve"> The execution FSM pops the configured number of input lines for its function (</w:t>
      </w:r>
      <w:r>
        <w:rPr>
          <w:rStyle w:val="VerbatimChar"/>
        </w:rPr>
        <w:t>IP</w:t>
      </w:r>
      <w:r>
        <w:rPr/>
        <w:t xml:space="preserve"> auto-increments), issues the invocation to the ALU, and the elastic pipeline returns result line(s) in order; the FSM pushes them into the result memory (</w:t>
      </w:r>
      <w:r>
        <w:rPr>
          <w:rStyle w:val="VerbatimChar"/>
        </w:rPr>
        <w:t>OP</w:t>
      </w:r>
      <w:r>
        <w:rPr/>
        <w:t xml:space="preserve"> auto-increments).</w:t>
      </w:r>
    </w:p>
    <w:p>
      <w:pPr>
        <w:pStyle w:val="Compact"/>
        <w:numPr>
          <w:ilvl w:val="0"/>
          <w:numId w:val="149"/>
        </w:numPr>
        <w:rPr/>
      </w:pPr>
      <w:r>
        <w:rPr>
          <w:b/>
          <w:bCs/>
        </w:rPr>
        <w:t>Credit return.</w:t>
      </w:r>
      <w:r>
        <w:rPr/>
        <w:t xml:space="preserve"> As each input line is consumed, the credit logic owes the line’s recorded sender one credit (§6.2 — per-source batching), so the sender refills the space. Credits return on consumption, not arrival (§11.9(3)).</w:t>
      </w:r>
    </w:p>
    <w:p>
      <w:pPr>
        <w:pStyle w:val="Compact"/>
        <w:numPr>
          <w:ilvl w:val="0"/>
          <w:numId w:val="150"/>
        </w:numPr>
        <w:rPr/>
      </w:pPr>
      <w:r>
        <w:rPr>
          <w:b/>
          <w:bCs/>
        </w:rPr>
        <w:t>Emit.</w:t>
      </w:r>
      <w:r>
        <w:rPr/>
        <w:t xml:space="preserve"> When the packetizer has ≥ X result flits (or a flush condition fires, §6.3), it builds the §11.5 header — destination = the gatling-programmed drain destination (§6.3; the cell does not choose it) — source = this cell’s external ID, </w:t>
      </w:r>
      <w:r>
        <w:rPr>
          <w:rStyle w:val="VerbatimChar"/>
        </w:rPr>
        <w:t>op</w:t>
      </w:r>
      <w:r>
        <w:rPr/>
        <w:t xml:space="preserve"> = 0, length = bytes that follow, tag = the sink channel gatling programmed — and sends the packet through the node, spending its </w:t>
      </w:r>
      <w:r>
        <w:rPr>
          <w:rStyle w:val="VerbatimChar"/>
        </w:rPr>
        <w:t>TILE_LAND_FLITS</w:t>
      </w:r>
      <w:r>
        <w:rPr/>
        <w:t xml:space="preserve"> strap counter (§6.3). Cell-destined sending awaits the tile-spec extension (§6.3).</w:t>
      </w:r>
      <w:r>
        <w:br w:type="page"/>
      </w:r>
    </w:p>
    <w:p>
      <w:pPr>
        <w:pStyle w:val="Heading2"/>
        <w:pBdr>
          <w:bottom w:val="single" w:sz="12" w:space="0" w:color="228B22"/>
        </w:pBdr>
        <w:spacing w:before="280" w:after="80"/>
        <w:rPr/>
      </w:pPr>
      <w:bookmarkStart w:id="77" w:name="__RefHeading___Toc12171_211582255"/>
      <w:bookmarkStart w:id="78" w:name="alu-and-execution-fsm"/>
      <w:bookmarkEnd w:id="77"/>
      <w:r>
        <w:rPr>
          <w:rStyle w:val="SectionNumber"/>
          <w:b/>
          <w:color w:val="228B22"/>
          <w:sz w:val="28"/>
        </w:rPr>
        <w:t>4.4</w:t>
      </w:r>
      <w:r>
        <w:rPr>
          <w:b/>
          <w:color w:val="228B22"/>
          <w:sz w:val="28"/>
        </w:rPr>
        <w:tab/>
        <w:t>4. ALU and execution FSM</w:t>
      </w:r>
    </w:p>
    <w:p>
      <w:pPr>
        <w:pStyle w:val="FirstParagraph"/>
        <w:rPr/>
      </w:pPr>
      <w:r>
        <w:rPr>
          <w:sz w:val="20"/>
        </w:rPr>
        <w:t xml:space="preserve">The FSM is a pop→issue→push loop: it issues invocations into the ALU’s valid/ready </w:t>
      </w:r>
      <w:r>
        <w:rPr>
          <w:b/>
          <w:bCs/>
          <w:sz w:val="20"/>
        </w:rPr>
        <w:t>elastic pipeline</w:t>
      </w:r>
      <w:r>
        <w:rPr>
          <w:sz w:val="20"/>
        </w:rPr>
        <w:t xml:space="preserve"> (multiple invocations in flight, results retire in order — the alu-infer MAS contract), and pushes each retired result line into the result memory. Functions are register-selected, and both the function and its operand pattern come from config, so new functions are RTL table rows, not new blocks. (The v0.2 “one-function-at-a-time” phrasing is superseded by the elastic contract; owner ruling 2026-10-17, alu-infer PRD v0.4+.)</w:t>
      </w:r>
    </w:p>
    <w:p>
      <w:pPr>
        <w:pStyle w:val="BodyText"/>
        <w:rPr/>
      </w:pPr>
      <w:r>
        <w:rPr>
          <w:b/>
          <w:bCs/>
          <w:sz w:val="20"/>
        </w:rPr>
        <w:t>Operand sources (owner direction 2026-10-18):</w:t>
      </w:r>
      <w:r>
        <w:rPr>
          <w:sz w:val="20"/>
        </w:rPr>
        <w:t xml:space="preserve"> the ALU’s </w:t>
      </w:r>
      <w:r>
        <w:rPr>
          <w:rStyle w:val="VerbatimChar"/>
          <w:sz w:val="20"/>
        </w:rPr>
        <w:t>op_line_a</w:t>
      </w:r>
      <w:r>
        <w:rPr>
          <w:sz w:val="20"/>
        </w:rPr>
        <w:t xml:space="preserve"> / </w:t>
      </w:r>
      <w:r>
        <w:rPr>
          <w:rStyle w:val="VerbatimChar"/>
          <w:sz w:val="20"/>
        </w:rPr>
        <w:t>op_line_b</w:t>
      </w:r>
      <w:r>
        <w:rPr>
          <w:sz w:val="20"/>
        </w:rPr>
        <w:t xml:space="preserve"> are driven through an operand-source mux configured by </w:t>
      </w:r>
      <w:r>
        <w:rPr>
          <w:rStyle w:val="VerbatimChar"/>
          <w:sz w:val="20"/>
        </w:rPr>
        <w:t>OP_SRC</w:t>
      </w:r>
      <w:r>
        <w:rPr>
          <w:sz w:val="20"/>
        </w:rPr>
        <w:t xml:space="preserve"> (§7): each side selects the input-memory pop or one of the persistent ALU registers </w:t>
      </w:r>
      <w:r>
        <w:rPr>
          <w:rStyle w:val="VerbatimChar"/>
          <w:sz w:val="20"/>
        </w:rPr>
        <w:t>A</w:t>
      </w:r>
      <w:r>
        <w:rPr>
          <w:sz w:val="20"/>
        </w:rPr>
        <w:t>–</w:t>
      </w:r>
      <w:r>
        <w:rPr>
          <w:rStyle w:val="VerbatimChar"/>
          <w:sz w:val="20"/>
        </w:rPr>
        <w:t>D</w:t>
      </w:r>
      <w:r>
        <w:rPr>
          <w:sz w:val="20"/>
        </w:rPr>
        <w:t xml:space="preserve"> (32 bits each, two bf16 lanes — matching </w:t>
      </w:r>
      <w:r>
        <w:rPr>
          <w:rStyle w:val="VerbatimChar"/>
          <w:sz w:val="20"/>
        </w:rPr>
        <w:t>LINE_W</w:t>
      </w:r>
      <w:r>
        <w:rPr>
          <w:sz w:val="20"/>
        </w:rPr>
        <w:t xml:space="preserve">), and </w:t>
      </w:r>
      <w:r>
        <w:rPr>
          <w:rStyle w:val="VerbatimChar"/>
          <w:sz w:val="20"/>
        </w:rPr>
        <w:t>T</w:t>
      </w:r>
      <w:r>
        <w:rPr>
          <w:sz w:val="20"/>
        </w:rPr>
        <w:t xml:space="preserve"> (bf16) backs </w:t>
      </w:r>
      <w:r>
        <w:rPr>
          <w:rStyle w:val="VerbatimChar"/>
          <w:sz w:val="20"/>
        </w:rPr>
        <w:t>threshold_imm</w:t>
      </w:r>
      <w:r>
        <w:rPr>
          <w:sz w:val="20"/>
        </w:rPr>
        <w:t xml:space="preserve">. This is the “sequence of the same calculations over a run” pattern: streamed operands arrive from delta into the input memory and pop under </w:t>
      </w:r>
      <w:r>
        <w:rPr>
          <w:rStyle w:val="VerbatimChar"/>
          <w:sz w:val="20"/>
        </w:rPr>
        <w:t>IP</w:t>
      </w:r>
      <w:r>
        <w:rPr>
          <w:sz w:val="20"/>
        </w:rPr>
        <w:t xml:space="preserve">, while persistent scalars (weights, biases, constants) sit in </w:t>
      </w:r>
      <w:r>
        <w:rPr>
          <w:rStyle w:val="VerbatimChar"/>
          <w:sz w:val="20"/>
        </w:rPr>
        <w:t>A</w:t>
      </w:r>
      <w:r>
        <w:rPr>
          <w:sz w:val="20"/>
        </w:rPr>
        <w:t>–</w:t>
      </w:r>
      <w:r>
        <w:rPr>
          <w:rStyle w:val="VerbatimChar"/>
          <w:sz w:val="20"/>
        </w:rPr>
        <w:t>D</w:t>
      </w:r>
      <w:r>
        <w:rPr>
          <w:sz w:val="20"/>
        </w:rPr>
        <w:t xml:space="preserve"> for the whole run. </w:t>
      </w:r>
      <w:r>
        <w:rPr>
          <w:rStyle w:val="VerbatimChar"/>
          <w:sz w:val="20"/>
        </w:rPr>
        <w:t>IP</w:t>
      </w:r>
      <w:r>
        <w:rPr>
          <w:sz w:val="20"/>
        </w:rPr>
        <w:t>/</w:t>
      </w:r>
      <w:r>
        <w:rPr>
          <w:rStyle w:val="VerbatimChar"/>
          <w:sz w:val="20"/>
        </w:rPr>
        <w:t>OP</w:t>
      </w:r>
      <w:r>
        <w:rPr>
          <w:sz w:val="20"/>
        </w:rPr>
        <w:t xml:space="preserve"> auto-increment on pop/push and wrap at the configured memory depth; </w:t>
      </w:r>
      <w:r>
        <w:rPr>
          <w:rStyle w:val="VerbatimChar"/>
          <w:sz w:val="20"/>
        </w:rPr>
        <w:t>CTRL.soft_reset</w:t>
      </w:r>
      <w:r>
        <w:rPr>
          <w:sz w:val="20"/>
        </w:rPr>
        <w:t xml:space="preserve"> clears them.</w:t>
      </w:r>
    </w:p>
    <w:p>
      <w:pPr>
        <w:pStyle w:val="BodyText"/>
        <w:rPr/>
      </w:pPr>
      <w:r>
        <w:rPr>
          <w:b/>
          <w:bCs/>
          <w:sz w:val="20"/>
        </w:rPr>
        <w:t>Element model (owner direction 2026-10-17, superseding the B4/B8/B16/B32 note of 2026-10-16):</w:t>
      </w:r>
      <w:r>
        <w:rPr>
          <w:sz w:val="20"/>
        </w:rPr>
        <w:t xml:space="preserve"> a 32-bit line is read as </w:t>
      </w:r>
      <w:r>
        <w:rPr>
          <w:b/>
          <w:bCs/>
          <w:sz w:val="20"/>
        </w:rPr>
        <w:t>2×bf16</w:t>
      </w:r>
      <w:r>
        <w:rPr>
          <w:sz w:val="20"/>
        </w:rPr>
        <w:t xml:space="preserve"> elements, and the function array is built mostly from the </w:t>
      </w:r>
      <w:r>
        <w:rPr>
          <w:rStyle w:val="VerbatimChar"/>
          <w:sz w:val="20"/>
        </w:rPr>
        <w:t>math_bf16_*</w:t>
      </w:r>
      <w:r>
        <w:rPr>
          <w:sz w:val="20"/>
        </w:rPr>
        <w:t xml:space="preserve"> family of </w:t>
      </w:r>
      <w:r>
        <w:rPr>
          <w:rStyle w:val="VerbatimChar"/>
          <w:sz w:val="20"/>
        </w:rPr>
        <w:t>rtl/math</w:t>
      </w:r>
      <w:r>
        <w:rPr>
          <w:sz w:val="20"/>
        </w:rPr>
        <w:t xml:space="preserve"> (adder, multiplier, FMA, comparator, min/max, ReLU, activations as growth). The ALU’s product definition — element model, function set, interface contract, verification doctrine, and the per-tetrad control interface — is the </w:t>
      </w:r>
      <w:hyperlink r:id="rId30">
        <w:r>
          <w:rPr>
            <w:rStyle w:val="Hyperlink"/>
            <w:rFonts w:ascii="Consolas" w:hAnsi="Consolas"/>
            <w:b/>
            <w:bCs/>
            <w:sz w:val="22"/>
            <w:sz w:val="22"/>
          </w:rPr>
          <w:t>alu-infer</w:t>
        </w:r>
        <w:r>
          <w:rPr>
            <w:rStyle w:val="Hyperlink"/>
            <w:b/>
            <w:bCs/>
          </w:rPr>
          <w:t xml:space="preserve"> PRD</w:t>
        </w:r>
      </w:hyperlink>
      <w:r>
        <w:rPr>
          <w:sz w:val="20"/>
        </w:rPr>
        <w:t>, which governs the ALU block; it is not restated here (one source per fact). MAC accumulates in fp32 with one rounding per result line at drain. Wider lines (§12) scale the lane count, never the element width.</w:t>
      </w:r>
    </w:p>
    <w:p>
      <w:pPr>
        <w:pStyle w:val="BodyText"/>
        <w:rPr/>
      </w:pPr>
      <w:r>
        <w:rPr>
          <w:b/>
          <w:bCs/>
          <w:sz w:val="20"/>
        </w:rPr>
        <w:t>Gatling sequences the cell ALU (owner ruling 2026-10-19):</w:t>
      </w:r>
      <w:r>
        <w:rPr>
          <w:sz w:val="20"/>
        </w:rPr>
        <w:t xml:space="preserve"> in the tetrad-integrated tile, gatling (the barrel-core tetrad engine) drives the cell’s alu-infer ALU through </w:t>
      </w:r>
      <w:r>
        <w:rPr>
          <w:rStyle w:val="VerbatimChar"/>
          <w:sz w:val="20"/>
        </w:rPr>
        <w:t>Xcell</w:t>
      </w:r>
      <w:r>
        <w:rPr>
          <w:sz w:val="20"/>
        </w:rPr>
        <w:t xml:space="preserve"> instructions: </w:t>
      </w:r>
      <w:r>
        <w:rPr>
          <w:rStyle w:val="VerbatimChar"/>
          <w:sz w:val="20"/>
        </w:rPr>
        <w:t>POP</w:t>
      </w:r>
      <w:r>
        <w:rPr>
          <w:sz w:val="20"/>
        </w:rPr>
        <w:t xml:space="preserve"> presents operand line(s) to the ALU issue handshake, </w:t>
      </w:r>
      <w:r>
        <w:rPr>
          <w:rStyle w:val="VerbatimChar"/>
          <w:sz w:val="20"/>
        </w:rPr>
        <w:t>PUSH</w:t>
      </w:r>
      <w:r>
        <w:rPr>
          <w:sz w:val="20"/>
        </w:rPr>
        <w:t xml:space="preserve"> retires result line(s) into the result memory, and </w:t>
      </w:r>
      <w:r>
        <w:rPr>
          <w:rStyle w:val="VerbatimChar"/>
          <w:sz w:val="20"/>
        </w:rPr>
        <w:t>FLUSH</w:t>
      </w:r>
      <w:r>
        <w:rPr>
          <w:sz w:val="20"/>
        </w:rPr>
        <w:t xml:space="preserve"> programs </w:t>
      </w:r>
      <w:r>
        <w:rPr>
          <w:rStyle w:val="VerbatimChar"/>
          <w:sz w:val="20"/>
        </w:rPr>
        <w:t>FLUSH_DEST</w:t>
      </w:r>
      <w:r>
        <w:rPr>
          <w:sz w:val="20"/>
        </w:rPr>
        <w:t>/</w:t>
      </w:r>
      <w:r>
        <w:rPr>
          <w:rStyle w:val="VerbatimChar"/>
          <w:sz w:val="20"/>
        </w:rPr>
        <w:t>FLUSH_TAG</w:t>
      </w:r>
      <w:r>
        <w:rPr>
          <w:sz w:val="20"/>
        </w:rPr>
        <w:t xml:space="preserve"> and triggers the drain. The slice-3 </w:t>
      </w:r>
      <w:r>
        <w:rPr>
          <w:rStyle w:val="VerbatimChar"/>
          <w:sz w:val="20"/>
        </w:rPr>
        <w:t>cell_exec_fsm</w:t>
      </w:r>
      <w:r>
        <w:rPr>
          <w:sz w:val="20"/>
        </w:rPr>
        <w:t xml:space="preserve"> remains the standalone bring-up driver with the same POP/issue → PUSH/retire client contract. Gatling never originates cell config traffic; cell programming stays in-band per the 2026-10-17 owner ruling. The </w:t>
      </w:r>
      <w:r>
        <w:rPr>
          <w:rStyle w:val="VerbatimChar"/>
          <w:sz w:val="20"/>
        </w:rPr>
        <w:t>Xcell</w:t>
      </w:r>
      <w:r>
        <w:rPr>
          <w:sz w:val="20"/>
        </w:rPr>
        <w:t xml:space="preserve"> encodings (</w:t>
      </w:r>
      <w:r>
        <w:rPr>
          <w:rStyle w:val="VerbatimChar"/>
          <w:sz w:val="20"/>
        </w:rPr>
        <w:t>CFG</w:t>
      </w:r>
      <w:r>
        <w:rPr>
          <w:sz w:val="20"/>
        </w:rPr>
        <w:t xml:space="preserve">, </w:t>
      </w:r>
      <w:r>
        <w:rPr>
          <w:rStyle w:val="VerbatimChar"/>
          <w:sz w:val="20"/>
        </w:rPr>
        <w:t>POP</w:t>
      </w:r>
      <w:r>
        <w:rPr>
          <w:sz w:val="20"/>
        </w:rPr>
        <w:t xml:space="preserve">, </w:t>
      </w:r>
      <w:r>
        <w:rPr>
          <w:rStyle w:val="VerbatimChar"/>
          <w:sz w:val="20"/>
        </w:rPr>
        <w:t>PUSH</w:t>
      </w:r>
      <w:r>
        <w:rPr>
          <w:sz w:val="20"/>
        </w:rPr>
        <w:t xml:space="preserve">, </w:t>
      </w:r>
      <w:r>
        <w:rPr>
          <w:rStyle w:val="VerbatimChar"/>
          <w:sz w:val="20"/>
        </w:rPr>
        <w:t>ECTX</w:t>
      </w:r>
      <w:r>
        <w:rPr>
          <w:sz w:val="20"/>
        </w:rPr>
        <w:t xml:space="preserve">, </w:t>
      </w:r>
      <w:r>
        <w:rPr>
          <w:rStyle w:val="VerbatimChar"/>
          <w:sz w:val="20"/>
        </w:rPr>
        <w:t>FLUSH</w:t>
      </w:r>
      <w:r>
        <w:rPr>
          <w:sz w:val="20"/>
        </w:rPr>
        <w:t xml:space="preserve">, </w:t>
      </w:r>
      <w:r>
        <w:rPr>
          <w:rStyle w:val="VerbatimChar"/>
          <w:sz w:val="20"/>
        </w:rPr>
        <w:t>KICK</w:t>
      </w:r>
      <w:r>
        <w:rPr>
          <w:sz w:val="20"/>
        </w:rPr>
        <w:t xml:space="preserve">, </w:t>
      </w:r>
      <w:r>
        <w:rPr>
          <w:rStyle w:val="VerbatimChar"/>
          <w:sz w:val="20"/>
        </w:rPr>
        <w:t>WAIT</w:t>
      </w:r>
      <w:r>
        <w:rPr>
          <w:sz w:val="20"/>
        </w:rPr>
        <w:t>) live in gatling PRD v0.2.</w:t>
      </w:r>
    </w:p>
    <w:p>
      <w:pPr>
        <w:pStyle w:val="BodyText"/>
        <w:rPr/>
      </w:pPr>
      <w:r>
        <w:rPr>
          <w:b/>
          <w:bCs/>
          <w:sz w:val="20"/>
        </w:rPr>
        <w:t>v1 function set:</w:t>
      </w:r>
      <w:r>
        <w:rPr>
          <w:sz w:val="20"/>
        </w:rPr>
        <w:t xml:space="preserve"> eight opcode rows (copy, add, sub, mul, mac, min/max, compare/threshold, relu) defined with their </w:t>
      </w:r>
      <w:r>
        <w:rPr>
          <w:rStyle w:val="VerbatimChar"/>
          <w:sz w:val="20"/>
        </w:rPr>
        <w:t>math_bf16_*</w:t>
      </w:r>
      <w:r>
        <w:rPr>
          <w:sz w:val="20"/>
        </w:rPr>
        <w:t xml:space="preserve"> implementation base in </w:t>
      </w:r>
      <w:hyperlink r:id="rId31">
        <w:r>
          <w:rPr>
            <w:rStyle w:val="Hyperlink"/>
          </w:rPr>
          <w:t>alu-infer PRD §3</w:t>
        </w:r>
      </w:hyperlink>
      <w:r>
        <w:rPr>
          <w:sz w:val="20"/>
        </w:rPr>
        <w:t>; not restated here. Opcode space reserves 5 bits; 8–31 are growth. Exact datapath widths and latency land in the MAS, consistent with the math area’s learning ethos (sophisticated low-latency techniques).</w:t>
      </w:r>
      <w:bookmarkEnd w:id="78"/>
      <w:r>
        <w:br w:type="page"/>
      </w:r>
    </w:p>
    <w:p>
      <w:pPr>
        <w:pStyle w:val="Heading2"/>
        <w:pBdr>
          <w:bottom w:val="single" w:sz="12" w:space="0" w:color="228B22"/>
        </w:pBdr>
        <w:spacing w:before="280" w:after="80"/>
        <w:rPr/>
      </w:pPr>
      <w:bookmarkStart w:id="79" w:name="__RefHeading___Toc12173_211582255"/>
      <w:bookmarkEnd w:id="79"/>
      <w:r>
        <w:rPr>
          <w:rStyle w:val="SectionNumber"/>
          <w:b/>
          <w:color w:val="228B22"/>
          <w:sz w:val="28"/>
        </w:rPr>
        <w:t>4.5</w:t>
      </w:r>
      <w:r>
        <w:rPr>
          <w:b/>
          <w:color w:val="228B22"/>
          <w:sz w:val="28"/>
        </w:rPr>
        <w:tab/>
        <w:t>5. Packet interface</w:t>
      </w:r>
    </w:p>
    <w:p>
      <w:pPr>
        <w:pStyle w:val="FirstParagraph"/>
        <w:rPr/>
      </w:pPr>
      <w:r>
        <w:rPr>
          <w:sz w:val="20"/>
        </w:rPr>
        <w:t>The cell consumes and produces the §11.5 header unchanged; §11.6 locates it per transport. Fields the cell uses directly: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Cell use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coordinate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demux match against </w:t>
            </w:r>
            <w:r>
              <w:rPr>
                <w:rStyle w:val="VerbatimChar"/>
                <w:rFonts w:eastAsia="Cambria" w:cs=""/>
                <w:kern w:val="0"/>
                <w:szCs w:val="24"/>
                <w:lang w:val="en-US" w:eastAsia="en-US" w:bidi="ar-SA"/>
              </w:rPr>
              <w:t>{level=0, own X/Y/Z}</w:t>
            </w:r>
            <w:r>
              <w:rPr>
                <w:rFonts w:eastAsia="Cambria" w:cs=""/>
                <w:kern w:val="0"/>
                <w:sz w:val="24"/>
                <w:szCs w:val="24"/>
                <w:lang w:val="en-US" w:eastAsia="en-US" w:bidi="ar-SA"/>
              </w:rPr>
              <w:t xml:space="preserve">; rapids-bound emits use </w:t>
            </w:r>
            <w:r>
              <w:rPr>
                <w:rStyle w:val="VerbatimChar"/>
                <w:rFonts w:eastAsia="Cambria" w:cs=""/>
                <w:kern w:val="0"/>
                <w:szCs w:val="24"/>
                <w:lang w:val="en-US" w:eastAsia="en-US" w:bidi="ar-SA"/>
              </w:rPr>
              <w:t>FLUSH_DEST</w:t>
            </w:r>
            <w:r>
              <w:rPr>
                <w:rFonts w:eastAsia="Cambria" w:cs=""/>
                <w:kern w:val="0"/>
                <w:sz w:val="24"/>
                <w:szCs w:val="24"/>
                <w:lang w:val="en-US" w:eastAsia="en-US" w:bidi="ar-SA"/>
              </w:rPr>
              <w:t xml:space="preserve"> (gatling-programmed). </w:t>
            </w:r>
            <w:r>
              <w:rPr>
                <w:rStyle w:val="VerbatimChar"/>
                <w:rFonts w:eastAsia="Cambria" w:cs=""/>
                <w:kern w:val="0"/>
                <w:szCs w:val="24"/>
                <w:lang w:val="en-US" w:eastAsia="en-US" w:bidi="ar-SA"/>
              </w:rPr>
              <w:t>DEST</w:t>
            </w:r>
            <w:r>
              <w:rPr>
                <w:rFonts w:eastAsia="Cambria" w:cs=""/>
                <w:kern w:val="0"/>
                <w:sz w:val="24"/>
                <w:szCs w:val="24"/>
                <w:lang w:val="en-US" w:eastAsia="en-US" w:bidi="ar-SA"/>
              </w:rPr>
              <w:t xml:space="preserve"> is reserved for the deferred cell→cell path (TILE_SPEC §10).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coordinate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tile header’s source field (the originator — TILE_SPEC v1.6 §11.5 note; not delta’s hop-source route header), recorded per arriving packet — credit-return destination and the deferred chain-back default for </w:t>
            </w:r>
            <w:r>
              <w:rPr>
                <w:rStyle w:val="VerbatimChar"/>
                <w:rFonts w:eastAsia="Cambria" w:cs=""/>
                <w:kern w:val="0"/>
                <w:szCs w:val="24"/>
                <w:lang w:val="en-US" w:eastAsia="en-US" w:bidi="ar-SA"/>
              </w:rPr>
              <w:t>DEST</w:t>
            </w:r>
            <w:r>
              <w:rPr>
                <w:rFonts w:eastAsia="Cambria" w:cs=""/>
                <w:kern w:val="0"/>
                <w:sz w:val="24"/>
                <w:szCs w:val="24"/>
                <w:lang w:val="en-US" w:eastAsia="en-US" w:bidi="ar-SA"/>
              </w:rPr>
              <w:t xml:space="preserve"> (rapids sends as </w:t>
            </w:r>
            <w:r>
              <w:rPr>
                <w:rStyle w:val="VerbatimChar"/>
                <w:rFonts w:eastAsia="Cambria" w:cs=""/>
                <w:kern w:val="0"/>
                <w:szCs w:val="24"/>
                <w:lang w:val="en-US" w:eastAsia="en-US" w:bidi="ar-SA"/>
              </w:rPr>
              <w:t>level</w:t>
            </w:r>
            <w:r>
              <w:rPr>
                <w:rFonts w:eastAsia="Cambria" w:cs=""/>
                <w:kern w:val="0"/>
                <w:sz w:val="24"/>
                <w:szCs w:val="24"/>
                <w:lang w:val="en-US" w:eastAsia="en-US" w:bidi="ar-SA"/>
              </w:rPr>
              <w:t xml:space="preserve"> 3, §11.3)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ptype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w:t>
            </w:r>
            <w:r>
              <w:rPr>
                <w:rFonts w:eastAsia="Cambria" w:cs=""/>
                <w:kern w:val="0"/>
                <w:sz w:val="24"/>
                <w:szCs w:val="24"/>
                <w:lang w:val="en-US" w:eastAsia="en-US" w:bidi="ar-SA"/>
              </w:rPr>
              <w:t xml:space="preserve"> → input memory; </w:t>
            </w:r>
            <w:r>
              <w:rPr>
                <w:rStyle w:val="VerbatimChar"/>
                <w:rFonts w:eastAsia="Cambria" w:cs=""/>
                <w:kern w:val="0"/>
                <w:szCs w:val="24"/>
                <w:lang w:val="en-US" w:eastAsia="en-US" w:bidi="ar-SA"/>
              </w:rPr>
              <w:t>cfg</w:t>
            </w:r>
            <w:r>
              <w:rPr>
                <w:rFonts w:eastAsia="Cambria" w:cs=""/>
                <w:kern w:val="0"/>
                <w:sz w:val="24"/>
                <w:szCs w:val="24"/>
                <w:lang w:val="en-US" w:eastAsia="en-US" w:bidi="ar-SA"/>
              </w:rPr>
              <w:t xml:space="preserve"> → registers; </w:t>
            </w:r>
            <w:r>
              <w:rPr>
                <w:rStyle w:val="VerbatimChar"/>
                <w:rFonts w:eastAsia="Cambria" w:cs=""/>
                <w:kern w:val="0"/>
                <w:szCs w:val="24"/>
                <w:lang w:val="en-US" w:eastAsia="en-US" w:bidi="ar-SA"/>
              </w:rPr>
              <w:t>credit</w:t>
            </w:r>
            <w:r>
              <w:rPr>
                <w:rFonts w:eastAsia="Cambria" w:cs=""/>
                <w:kern w:val="0"/>
                <w:sz w:val="24"/>
                <w:szCs w:val="24"/>
                <w:lang w:val="en-US" w:eastAsia="en-US" w:bidi="ar-SA"/>
              </w:rPr>
              <w:t xml:space="preserve"> → credit/grant handler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vs </w:t>
            </w:r>
            <w:r>
              <w:rPr>
                <w:rStyle w:val="VerbatimChar"/>
                <w:rFonts w:eastAsia="Cambria" w:cs=""/>
                <w:kern w:val="0"/>
                <w:szCs w:val="24"/>
                <w:lang w:val="en-US" w:eastAsia="en-US" w:bidi="ar-SA"/>
              </w:rPr>
              <w:t>cfg</w:t>
            </w:r>
            <w:r>
              <w:rPr>
                <w:rFonts w:eastAsia="Cambria" w:cs=""/>
                <w:kern w:val="0"/>
                <w:sz w:val="24"/>
                <w:szCs w:val="24"/>
                <w:lang w:val="en-US" w:eastAsia="en-US" w:bidi="ar-SA"/>
              </w:rPr>
              <w:t xml:space="preserve"> read; credit </w:t>
            </w:r>
            <w:r>
              <w:rPr>
                <w:rStyle w:val="VerbatimChar"/>
                <w:rFonts w:eastAsia="Cambria" w:cs=""/>
                <w:kern w:val="0"/>
                <w:szCs w:val="24"/>
                <w:lang w:val="en-US" w:eastAsia="en-US" w:bidi="ar-SA"/>
              </w:rPr>
              <w:t>add</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bytes / credit count / read size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address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input-memory line index or register offset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echoed on replies and result packets so rapids routes them to the right sink channel</w:t>
            </w:r>
            <w:bookmarkStart w:id="80" w:name="packet-interface"/>
            <w:bookmarkEnd w:id="80"/>
          </w:p>
        </w:tc>
      </w:tr>
    </w:tbl>
    <w:p>
      <w:pPr>
        <w:pStyle w:val="Heading2"/>
        <w:pBdr>
          <w:bottom w:val="single" w:sz="12" w:space="0" w:color="228B22"/>
        </w:pBdr>
        <w:spacing w:before="280" w:after="80"/>
        <w:rPr/>
      </w:pPr>
      <w:r>
        <w:br w:type="page"/>
      </w:r>
      <w:bookmarkStart w:id="81" w:name="__RefHeading___Toc12175_211582255"/>
      <w:bookmarkEnd w:id="81"/>
      <w:r>
        <w:rPr>
          <w:rStyle w:val="SectionNumber"/>
          <w:b/>
          <w:color w:val="228B22"/>
          <w:sz w:val="28"/>
        </w:rPr>
        <w:t>4.6</w:t>
      </w:r>
      <w:r>
        <w:rPr>
          <w:b/>
          <w:color w:val="228B22"/>
          <w:sz w:val="28"/>
        </w:rPr>
        <w:tab/>
        <w:t>6. Credit behavior</w:t>
      </w:r>
    </w:p>
    <w:p>
      <w:pPr>
        <w:pStyle w:val="Heading3"/>
        <w:spacing w:before="200" w:after="80"/>
        <w:rPr/>
      </w:pPr>
      <w:bookmarkStart w:id="82" w:name="__RefHeading___Toc12177_211582255"/>
      <w:bookmarkStart w:id="83" w:name="boot-advertisement"/>
      <w:bookmarkEnd w:id="82"/>
      <w:r>
        <w:rPr>
          <w:rStyle w:val="SectionNumber"/>
          <w:b/>
          <w:color w:val="404040"/>
          <w:sz w:val="24"/>
        </w:rPr>
        <w:t>4.6.1</w:t>
      </w:r>
      <w:r>
        <w:rPr>
          <w:b/>
          <w:color w:val="404040"/>
          <w:sz w:val="24"/>
        </w:rPr>
        <w:tab/>
        <w:t>6.1 Boot advertisement</w:t>
      </w:r>
    </w:p>
    <w:p>
      <w:pPr>
        <w:pStyle w:val="FirstParagraph"/>
        <w:rPr/>
      </w:pPr>
      <w:r>
        <w:rPr>
          <w:sz w:val="20"/>
        </w:rPr>
        <w:t xml:space="preserve">After reset the cell sends one </w:t>
      </w:r>
      <w:r>
        <w:rPr>
          <w:rStyle w:val="VerbatimChar"/>
          <w:sz w:val="20"/>
        </w:rPr>
        <w:t>set</w:t>
      </w:r>
      <w:r>
        <w:rPr>
          <w:sz w:val="20"/>
        </w:rPr>
        <w:t xml:space="preserve"> credit packet (</w:t>
      </w:r>
      <w:r>
        <w:rPr>
          <w:rStyle w:val="VerbatimChar"/>
          <w:sz w:val="20"/>
        </w:rPr>
        <w:t>op</w:t>
      </w:r>
      <w:r>
        <w:rPr>
          <w:sz w:val="20"/>
        </w:rPr>
        <w:t xml:space="preserve"> = 1) to </w:t>
      </w:r>
      <w:r>
        <w:rPr>
          <w:rStyle w:val="VerbatimChar"/>
          <w:sz w:val="20"/>
        </w:rPr>
        <w:t>level</w:t>
      </w:r>
      <w:r>
        <w:rPr>
          <w:sz w:val="20"/>
        </w:rPr>
        <w:t xml:space="preserve"> 3 carrying its input memory’s size </w:t>
      </w:r>
      <w:r>
        <w:rPr>
          <w:b/>
          <w:bCs/>
          <w:sz w:val="20"/>
        </w:rPr>
        <w:t>in flits</w:t>
      </w:r>
      <w:r>
        <w:rPr>
          <w:sz w:val="20"/>
        </w:rPr>
        <w:t>. Rapids’s per-destination counter for this cell starts at 0 and cannot send until the advertisement arrives — the advertisement is the cell’s “alive” (§11.10). The packet rides the credit VC and needs no grant.</w:t>
      </w:r>
      <w:bookmarkEnd w:id="83"/>
    </w:p>
    <w:p>
      <w:pPr>
        <w:pStyle w:val="Heading3"/>
        <w:spacing w:before="200" w:after="80"/>
        <w:rPr/>
      </w:pPr>
      <w:bookmarkStart w:id="84" w:name="__RefHeading___Toc12179_211582255"/>
      <w:bookmarkStart w:id="85" w:name="consumed-line-credit-returns"/>
      <w:bookmarkEnd w:id="84"/>
      <w:r>
        <w:rPr>
          <w:rStyle w:val="SectionNumber"/>
          <w:b/>
          <w:color w:val="404040"/>
          <w:sz w:val="24"/>
        </w:rPr>
        <w:t>4.6.2</w:t>
      </w:r>
      <w:r>
        <w:rPr>
          <w:b/>
          <w:color w:val="404040"/>
          <w:sz w:val="24"/>
        </w:rPr>
        <w:tab/>
        <w:t>6.2 Consumed-line credit returns</w:t>
      </w:r>
    </w:p>
    <w:p>
      <w:pPr>
        <w:pStyle w:val="Compact"/>
        <w:numPr>
          <w:ilvl w:val="0"/>
          <w:numId w:val="151"/>
        </w:numPr>
        <w:rPr/>
      </w:pPr>
      <w:r>
        <w:rPr/>
        <w:t xml:space="preserve">Each input line consumed by the FSM owes </w:t>
      </w:r>
      <w:r>
        <w:rPr>
          <w:b/>
          <w:bCs/>
        </w:rPr>
        <w:t>its sender</w:t>
      </w:r>
      <w:r>
        <w:rPr/>
        <w:t xml:space="preserve"> one credit return. The sender is the source coordinate recorded when the demux wrote the line (every input-memory line carries a source tag). Rapids (</w:t>
      </w:r>
      <w:r>
        <w:rPr>
          <w:rStyle w:val="VerbatimChar"/>
        </w:rPr>
        <w:t>level</w:t>
      </w:r>
      <w:r>
        <w:rPr/>
        <w:t xml:space="preserve"> 3) is the sender in the v1 flow, but the return is sender-generic per §11.9 — a credit return goes to the source coordinate of the packet whose flits it frees, so a cell that streamed into this cell’s input memory receives the credits.</w:t>
      </w:r>
    </w:p>
    <w:p>
      <w:pPr>
        <w:pStyle w:val="Compact"/>
        <w:numPr>
          <w:ilvl w:val="0"/>
          <w:numId w:val="152"/>
        </w:numPr>
        <w:rPr/>
      </w:pPr>
      <w:r>
        <w:rPr/>
        <w:t xml:space="preserve">Returns are </w:t>
      </w:r>
      <w:r>
        <w:rPr>
          <w:rStyle w:val="VerbatimChar"/>
        </w:rPr>
        <w:t>add</w:t>
      </w:r>
      <w:r>
        <w:rPr/>
        <w:t xml:space="preserve"> credit packets addressed to the recorded source coordinate, per §11.9(4): routed like any packet by destination coordinate; the sink port accepts them unconditionally and never stores them. They ride the credit VC and need no grant.</w:t>
      </w:r>
    </w:p>
    <w:p>
      <w:pPr>
        <w:pStyle w:val="Compact"/>
        <w:numPr>
          <w:ilvl w:val="0"/>
          <w:numId w:val="153"/>
        </w:numPr>
        <w:rPr/>
      </w:pPr>
      <w:r>
        <w:rPr>
          <w:b/>
          <w:bCs/>
        </w:rPr>
        <w:t>Batching (owner decision 2026-10-16, extended sender-generic 2026-10-18):</w:t>
      </w:r>
      <w:r>
        <w:rPr/>
        <w:t xml:space="preserve"> the credit logic keeps a per-source owed count and sends one credit packet per N consumed lines </w:t>
      </w:r>
      <w:r>
        <w:rPr>
          <w:b/>
          <w:bCs/>
        </w:rPr>
        <w:t>per source</w:t>
      </w:r>
      <w:r>
        <w:rPr/>
        <w:t xml:space="preserve">, with a timeout so a partial batch drains. </w:t>
      </w:r>
      <w:r>
        <w:rPr>
          <w:b/>
          <w:bCs/>
        </w:rPr>
        <w:t>N = 1 is the default and the exact per-line behavior.</w:t>
      </w:r>
      <w:r>
        <w:rPr/>
        <w:t xml:space="preserve"> N &gt; 1 trades return latency for less credit-packet traffic on the fabric.</w:t>
      </w:r>
      <w:bookmarkEnd w:id="85"/>
    </w:p>
    <w:p>
      <w:pPr>
        <w:pStyle w:val="Heading3"/>
        <w:spacing w:before="200" w:after="80"/>
        <w:rPr/>
      </w:pPr>
      <w:bookmarkStart w:id="86" w:name="__RefHeading___Toc12181_211582255"/>
      <w:bookmarkStart w:id="87" w:name="straps-on-the-result-path"/>
      <w:bookmarkEnd w:id="86"/>
      <w:r>
        <w:rPr>
          <w:rStyle w:val="SectionNumber"/>
          <w:b/>
          <w:color w:val="404040"/>
          <w:sz w:val="24"/>
        </w:rPr>
        <w:t>4.6.3</w:t>
      </w:r>
      <w:r>
        <w:rPr>
          <w:b/>
          <w:color w:val="404040"/>
          <w:sz w:val="24"/>
        </w:rPr>
        <w:tab/>
        <w:t>6.3 Straps on the result path</w:t>
      </w:r>
    </w:p>
    <w:p>
      <w:pPr>
        <w:pStyle w:val="FirstParagraph"/>
        <w:rPr/>
      </w:pPr>
      <w:r>
        <w:rPr>
          <w:sz w:val="20"/>
        </w:rPr>
        <w:t xml:space="preserve">The result path adopts §11.9’s strap mechanism (owner direction 2026-10-18: credits toward RAPIDS are </w:t>
      </w:r>
      <w:r>
        <w:rPr>
          <w:b/>
          <w:bCs/>
          <w:sz w:val="20"/>
        </w:rPr>
        <w:t>straps, not grants</w:t>
      </w:r>
      <w:r>
        <w:rPr>
          <w:sz w:val="20"/>
        </w:rPr>
        <w:t>):</w:t>
      </w:r>
    </w:p>
    <w:p>
      <w:pPr>
        <w:pStyle w:val="Compact"/>
        <w:numPr>
          <w:ilvl w:val="0"/>
          <w:numId w:val="154"/>
        </w:numPr>
        <w:rPr/>
      </w:pPr>
      <w:r>
        <w:rPr/>
        <w:t xml:space="preserve">Toward RAPIDS the cell keeps no grant protocol. Space in RAPIDS’s sink is fixed by construction: a per-cell strap of </w:t>
      </w:r>
      <w:r>
        <w:rPr>
          <w:rStyle w:val="VerbatimChar"/>
        </w:rPr>
        <w:t>TILE_LAND_FLITS</w:t>
      </w:r>
      <w:r>
        <w:rPr/>
        <w:t xml:space="preserve"> flits (a Hive-set parameter passed to RAPIDS, default 16 — TILE_SPEC §11.9 Hive contract), reserved at configuration.</w:t>
      </w:r>
    </w:p>
    <w:p>
      <w:pPr>
        <w:pStyle w:val="Compact"/>
        <w:numPr>
          <w:ilvl w:val="0"/>
          <w:numId w:val="155"/>
        </w:numPr>
        <w:rPr/>
      </w:pPr>
      <w:r>
        <w:rPr/>
        <w:t xml:space="preserve">The packetizer sends a result packet only while its strap counter covers the whole packet, header included, and spends the counter as it sends. RAPIDS returns </w:t>
      </w:r>
      <w:r>
        <w:rPr>
          <w:rStyle w:val="VerbatimChar"/>
        </w:rPr>
        <w:t>credit</w:t>
      </w:r>
      <w:r>
        <w:rPr/>
        <w:t>/</w:t>
      </w:r>
      <w:r>
        <w:rPr>
          <w:rStyle w:val="VerbatimChar"/>
        </w:rPr>
        <w:t>add</w:t>
      </w:r>
      <w:r>
        <w:rPr/>
        <w:t xml:space="preserve"> as it drains the cell’s landing space, restoring the counter.</w:t>
      </w:r>
    </w:p>
    <w:p>
      <w:pPr>
        <w:pStyle w:val="Compact"/>
        <w:numPr>
          <w:ilvl w:val="0"/>
          <w:numId w:val="156"/>
        </w:numPr>
        <w:rPr/>
      </w:pPr>
      <w:r>
        <w:rPr/>
        <w:t>Resync/re-baselining of the strap state follows RAPIDS’s advertisement/resync rules (TILE_SPEC §11.10); exact timing is a tile §10 open item.</w:t>
      </w:r>
    </w:p>
    <w:p>
      <w:pPr>
        <w:pStyle w:val="Compact"/>
        <w:numPr>
          <w:ilvl w:val="0"/>
          <w:numId w:val="157"/>
        </w:numPr>
        <w:rPr/>
      </w:pPr>
      <w:r>
        <w:rPr/>
        <w:t>The cell never asks for result space — no ask path; the strap is the contract.</w:t>
      </w:r>
    </w:p>
    <w:p>
      <w:pPr>
        <w:pStyle w:val="FirstParagraph"/>
        <w:rPr/>
      </w:pPr>
      <w:r>
        <w:rPr>
          <w:b/>
          <w:bCs/>
          <w:sz w:val="20"/>
        </w:rPr>
        <w:t>Result destination (owner direction 2026-10-18, TILE_SPEC §11.14):</w:t>
      </w:r>
      <w:r>
        <w:rPr>
          <w:sz w:val="20"/>
        </w:rPr>
        <w:t xml:space="preserve"> gatling hands the cell the drain destination. Result flushes go to </w:t>
      </w:r>
      <w:r>
        <w:rPr>
          <w:rStyle w:val="VerbatimChar"/>
          <w:sz w:val="20"/>
        </w:rPr>
        <w:t>{ext 0, level 3}</w:t>
      </w:r>
      <w:r>
        <w:rPr>
          <w:sz w:val="20"/>
        </w:rPr>
        <w:t xml:space="preserve"> (the tile I/O), source = this cell’s external ID, tag = the sink channel gatling programmed. </w:t>
      </w:r>
      <w:r>
        <w:rPr>
          <w:b/>
          <w:bCs/>
          <w:sz w:val="20"/>
        </w:rPr>
        <w:t>The cell does not choose the destination.</w:t>
      </w:r>
    </w:p>
    <w:p>
      <w:pPr>
        <w:pStyle w:val="Compact"/>
        <w:numPr>
          <w:ilvl w:val="0"/>
          <w:numId w:val="158"/>
        </w:numPr>
        <w:rPr/>
      </w:pPr>
      <w:r>
        <w:rPr>
          <w:b/>
          <w:bCs/>
        </w:rPr>
        <w:t>Operational drain:</w:t>
      </w:r>
      <w:r>
        <w:rPr/>
        <w:t xml:space="preserve"> </w:t>
      </w:r>
      <w:r>
        <w:rPr>
          <w:rStyle w:val="VerbatimChar"/>
        </w:rPr>
        <w:t>FLUSH_DEST</w:t>
      </w:r>
      <w:r>
        <w:rPr/>
        <w:t xml:space="preserve"> (coordinate) and </w:t>
      </w:r>
      <w:r>
        <w:rPr>
          <w:rStyle w:val="VerbatimChar"/>
        </w:rPr>
        <w:t>FLUSH_TAG</w:t>
      </w:r>
      <w:r>
        <w:rPr/>
        <w:t xml:space="preserve"> (sink channel) are programmed by gatling and used by the packetizer when </w:t>
      </w:r>
      <w:r>
        <w:rPr>
          <w:rStyle w:val="VerbatimChar"/>
        </w:rPr>
        <w:t>CTRL.flush-and-send</w:t>
      </w:r>
      <w:r>
        <w:rPr/>
        <w:t xml:space="preserve"> fires.</w:t>
      </w:r>
    </w:p>
    <w:p>
      <w:pPr>
        <w:pStyle w:val="Compact"/>
        <w:numPr>
          <w:ilvl w:val="0"/>
          <w:numId w:val="159"/>
        </w:numPr>
        <w:rPr/>
      </w:pPr>
      <w:r>
        <w:rPr>
          <w:b/>
          <w:bCs/>
        </w:rPr>
        <w:t>Reserved/deferred:</w:t>
      </w:r>
      <w:r>
        <w:rPr/>
        <w:t xml:space="preserve"> the legacy </w:t>
      </w:r>
      <w:r>
        <w:rPr>
          <w:rStyle w:val="VerbatimChar"/>
        </w:rPr>
        <w:t>DEST</w:t>
      </w:r>
      <w:r>
        <w:rPr/>
        <w:t xml:space="preserve"> register (offset </w:t>
      </w:r>
      <w:r>
        <w:rPr>
          <w:rStyle w:val="VerbatimChar"/>
        </w:rPr>
        <w:t>0x38</w:t>
      </w:r>
      <w:r>
        <w:rPr/>
        <w:t xml:space="preserve">) is retained only for the future cell→cell result path. It is </w:t>
      </w:r>
      <w:r>
        <w:rPr>
          <w:b/>
          <w:bCs/>
        </w:rPr>
        <w:t>not</w:t>
      </w:r>
      <w:r>
        <w:rPr/>
        <w:t xml:space="preserve"> used for rapids-bound drains. </w:t>
      </w:r>
      <w:r>
        <w:rPr>
          <w:rStyle w:val="VerbatimChar"/>
        </w:rPr>
        <w:t>DEST</w:t>
      </w:r>
      <w:r>
        <w:rPr/>
        <w:t xml:space="preserve"> becomes operational only after the tile-spec cell→cell credit/grant extension lands (TILE_SPEC §10); until then, v1 result traffic is RAPIDS-bound and </w:t>
      </w:r>
      <w:r>
        <w:rPr>
          <w:rStyle w:val="VerbatimChar"/>
        </w:rPr>
        <w:t>FLUSH_DEST</w:t>
      </w:r>
      <w:r>
        <w:rPr/>
        <w:t>/</w:t>
      </w:r>
      <w:r>
        <w:rPr>
          <w:rStyle w:val="VerbatimChar"/>
        </w:rPr>
        <w:t>FLUSH_TAG</w:t>
      </w:r>
      <w:r>
        <w:rPr/>
        <w:t xml:space="preserve"> take precedence.</w:t>
      </w:r>
      <w:bookmarkEnd w:id="87"/>
      <w:r>
        <w:br w:type="page"/>
      </w:r>
    </w:p>
    <w:p>
      <w:pPr>
        <w:pStyle w:val="Heading2"/>
        <w:pBdr>
          <w:bottom w:val="single" w:sz="12" w:space="0" w:color="228B22"/>
        </w:pBdr>
        <w:spacing w:before="280" w:after="80"/>
        <w:rPr/>
      </w:pPr>
      <w:bookmarkStart w:id="88" w:name="__RefHeading___Toc12183_211582255"/>
      <w:bookmarkStart w:id="89" w:name="config-registers"/>
      <w:bookmarkEnd w:id="88"/>
      <w:r>
        <w:rPr>
          <w:rStyle w:val="SectionNumber"/>
          <w:b/>
          <w:color w:val="228B22"/>
          <w:sz w:val="28"/>
        </w:rPr>
        <w:t>4.7</w:t>
      </w:r>
      <w:r>
        <w:rPr>
          <w:b/>
          <w:color w:val="228B22"/>
          <w:sz w:val="28"/>
        </w:rPr>
        <w:tab/>
        <w:t>7. Config registers</w:t>
      </w:r>
    </w:p>
    <w:p>
      <w:pPr>
        <w:pStyle w:val="FirstParagraph"/>
        <w:rPr/>
      </w:pPr>
      <w:r>
        <w:rPr>
          <w:sz w:val="20"/>
        </w:rPr>
        <w:t xml:space="preserve">AXI4-Lite, registers-only (house rule); routing/mode config travels in-band as </w:t>
      </w:r>
      <w:r>
        <w:rPr>
          <w:rStyle w:val="VerbatimChar"/>
          <w:sz w:val="20"/>
        </w:rPr>
        <w:t>cfg</w:t>
      </w:r>
      <w:r>
        <w:rPr>
          <w:sz w:val="20"/>
        </w:rPr>
        <w:t xml:space="preserve"> packets per the standing owner decisions — every register below is writable both from AXIL and from the </w:t>
      </w:r>
      <w:r>
        <w:rPr>
          <w:rStyle w:val="VerbatimChar"/>
          <w:sz w:val="20"/>
        </w:rPr>
        <w:t>cfg</w:t>
      </w:r>
      <w:r>
        <w:rPr>
          <w:sz w:val="20"/>
        </w:rPr>
        <w:t xml:space="preserve"> stream, and readable over AXIL for debug. v1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soft reset (also clears </w:t>
            </w:r>
            <w:r>
              <w:rPr>
                <w:rStyle w:val="VerbatimChar"/>
                <w:rFonts w:eastAsia="Cambria" w:cs=""/>
                <w:kern w:val="0"/>
                <w:szCs w:val="24"/>
                <w:lang w:val="en-US" w:eastAsia="en-US" w:bidi="ar-SA"/>
              </w:rPr>
              <w:t>IP</w:t>
            </w:r>
            <w:r>
              <w:rPr>
                <w:rFonts w:eastAsia="Cambria" w:cs=""/>
                <w:kern w:val="0"/>
                <w:sz w:val="24"/>
                <w:szCs w:val="24"/>
                <w:lang w:val="en-US" w:eastAsia="en-US" w:bidi="ar-SA"/>
              </w:rPr>
              <w:t>/</w:t>
            </w:r>
            <w:r>
              <w:rPr>
                <w:rStyle w:val="VerbatimChar"/>
                <w:rFonts w:eastAsia="Cambria" w:cs=""/>
                <w:kern w:val="0"/>
                <w:szCs w:val="24"/>
                <w:lang w:val="en-US" w:eastAsia="en-US" w:bidi="ar-SA"/>
              </w:rPr>
              <w:t>OP</w:t>
            </w:r>
            <w:r>
              <w:rPr>
                <w:rFonts w:eastAsia="Cambria" w:cs=""/>
                <w:kern w:val="0"/>
                <w:sz w:val="24"/>
                <w:szCs w:val="24"/>
                <w:lang w:val="en-US" w:eastAsia="en-US" w:bidi="ar-SA"/>
              </w:rPr>
              <w:t>), flush-and-send (packetizer)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busy, input-empty, result-nonempty, strap counter nonzero (slice-1 RTL alias </w:t>
            </w:r>
            <w:r>
              <w:rPr>
                <w:rStyle w:val="VerbatimChar"/>
                <w:rFonts w:eastAsia="Cambria" w:cs=""/>
                <w:kern w:val="0"/>
                <w:szCs w:val="24"/>
                <w:lang w:val="en-US" w:eastAsia="en-US" w:bidi="ar-SA"/>
              </w:rPr>
              <w:t>status_grant_nonzero</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FUNC_SEL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(5b) + sub-op (2b) + reserved (2b) — element width is reserved under the bf16 model (alu-infer PRD §3)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OP_LINES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lines per function invocation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EMIT_BATCH_X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flits per result packet (packetizer)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CREDIT_BATCH_N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lines per credit packet </w:t>
            </w:r>
            <w:r>
              <w:rPr>
                <w:rFonts w:eastAsia="Cambria" w:cs=""/>
                <w:b/>
                <w:bCs/>
                <w:kern w:val="0"/>
                <w:sz w:val="24"/>
                <w:szCs w:val="24"/>
                <w:lang w:val="en-US" w:eastAsia="en-US" w:bidi="ar-SA"/>
              </w:rPr>
              <w:t>per source</w:t>
            </w:r>
            <w:r>
              <w:rPr>
                <w:rFonts w:eastAsia="Cambria" w:cs=""/>
                <w:kern w:val="0"/>
                <w:sz w:val="24"/>
                <w:szCs w:val="24"/>
                <w:lang w:val="en-US" w:eastAsia="en-US" w:bidi="ar-SA"/>
              </w:rPr>
              <w:t>, default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done, error, strap-starved (slice-1 RTL alias </w:t>
            </w:r>
            <w:r>
              <w:rPr>
                <w:rStyle w:val="VerbatimChar"/>
                <w:rFonts w:eastAsia="Cambria" w:cs=""/>
                <w:kern w:val="0"/>
                <w:szCs w:val="24"/>
                <w:lang w:val="en-US" w:eastAsia="en-US" w:bidi="ar-SA"/>
              </w:rPr>
              <w:t>IRQ_GRANT_STARVED_BIT</w:t>
            </w:r>
            <w:r>
              <w:rPr>
                <w:rFonts w:eastAsia="Cambria" w:cs=""/>
                <w:kern w:val="0"/>
                <w:sz w:val="24"/>
                <w:szCs w:val="24"/>
                <w:lang w:val="en-US" w:eastAsia="en-US" w:bidi="ar-SA"/>
              </w:rPr>
              <w:t>), credit-timeout enables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write-1-clear 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persistent operand register A — 32b (2×bf16 lanes); feeds </w:t>
            </w:r>
            <w:r>
              <w:rPr>
                <w:rStyle w:val="VerbatimChar"/>
                <w:rFonts w:eastAsia="Cambria" w:cs=""/>
                <w:kern w:val="0"/>
                <w:szCs w:val="24"/>
                <w:lang w:val="en-US" w:eastAsia="en-US" w:bidi="ar-SA"/>
              </w:rPr>
              <w:t>op_line_a/b</w:t>
            </w:r>
            <w:r>
              <w:rPr>
                <w:rFonts w:eastAsia="Cambria" w:cs=""/>
                <w:kern w:val="0"/>
                <w:sz w:val="24"/>
                <w:szCs w:val="24"/>
                <w:lang w:val="en-US" w:eastAsia="en-US" w:bidi="ar-SA"/>
              </w:rPr>
              <w:t xml:space="preserve"> per </w:t>
            </w:r>
            <w:r>
              <w:rPr>
                <w:rStyle w:val="VerbatimChar"/>
                <w:rFonts w:eastAsia="Cambria" w:cs=""/>
                <w:kern w:val="0"/>
                <w:szCs w:val="24"/>
                <w:lang w:val="en-US" w:eastAsia="en-US" w:bidi="ar-SA"/>
              </w:rPr>
              <w:t>OP_SRC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persistent operand register 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persistent operand register 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persistent operand register 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threshold immediate backing register (opcode 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OP_SRC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operand-source mux: </w:t>
            </w:r>
            <w:r>
              <w:rPr>
                <w:rStyle w:val="VerbatimChar"/>
                <w:rFonts w:eastAsia="Cambria" w:cs=""/>
                <w:kern w:val="0"/>
                <w:szCs w:val="24"/>
                <w:lang w:val="en-US" w:eastAsia="en-US" w:bidi="ar-SA"/>
              </w:rPr>
              <w:t>sel_a[2:0]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sel_b[2:0]</w:t>
            </w:r>
            <w:r>
              <w:rPr>
                <w:rFonts w:eastAsia="Cambria" w:cs=""/>
                <w:kern w:val="0"/>
                <w:sz w:val="24"/>
                <w:szCs w:val="24"/>
                <w:lang w:val="en-US" w:eastAsia="en-US" w:bidi="ar-SA"/>
              </w:rPr>
              <w:t xml:space="preserve"> — 0 = input memory (pop), 1 = A, 2 = B, 3 = C, 4 = D; reset 0 (both operands from memory)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reserved for the deferred cell→cell path (2026-10-18/19 ruling)</w:t>
            </w:r>
            <w:r>
              <w:rPr>
                <w:rFonts w:eastAsia="Cambria" w:cs=""/>
                <w:kern w:val="0"/>
                <w:sz w:val="24"/>
                <w:szCs w:val="24"/>
                <w:lang w:val="en-US" w:eastAsia="en-US" w:bidi="ar-SA"/>
              </w:rPr>
              <w:t xml:space="preserve"> — the rapids-bound drain destination is gatling-programmed into </w:t>
            </w:r>
            <w:r>
              <w:rPr>
                <w:rStyle w:val="VerbatimChar"/>
                <w:rFonts w:eastAsia="Cambria" w:cs=""/>
                <w:kern w:val="0"/>
                <w:szCs w:val="24"/>
                <w:lang w:val="en-US" w:eastAsia="en-US" w:bidi="ar-SA"/>
              </w:rPr>
              <w:t>FLUSH_DEST</w:t>
            </w:r>
            <w:r>
              <w:rPr>
                <w:rFonts w:eastAsia="Cambria" w:cs=""/>
                <w:kern w:val="0"/>
                <w:sz w:val="24"/>
                <w:szCs w:val="24"/>
                <w:lang w:val="en-US" w:eastAsia="en-US" w:bidi="ar-SA"/>
              </w:rPr>
              <w:t>/</w:t>
            </w:r>
            <w:r>
              <w:rPr>
                <w:rStyle w:val="VerbatimChar"/>
                <w:rFonts w:eastAsia="Cambria" w:cs=""/>
                <w:kern w:val="0"/>
                <w:szCs w:val="24"/>
                <w:lang w:val="en-US" w:eastAsia="en-US" w:bidi="ar-SA"/>
              </w:rPr>
              <w:t>FLUSH_TAG</w:t>
            </w:r>
            <w:r>
              <w:rPr>
                <w:rFonts w:eastAsia="Cambria" w:cs=""/>
                <w:kern w:val="0"/>
                <w:sz w:val="24"/>
                <w:szCs w:val="24"/>
                <w:lang w:val="en-US" w:eastAsia="en-US" w:bidi="ar-SA"/>
              </w:rPr>
              <w:t xml:space="preserve">; the cell does not choose it. </w:t>
            </w:r>
            <w:r>
              <w:rPr>
                <w:rStyle w:val="VerbatimChar"/>
                <w:rFonts w:eastAsia="Cambria" w:cs=""/>
                <w:kern w:val="0"/>
                <w:szCs w:val="24"/>
                <w:lang w:val="en-US" w:eastAsia="en-US" w:bidi="ar-SA"/>
              </w:rPr>
              <w:t>DEST</w:t>
            </w:r>
            <w:r>
              <w:rPr>
                <w:rFonts w:eastAsia="Cambria" w:cs=""/>
                <w:kern w:val="0"/>
                <w:sz w:val="24"/>
                <w:szCs w:val="24"/>
                <w:lang w:val="en-US" w:eastAsia="en-US" w:bidi="ar-SA"/>
              </w:rPr>
              <w:t xml:space="preserve"> is retained (bits [13:0] = §11.3 coordinate at </w:t>
            </w:r>
            <w:r>
              <w:rPr>
                <w:rStyle w:val="VerbatimChar"/>
                <w:rFonts w:eastAsia="Cambria" w:cs=""/>
                <w:kern w:val="0"/>
                <w:szCs w:val="24"/>
                <w:lang w:val="en-US" w:eastAsia="en-US" w:bidi="ar-SA"/>
              </w:rPr>
              <w:t>COORD_W</w:t>
            </w:r>
            <w:r>
              <w:rPr>
                <w:rFonts w:eastAsia="Cambria" w:cs=""/>
                <w:kern w:val="0"/>
                <w:sz w:val="24"/>
                <w:szCs w:val="24"/>
                <w:lang w:val="en-US" w:eastAsia="en-US" w:bidi="ar-SA"/>
              </w:rPr>
              <w:t xml:space="preserve"> = 4; bit [16] = override) but is </w:t>
            </w:r>
            <w:r>
              <w:rPr>
                <w:rFonts w:eastAsia="Cambria" w:cs=""/>
                <w:b/>
                <w:bCs/>
                <w:kern w:val="0"/>
                <w:sz w:val="24"/>
                <w:szCs w:val="24"/>
                <w:lang w:val="en-US" w:eastAsia="en-US" w:bidi="ar-SA"/>
              </w:rPr>
              <w:t>not</w:t>
            </w:r>
            <w:r>
              <w:rPr>
                <w:rFonts w:eastAsia="Cambria" w:cs=""/>
                <w:kern w:val="0"/>
                <w:sz w:val="24"/>
                <w:szCs w:val="24"/>
                <w:lang w:val="en-US" w:eastAsia="en-US" w:bidi="ar-SA"/>
              </w:rPr>
              <w:t xml:space="preserve"> used until the tile-spec cell→cell credit/grant extension lands (TILE_SPEC §10).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input-memory read pointer — auto-increments on pop, wraps at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result-memory write pointer — auto-increments on push, wraps at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lines in, lines out, credits returned, packets sent (§8)</w:t>
            </w:r>
          </w:p>
        </w:tc>
      </w:tr>
    </w:tbl>
    <w:p>
      <w:pPr>
        <w:pStyle w:val="BodyText"/>
        <w:rPr/>
      </w:pPr>
      <w:r>
        <w:rPr>
          <w:sz w:val="20"/>
        </w:rPr>
        <w:t xml:space="preserve">The </w:t>
      </w:r>
      <w:r>
        <w:rPr>
          <w:rStyle w:val="VerbatimChar"/>
          <w:sz w:val="20"/>
        </w:rPr>
        <w:t>A</w:t>
      </w:r>
      <w:r>
        <w:rPr>
          <w:sz w:val="20"/>
        </w:rPr>
        <w:t>–</w:t>
      </w:r>
      <w:r>
        <w:rPr>
          <w:rStyle w:val="VerbatimChar"/>
          <w:sz w:val="20"/>
        </w:rPr>
        <w:t>D</w:t>
      </w:r>
      <w:r>
        <w:rPr>
          <w:sz w:val="20"/>
        </w:rPr>
        <w:t>/</w:t>
      </w:r>
      <w:r>
        <w:rPr>
          <w:rStyle w:val="VerbatimChar"/>
          <w:sz w:val="20"/>
        </w:rPr>
        <w:t>T</w:t>
      </w:r>
      <w:r>
        <w:rPr>
          <w:sz w:val="20"/>
        </w:rPr>
        <w:t xml:space="preserve"> window is written by </w:t>
      </w:r>
      <w:r>
        <w:rPr>
          <w:rStyle w:val="VerbatimChar"/>
          <w:sz w:val="20"/>
        </w:rPr>
        <w:t>cfg</w:t>
      </w:r>
      <w:r>
        <w:rPr>
          <w:sz w:val="20"/>
        </w:rPr>
        <w:t xml:space="preserve"> packets like any other register (§3); loading </w:t>
      </w:r>
      <w:r>
        <w:rPr>
          <w:rStyle w:val="VerbatimChar"/>
          <w:sz w:val="20"/>
        </w:rPr>
        <w:t>A</w:t>
      </w:r>
      <w:r>
        <w:rPr>
          <w:sz w:val="20"/>
        </w:rPr>
        <w:t>–</w:t>
      </w:r>
      <w:r>
        <w:rPr>
          <w:rStyle w:val="VerbatimChar"/>
          <w:sz w:val="20"/>
        </w:rPr>
        <w:t>D</w:t>
      </w:r>
      <w:r>
        <w:rPr>
          <w:sz w:val="20"/>
        </w:rPr>
        <w:t xml:space="preserve"> </w:t>
      </w:r>
      <w:r>
        <w:rPr>
          <w:i/>
          <w:iCs/>
          <w:sz w:val="20"/>
        </w:rPr>
        <w:t>from</w:t>
      </w:r>
      <w:r>
        <w:rPr>
          <w:sz w:val="20"/>
        </w:rPr>
        <w:t xml:space="preserve"> the input memory is deferred (§11).</w:t>
      </w:r>
      <w:bookmarkEnd w:id="89"/>
      <w:r>
        <w:br w:type="page"/>
      </w:r>
    </w:p>
    <w:p>
      <w:pPr>
        <w:pStyle w:val="Heading2"/>
        <w:pBdr>
          <w:bottom w:val="single" w:sz="12" w:space="0" w:color="228B22"/>
        </w:pBdr>
        <w:spacing w:before="280" w:after="80"/>
        <w:rPr/>
      </w:pPr>
      <w:bookmarkStart w:id="90" w:name="__RefHeading___Toc12185_211582255"/>
      <w:bookmarkStart w:id="91" w:name="status-and-observability"/>
      <w:bookmarkEnd w:id="90"/>
      <w:r>
        <w:rPr>
          <w:rStyle w:val="SectionNumber"/>
          <w:b/>
          <w:color w:val="228B22"/>
          <w:sz w:val="28"/>
        </w:rPr>
        <w:t>4.8</w:t>
      </w:r>
      <w:r>
        <w:rPr>
          <w:b/>
          <w:color w:val="228B22"/>
          <w:sz w:val="28"/>
        </w:rPr>
        <w:tab/>
        <w:t>8. Status and observability</w:t>
      </w:r>
    </w:p>
    <w:p>
      <w:pPr>
        <w:pStyle w:val="Compact"/>
        <w:numPr>
          <w:ilvl w:val="0"/>
          <w:numId w:val="160"/>
        </w:numPr>
        <w:rPr/>
      </w:pPr>
      <w:r>
        <w:rPr/>
        <w:t>IRQs: computation done, error, strap-starved (a packetizer with data and no strap, time-limited), credit-timeout.</w:t>
      </w:r>
    </w:p>
    <w:p>
      <w:pPr>
        <w:pStyle w:val="Compact"/>
        <w:numPr>
          <w:ilvl w:val="0"/>
          <w:numId w:val="161"/>
        </w:numPr>
        <w:rPr/>
      </w:pPr>
      <w:r>
        <w:rPr/>
        <w:t>Software counters per §7.</w:t>
      </w:r>
    </w:p>
    <w:p>
      <w:pPr>
        <w:pStyle w:val="Compact"/>
        <w:numPr>
          <w:ilvl w:val="0"/>
          <w:numId w:val="162"/>
        </w:numPr>
        <w:rPr/>
      </w:pPr>
      <w:bookmarkStart w:id="92" w:name="status-and-observability"/>
      <w:r>
        <w:rPr/>
        <w:t>One MonBus observer stream per cell, on AXI4-Lite (owner direction 2026-10-19), per the tile’s §5 aggregation hierarchy: the cell’s stream is a leaf the tetrad-level merge consumes, alongside the other three cells and the tetrad node. Exact leaf selection is the tile §10 open item.</w:t>
      </w:r>
      <w:bookmarkEnd w:id="92"/>
      <w:r>
        <w:br w:type="page"/>
      </w:r>
    </w:p>
    <w:p>
      <w:pPr>
        <w:pStyle w:val="Heading2"/>
        <w:pBdr>
          <w:bottom w:val="single" w:sz="12" w:space="0" w:color="228B22"/>
        </w:pBdr>
        <w:spacing w:before="280" w:after="80"/>
        <w:rPr/>
      </w:pPr>
      <w:bookmarkStart w:id="93" w:name="__RefHeading___Toc12187_211582255"/>
      <w:bookmarkStart w:id="94" w:name="verification-hooks-1"/>
      <w:bookmarkEnd w:id="93"/>
      <w:r>
        <w:rPr>
          <w:rStyle w:val="SectionNumber"/>
          <w:b/>
          <w:color w:val="228B22"/>
          <w:sz w:val="28"/>
        </w:rPr>
        <w:t>4.9</w:t>
      </w:r>
      <w:r>
        <w:rPr>
          <w:b/>
          <w:color w:val="228B22"/>
          <w:sz w:val="28"/>
        </w:rPr>
        <w:tab/>
        <w:t>9. Verification hooks</w:t>
      </w:r>
    </w:p>
    <w:p>
      <w:pPr>
        <w:pStyle w:val="FirstParagraph"/>
        <w:rPr/>
      </w:pPr>
      <w:bookmarkStart w:id="95" w:name="verification-hooks-1"/>
      <w:r>
        <w:rPr>
          <w:sz w:val="20"/>
        </w:rPr>
        <w:t>cocotb + rds-dv BFMs per the standing convention. Test levels follow the house gate/func/full grid. Natural hooks: drive the node from a GAXI master instead of a mesh (the node’s local port is a normal stream face), force credits and grants from the TB, and check the credit loop (count lines in → credits out, per recorded source) independently of the datapath.</w:t>
      </w:r>
      <w:bookmarkEnd w:id="95"/>
      <w:r>
        <w:br w:type="page"/>
      </w:r>
    </w:p>
    <w:p>
      <w:pPr>
        <w:pStyle w:val="Heading2"/>
        <w:pBdr>
          <w:bottom w:val="single" w:sz="12" w:space="0" w:color="228B22"/>
        </w:pBdr>
        <w:spacing w:before="280" w:after="80"/>
        <w:rPr/>
      </w:pPr>
      <w:bookmarkStart w:id="96" w:name="__RefHeading___Toc12189_211582255"/>
      <w:bookmarkStart w:id="97" w:name="dependencies-1"/>
      <w:bookmarkEnd w:id="96"/>
      <w:r>
        <w:rPr>
          <w:rStyle w:val="SectionNumber"/>
          <w:b/>
          <w:color w:val="228B22"/>
          <w:sz w:val="28"/>
        </w:rPr>
        <w:t>4.10</w:t>
      </w:r>
      <w:r>
        <w:rPr>
          <w:b/>
          <w:color w:val="228B22"/>
          <w:sz w:val="28"/>
        </w:rPr>
        <w:tab/>
        <w:t>10. Dependencies</w:t>
      </w:r>
    </w:p>
    <w:p>
      <w:pPr>
        <w:pStyle w:val="Compact"/>
        <w:numPr>
          <w:ilvl w:val="0"/>
          <w:numId w:val="163"/>
        </w:numPr>
        <w:rPr/>
      </w:pPr>
      <w:r>
        <w:rPr/>
        <w:t xml:space="preserve">delta — the backbone network — </w:t>
      </w:r>
      <w:r>
        <w:rPr>
          <w:b/>
          <w:bCs/>
        </w:rPr>
        <w:t>in progress</w:t>
      </w:r>
      <w:r>
        <w:rPr/>
        <w:t xml:space="preserve">, built by a separate agent (fabric-gen-ip/delta). The cell instantiates one </w:t>
      </w:r>
      <w:r>
        <w:rPr>
          <w:rStyle w:val="VerbatimChar"/>
        </w:rPr>
        <w:t>delta_mesh_cell</w:t>
      </w:r>
      <w:r>
        <w:rPr/>
        <w:t xml:space="preserve"> node as a black box; modes 9–10 diagonal ports landed (Task 6c), the rest of the backbone is being built out.</w:t>
      </w:r>
    </w:p>
    <w:p>
      <w:pPr>
        <w:pStyle w:val="Compact"/>
        <w:numPr>
          <w:ilvl w:val="0"/>
          <w:numId w:val="164"/>
        </w:numPr>
        <w:rPr/>
      </w:pPr>
      <w:r>
        <w:rPr/>
        <w:t xml:space="preserve">rapids — the DMA running data in and out of the tile — </w:t>
      </w:r>
      <w:r>
        <w:rPr>
          <w:b/>
          <w:bCs/>
        </w:rPr>
        <w:t>in progress</w:t>
      </w:r>
      <w:r>
        <w:rPr/>
        <w:t>, separate lane. The cell’s dependencies on it are the per-destination credit counters, strap pool (</w:t>
      </w:r>
      <w:r>
        <w:rPr>
          <w:rStyle w:val="VerbatimChar"/>
        </w:rPr>
        <w:t>TILE_LAND_FLITS</w:t>
      </w:r>
      <w:r>
        <w:rPr/>
        <w:t>), and sink-to-source credit-return path (§11.9 requirements list); sequencing with the rapids lane.</w:t>
      </w:r>
    </w:p>
    <w:p>
      <w:pPr>
        <w:pStyle w:val="Compact"/>
        <w:numPr>
          <w:ilvl w:val="0"/>
          <w:numId w:val="165"/>
        </w:numPr>
        <w:rPr/>
      </w:pPr>
      <w:r>
        <w:rPr/>
        <w:t xml:space="preserve">rapids_cxs + delta CXS migration — </w:t>
      </w:r>
      <w:r>
        <w:rPr>
          <w:b/>
          <w:bCs/>
        </w:rPr>
        <w:t>in flight</w:t>
      </w:r>
      <w:r>
        <w:rPr/>
        <w:t xml:space="preserve"> (amba lane); the cell’s §11.6 transport note applies unchanged until delta ports move.</w:t>
      </w:r>
    </w:p>
    <w:p>
      <w:pPr>
        <w:pStyle w:val="Compact"/>
        <w:numPr>
          <w:ilvl w:val="0"/>
          <w:numId w:val="166"/>
        </w:numPr>
        <w:rPr/>
      </w:pPr>
      <w:r>
        <w:rPr/>
        <w:t xml:space="preserve">TILE_SPEC §10 open items that touch the cell: input-buffer sizing, grant allocation policy, resync timing, cell→cell grant mediation (needed for cell-destined </w:t>
      </w:r>
      <w:r>
        <w:rPr>
          <w:rStyle w:val="VerbatimChar"/>
        </w:rPr>
        <w:t>DEST</w:t>
      </w:r>
      <w:r>
        <w:rPr/>
        <w:t>, §6.3).</w:t>
      </w:r>
    </w:p>
    <w:p>
      <w:pPr>
        <w:pStyle w:val="Compact"/>
        <w:numPr>
          <w:ilvl w:val="0"/>
          <w:numId w:val="167"/>
        </w:numPr>
        <w:rPr/>
      </w:pPr>
      <w:r>
        <w:rPr/>
        <w:t xml:space="preserve">the alu-infer PRD — the ALU block’s product definition (bf16 element model, function set, interface contract, control interface); </w:t>
      </w:r>
      <w:r>
        <w:rPr>
          <w:b/>
          <w:bCs/>
        </w:rPr>
        <w:t>normative for the ALU</w:t>
      </w:r>
      <w:r>
        <w:rPr/>
        <w:t xml:space="preserve"> since 2026-10-17.</w:t>
      </w:r>
    </w:p>
    <w:p>
      <w:pPr>
        <w:pStyle w:val="Compact"/>
        <w:numPr>
          <w:ilvl w:val="0"/>
          <w:numId w:val="168"/>
        </w:numPr>
        <w:rPr/>
      </w:pPr>
      <w:r>
        <w:rPr/>
        <w:t xml:space="preserve">the alu-infer MAS — the implementation-intent book (module tree, function rows, accumulator, interface, cycle behavior, verification, configuration); lives in this directory’s </w:t>
      </w:r>
      <w:r>
        <w:rPr>
          <w:rStyle w:val="VerbatimChar"/>
        </w:rPr>
        <w:t>docs/alu_infer_mas/</w:t>
      </w:r>
      <w:r>
        <w:rPr/>
        <w:t>.</w:t>
      </w:r>
    </w:p>
    <w:p>
      <w:pPr>
        <w:pStyle w:val="Compact"/>
        <w:numPr>
          <w:ilvl w:val="0"/>
          <w:numId w:val="169"/>
        </w:numPr>
        <w:rPr/>
      </w:pPr>
      <w:r>
        <w:rPr/>
        <w:t xml:space="preserve">a tetrad-level RV32I control core per alu-infer PRD §5 — </w:t>
      </w:r>
      <w:r>
        <w:rPr>
          <w:b/>
          <w:bCs/>
        </w:rPr>
        <w:t>deferred</w:t>
      </w:r>
      <w:r>
        <w:rPr/>
        <w:t xml:space="preserve"> (owner direction 2026-10-18): the tetrad engine is defined once the cell is fully defined and working, with the owner-authored </w:t>
      </w:r>
      <w:hyperlink r:id="rId32">
        <w:r>
          <w:rPr>
            <w:rStyle w:val="ListLabel725"/>
            <w:rFonts w:ascii="Consolas" w:hAnsi="Consolas"/>
            <w:sz w:val="22"/>
            <w:sz w:val="22"/>
          </w:rPr>
          <w:t>gatling-rv32itetrad</w:t>
        </w:r>
      </w:hyperlink>
      <w:r>
        <w:rPr/>
        <w:t xml:space="preserve"> barrel-core PRD the leading candidate and kestrel-class a candidate flavor via </w:t>
      </w:r>
      <w:r>
        <w:rPr>
          <w:rStyle w:val="VerbatimChar"/>
        </w:rPr>
        <w:t>CORE_FLAVOR</w:t>
      </w:r>
      <w:r>
        <w:rPr/>
        <w:t xml:space="preserve">. When it lands, gatling sequences the cell ALU through </w:t>
      </w:r>
      <w:r>
        <w:rPr>
          <w:rStyle w:val="VerbatimChar"/>
        </w:rPr>
        <w:t>POP</w:t>
      </w:r>
      <w:r>
        <w:rPr/>
        <w:t>/</w:t>
      </w:r>
      <w:r>
        <w:rPr>
          <w:rStyle w:val="VerbatimChar"/>
        </w:rPr>
        <w:t>PUSH</w:t>
      </w:r>
      <w:r>
        <w:rPr/>
        <w:t>/</w:t>
      </w:r>
      <w:r>
        <w:rPr>
          <w:rStyle w:val="VerbatimChar"/>
        </w:rPr>
        <w:t>FLUSH</w:t>
      </w:r>
      <w:r>
        <w:rPr/>
        <w:t xml:space="preserve"> (owner ruling 2026-10-19); the cells see its local AXIL register plane and its operational writes only. Cell </w:t>
      </w:r>
      <w:r>
        <w:rPr>
          <w:i/>
          <w:iCs/>
        </w:rPr>
        <w:t>programming</w:t>
      </w:r>
      <w:r>
        <w:rPr/>
        <w:t xml:space="preserve"> stays in-band (owner ruling 2026-10-17).</w:t>
      </w:r>
      <w:bookmarkEnd w:id="97"/>
      <w:r>
        <w:br w:type="page"/>
      </w:r>
    </w:p>
    <w:p>
      <w:pPr>
        <w:pStyle w:val="Heading2"/>
        <w:pBdr>
          <w:bottom w:val="single" w:sz="12" w:space="0" w:color="228B22"/>
        </w:pBdr>
        <w:spacing w:before="280" w:after="80"/>
        <w:rPr/>
      </w:pPr>
      <w:bookmarkStart w:id="98" w:name="__RefHeading___Toc12191_211582255"/>
      <w:bookmarkStart w:id="99" w:name="deferred"/>
      <w:bookmarkEnd w:id="98"/>
      <w:r>
        <w:rPr>
          <w:rStyle w:val="SectionNumber"/>
          <w:b/>
          <w:color w:val="228B22"/>
          <w:sz w:val="28"/>
        </w:rPr>
        <w:t>4.11</w:t>
      </w:r>
      <w:r>
        <w:rPr>
          <w:b/>
          <w:color w:val="228B22"/>
          <w:sz w:val="28"/>
        </w:rPr>
        <w:tab/>
        <w:t>11. Deferred</w:t>
      </w:r>
    </w:p>
    <w:p>
      <w:pPr>
        <w:pStyle w:val="Compact"/>
        <w:numPr>
          <w:ilvl w:val="0"/>
          <w:numId w:val="170"/>
        </w:numPr>
        <w:rPr/>
      </w:pPr>
      <w:r>
        <w:rPr/>
        <w:t>CGRA array of richer PEs (2026-10-13 ambition): the cell’s block boundaries — node, input memory, compute, result memory, packetizer — are chosen so an array replaces the ALU+FSM block without disturbing the network, credit, or observation contracts.</w:t>
      </w:r>
    </w:p>
    <w:p>
      <w:pPr>
        <w:pStyle w:val="Compact"/>
        <w:numPr>
          <w:ilvl w:val="0"/>
          <w:numId w:val="171"/>
        </w:numPr>
        <w:rPr/>
      </w:pPr>
      <w:r>
        <w:rPr/>
        <w:t>Context switching / multi-function pipelines.</w:t>
      </w:r>
    </w:p>
    <w:p>
      <w:pPr>
        <w:pStyle w:val="Compact"/>
        <w:numPr>
          <w:ilvl w:val="0"/>
          <w:numId w:val="172"/>
        </w:numPr>
        <w:rPr/>
      </w:pPr>
      <w:r>
        <w:rPr/>
        <w:t>Cell-initiated grant requests.</w:t>
      </w:r>
    </w:p>
    <w:p>
      <w:pPr>
        <w:pStyle w:val="Compact"/>
        <w:numPr>
          <w:ilvl w:val="0"/>
          <w:numId w:val="173"/>
        </w:numPr>
        <w:rPr/>
      </w:pPr>
      <w:r>
        <w:rPr/>
        <w:t>Wider-than-32-bit lines (element widths stay bf16-only regardless; §4).</w:t>
      </w:r>
    </w:p>
    <w:p>
      <w:pPr>
        <w:pStyle w:val="Compact"/>
        <w:numPr>
          <w:ilvl w:val="0"/>
          <w:numId w:val="174"/>
        </w:numPr>
        <w:rPr/>
      </w:pPr>
      <w:r>
        <w:rPr/>
        <w:t xml:space="preserve">Loading </w:t>
      </w:r>
      <w:r>
        <w:rPr>
          <w:rStyle w:val="VerbatimChar"/>
        </w:rPr>
        <w:t>A</w:t>
      </w:r>
      <w:r>
        <w:rPr/>
        <w:t>–</w:t>
      </w:r>
      <w:r>
        <w:rPr>
          <w:rStyle w:val="VerbatimChar"/>
        </w:rPr>
        <w:t>D</w:t>
      </w:r>
      <w:r>
        <w:rPr/>
        <w:t xml:space="preserve"> from the input memory (v1 writes them via </w:t>
      </w:r>
      <w:r>
        <w:rPr>
          <w:rStyle w:val="VerbatimChar"/>
        </w:rPr>
        <w:t>cfg</w:t>
      </w:r>
      <w:r>
        <w:rPr/>
        <w:t>/AXIL).</w:t>
      </w:r>
    </w:p>
    <w:p>
      <w:pPr>
        <w:pStyle w:val="Compact"/>
        <w:numPr>
          <w:ilvl w:val="0"/>
          <w:numId w:val="175"/>
        </w:numPr>
        <w:rPr/>
      </w:pPr>
      <w:r>
        <w:rPr/>
        <w:t>Cell-destined result sending (</w:t>
      </w:r>
      <w:r>
        <w:rPr>
          <w:rStyle w:val="VerbatimChar"/>
        </w:rPr>
        <w:t>DEST</w:t>
      </w:r>
      <w:r>
        <w:rPr/>
        <w:t xml:space="preserve"> = another cell) pending the tile-spec cell→cell grant extension (§6.3).</w:t>
      </w:r>
    </w:p>
    <w:p>
      <w:pPr>
        <w:pStyle w:val="Compact"/>
        <w:numPr>
          <w:ilvl w:val="0"/>
          <w:numId w:val="176"/>
        </w:numPr>
        <w:rPr/>
      </w:pPr>
      <w:bookmarkStart w:id="100" w:name="deferred"/>
      <w:r>
        <w:rPr/>
        <w:t>The tetrad-level control core and the gatling/tetrad engine (§10).</w:t>
      </w:r>
      <w:bookmarkEnd w:id="100"/>
      <w:r>
        <w:br w:type="page"/>
      </w:r>
    </w:p>
    <w:p>
      <w:pPr>
        <w:pStyle w:val="Heading2"/>
        <w:pBdr>
          <w:bottom w:val="single" w:sz="12" w:space="0" w:color="228B22"/>
        </w:pBdr>
        <w:spacing w:before="280" w:after="80"/>
        <w:rPr/>
      </w:pPr>
      <w:bookmarkStart w:id="101" w:name="__RefHeading___Toc12193_211582255"/>
      <w:bookmarkStart w:id="102" w:name="open-questions-1"/>
      <w:bookmarkEnd w:id="101"/>
      <w:r>
        <w:rPr>
          <w:rStyle w:val="SectionNumber"/>
          <w:b/>
          <w:color w:val="228B22"/>
          <w:sz w:val="28"/>
        </w:rPr>
        <w:t>4.12</w:t>
      </w:r>
      <w:r>
        <w:rPr>
          <w:b/>
          <w:color w:val="228B22"/>
          <w:sz w:val="28"/>
        </w:rPr>
        <w:tab/>
        <w:t>12. Open questions</w:t>
      </w:r>
    </w:p>
    <w:p>
      <w:pPr>
        <w:pStyle w:val="Compact"/>
        <w:numPr>
          <w:ilvl w:val="0"/>
          <w:numId w:val="177"/>
        </w:numPr>
        <w:rPr/>
      </w:pPr>
      <w:r>
        <w:rPr/>
        <w:t>Input memory and result memory depths (lines, and flit-conversion for the advertisement) — sized in the MAS against the MAS injection-FIFO and credit-flow analysis.</w:t>
      </w:r>
    </w:p>
    <w:p>
      <w:pPr>
        <w:pStyle w:val="Compact"/>
        <w:numPr>
          <w:ilvl w:val="0"/>
          <w:numId w:val="178"/>
        </w:numPr>
        <w:rPr/>
      </w:pPr>
      <w:r>
        <w:rPr>
          <w:rStyle w:val="VerbatimChar"/>
        </w:rPr>
        <w:t>cfg</w:t>
      </w:r>
      <w:r>
        <w:rPr/>
        <w:t xml:space="preserve"> read reply path: whether rapids’s sink half strips headers (TILE_SPEC §11.7 open item) affects nothing here — the cell always builds a full reply header.</w:t>
      </w:r>
    </w:p>
    <w:p>
      <w:pPr>
        <w:pStyle w:val="Compact"/>
        <w:numPr>
          <w:ilvl w:val="0"/>
          <w:numId w:val="179"/>
        </w:numPr>
        <w:rPr/>
      </w:pPr>
      <w:r>
        <w:rPr/>
        <w:t>Flush conditions for the packetizer beyond batch-X (idle timeout? end-of-job marker from the FSM?).</w:t>
      </w:r>
    </w:p>
    <w:p>
      <w:pPr>
        <w:pStyle w:val="Compact"/>
        <w:numPr>
          <w:ilvl w:val="0"/>
          <w:numId w:val="180"/>
        </w:numPr>
        <w:rPr/>
      </w:pPr>
      <w:r>
        <w:rPr/>
        <w:t xml:space="preserve">Cell→cell grant/advertisement rules: who grants sink space for cell-destined results, and how a cell advertises its input-memory credits to peer cells (today: to rapids only, §11.10). Needed for </w:t>
      </w:r>
      <w:r>
        <w:rPr>
          <w:rStyle w:val="VerbatimChar"/>
        </w:rPr>
        <w:t>DEST</w:t>
      </w:r>
      <w:r>
        <w:rPr/>
        <w:t xml:space="preserve"> overrides (§6.3); lands in the tile spec first.</w:t>
      </w:r>
    </w:p>
    <w:p>
      <w:pPr>
        <w:pStyle w:val="Compact"/>
        <w:numPr>
          <w:ilvl w:val="0"/>
          <w:numId w:val="181"/>
        </w:numPr>
        <w:rPr/>
      </w:pPr>
      <w:r>
        <w:rPr>
          <w:rStyle w:val="VerbatimChar"/>
        </w:rPr>
        <w:t>DEST</w:t>
      </w:r>
      <w:r>
        <w:rPr/>
        <w:t xml:space="preserve"> coordinate width tracks the §11.3 </w:t>
      </w:r>
      <w:r>
        <w:rPr>
          <w:rStyle w:val="VerbatimChar"/>
        </w:rPr>
        <w:t>COORD_W</w:t>
      </w:r>
      <w:r>
        <w:rPr/>
        <w:t xml:space="preserve"> parameterization (4 today); the register is 32-bit with the used low bits defined above.</w:t>
      </w:r>
      <w:bookmarkEnd w:id="102"/>
      <w:r>
        <w:br w:type="page"/>
      </w:r>
    </w:p>
    <w:p>
      <w:pPr>
        <w:pStyle w:val="Heading2"/>
        <w:pBdr>
          <w:bottom w:val="single" w:sz="12" w:space="0" w:color="228B22"/>
        </w:pBdr>
        <w:spacing w:before="280" w:after="80"/>
        <w:rPr/>
      </w:pPr>
      <w:bookmarkStart w:id="103" w:name="__RefHeading___Toc12195_211582255"/>
      <w:bookmarkStart w:id="104" w:name="references-1"/>
      <w:bookmarkEnd w:id="103"/>
      <w:r>
        <w:rPr>
          <w:rStyle w:val="SectionNumber"/>
          <w:b/>
          <w:color w:val="228B22"/>
          <w:sz w:val="28"/>
        </w:rPr>
        <w:t>4.13</w:t>
      </w:r>
      <w:r>
        <w:rPr>
          <w:b/>
          <w:color w:val="228B22"/>
          <w:sz w:val="28"/>
        </w:rPr>
        <w:tab/>
        <w:t>References</w:t>
      </w:r>
    </w:p>
    <w:p>
      <w:pPr>
        <w:pStyle w:val="Compact"/>
        <w:numPr>
          <w:ilvl w:val="0"/>
          <w:numId w:val="182"/>
        </w:numPr>
        <w:rPr/>
      </w:pPr>
      <w:hyperlink r:id="rId33">
        <w:r>
          <w:rPr>
            <w:rStyle w:val="ListLabel725"/>
            <w:rFonts w:ascii="Consolas" w:hAnsi="Consolas"/>
            <w:sz w:val="22"/>
            <w:sz w:val="22"/>
          </w:rPr>
          <w:t>alu-infer/PRD.md</w:t>
        </w:r>
      </w:hyperlink>
      <w:r>
        <w:rPr/>
        <w:t xml:space="preserve"> — the ALU block’s product definition (normative for the ALU since 2026-10-17).</w:t>
      </w:r>
    </w:p>
    <w:p>
      <w:pPr>
        <w:pStyle w:val="Compact"/>
        <w:numPr>
          <w:ilvl w:val="0"/>
          <w:numId w:val="183"/>
        </w:numPr>
        <w:rPr/>
      </w:pPr>
      <w:hyperlink r:id="rId34">
        <w:r>
          <w:rPr>
            <w:rStyle w:val="ListLabel725"/>
            <w:rFonts w:ascii="Consolas" w:hAnsi="Consolas"/>
            <w:sz w:val="22"/>
            <w:sz w:val="22"/>
          </w:rPr>
          <w:t>tile/docs/TILE_SPEC.md</w:t>
        </w:r>
      </w:hyperlink>
      <w:r>
        <w:rPr/>
        <w:t xml:space="preserve"> — adopted tile hierarchy, §11 packet header, credits/grants (normative for §§3, 5, 6).</w:t>
      </w:r>
    </w:p>
    <w:p>
      <w:pPr>
        <w:pStyle w:val="Compact"/>
        <w:numPr>
          <w:ilvl w:val="0"/>
          <w:numId w:val="184"/>
        </w:numPr>
        <w:rPr/>
      </w:pPr>
      <w:hyperlink r:id="rId35">
        <w:r>
          <w:rPr>
            <w:rStyle w:val="ListLabel725"/>
            <w:rFonts w:ascii="Consolas" w:hAnsi="Consolas"/>
            <w:sz w:val="22"/>
            <w:sz w:val="22"/>
          </w:rPr>
          <w:t>delta_has/ch07_mesh_network/</w:t>
        </w:r>
      </w:hyperlink>
      <w:r>
        <w:rPr/>
        <w:t xml:space="preserve"> — the node the cell instantiates.</w:t>
      </w:r>
    </w:p>
    <w:p>
      <w:pPr>
        <w:pStyle w:val="Compact"/>
        <w:numPr>
          <w:ilvl w:val="0"/>
          <w:numId w:val="185"/>
        </w:numPr>
        <w:rPr/>
      </w:pPr>
      <w:hyperlink r:id="rId36">
        <w:r>
          <w:rPr>
            <w:rStyle w:val="ListLabel725"/>
            <w:rFonts w:ascii="Consolas" w:hAnsi="Consolas"/>
            <w:sz w:val="22"/>
            <w:sz w:val="22"/>
          </w:rPr>
          <w:t>riscv-ip/gatling-rv32itetrad/PRD.md</w:t>
        </w:r>
      </w:hyperlink>
      <w:r>
        <w:rPr/>
        <w:t xml:space="preserve"> — owner-authored barrel-core tetrad-engine PRD (leading candidate; deferred per §10).</w:t>
      </w:r>
    </w:p>
    <w:p>
      <w:pPr>
        <w:pStyle w:val="Compact"/>
        <w:numPr>
          <w:ilvl w:val="0"/>
          <w:numId w:val="186"/>
        </w:numPr>
        <w:rPr/>
      </w:pPr>
      <w:hyperlink r:id="rId37">
        <w:r>
          <w:rPr>
            <w:rStyle w:val="ListLabel725"/>
            <w:rFonts w:ascii="Consolas" w:hAnsi="Consolas"/>
            <w:sz w:val="22"/>
            <w:sz w:val="22"/>
          </w:rPr>
          <w:t>axon_spec.md</w:t>
        </w:r>
      </w:hyperlink>
      <w:r>
        <w:rPr/>
        <w:t xml:space="preserve"> — superseded 2026-10-16 (decision trail).</w:t>
      </w:r>
    </w:p>
    <w:p>
      <w:pPr>
        <w:pStyle w:val="Compact"/>
        <w:numPr>
          <w:ilvl w:val="0"/>
          <w:numId w:val="187"/>
        </w:numPr>
        <w:rPr/>
      </w:pPr>
      <w:hyperlink r:id="rId38">
        <w:r>
          <w:rPr>
            <w:rStyle w:val="ListLabel725"/>
            <w:rFonts w:ascii="Consolas" w:hAnsi="Consolas"/>
            <w:sz w:val="22"/>
            <w:sz w:val="22"/>
          </w:rPr>
          <w:t>2026-10-13-delta-mesh-design.md</w:t>
        </w:r>
      </w:hyperlink>
      <w:r>
        <w:rPr/>
        <w:t xml:space="preserve"> — working design record.</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2026-10-19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5" w:name="Xed9d1483e256ed7bf8fe18e3ce586e66a09a99f"/>
      <w:bookmarkStart w:id="106" w:name="references-1"/>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
      <w:bookmarkEnd w:id="106"/>
      <w:r>
        <w:br w:type="page"/>
      </w:r>
    </w:p>
    <w:p>
      <w:pPr>
        <w:pStyle w:val="Heading1"/>
        <w:shd w:val="clear" w:color="auto" w:fill="404040"/>
        <w:spacing w:before="360" w:after="120"/>
        <w:rPr/>
      </w:pPr>
      <w:bookmarkStart w:id="107" w:name="__RefHeading___Toc12197_211582255"/>
      <w:bookmarkStart w:id="108" w:name="alu-infer-cell-inference-alu-definition"/>
      <w:bookmarkEnd w:id="107"/>
      <w:r>
        <w:rPr>
          <w:rStyle w:val="SectionNumber"/>
          <w:b/>
          <w:color w:val="FFFFFF"/>
          <w:sz w:val="32"/>
        </w:rPr>
        <w:t>5</w:t>
      </w:r>
      <w:r>
        <w:rPr>
          <w:b/>
          <w:color w:val="FFFFFF"/>
          <w:sz w:val="32"/>
        </w:rPr>
        <w:tab/>
        <w:t>alu-infer — Cell Inference ALU (definition)</w:t>
      </w:r>
    </w:p>
    <w:p>
      <w:pPr>
        <w:pStyle w:val="FirstParagraph"/>
        <w:rPr/>
      </w:pPr>
      <w:r>
        <w:rPr>
          <w:sz w:val="20"/>
        </w:rPr>
        <w:t xml:space="preserve">The cell’s compute ALU: a bf16 inference datapath — two bf16 lanes per 32-bit line — built mostly on the repo’s </w:t>
      </w:r>
      <w:r>
        <w:rPr>
          <w:rStyle w:val="VerbatimChar"/>
          <w:sz w:val="20"/>
        </w:rPr>
        <w:t>math_bf16_*</w:t>
      </w:r>
      <w:r>
        <w:rPr>
          <w:sz w:val="20"/>
        </w:rPr>
        <w:t xml:space="preserve"> library (adder, multiplier, fused FMA-mac, comparator, min/max, ReLU, and the activation growth set), issued by the tetrad’s gatling core. bf16, int8, fp32 and fp8 e4m3 element formats; reduce, PWL LUT activation, const, library activations and conversions alongside the v1 rows.</w:t>
      </w:r>
    </w:p>
    <w:p>
      <w:pPr>
        <w:pStyle w:val="BodyText"/>
        <w:rPr/>
      </w:pPr>
      <w:r>
        <w:rPr>
          <w:sz w:val="20"/>
        </w:rPr>
        <w:t xml:space="preserve">This directory holds the </w:t>
      </w:r>
      <w:r>
        <w:rPr>
          <w:b/>
          <w:bCs/>
          <w:sz w:val="20"/>
        </w:rPr>
        <w:t>product definition and the RTL</w:t>
      </w:r>
      <w:r>
        <w:rPr>
          <w:sz w:val="20"/>
        </w:rPr>
        <w:t xml:space="preserve">; the ALU is integrated and verified at system level inside the cell component (owner decision 2026-10-17; RTL moved here from </w:t>
      </w:r>
      <w:r>
        <w:rPr>
          <w:rStyle w:val="VerbatimChar"/>
          <w:sz w:val="20"/>
        </w:rPr>
        <w:t>cell/rtl/</w:t>
      </w:r>
      <w:r>
        <w:rPr>
          <w:sz w:val="20"/>
        </w:rPr>
        <w:t xml:space="preserve"> on 2026-10-20).</w:t>
      </w:r>
    </w:p>
    <w:p>
      <w:pPr>
        <w:pStyle w:val="Compact"/>
        <w:numPr>
          <w:ilvl w:val="0"/>
          <w:numId w:val="188"/>
        </w:numPr>
        <w:rPr/>
      </w:pPr>
      <w:r>
        <w:rPr>
          <w:b/>
          <w:bCs/>
        </w:rPr>
        <w:t>PRD:</w:t>
      </w:r>
      <w:r>
        <w:rPr/>
        <w:t xml:space="preserve"> </w:t>
      </w:r>
      <w:hyperlink r:id="rId39">
        <w:r>
          <w:rPr>
            <w:rStyle w:val="Hyperlink"/>
          </w:rPr>
          <w:t>PRD.md</w:t>
        </w:r>
      </w:hyperlink>
    </w:p>
    <w:p>
      <w:pPr>
        <w:pStyle w:val="Compact"/>
        <w:numPr>
          <w:ilvl w:val="0"/>
          <w:numId w:val="189"/>
        </w:numPr>
        <w:rPr/>
      </w:pPr>
      <w:r>
        <w:rPr>
          <w:b/>
          <w:bCs/>
        </w:rPr>
        <w:t>MAS:</w:t>
      </w:r>
      <w:r>
        <w:rPr/>
        <w:t xml:space="preserve"> </w:t>
      </w:r>
      <w:hyperlink r:id="rId40">
        <w:r>
          <w:rPr>
            <w:rStyle w:val="Hyperlink"/>
          </w:rPr>
          <w:t>Micro-Architecture Specification</w:t>
        </w:r>
      </w:hyperlink>
      <w:r>
        <w:rPr/>
        <w:t xml:space="preserve"> (</w:t>
      </w:r>
      <w:hyperlink r:id="rId41">
        <w:r>
          <w:rPr>
            <w:rStyle w:val="Hyperlink"/>
          </w:rPr>
          <w:t>PDF</w:t>
        </w:r>
      </w:hyperlink>
      <w:r>
        <w:rPr/>
        <w:t>) — module tree, function rows, fp32 accumulator rows, PWL LUT, conversions, the issue seam, cycle behavior, verification hooks</w:t>
      </w:r>
    </w:p>
    <w:p>
      <w:pPr>
        <w:pStyle w:val="Compact"/>
        <w:numPr>
          <w:ilvl w:val="0"/>
          <w:numId w:val="190"/>
        </w:numPr>
        <w:rPr/>
      </w:pPr>
      <w:r>
        <w:rPr>
          <w:b/>
          <w:bCs/>
        </w:rPr>
        <w:t>RTL:</w:t>
      </w:r>
      <w:r>
        <w:rPr/>
        <w:t xml:space="preserve"> </w:t>
      </w:r>
      <w:hyperlink r:id="rId42">
        <w:r>
          <w:rPr>
            <w:rStyle w:val="ListLabel725"/>
            <w:rFonts w:ascii="Consolas" w:hAnsi="Consolas"/>
            <w:sz w:val="22"/>
            <w:sz w:val="22"/>
          </w:rPr>
          <w:t>rtl/</w:t>
        </w:r>
      </w:hyperlink>
      <w:r>
        <w:rPr/>
        <w:t xml:space="preserve"> — </w:t>
      </w:r>
      <w:r>
        <w:rPr>
          <w:rStyle w:val="VerbatimChar"/>
        </w:rPr>
        <w:t>alu_infer_top.sv</w:t>
      </w:r>
      <w:r>
        <w:rPr/>
        <w:t xml:space="preserve"> and its module tree (decode, per-format row families, activations, PWL LUT, conversions, accumulator, tag FIFO; package in </w:t>
      </w:r>
      <w:r>
        <w:rPr>
          <w:rStyle w:val="VerbatimChar"/>
        </w:rPr>
        <w:t>rtl/includes/</w:t>
      </w:r>
      <w:r>
        <w:rPr/>
        <w:t xml:space="preserve">), with per-block filelists under </w:t>
      </w:r>
      <w:r>
        <w:rPr>
          <w:rStyle w:val="VerbatimChar"/>
        </w:rPr>
        <w:t>rtl/filelists/</w:t>
      </w:r>
      <w:r>
        <w:rPr/>
        <w:t xml:space="preserve">, an </w:t>
      </w:r>
      <w:r>
        <w:rPr>
          <w:rStyle w:val="VerbatimChar"/>
        </w:rPr>
        <w:t>alu-infer_all.f</w:t>
      </w:r>
      <w:r>
        <w:rPr/>
        <w:t xml:space="preserve"> lint master and a four-line area Makefile</w:t>
      </w:r>
    </w:p>
    <w:p>
      <w:pPr>
        <w:pStyle w:val="Compact"/>
        <w:numPr>
          <w:ilvl w:val="0"/>
          <w:numId w:val="191"/>
        </w:numPr>
        <w:rPr/>
      </w:pPr>
      <w:r>
        <w:rPr>
          <w:b/>
          <w:bCs/>
        </w:rPr>
        <w:t>PWL table builder:</w:t>
      </w:r>
      <w:r>
        <w:rPr/>
        <w:t xml:space="preserve"> </w:t>
      </w:r>
      <w:hyperlink r:id="rId43">
        <w:r>
          <w:rPr>
            <w:rStyle w:val="ListLabel725"/>
            <w:rFonts w:ascii="Consolas" w:hAnsi="Consolas"/>
            <w:sz w:val="22"/>
            <w:sz w:val="22"/>
          </w:rPr>
          <w:t>bin/alu_infer_pwl.py</w:t>
        </w:r>
      </w:hyperlink>
      <w:r>
        <w:rPr/>
        <w:t xml:space="preserve"> — fits the 256-entry LUT for sigmoid/tanh/gelu/silu/exp and models the row</w:t>
      </w:r>
    </w:p>
    <w:p>
      <w:pPr>
        <w:pStyle w:val="Compact"/>
        <w:numPr>
          <w:ilvl w:val="0"/>
          <w:numId w:val="192"/>
        </w:numPr>
        <w:rPr/>
      </w:pPr>
      <w:r>
        <w:rPr>
          <w:b/>
          <w:bCs/>
        </w:rPr>
        <w:t>Unit tests:</w:t>
      </w:r>
      <w:r>
        <w:rPr/>
        <w:t xml:space="preserve"> </w:t>
      </w:r>
      <w:hyperlink r:id="rId44">
        <w:r>
          <w:rPr>
            <w:rStyle w:val="ListLabel725"/>
            <w:rFonts w:ascii="Consolas" w:hAnsi="Consolas"/>
            <w:sz w:val="22"/>
            <w:sz w:val="22"/>
          </w:rPr>
          <w:t>dv/tests/</w:t>
        </w:r>
      </w:hyperlink>
      <w:r>
        <w:rPr/>
        <w:t xml:space="preserve"> — </w:t>
      </w:r>
      <w:r>
        <w:rPr>
          <w:rStyle w:val="VerbatimChar"/>
        </w:rPr>
        <w:t>test_alu_infer.py</w:t>
      </w:r>
      <w:r>
        <w:rPr/>
        <w:t xml:space="preserve">, run via </w:t>
      </w:r>
      <w:r>
        <w:rPr>
          <w:rStyle w:val="VerbatimChar"/>
        </w:rPr>
        <w:t>make -C dv/tests run-all-&lt;gate|func|full&gt;</w:t>
      </w:r>
      <w:r>
        <w:rPr/>
        <w:t xml:space="preserve"> after </w:t>
      </w:r>
      <w:r>
        <w:rPr>
          <w:rStyle w:val="VerbatimChar"/>
        </w:rPr>
        <w:t>make clean-all</w:t>
      </w:r>
    </w:p>
    <w:p>
      <w:pPr>
        <w:pStyle w:val="Compact"/>
        <w:numPr>
          <w:ilvl w:val="0"/>
          <w:numId w:val="193"/>
        </w:numPr>
        <w:rPr/>
      </w:pPr>
      <w:r>
        <w:rPr>
          <w:b/>
          <w:bCs/>
        </w:rPr>
        <w:t>Issuer:</w:t>
      </w:r>
      <w:r>
        <w:rPr/>
        <w:t xml:space="preserve"> </w:t>
      </w:r>
      <w:hyperlink r:id="rId45">
        <w:r>
          <w:rPr>
            <w:rStyle w:val="ListLabel725"/>
            <w:rFonts w:ascii="Consolas" w:hAnsi="Consolas"/>
            <w:sz w:val="22"/>
            <w:sz w:val="22"/>
          </w:rPr>
          <w:t>gatling-rv32itetrad</w:t>
        </w:r>
      </w:hyperlink>
      <w:r>
        <w:rPr/>
        <w:t xml:space="preserve"> — the tetrad barrel core whose programs issue the ALU</w:t>
      </w:r>
    </w:p>
    <w:p>
      <w:pPr>
        <w:pStyle w:val="Compact"/>
        <w:numPr>
          <w:ilvl w:val="0"/>
          <w:numId w:val="194"/>
        </w:numPr>
        <w:rPr/>
      </w:pPr>
      <w:r>
        <w:rPr>
          <w:b/>
          <w:bCs/>
        </w:rPr>
        <w:t>Integration home:</w:t>
      </w:r>
      <w:r>
        <w:rPr/>
        <w:t xml:space="preserve"> </w:t>
      </w:r>
      <w:hyperlink r:id="rId46">
        <w:r>
          <w:rPr>
            <w:rStyle w:val="ListLabel725"/>
            <w:rFonts w:ascii="Consolas" w:hAnsi="Consolas"/>
            <w:sz w:val="22"/>
            <w:sz w:val="22"/>
          </w:rPr>
          <w:t>cell/</w:t>
        </w:r>
      </w:hyperlink>
      <w:r>
        <w:rPr/>
        <w:t>; the cell filelists include this block’s filelist.</w:t>
      </w:r>
    </w:p>
    <w:p>
      <w:pPr>
        <w:pStyle w:val="Compact"/>
        <w:numPr>
          <w:ilvl w:val="0"/>
          <w:numId w:val="195"/>
        </w:numPr>
        <w:rPr/>
      </w:pPr>
      <w:r>
        <w:rPr>
          <w:b/>
          <w:bCs/>
        </w:rPr>
        <w:t>Arithmetic library:</w:t>
      </w:r>
      <w:r>
        <w:rPr/>
        <w:t xml:space="preserve"> </w:t>
      </w:r>
      <w:hyperlink r:id="rId47">
        <w:r>
          <w:rPr>
            <w:rStyle w:val="ListLabel725"/>
            <w:rFonts w:ascii="Consolas" w:hAnsi="Consolas"/>
            <w:sz w:val="22"/>
            <w:sz w:val="22"/>
          </w:rPr>
          <w:t>rtl/math/</w:t>
        </w:r>
      </w:hyperlink>
      <w:r>
        <w:rPr/>
        <w:t xml:space="preserve"> — the </w:t>
      </w:r>
      <w:r>
        <w:rPr>
          <w:rStyle w:val="VerbatimChar"/>
        </w:rPr>
        <w:t>math_bf16_*</w:t>
      </w:r>
      <w:r>
        <w:rPr/>
        <w:t xml:space="preserve">, IEEE fp32, </w:t>
      </w:r>
      <w:r>
        <w:rPr>
          <w:rStyle w:val="VerbatimChar"/>
        </w:rPr>
        <w:t>math_fp8_e4m3_*</w:t>
      </w:r>
      <w:r>
        <w:rPr/>
        <w:t xml:space="preserve"> and converter blocks</w:t>
      </w:r>
    </w:p>
    <w:p>
      <w:pPr>
        <w:pStyle w:val="Compact"/>
        <w:numPr>
          <w:ilvl w:val="0"/>
          <w:numId w:val="196"/>
        </w:numPr>
        <w:rPr/>
      </w:pPr>
      <w:r>
        <w:rPr>
          <w:b/>
          <w:bCs/>
        </w:rPr>
        <w:t>Back to family:</w:t>
      </w:r>
      <w:r>
        <w:rPr/>
        <w:t xml:space="preserve"> </w:t>
      </w:r>
      <w:hyperlink r:id="rId48">
        <w:r>
          <w:rPr>
            <w:rStyle w:val="Hyperlink"/>
          </w:rPr>
          <w:t>compute-eng-ip README</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9" w:name="alu-infer-cell-inference-alu-definition"/>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r>
        <w:br w:type="page"/>
      </w:r>
    </w:p>
    <w:p>
      <w:pPr>
        <w:pStyle w:val="Heading1"/>
        <w:shd w:val="clear" w:color="auto" w:fill="404040"/>
        <w:spacing w:before="360" w:after="120"/>
        <w:rPr/>
      </w:pPr>
      <w:bookmarkStart w:id="110" w:name="__RefHeading___Toc12199_211582255"/>
      <w:bookmarkStart w:id="111" w:name="rtl-math-module-index"/>
      <w:bookmarkEnd w:id="110"/>
      <w:r>
        <w:rPr>
          <w:rStyle w:val="SectionNumber"/>
          <w:b/>
          <w:color w:val="FFFFFF"/>
          <w:sz w:val="32"/>
        </w:rPr>
        <w:t>6</w:t>
      </w:r>
      <w:r>
        <w:rPr>
          <w:b/>
          <w:color w:val="FFFFFF"/>
          <w:sz w:val="32"/>
        </w:rPr>
        <w:tab/>
        <w:t>rtl-math module index</w:t>
      </w:r>
    </w:p>
    <w:p>
      <w:pPr>
        <w:pStyle w:val="FirstParagraph"/>
        <w:rPr/>
      </w:pPr>
      <w:r>
        <w:rPr>
          <w:b/>
          <w:bCs/>
          <w:sz w:val="20"/>
        </w:rPr>
        <w:t>RTL:</w:t>
      </w:r>
      <w:r>
        <w:rPr>
          <w:sz w:val="20"/>
        </w:rPr>
        <w:t xml:space="preserve"> </w:t>
      </w:r>
      <w:r>
        <w:rPr>
          <w:rStyle w:val="VerbatimChar"/>
          <w:sz w:val="20"/>
        </w:rPr>
        <w:t>rtl/math/</w:t>
      </w:r>
      <w:r>
        <w:rPr>
          <w:sz w:val="20"/>
        </w:rPr>
        <w:t xml:space="preserve"> (174 modules) </w:t>
      </w:r>
      <w:r>
        <w:rPr>
          <w:b/>
          <w:bCs/>
          <w:sz w:val="20"/>
        </w:rPr>
        <w:t>Tests:</w:t>
      </w:r>
      <w:r>
        <w:rPr>
          <w:sz w:val="20"/>
        </w:rPr>
        <w:t xml:space="preserve"> </w:t>
      </w:r>
      <w:r>
        <w:rPr>
          <w:rStyle w:val="VerbatimChar"/>
          <w:sz w:val="20"/>
        </w:rPr>
        <w:t>val/math/</w:t>
      </w:r>
      <w:r>
        <w:rPr>
          <w:sz w:val="20"/>
        </w:rPr>
        <w:t xml:space="preserve"> </w:t>
      </w:r>
      <w:r>
        <w:rPr>
          <w:b/>
          <w:bCs/>
          <w:sz w:val="20"/>
        </w:rPr>
        <w:t>Common building blocks:</w:t>
      </w:r>
      <w:r>
        <w:rPr>
          <w:sz w:val="20"/>
        </w:rPr>
        <w:t xml:space="preserve"> </w:t>
      </w:r>
      <w:hyperlink r:id="rId49">
        <w:r>
          <w:rPr>
            <w:rStyle w:val="Hyperlink"/>
          </w:rPr>
          <w:t>rtl-common</w:t>
        </w:r>
      </w:hyperlink>
    </w:p>
    <w:p>
      <w:pPr>
        <w:pStyle w:val="BodyText"/>
        <w:rPr/>
      </w:pPr>
      <w:r>
        <w:rPr>
          <w:sz w:val="20"/>
        </w:rPr>
        <w:t xml:space="preserve">The complete </w:t>
      </w:r>
      <w:r>
        <w:rPr>
          <w:rStyle w:val="VerbatimChar"/>
          <w:sz w:val="20"/>
        </w:rPr>
        <w:t>math_*</w:t>
      </w:r>
      <w:r>
        <w:rPr>
          <w:sz w:val="20"/>
        </w:rPr>
        <w:t xml:space="preserve"> arithmetic library: adders, subtractors, multipliers, compressors, prefix cells, and the BF16 / FP8 / FP16 / FP32 / IEEE-754 floating-point modules — every family, with the files that make it up.</w:t>
      </w:r>
      <w:r>
        <w:br w:type="page"/>
      </w:r>
    </w:p>
    <w:p>
      <w:pPr>
        <w:pStyle w:val="Heading2"/>
        <w:pBdr>
          <w:bottom w:val="single" w:sz="12" w:space="0" w:color="228B22"/>
        </w:pBdr>
        <w:spacing w:before="280" w:after="80"/>
        <w:rPr/>
      </w:pPr>
      <w:bookmarkStart w:id="112" w:name="__RefHeading___Toc12201_211582255"/>
      <w:bookmarkStart w:id="113" w:name="overview"/>
      <w:bookmarkEnd w:id="112"/>
      <w:r>
        <w:rPr>
          <w:rStyle w:val="SectionNumber"/>
          <w:b/>
          <w:color w:val="228B22"/>
          <w:sz w:val="28"/>
        </w:rPr>
        <w:t>6.1</w:t>
      </w:r>
      <w:r>
        <w:rPr>
          <w:b/>
          <w:color w:val="228B22"/>
          <w:sz w:val="28"/>
        </w:rPr>
        <w:tab/>
        <w:t>Overview</w:t>
      </w:r>
    </w:p>
    <w:p>
      <w:pPr>
        <w:pStyle w:val="FirstParagraph"/>
        <w:rPr/>
      </w:pPr>
      <w:r>
        <w:rPr>
          <w:sz w:val="20"/>
        </w:rPr>
        <w:t xml:space="preserve">This page is the catalogue, not the guide. Read the </w:t>
      </w:r>
      <w:hyperlink r:id="rId50">
        <w:r>
          <w:rPr>
            <w:rStyle w:val="Hyperlink"/>
            <w:b/>
            <w:bCs/>
          </w:rPr>
          <w:t>Math Library overview</w:t>
        </w:r>
      </w:hyperlink>
      <w:r>
        <w:rPr>
          <w:sz w:val="20"/>
        </w:rPr>
        <w:t xml:space="preserve"> first: it organizes the whole </w:t>
      </w:r>
      <w:r>
        <w:rPr>
          <w:rStyle w:val="VerbatimChar"/>
          <w:sz w:val="20"/>
        </w:rPr>
        <w:t>math_*</w:t>
      </w:r>
      <w:r>
        <w:rPr>
          <w:sz w:val="20"/>
        </w:rPr>
        <w:t xml:space="preserve"> family by operation → methodology — Brent-Kung / Han-Carlson adders, Dadda / Wallace multipliers, IEEE-754 fp32/fp16/bf16/fp8 operators, conversions, and activations — each with its research reference and a link to the detailed doc below, plus the </w:t>
      </w:r>
      <w:r>
        <w:rPr>
          <w:rStyle w:val="VerbatimChar"/>
          <w:sz w:val="20"/>
        </w:rPr>
        <w:t>bin/</w:t>
      </w:r>
      <w:r>
        <w:rPr>
          <w:sz w:val="20"/>
        </w:rPr>
        <w:t xml:space="preserve"> code-generation automation. Come back here when you need the exact file list. That’s the one thing this page does better than any other.</w:t>
      </w:r>
      <w:bookmarkEnd w:id="113"/>
      <w:r>
        <w:br w:type="page"/>
      </w:r>
    </w:p>
    <w:p>
      <w:pPr>
        <w:pStyle w:val="Heading2"/>
        <w:pBdr>
          <w:bottom w:val="single" w:sz="12" w:space="0" w:color="228B22"/>
        </w:pBdr>
        <w:spacing w:before="280" w:after="80"/>
        <w:rPr/>
      </w:pPr>
      <w:bookmarkStart w:id="114" w:name="__RefHeading___Toc12203_211582255"/>
      <w:bookmarkStart w:id="115" w:name="module-categories"/>
      <w:bookmarkEnd w:id="114"/>
      <w:r>
        <w:rPr>
          <w:rStyle w:val="SectionNumber"/>
          <w:b/>
          <w:color w:val="228B22"/>
          <w:sz w:val="28"/>
        </w:rPr>
        <w:t>6.2</w:t>
      </w:r>
      <w:r>
        <w:rPr>
          <w:b/>
          <w:color w:val="228B22"/>
          <w:sz w:val="28"/>
        </w:rPr>
        <w:tab/>
        <w:t>Module categories</w:t>
      </w:r>
    </w:p>
    <w:p>
      <w:pPr>
        <w:pStyle w:val="Heading3"/>
        <w:spacing w:before="200" w:after="80"/>
        <w:rPr/>
      </w:pPr>
      <w:bookmarkStart w:id="116" w:name="__RefHeading___Toc12205_211582255"/>
      <w:bookmarkStart w:id="117" w:name="basic-arithmetic"/>
      <w:bookmarkEnd w:id="116"/>
      <w:r>
        <w:rPr>
          <w:rStyle w:val="SectionNumber"/>
          <w:b/>
          <w:color w:val="404040"/>
          <w:sz w:val="24"/>
        </w:rPr>
        <w:t>6.2.1</w:t>
      </w:r>
      <w:r>
        <w:rPr>
          <w:b/>
          <w:color w:val="404040"/>
          <w:sz w:val="24"/>
        </w:rPr>
        <w:tab/>
        <w:t>Basic arithmetic</w:t>
      </w:r>
    </w:p>
    <w:p>
      <w:pPr>
        <w:pStyle w:val="Compact"/>
        <w:numPr>
          <w:ilvl w:val="0"/>
          <w:numId w:val="197"/>
        </w:numPr>
        <w:rPr/>
      </w:pPr>
      <w:hyperlink r:id="rId51">
        <w:r>
          <w:rPr>
            <w:rStyle w:val="Hyperlink"/>
            <w:b/>
            <w:bCs/>
          </w:rPr>
          <w:t>math_adder_basic</w:t>
        </w:r>
      </w:hyperlink>
      <w:r>
        <w:rPr/>
        <w:t xml:space="preserve"> — single-bit adders (full and half adder)</w:t>
      </w:r>
    </w:p>
    <w:p>
      <w:pPr>
        <w:pStyle w:val="Compact"/>
        <w:numPr>
          <w:ilvl w:val="1"/>
          <w:numId w:val="198"/>
        </w:numPr>
        <w:rPr/>
      </w:pPr>
      <w:r>
        <w:rPr/>
        <w:t xml:space="preserve">Includes: </w:t>
      </w:r>
      <w:r>
        <w:rPr>
          <w:rStyle w:val="VerbatimChar"/>
        </w:rPr>
        <w:t>math_adder_full.sv</w:t>
      </w:r>
      <w:r>
        <w:rPr/>
        <w:t xml:space="preserve"> (</w:t>
      </w:r>
      <w:hyperlink r:id="rId52">
        <w:r>
          <w:rPr>
            <w:rStyle w:val="Hyperlink"/>
          </w:rPr>
          <w:t>dedicated page</w:t>
        </w:r>
      </w:hyperlink>
      <w:r>
        <w:rPr/>
        <w:t xml:space="preserve">), </w:t>
      </w:r>
      <w:r>
        <w:rPr>
          <w:rStyle w:val="VerbatimChar"/>
        </w:rPr>
        <w:t>math_adder_half.sv</w:t>
      </w:r>
      <w:r>
        <w:rPr/>
        <w:t xml:space="preserve">, </w:t>
      </w:r>
      <w:r>
        <w:rPr>
          <w:rStyle w:val="VerbatimChar"/>
        </w:rPr>
        <w:t>math_adder_full_nbit.sv</w:t>
      </w:r>
    </w:p>
    <w:p>
      <w:pPr>
        <w:pStyle w:val="Compact"/>
        <w:numPr>
          <w:ilvl w:val="0"/>
          <w:numId w:val="199"/>
        </w:numPr>
        <w:rPr/>
      </w:pPr>
      <w:hyperlink r:id="rId53">
        <w:r>
          <w:rPr>
            <w:rStyle w:val="Hyperlink"/>
            <w:b/>
            <w:bCs/>
          </w:rPr>
          <w:t>math_adder_ripple_carry</w:t>
        </w:r>
      </w:hyperlink>
      <w:r>
        <w:rPr/>
        <w:t xml:space="preserve"> — multi-bit ripple carry adder</w:t>
      </w:r>
    </w:p>
    <w:p>
      <w:pPr>
        <w:pStyle w:val="Compact"/>
        <w:numPr>
          <w:ilvl w:val="0"/>
          <w:numId w:val="200"/>
        </w:numPr>
        <w:rPr/>
      </w:pPr>
      <w:hyperlink r:id="rId54">
        <w:r>
          <w:rPr>
            <w:rStyle w:val="Hyperlink"/>
            <w:b/>
            <w:bCs/>
          </w:rPr>
          <w:t>math_adder_pg_chain</w:t>
        </w:r>
      </w:hyperlink>
      <w:r>
        <w:rPr/>
        <w:t xml:space="preserve"> — fast carry lookahead adder</w:t>
      </w:r>
    </w:p>
    <w:p>
      <w:pPr>
        <w:pStyle w:val="Compact"/>
        <w:numPr>
          <w:ilvl w:val="0"/>
          <w:numId w:val="201"/>
        </w:numPr>
        <w:rPr/>
      </w:pPr>
      <w:hyperlink r:id="rId55">
        <w:r>
          <w:rPr>
            <w:rStyle w:val="Hyperlink"/>
            <w:b/>
            <w:bCs/>
          </w:rPr>
          <w:t>math_adder_carry_save</w:t>
        </w:r>
      </w:hyperlink>
      <w:r>
        <w:rPr/>
        <w:t xml:space="preserve"> — carry-save adder for multiple operands</w:t>
      </w:r>
    </w:p>
    <w:p>
      <w:pPr>
        <w:pStyle w:val="Compact"/>
        <w:numPr>
          <w:ilvl w:val="1"/>
          <w:numId w:val="202"/>
        </w:numPr>
        <w:rPr/>
      </w:pPr>
      <w:r>
        <w:rPr/>
        <w:t xml:space="preserve">Includes: </w:t>
      </w:r>
      <w:r>
        <w:rPr>
          <w:rStyle w:val="VerbatimChar"/>
        </w:rPr>
        <w:t>math_adder_carry_save.sv</w:t>
      </w:r>
      <w:r>
        <w:rPr/>
        <w:t xml:space="preserve">, </w:t>
      </w:r>
      <w:r>
        <w:rPr>
          <w:rStyle w:val="VerbatimChar"/>
        </w:rPr>
        <w:t>math_adder_carry_save_nbit.sv</w:t>
      </w:r>
      <w:bookmarkEnd w:id="117"/>
    </w:p>
    <w:p>
      <w:pPr>
        <w:pStyle w:val="Heading3"/>
        <w:spacing w:before="200" w:after="80"/>
        <w:rPr/>
      </w:pPr>
      <w:bookmarkStart w:id="118" w:name="__RefHeading___Toc12207_211582255"/>
      <w:bookmarkStart w:id="119" w:name="advanced-adders"/>
      <w:bookmarkEnd w:id="118"/>
      <w:r>
        <w:rPr>
          <w:rStyle w:val="SectionNumber"/>
          <w:b/>
          <w:color w:val="404040"/>
          <w:sz w:val="24"/>
        </w:rPr>
        <w:t>6.2.2</w:t>
      </w:r>
      <w:r>
        <w:rPr>
          <w:b/>
          <w:color w:val="404040"/>
          <w:sz w:val="24"/>
        </w:rPr>
        <w:tab/>
        <w:t>Advanced adders</w:t>
      </w:r>
    </w:p>
    <w:p>
      <w:pPr>
        <w:pStyle w:val="Compact"/>
        <w:numPr>
          <w:ilvl w:val="0"/>
          <w:numId w:val="203"/>
        </w:numPr>
        <w:rPr/>
      </w:pPr>
      <w:hyperlink r:id="rId56">
        <w:r>
          <w:rPr>
            <w:rStyle w:val="Hyperlink"/>
            <w:b/>
            <w:bCs/>
          </w:rPr>
          <w:t>math_adder_brent_kung</w:t>
        </w:r>
      </w:hyperlink>
      <w:r>
        <w:rPr/>
        <w:t xml:space="preserve"> — Brent-Kung parallel prefix adder family (8/16/32/64-bit)</w:t>
      </w:r>
    </w:p>
    <w:p>
      <w:pPr>
        <w:pStyle w:val="Compact"/>
        <w:numPr>
          <w:ilvl w:val="1"/>
          <w:numId w:val="204"/>
        </w:numPr>
        <w:rPr/>
      </w:pPr>
      <w:r>
        <w:rPr/>
        <w:t xml:space="preserve">Includes: </w:t>
      </w:r>
      <w:r>
        <w:rPr>
          <w:rStyle w:val="VerbatimChar"/>
        </w:rPr>
        <w:t>math_adder_brent_kung_008.sv</w:t>
      </w:r>
      <w:r>
        <w:rPr/>
        <w:t xml:space="preserve">, </w:t>
      </w:r>
      <w:r>
        <w:rPr>
          <w:rStyle w:val="VerbatimChar"/>
        </w:rPr>
        <w:t>math_adder_brent_kung_016.sv</w:t>
      </w:r>
      <w:r>
        <w:rPr/>
        <w:t xml:space="preserve">, </w:t>
      </w:r>
      <w:r>
        <w:rPr>
          <w:rStyle w:val="VerbatimChar"/>
        </w:rPr>
        <w:t>math_adder_brent_kung_032.sv</w:t>
      </w:r>
      <w:r>
        <w:rPr/>
        <w:t xml:space="preserve">, </w:t>
      </w:r>
      <w:r>
        <w:rPr>
          <w:rStyle w:val="VerbatimChar"/>
        </w:rPr>
        <w:t>math_adder_brent_kung_064.sv</w:t>
      </w:r>
    </w:p>
    <w:p>
      <w:pPr>
        <w:pStyle w:val="Compact"/>
        <w:numPr>
          <w:ilvl w:val="1"/>
          <w:numId w:val="205"/>
        </w:numPr>
        <w:rPr/>
      </w:pPr>
      <w:r>
        <w:rPr/>
        <w:t xml:space="preserve">Sub-modules: </w:t>
      </w:r>
      <w:r>
        <w:rPr>
          <w:rStyle w:val="VerbatimChar"/>
        </w:rPr>
        <w:t>math_adder_brent_kung_pg.sv</w:t>
      </w:r>
      <w:r>
        <w:rPr/>
        <w:t xml:space="preserve">, </w:t>
      </w:r>
      <w:r>
        <w:rPr>
          <w:rStyle w:val="VerbatimChar"/>
        </w:rPr>
        <w:t>math_adder_brent_kung_black.sv</w:t>
      </w:r>
      <w:r>
        <w:rPr/>
        <w:t xml:space="preserve">, </w:t>
      </w:r>
      <w:r>
        <w:rPr>
          <w:rStyle w:val="VerbatimChar"/>
        </w:rPr>
        <w:t>math_adder_brent_kung_gray.sv</w:t>
      </w:r>
      <w:r>
        <w:rPr/>
        <w:t xml:space="preserve">, </w:t>
      </w:r>
      <w:r>
        <w:rPr>
          <w:rStyle w:val="VerbatimChar"/>
        </w:rPr>
        <w:t>math_adder_brent_kung_bitwisepg.sv</w:t>
      </w:r>
      <w:r>
        <w:rPr/>
        <w:t xml:space="preserve">, </w:t>
      </w:r>
      <w:r>
        <w:rPr>
          <w:rStyle w:val="VerbatimChar"/>
        </w:rPr>
        <w:t>math_adder_brent_kung_grouppg_*.sv</w:t>
      </w:r>
      <w:r>
        <w:rPr/>
        <w:t xml:space="preserve">, </w:t>
      </w:r>
      <w:r>
        <w:rPr>
          <w:rStyle w:val="VerbatimChar"/>
        </w:rPr>
        <w:t>math_adder_brent_kung_sum.sv</w:t>
      </w:r>
    </w:p>
    <w:p>
      <w:pPr>
        <w:pStyle w:val="Compact"/>
        <w:numPr>
          <w:ilvl w:val="0"/>
          <w:numId w:val="206"/>
        </w:numPr>
        <w:rPr/>
      </w:pPr>
      <w:hyperlink r:id="rId57">
        <w:r>
          <w:rPr>
            <w:rStyle w:val="Hyperlink"/>
            <w:b/>
            <w:bCs/>
          </w:rPr>
          <w:t>math_adder_han_carlson</w:t>
        </w:r>
      </w:hyperlink>
      <w:r>
        <w:rPr/>
        <w:t xml:space="preserve"> — Han-Carlson hybrid parallel prefix adder family (16/22/32/44/48/72-bit)</w:t>
      </w:r>
    </w:p>
    <w:p>
      <w:pPr>
        <w:pStyle w:val="Compact"/>
        <w:numPr>
          <w:ilvl w:val="1"/>
          <w:numId w:val="207"/>
        </w:numPr>
        <w:rPr/>
      </w:pPr>
      <w:r>
        <w:rPr/>
        <w:t xml:space="preserve">Includes: </w:t>
      </w:r>
      <w:r>
        <w:rPr>
          <w:rStyle w:val="VerbatimChar"/>
        </w:rPr>
        <w:t>math_adder_han_carlson_016.sv</w:t>
      </w:r>
      <w:r>
        <w:rPr/>
        <w:t xml:space="preserve">, </w:t>
      </w:r>
      <w:r>
        <w:rPr>
          <w:rStyle w:val="VerbatimChar"/>
        </w:rPr>
        <w:t>math_adder_han_carlson_022.sv</w:t>
      </w:r>
      <w:r>
        <w:rPr/>
        <w:t xml:space="preserve">, </w:t>
      </w:r>
      <w:r>
        <w:rPr>
          <w:rStyle w:val="VerbatimChar"/>
        </w:rPr>
        <w:t>math_adder_han_carlson_032.sv</w:t>
      </w:r>
      <w:r>
        <w:rPr/>
        <w:t xml:space="preserve">, </w:t>
      </w:r>
      <w:r>
        <w:rPr>
          <w:rStyle w:val="VerbatimChar"/>
        </w:rPr>
        <w:t>math_adder_han_carlson_044.sv</w:t>
      </w:r>
      <w:r>
        <w:rPr/>
        <w:t xml:space="preserve">, </w:t>
      </w:r>
      <w:r>
        <w:rPr>
          <w:rStyle w:val="VerbatimChar"/>
        </w:rPr>
        <w:t>math_adder_han_carlson_048.sv</w:t>
      </w:r>
      <w:r>
        <w:rPr/>
        <w:t xml:space="preserve">, </w:t>
      </w:r>
      <w:r>
        <w:rPr>
          <w:rStyle w:val="VerbatimChar"/>
        </w:rPr>
        <w:t>math_adder_han_carlson_072.sv</w:t>
      </w:r>
    </w:p>
    <w:p>
      <w:pPr>
        <w:pStyle w:val="Compact"/>
        <w:numPr>
          <w:ilvl w:val="1"/>
          <w:numId w:val="208"/>
        </w:numPr>
        <w:rPr/>
      </w:pPr>
      <w:r>
        <w:rPr/>
        <w:t xml:space="preserve">Building blocks: </w:t>
      </w:r>
      <w:r>
        <w:rPr>
          <w:rStyle w:val="VerbatimChar"/>
        </w:rPr>
        <w:t>math_prefix_cell.sv</w:t>
      </w:r>
      <w:r>
        <w:rPr/>
        <w:t xml:space="preserve">, </w:t>
      </w:r>
      <w:r>
        <w:rPr>
          <w:rStyle w:val="VerbatimChar"/>
        </w:rPr>
        <w:t>math_prefix_cell_gray.sv</w:t>
      </w:r>
    </w:p>
    <w:p>
      <w:pPr>
        <w:pStyle w:val="Compact"/>
        <w:numPr>
          <w:ilvl w:val="0"/>
          <w:numId w:val="209"/>
        </w:numPr>
        <w:rPr/>
      </w:pPr>
      <w:hyperlink r:id="rId58">
        <w:r>
          <w:rPr>
            <w:rStyle w:val="Hyperlink"/>
            <w:b/>
            <w:bCs/>
          </w:rPr>
          <w:t>math_adder_hybrid_ripple_prefix</w:t>
        </w:r>
      </w:hyperlink>
      <w:r>
        <w:rPr/>
        <w:t xml:space="preserve"> — hybrid adder: low-order ripple chain + single Kogge-Stone tree for the upper bits (8/16/32/64-bit)</w:t>
      </w:r>
    </w:p>
    <w:p>
      <w:pPr>
        <w:pStyle w:val="Compact"/>
        <w:numPr>
          <w:ilvl w:val="1"/>
          <w:numId w:val="210"/>
        </w:numPr>
        <w:rPr/>
      </w:pPr>
      <w:r>
        <w:rPr/>
        <w:t xml:space="preserve">Includes: </w:t>
      </w:r>
      <w:r>
        <w:rPr>
          <w:rStyle w:val="VerbatimChar"/>
        </w:rPr>
        <w:t>math_adder_hybrid_ripple_prefix.sv</w:t>
      </w:r>
      <w:r>
        <w:rPr/>
        <w:t xml:space="preserve"> (parameterized core), </w:t>
      </w:r>
      <w:r>
        <w:rPr>
          <w:rStyle w:val="VerbatimChar"/>
        </w:rPr>
        <w:t>math_adder_hybrid_ripple_prefix_008.sv</w:t>
      </w:r>
      <w:r>
        <w:rPr/>
        <w:t xml:space="preserve">, </w:t>
      </w:r>
      <w:r>
        <w:rPr>
          <w:rStyle w:val="VerbatimChar"/>
        </w:rPr>
        <w:t>math_adder_hybrid_ripple_prefix_016.sv</w:t>
      </w:r>
      <w:r>
        <w:rPr/>
        <w:t xml:space="preserve">, </w:t>
      </w:r>
      <w:r>
        <w:rPr>
          <w:rStyle w:val="VerbatimChar"/>
        </w:rPr>
        <w:t>math_adder_hybrid_ripple_prefix_032.sv</w:t>
      </w:r>
      <w:r>
        <w:rPr/>
        <w:t xml:space="preserve">, </w:t>
      </w:r>
      <w:r>
        <w:rPr>
          <w:rStyle w:val="VerbatimChar"/>
        </w:rPr>
        <w:t>math_adder_hybrid_ripple_prefix_064.sv</w:t>
      </w:r>
    </w:p>
    <w:p>
      <w:pPr>
        <w:pStyle w:val="Compact"/>
        <w:numPr>
          <w:ilvl w:val="0"/>
          <w:numId w:val="211"/>
        </w:numPr>
        <w:rPr/>
      </w:pPr>
      <w:hyperlink r:id="rId59">
        <w:r>
          <w:rPr>
            <w:rStyle w:val="Hyperlink"/>
            <w:b/>
            <w:bCs/>
          </w:rPr>
          <w:t>math_addsub</w:t>
        </w:r>
      </w:hyperlink>
      <w:r>
        <w:rPr/>
        <w:t xml:space="preserve"> — combined adder/subtractor</w:t>
      </w:r>
    </w:p>
    <w:p>
      <w:pPr>
        <w:pStyle w:val="Compact"/>
        <w:numPr>
          <w:ilvl w:val="1"/>
          <w:numId w:val="212"/>
        </w:numPr>
        <w:rPr/>
      </w:pPr>
      <w:r>
        <w:rPr/>
        <w:t xml:space="preserve">Includes: </w:t>
      </w:r>
      <w:r>
        <w:rPr>
          <w:rStyle w:val="VerbatimChar"/>
        </w:rPr>
        <w:t>math_addsub_full_nbit.sv</w:t>
      </w:r>
      <w:bookmarkEnd w:id="119"/>
    </w:p>
    <w:p>
      <w:pPr>
        <w:pStyle w:val="Heading3"/>
        <w:spacing w:before="200" w:after="80"/>
        <w:rPr/>
      </w:pPr>
      <w:bookmarkStart w:id="120" w:name="__RefHeading___Toc12209_211582255"/>
      <w:bookmarkStart w:id="121" w:name="division"/>
      <w:bookmarkEnd w:id="120"/>
      <w:r>
        <w:rPr>
          <w:rStyle w:val="SectionNumber"/>
          <w:b/>
          <w:color w:val="404040"/>
          <w:sz w:val="24"/>
        </w:rPr>
        <w:t>6.2.3</w:t>
      </w:r>
      <w:r>
        <w:rPr>
          <w:b/>
          <w:color w:val="404040"/>
          <w:sz w:val="24"/>
        </w:rPr>
        <w:tab/>
        <w:t>Division</w:t>
      </w:r>
    </w:p>
    <w:p>
      <w:pPr>
        <w:pStyle w:val="Compact"/>
        <w:numPr>
          <w:ilvl w:val="0"/>
          <w:numId w:val="213"/>
        </w:numPr>
        <w:rPr/>
      </w:pPr>
      <w:hyperlink r:id="rId60">
        <w:r>
          <w:rPr>
            <w:rStyle w:val="Hyperlink"/>
            <w:b/>
            <w:bCs/>
          </w:rPr>
          <w:t>math_dividers</w:t>
        </w:r>
      </w:hyperlink>
      <w:r>
        <w:rPr/>
        <w:t xml:space="preserve"> — integer divider family: restoring, non-restoring, and SRT radix-2 / radix-2-carry-save / radix-4 (parameterized </w:t>
      </w:r>
      <w:r>
        <w:rPr>
          <w:rStyle w:val="VerbatimChar"/>
        </w:rPr>
        <w:t>DATA_WIDTH</w:t>
      </w:r>
      <w:r>
        <w:rPr/>
        <w:t>)</w:t>
      </w:r>
    </w:p>
    <w:p>
      <w:pPr>
        <w:pStyle w:val="Compact"/>
        <w:numPr>
          <w:ilvl w:val="1"/>
          <w:numId w:val="214"/>
        </w:numPr>
        <w:rPr/>
      </w:pPr>
      <w:r>
        <w:rPr/>
        <w:t xml:space="preserve">Includes: </w:t>
      </w:r>
      <w:r>
        <w:rPr>
          <w:rStyle w:val="VerbatimChar"/>
        </w:rPr>
        <w:t>math_divider_restoring.sv</w:t>
      </w:r>
      <w:r>
        <w:rPr/>
        <w:t xml:space="preserve">, </w:t>
      </w:r>
      <w:r>
        <w:rPr>
          <w:rStyle w:val="VerbatimChar"/>
        </w:rPr>
        <w:t>math_divider_nonrestoring.sv</w:t>
      </w:r>
      <w:r>
        <w:rPr/>
        <w:t xml:space="preserve">, </w:t>
      </w:r>
      <w:r>
        <w:rPr>
          <w:rStyle w:val="VerbatimChar"/>
        </w:rPr>
        <w:t>math_divider_srt_radix2.sv</w:t>
      </w:r>
      <w:r>
        <w:rPr/>
        <w:t xml:space="preserve">, </w:t>
      </w:r>
      <w:r>
        <w:rPr>
          <w:rStyle w:val="VerbatimChar"/>
        </w:rPr>
        <w:t>math_divider_srt_radix2_csa.sv</w:t>
      </w:r>
      <w:r>
        <w:rPr/>
        <w:t xml:space="preserve">, </w:t>
      </w:r>
      <w:r>
        <w:rPr>
          <w:rStyle w:val="VerbatimChar"/>
        </w:rPr>
        <w:t>math_divider_srt_radix2_csa_structural.sv</w:t>
      </w:r>
      <w:r>
        <w:rPr/>
        <w:t xml:space="preserve"> (cell-built A/B twin), </w:t>
      </w:r>
      <w:r>
        <w:rPr>
          <w:rStyle w:val="VerbatimChar"/>
        </w:rPr>
        <w:t>math_divider_srt_radix4.sv</w:t>
      </w:r>
      <w:bookmarkEnd w:id="121"/>
    </w:p>
    <w:p>
      <w:pPr>
        <w:pStyle w:val="Heading3"/>
        <w:spacing w:before="200" w:after="80"/>
        <w:rPr/>
      </w:pPr>
      <w:bookmarkStart w:id="122" w:name="__RefHeading___Toc12211_211582255"/>
      <w:bookmarkStart w:id="123" w:name="subtraction"/>
      <w:bookmarkEnd w:id="122"/>
      <w:r>
        <w:rPr>
          <w:rStyle w:val="SectionNumber"/>
          <w:b/>
          <w:color w:val="404040"/>
          <w:sz w:val="24"/>
        </w:rPr>
        <w:t>6.2.4</w:t>
      </w:r>
      <w:r>
        <w:rPr>
          <w:b/>
          <w:color w:val="404040"/>
          <w:sz w:val="24"/>
        </w:rPr>
        <w:tab/>
        <w:t>Subtraction</w:t>
      </w:r>
    </w:p>
    <w:p>
      <w:pPr>
        <w:pStyle w:val="Compact"/>
        <w:numPr>
          <w:ilvl w:val="0"/>
          <w:numId w:val="215"/>
        </w:numPr>
        <w:rPr/>
      </w:pPr>
      <w:hyperlink r:id="rId61">
        <w:r>
          <w:rPr>
            <w:rStyle w:val="Hyperlink"/>
            <w:b/>
            <w:bCs/>
          </w:rPr>
          <w:t>math_subtractor</w:t>
        </w:r>
      </w:hyperlink>
      <w:r>
        <w:rPr/>
        <w:t xml:space="preserve"> — subtractor family (single-bit and multi-bit)</w:t>
      </w:r>
    </w:p>
    <w:p>
      <w:pPr>
        <w:pStyle w:val="Compact"/>
        <w:numPr>
          <w:ilvl w:val="1"/>
          <w:numId w:val="216"/>
        </w:numPr>
        <w:rPr/>
      </w:pPr>
      <w:r>
        <w:rPr/>
        <w:t xml:space="preserve">Includes: </w:t>
      </w:r>
      <w:r>
        <w:rPr>
          <w:rStyle w:val="VerbatimChar"/>
        </w:rPr>
        <w:t>math_subtractor_full.sv</w:t>
      </w:r>
      <w:r>
        <w:rPr/>
        <w:t xml:space="preserve">, </w:t>
      </w:r>
      <w:r>
        <w:rPr>
          <w:rStyle w:val="VerbatimChar"/>
        </w:rPr>
        <w:t>math_subtractor_half.sv</w:t>
      </w:r>
      <w:r>
        <w:rPr/>
        <w:t xml:space="preserve">, </w:t>
      </w:r>
      <w:r>
        <w:rPr>
          <w:rStyle w:val="VerbatimChar"/>
        </w:rPr>
        <w:t>math_subtractor_full_nbit.sv</w:t>
      </w:r>
      <w:r>
        <w:rPr/>
        <w:t xml:space="preserve">, </w:t>
      </w:r>
      <w:r>
        <w:rPr>
          <w:rStyle w:val="VerbatimChar"/>
        </w:rPr>
        <w:t>math_subtractor_ripple_carry.sv</w:t>
      </w:r>
      <w:r>
        <w:rPr/>
        <w:t xml:space="preserve">, </w:t>
      </w:r>
      <w:r>
        <w:rPr>
          <w:rStyle w:val="VerbatimChar"/>
        </w:rPr>
        <w:t>math_subtractor_carry_lookahead.sv</w:t>
      </w:r>
      <w:bookmarkEnd w:id="123"/>
    </w:p>
    <w:p>
      <w:pPr>
        <w:pStyle w:val="Heading3"/>
        <w:spacing w:before="200" w:after="80"/>
        <w:rPr/>
      </w:pPr>
      <w:bookmarkStart w:id="124" w:name="__RefHeading___Toc12213_211582255"/>
      <w:bookmarkStart w:id="125" w:name="multiplication"/>
      <w:bookmarkEnd w:id="124"/>
      <w:r>
        <w:rPr>
          <w:rStyle w:val="SectionNumber"/>
          <w:b/>
          <w:color w:val="404040"/>
          <w:sz w:val="24"/>
        </w:rPr>
        <w:t>6.2.5</w:t>
      </w:r>
      <w:r>
        <w:rPr>
          <w:b/>
          <w:color w:val="404040"/>
          <w:sz w:val="24"/>
        </w:rPr>
        <w:tab/>
        <w:t>Multiplication</w:t>
      </w:r>
    </w:p>
    <w:p>
      <w:pPr>
        <w:pStyle w:val="Compact"/>
        <w:numPr>
          <w:ilvl w:val="0"/>
          <w:numId w:val="217"/>
        </w:numPr>
        <w:rPr/>
      </w:pPr>
      <w:hyperlink r:id="rId62">
        <w:r>
          <w:rPr>
            <w:rStyle w:val="Hyperlink"/>
            <w:b/>
            <w:bCs/>
          </w:rPr>
          <w:t>math_multiplier_wallace_tree</w:t>
        </w:r>
      </w:hyperlink>
      <w:r>
        <w:rPr/>
        <w:t xml:space="preserve"> — Wallace tree multiplier family (8/16/32-bit)</w:t>
      </w:r>
    </w:p>
    <w:p>
      <w:pPr>
        <w:pStyle w:val="Compact"/>
        <w:numPr>
          <w:ilvl w:val="1"/>
          <w:numId w:val="218"/>
        </w:numPr>
        <w:rPr/>
      </w:pPr>
      <w:r>
        <w:rPr/>
        <w:t xml:space="preserve">Includes: </w:t>
      </w:r>
      <w:r>
        <w:rPr>
          <w:rStyle w:val="VerbatimChar"/>
        </w:rPr>
        <w:t>math_multiplier_wallace_tree_008.sv</w:t>
      </w:r>
      <w:r>
        <w:rPr/>
        <w:t xml:space="preserve">, </w:t>
      </w:r>
      <w:r>
        <w:rPr>
          <w:rStyle w:val="VerbatimChar"/>
        </w:rPr>
        <w:t>math_multiplier_wallace_tree_016.sv</w:t>
      </w:r>
      <w:r>
        <w:rPr/>
        <w:t xml:space="preserve">, </w:t>
      </w:r>
      <w:r>
        <w:rPr>
          <w:rStyle w:val="VerbatimChar"/>
        </w:rPr>
        <w:t>math_multiplier_wallace_tree_032.sv</w:t>
      </w:r>
    </w:p>
    <w:p>
      <w:pPr>
        <w:pStyle w:val="Compact"/>
        <w:numPr>
          <w:ilvl w:val="1"/>
          <w:numId w:val="219"/>
        </w:numPr>
        <w:rPr/>
      </w:pPr>
      <w:r>
        <w:rPr/>
        <w:t xml:space="preserve">CSA variants: </w:t>
      </w:r>
      <w:r>
        <w:rPr>
          <w:rStyle w:val="VerbatimChar"/>
        </w:rPr>
        <w:t>math_multiplier_wallace_tree_csa_008.sv</w:t>
      </w:r>
      <w:r>
        <w:rPr/>
        <w:t xml:space="preserve">, </w:t>
      </w:r>
      <w:r>
        <w:rPr>
          <w:rStyle w:val="VerbatimChar"/>
        </w:rPr>
        <w:t>math_multiplier_wallace_tree_csa_016.sv</w:t>
      </w:r>
      <w:r>
        <w:rPr/>
        <w:t xml:space="preserve">, </w:t>
      </w:r>
      <w:r>
        <w:rPr>
          <w:rStyle w:val="VerbatimChar"/>
        </w:rPr>
        <w:t>math_multiplier_wallace_tree_csa_032.sv</w:t>
      </w:r>
    </w:p>
    <w:p>
      <w:pPr>
        <w:pStyle w:val="Compact"/>
        <w:numPr>
          <w:ilvl w:val="0"/>
          <w:numId w:val="220"/>
        </w:numPr>
        <w:rPr/>
      </w:pPr>
      <w:hyperlink r:id="rId63">
        <w:r>
          <w:rPr>
            <w:rStyle w:val="Hyperlink"/>
            <w:b/>
            <w:bCs/>
          </w:rPr>
          <w:t>math_multiplier_dadda_tree</w:t>
        </w:r>
      </w:hyperlink>
      <w:r>
        <w:rPr/>
        <w:t xml:space="preserve"> — Dadda tree multiplier family (8/16/32-bit)</w:t>
      </w:r>
    </w:p>
    <w:p>
      <w:pPr>
        <w:pStyle w:val="Compact"/>
        <w:numPr>
          <w:ilvl w:val="1"/>
          <w:numId w:val="221"/>
        </w:numPr>
        <w:rPr/>
      </w:pPr>
      <w:r>
        <w:rPr/>
        <w:t xml:space="preserve">Includes: </w:t>
      </w:r>
      <w:r>
        <w:rPr>
          <w:rStyle w:val="VerbatimChar"/>
        </w:rPr>
        <w:t>math_multiplier_dadda_tree_008.sv</w:t>
      </w:r>
      <w:r>
        <w:rPr/>
        <w:t xml:space="preserve">, </w:t>
      </w:r>
      <w:r>
        <w:rPr>
          <w:rStyle w:val="VerbatimChar"/>
        </w:rPr>
        <w:t>math_multiplier_dadda_tree_016.sv</w:t>
      </w:r>
      <w:r>
        <w:rPr/>
        <w:t xml:space="preserve">, </w:t>
      </w:r>
      <w:r>
        <w:rPr>
          <w:rStyle w:val="VerbatimChar"/>
        </w:rPr>
        <w:t>math_multiplier_dadda_tree_032.sv</w:t>
      </w:r>
    </w:p>
    <w:p>
      <w:pPr>
        <w:pStyle w:val="Compact"/>
        <w:numPr>
          <w:ilvl w:val="0"/>
          <w:numId w:val="222"/>
        </w:numPr>
        <w:rPr/>
      </w:pPr>
      <w:hyperlink r:id="rId64">
        <w:r>
          <w:rPr>
            <w:rStyle w:val="Hyperlink"/>
            <w:b/>
            <w:bCs/>
          </w:rPr>
          <w:t>math_multiplier_dadda_4to2</w:t>
        </w:r>
      </w:hyperlink>
      <w:r>
        <w:rPr/>
        <w:t xml:space="preserve"> — Dadda tree multiplier with 4:2 compressors (8/11/24-bit)</w:t>
      </w:r>
    </w:p>
    <w:p>
      <w:pPr>
        <w:pStyle w:val="Compact"/>
        <w:numPr>
          <w:ilvl w:val="1"/>
          <w:numId w:val="223"/>
        </w:numPr>
        <w:rPr/>
      </w:pPr>
      <w:r>
        <w:rPr/>
        <w:t xml:space="preserve">Includes: </w:t>
      </w:r>
      <w:r>
        <w:rPr>
          <w:rStyle w:val="VerbatimChar"/>
        </w:rPr>
        <w:t>math_multiplier_dadda_4to2_008.sv</w:t>
      </w:r>
      <w:r>
        <w:rPr/>
        <w:t xml:space="preserve"> (BF16), </w:t>
      </w:r>
      <w:r>
        <w:rPr>
          <w:rStyle w:val="VerbatimChar"/>
        </w:rPr>
        <w:t>math_multiplier_dadda_4to2_011.sv</w:t>
      </w:r>
      <w:r>
        <w:rPr/>
        <w:t xml:space="preserve"> (FP16), </w:t>
      </w:r>
      <w:r>
        <w:rPr>
          <w:rStyle w:val="VerbatimChar"/>
        </w:rPr>
        <w:t>math_multiplier_dadda_4to2_024.sv</w:t>
      </w:r>
      <w:r>
        <w:rPr/>
        <w:t xml:space="preserve"> (FP32)</w:t>
      </w:r>
    </w:p>
    <w:p>
      <w:pPr>
        <w:pStyle w:val="Compact"/>
        <w:numPr>
          <w:ilvl w:val="1"/>
          <w:numId w:val="224"/>
        </w:numPr>
        <w:rPr/>
      </w:pPr>
      <w:r>
        <w:rPr/>
        <w:t xml:space="preserve">Building blocks: </w:t>
      </w:r>
      <w:r>
        <w:rPr>
          <w:rStyle w:val="VerbatimChar"/>
        </w:rPr>
        <w:t>math_compressor_4to2.sv</w:t>
      </w:r>
    </w:p>
    <w:p>
      <w:pPr>
        <w:pStyle w:val="Compact"/>
        <w:numPr>
          <w:ilvl w:val="0"/>
          <w:numId w:val="225"/>
        </w:numPr>
        <w:rPr/>
      </w:pPr>
      <w:hyperlink r:id="rId65">
        <w:r>
          <w:rPr>
            <w:rStyle w:val="Hyperlink"/>
            <w:b/>
            <w:bCs/>
          </w:rPr>
          <w:t>math_multiplier_basic</w:t>
        </w:r>
      </w:hyperlink>
      <w:r>
        <w:rPr/>
        <w:t xml:space="preserve"> — basic multiplier components</w:t>
      </w:r>
    </w:p>
    <w:p>
      <w:pPr>
        <w:pStyle w:val="Compact"/>
        <w:numPr>
          <w:ilvl w:val="1"/>
          <w:numId w:val="226"/>
        </w:numPr>
        <w:rPr/>
      </w:pPr>
      <w:r>
        <w:rPr/>
        <w:t xml:space="preserve">Includes: </w:t>
      </w:r>
      <w:r>
        <w:rPr>
          <w:rStyle w:val="VerbatimChar"/>
        </w:rPr>
        <w:t>math_multiplier_basic_cell.sv</w:t>
      </w:r>
      <w:r>
        <w:rPr/>
        <w:t xml:space="preserve">, </w:t>
      </w:r>
      <w:r>
        <w:rPr>
          <w:rStyle w:val="VerbatimChar"/>
        </w:rPr>
        <w:t>math_multiplier_carry_save.sv</w:t>
      </w:r>
      <w:bookmarkEnd w:id="125"/>
    </w:p>
    <w:p>
      <w:pPr>
        <w:pStyle w:val="Heading3"/>
        <w:spacing w:before="200" w:after="80"/>
        <w:rPr/>
      </w:pPr>
      <w:bookmarkStart w:id="126" w:name="__RefHeading___Toc12215_211582255"/>
      <w:bookmarkStart w:id="127" w:name="bf16-floating-point-arithmetic"/>
      <w:bookmarkEnd w:id="126"/>
      <w:r>
        <w:rPr>
          <w:rStyle w:val="SectionNumber"/>
          <w:b/>
          <w:color w:val="404040"/>
          <w:sz w:val="24"/>
        </w:rPr>
        <w:t>6.2.6</w:t>
      </w:r>
      <w:r>
        <w:rPr>
          <w:b/>
          <w:color w:val="404040"/>
          <w:sz w:val="24"/>
        </w:rPr>
        <w:tab/>
        <w:t>BF16 floating-point arithmetic</w:t>
      </w:r>
    </w:p>
    <w:p>
      <w:pPr>
        <w:pStyle w:val="Compact"/>
        <w:numPr>
          <w:ilvl w:val="0"/>
          <w:numId w:val="227"/>
        </w:numPr>
        <w:rPr/>
      </w:pPr>
      <w:hyperlink r:id="rId66">
        <w:r>
          <w:rPr>
            <w:rStyle w:val="Hyperlink"/>
            <w:b/>
            <w:bCs/>
          </w:rPr>
          <w:t>math_bf16_adder</w:t>
        </w:r>
      </w:hyperlink>
      <w:r>
        <w:rPr/>
        <w:t xml:space="preserve"> — pipelined BF16 adder with configurable latency</w:t>
      </w:r>
    </w:p>
    <w:p>
      <w:pPr>
        <w:pStyle w:val="Compact"/>
        <w:numPr>
          <w:ilvl w:val="1"/>
          <w:numId w:val="228"/>
        </w:numPr>
        <w:rPr/>
      </w:pPr>
      <w:r>
        <w:rPr/>
        <w:t xml:space="preserve">Includes: </w:t>
      </w:r>
      <w:r>
        <w:rPr>
          <w:rStyle w:val="VerbatimChar"/>
        </w:rPr>
        <w:t>math_bf16_adder.sv</w:t>
      </w:r>
    </w:p>
    <w:p>
      <w:pPr>
        <w:pStyle w:val="Compact"/>
        <w:numPr>
          <w:ilvl w:val="1"/>
          <w:numId w:val="229"/>
        </w:numPr>
        <w:rPr/>
      </w:pPr>
      <w:r>
        <w:rPr/>
        <w:t xml:space="preserve">Dependencies: </w:t>
      </w:r>
      <w:r>
        <w:rPr>
          <w:rStyle w:val="VerbatimChar"/>
        </w:rPr>
        <w:t>shifter_barrel.sv</w:t>
      </w:r>
      <w:r>
        <w:rPr/>
        <w:t xml:space="preserve">, </w:t>
      </w:r>
      <w:r>
        <w:rPr>
          <w:rStyle w:val="VerbatimChar"/>
        </w:rPr>
        <w:t>count_leading_zeros.sv</w:t>
      </w:r>
    </w:p>
    <w:p>
      <w:pPr>
        <w:pStyle w:val="Compact"/>
        <w:numPr>
          <w:ilvl w:val="0"/>
          <w:numId w:val="230"/>
        </w:numPr>
        <w:rPr/>
      </w:pPr>
      <w:hyperlink r:id="rId67">
        <w:r>
          <w:rPr>
            <w:rStyle w:val="Hyperlink"/>
            <w:b/>
            <w:bCs/>
          </w:rPr>
          <w:t>math_bf16_multiplier</w:t>
        </w:r>
      </w:hyperlink>
      <w:r>
        <w:rPr/>
        <w:t xml:space="preserve"> — complete BF16 multiplier with IEEE 754 compliance</w:t>
      </w:r>
    </w:p>
    <w:p>
      <w:pPr>
        <w:pStyle w:val="Compact"/>
        <w:numPr>
          <w:ilvl w:val="1"/>
          <w:numId w:val="231"/>
        </w:numPr>
        <w:rPr/>
      </w:pPr>
      <w:r>
        <w:rPr/>
        <w:t xml:space="preserve">Includes: </w:t>
      </w:r>
      <w:r>
        <w:rPr>
          <w:rStyle w:val="VerbatimChar"/>
        </w:rPr>
        <w:t>math_bf16_multiplier.sv</w:t>
      </w:r>
    </w:p>
    <w:p>
      <w:pPr>
        <w:pStyle w:val="Compact"/>
        <w:numPr>
          <w:ilvl w:val="1"/>
          <w:numId w:val="232"/>
        </w:numPr>
        <w:rPr/>
      </w:pPr>
      <w:r>
        <w:rPr/>
        <w:t xml:space="preserve">Sub-modules: </w:t>
      </w:r>
      <w:r>
        <w:rPr>
          <w:rStyle w:val="VerbatimChar"/>
        </w:rPr>
        <w:t>math_bf16_mantissa_mult.sv</w:t>
      </w:r>
      <w:r>
        <w:rPr/>
        <w:t xml:space="preserve">, </w:t>
      </w:r>
      <w:r>
        <w:rPr>
          <w:rStyle w:val="VerbatimChar"/>
        </w:rPr>
        <w:t>math_bf16_exponent_adder.sv</w:t>
      </w:r>
    </w:p>
    <w:p>
      <w:pPr>
        <w:pStyle w:val="Compact"/>
        <w:numPr>
          <w:ilvl w:val="0"/>
          <w:numId w:val="233"/>
        </w:numPr>
        <w:rPr/>
      </w:pPr>
      <w:hyperlink r:id="rId68">
        <w:r>
          <w:rPr>
            <w:rStyle w:val="Hyperlink"/>
            <w:b/>
            <w:bCs/>
          </w:rPr>
          <w:t>math_bf16_mantissa_mult</w:t>
        </w:r>
      </w:hyperlink>
      <w:r>
        <w:rPr/>
        <w:t xml:space="preserve"> — BF16 mantissa multiplier with normalization detection</w:t>
      </w:r>
    </w:p>
    <w:p>
      <w:pPr>
        <w:pStyle w:val="Compact"/>
        <w:numPr>
          <w:ilvl w:val="1"/>
          <w:numId w:val="234"/>
        </w:numPr>
        <w:rPr/>
      </w:pPr>
      <w:r>
        <w:rPr/>
        <w:t xml:space="preserve">Includes: </w:t>
      </w:r>
      <w:r>
        <w:rPr>
          <w:rStyle w:val="VerbatimChar"/>
        </w:rPr>
        <w:t>math_bf16_mantissa_mult.sv</w:t>
      </w:r>
    </w:p>
    <w:p>
      <w:pPr>
        <w:pStyle w:val="Compact"/>
        <w:numPr>
          <w:ilvl w:val="0"/>
          <w:numId w:val="235"/>
        </w:numPr>
        <w:rPr/>
      </w:pPr>
      <w:hyperlink r:id="rId69">
        <w:r>
          <w:rPr>
            <w:rStyle w:val="Hyperlink"/>
            <w:b/>
            <w:bCs/>
          </w:rPr>
          <w:t>math_bf16_exponent_adder</w:t>
        </w:r>
      </w:hyperlink>
      <w:r>
        <w:rPr/>
        <w:t xml:space="preserve"> — BF16 exponent computation with overflow/underflow detection</w:t>
      </w:r>
    </w:p>
    <w:p>
      <w:pPr>
        <w:pStyle w:val="Compact"/>
        <w:numPr>
          <w:ilvl w:val="1"/>
          <w:numId w:val="236"/>
        </w:numPr>
        <w:rPr/>
      </w:pPr>
      <w:r>
        <w:rPr/>
        <w:t xml:space="preserve">Includes: </w:t>
      </w:r>
      <w:r>
        <w:rPr>
          <w:rStyle w:val="VerbatimChar"/>
        </w:rPr>
        <w:t>math_bf16_exponent_adder.sv</w:t>
      </w:r>
    </w:p>
    <w:p>
      <w:pPr>
        <w:pStyle w:val="Compact"/>
        <w:numPr>
          <w:ilvl w:val="0"/>
          <w:numId w:val="237"/>
        </w:numPr>
        <w:rPr/>
      </w:pPr>
      <w:hyperlink r:id="rId70">
        <w:r>
          <w:rPr>
            <w:rStyle w:val="Hyperlink"/>
            <w:b/>
            <w:bCs/>
          </w:rPr>
          <w:t>math_bf16_fma</w:t>
        </w:r>
      </w:hyperlink>
      <w:r>
        <w:rPr/>
        <w:t xml:space="preserve"> — BF16 Fused Multiply-Add with FP32 accumulator for AI training</w:t>
      </w:r>
    </w:p>
    <w:p>
      <w:pPr>
        <w:pStyle w:val="Compact"/>
        <w:numPr>
          <w:ilvl w:val="1"/>
          <w:numId w:val="238"/>
        </w:numPr>
        <w:rPr/>
      </w:pPr>
      <w:r>
        <w:rPr/>
        <w:t xml:space="preserve">Includes: </w:t>
      </w:r>
      <w:r>
        <w:rPr>
          <w:rStyle w:val="VerbatimChar"/>
        </w:rPr>
        <w:t>math_bf16_fma.sv</w:t>
      </w:r>
    </w:p>
    <w:p>
      <w:pPr>
        <w:pStyle w:val="Compact"/>
        <w:numPr>
          <w:ilvl w:val="0"/>
          <w:numId w:val="239"/>
        </w:numPr>
        <w:rPr/>
      </w:pPr>
      <w:hyperlink r:id="rId71">
        <w:r>
          <w:rPr>
            <w:rStyle w:val="Hyperlink"/>
            <w:b/>
            <w:bCs/>
          </w:rPr>
          <w:t>math_bf16_extended</w:t>
        </w:r>
      </w:hyperlink>
      <w:r>
        <w:rPr/>
        <w:t xml:space="preserve"> — extended BF16 modules (29 modules)</w:t>
      </w:r>
    </w:p>
    <w:p>
      <w:pPr>
        <w:pStyle w:val="Compact"/>
        <w:numPr>
          <w:ilvl w:val="1"/>
          <w:numId w:val="240"/>
        </w:numPr>
        <w:rPr/>
      </w:pPr>
      <w:r>
        <w:rPr/>
        <w:t xml:space="preserve">Activation functions: </w:t>
      </w:r>
      <w:r>
        <w:rPr>
          <w:rStyle w:val="VerbatimChar"/>
        </w:rPr>
        <w:t>relu</w:t>
      </w:r>
      <w:r>
        <w:rPr/>
        <w:t xml:space="preserve">, </w:t>
      </w:r>
      <w:r>
        <w:rPr>
          <w:rStyle w:val="VerbatimChar"/>
        </w:rPr>
        <w:t>leaky_relu</w:t>
      </w:r>
      <w:r>
        <w:rPr/>
        <w:t xml:space="preserve">, </w:t>
      </w:r>
      <w:r>
        <w:rPr>
          <w:rStyle w:val="VerbatimChar"/>
        </w:rPr>
        <w:t>gelu</w:t>
      </w:r>
      <w:r>
        <w:rPr/>
        <w:t xml:space="preserve">, </w:t>
      </w:r>
      <w:r>
        <w:rPr>
          <w:rStyle w:val="VerbatimChar"/>
        </w:rPr>
        <w:t>sigmoid</w:t>
      </w:r>
      <w:r>
        <w:rPr/>
        <w:t xml:space="preserve">, </w:t>
      </w:r>
      <w:r>
        <w:rPr>
          <w:rStyle w:val="VerbatimChar"/>
        </w:rPr>
        <w:t>tanh</w:t>
      </w:r>
      <w:r>
        <w:rPr/>
        <w:t xml:space="preserve">, </w:t>
      </w:r>
      <w:r>
        <w:rPr>
          <w:rStyle w:val="VerbatimChar"/>
        </w:rPr>
        <w:t>silu</w:t>
      </w:r>
      <w:r>
        <w:rPr/>
        <w:t xml:space="preserve">, </w:t>
      </w:r>
      <w:r>
        <w:rPr>
          <w:rStyle w:val="VerbatimChar"/>
        </w:rPr>
        <w:t>softmax_8</w:t>
      </w:r>
    </w:p>
    <w:p>
      <w:pPr>
        <w:pStyle w:val="Compact"/>
        <w:numPr>
          <w:ilvl w:val="1"/>
          <w:numId w:val="241"/>
        </w:numPr>
        <w:rPr/>
      </w:pPr>
      <w:r>
        <w:rPr/>
        <w:t xml:space="preserve">Math operations: </w:t>
      </w:r>
      <w:r>
        <w:rPr>
          <w:rStyle w:val="VerbatimChar"/>
        </w:rPr>
        <w:t>exp2</w:t>
      </w:r>
      <w:r>
        <w:rPr/>
        <w:t xml:space="preserve">, </w:t>
      </w:r>
      <w:r>
        <w:rPr>
          <w:rStyle w:val="VerbatimChar"/>
        </w:rPr>
        <w:t>log2</w:t>
      </w:r>
      <w:r>
        <w:rPr/>
        <w:t xml:space="preserve">, </w:t>
      </w:r>
      <w:r>
        <w:rPr>
          <w:rStyle w:val="VerbatimChar"/>
        </w:rPr>
        <w:t>log2_scale</w:t>
      </w:r>
      <w:r>
        <w:rPr/>
        <w:t xml:space="preserve">, </w:t>
      </w:r>
      <w:r>
        <w:rPr>
          <w:rStyle w:val="VerbatimChar"/>
        </w:rPr>
        <w:t>reciprocal</w:t>
      </w:r>
      <w:r>
        <w:rPr/>
        <w:t xml:space="preserve">, </w:t>
      </w:r>
      <w:r>
        <w:rPr>
          <w:rStyle w:val="VerbatimChar"/>
        </w:rPr>
        <w:t>fast_reciprocal</w:t>
      </w:r>
      <w:r>
        <w:rPr/>
        <w:t xml:space="preserve">, </w:t>
      </w:r>
      <w:r>
        <w:rPr>
          <w:rStyle w:val="VerbatimChar"/>
        </w:rPr>
        <w:t>divider</w:t>
      </w:r>
      <w:r>
        <w:rPr/>
        <w:t xml:space="preserve">, </w:t>
      </w:r>
      <w:r>
        <w:rPr>
          <w:rStyle w:val="VerbatimChar"/>
        </w:rPr>
        <w:t>goldschmidt_div</w:t>
      </w:r>
      <w:r>
        <w:rPr/>
        <w:t xml:space="preserve">, </w:t>
      </w:r>
      <w:r>
        <w:rPr>
          <w:rStyle w:val="VerbatimChar"/>
        </w:rPr>
        <w:t>newton_raphson_recip</w:t>
      </w:r>
    </w:p>
    <w:p>
      <w:pPr>
        <w:pStyle w:val="Compact"/>
        <w:numPr>
          <w:ilvl w:val="1"/>
          <w:numId w:val="242"/>
        </w:numPr>
        <w:rPr/>
      </w:pPr>
      <w:r>
        <w:rPr/>
        <w:t xml:space="preserve">Comparison/Selection: </w:t>
      </w:r>
      <w:r>
        <w:rPr>
          <w:rStyle w:val="VerbatimChar"/>
        </w:rPr>
        <w:t>comparator</w:t>
      </w:r>
      <w:r>
        <w:rPr/>
        <w:t xml:space="preserve">, </w:t>
      </w:r>
      <w:r>
        <w:rPr>
          <w:rStyle w:val="VerbatimChar"/>
        </w:rPr>
        <w:t>clamp</w:t>
      </w:r>
      <w:r>
        <w:rPr/>
        <w:t xml:space="preserve">, </w:t>
      </w:r>
      <w:r>
        <w:rPr>
          <w:rStyle w:val="VerbatimChar"/>
        </w:rPr>
        <w:t>min</w:t>
      </w:r>
      <w:r>
        <w:rPr/>
        <w:t xml:space="preserve">, </w:t>
      </w:r>
      <w:r>
        <w:rPr>
          <w:rStyle w:val="VerbatimChar"/>
        </w:rPr>
        <w:t>max</w:t>
      </w:r>
      <w:r>
        <w:rPr/>
        <w:t xml:space="preserve">, </w:t>
      </w:r>
      <w:r>
        <w:rPr>
          <w:rStyle w:val="VerbatimChar"/>
        </w:rPr>
        <w:t>min_tree_8</w:t>
      </w:r>
      <w:r>
        <w:rPr/>
        <w:t xml:space="preserve">, </w:t>
      </w:r>
      <w:r>
        <w:rPr>
          <w:rStyle w:val="VerbatimChar"/>
        </w:rPr>
        <w:t>max_tree</w:t>
      </w:r>
      <w:r>
        <w:rPr/>
        <w:t xml:space="preserve">, </w:t>
      </w:r>
      <w:r>
        <w:rPr>
          <w:rStyle w:val="VerbatimChar"/>
        </w:rPr>
        <w:t>max_tree_8</w:t>
      </w:r>
    </w:p>
    <w:p>
      <w:pPr>
        <w:pStyle w:val="Compact"/>
        <w:numPr>
          <w:ilvl w:val="1"/>
          <w:numId w:val="243"/>
        </w:numPr>
        <w:rPr/>
      </w:pPr>
      <w:r>
        <w:rPr/>
        <w:t xml:space="preserve">Format conversions: </w:t>
      </w:r>
      <w:r>
        <w:rPr>
          <w:rStyle w:val="VerbatimChar"/>
        </w:rPr>
        <w:t>to_fp16</w:t>
      </w:r>
      <w:r>
        <w:rPr/>
        <w:t xml:space="preserve">, </w:t>
      </w:r>
      <w:r>
        <w:rPr>
          <w:rStyle w:val="VerbatimChar"/>
        </w:rPr>
        <w:t>to_fp32</w:t>
      </w:r>
      <w:r>
        <w:rPr/>
        <w:t xml:space="preserve">, </w:t>
      </w:r>
      <w:r>
        <w:rPr>
          <w:rStyle w:val="VerbatimChar"/>
        </w:rPr>
        <w:t>to_fp8_e4m3</w:t>
      </w:r>
      <w:r>
        <w:rPr/>
        <w:t xml:space="preserve">, </w:t>
      </w:r>
      <w:r>
        <w:rPr>
          <w:rStyle w:val="VerbatimChar"/>
        </w:rPr>
        <w:t>to_fp8_e5m2</w:t>
      </w:r>
      <w:r>
        <w:rPr/>
        <w:t xml:space="preserve">, </w:t>
      </w:r>
      <w:r>
        <w:rPr>
          <w:rStyle w:val="VerbatimChar"/>
        </w:rPr>
        <w:t>to_int</w:t>
      </w:r>
      <w:r>
        <w:rPr/>
        <w:t xml:space="preserve">, </w:t>
      </w:r>
      <w:r>
        <w:rPr>
          <w:rStyle w:val="VerbatimChar"/>
        </w:rPr>
        <w:t>int_to_bf16</w:t>
      </w:r>
      <w:r>
        <w:rPr/>
        <w:t xml:space="preserve">, </w:t>
      </w:r>
      <w:r>
        <w:rPr>
          <w:rStyle w:val="VerbatimChar"/>
        </w:rPr>
        <w:t>scale_to_int8</w:t>
      </w:r>
      <w:bookmarkEnd w:id="127"/>
    </w:p>
    <w:p>
      <w:pPr>
        <w:pStyle w:val="Heading3"/>
        <w:spacing w:before="200" w:after="80"/>
        <w:rPr/>
      </w:pPr>
      <w:bookmarkStart w:id="128" w:name="__RefHeading___Toc12217_211582255"/>
      <w:bookmarkStart w:id="129" w:name="fp16-half-precision-floating-point"/>
      <w:bookmarkEnd w:id="128"/>
      <w:r>
        <w:rPr>
          <w:rStyle w:val="SectionNumber"/>
          <w:b/>
          <w:color w:val="404040"/>
          <w:sz w:val="24"/>
        </w:rPr>
        <w:t>6.2.7</w:t>
      </w:r>
      <w:r>
        <w:rPr>
          <w:b/>
          <w:color w:val="404040"/>
          <w:sz w:val="24"/>
        </w:rPr>
        <w:tab/>
        <w:t>FP16 (half-precision) floating-point</w:t>
      </w:r>
    </w:p>
    <w:p>
      <w:pPr>
        <w:pStyle w:val="Compact"/>
        <w:numPr>
          <w:ilvl w:val="0"/>
          <w:numId w:val="244"/>
        </w:numPr>
        <w:rPr/>
      </w:pPr>
      <w:hyperlink r:id="rId72">
        <w:r>
          <w:rPr>
            <w:rStyle w:val="Hyperlink"/>
            <w:b/>
            <w:bCs/>
          </w:rPr>
          <w:t>math_fp16_modules</w:t>
        </w:r>
      </w:hyperlink>
      <w:r>
        <w:rPr/>
        <w:t xml:space="preserve"> — FP16 module collection (17 modules)</w:t>
      </w:r>
    </w:p>
    <w:p>
      <w:pPr>
        <w:pStyle w:val="Compact"/>
        <w:numPr>
          <w:ilvl w:val="1"/>
          <w:numId w:val="245"/>
        </w:numPr>
        <w:rPr/>
      </w:pPr>
      <w:r>
        <w:rPr/>
        <w:t xml:space="preserve">Activation functions: </w:t>
      </w:r>
      <w:r>
        <w:rPr>
          <w:rStyle w:val="VerbatimChar"/>
        </w:rPr>
        <w:t>relu</w:t>
      </w:r>
      <w:r>
        <w:rPr/>
        <w:t xml:space="preserve">, </w:t>
      </w:r>
      <w:r>
        <w:rPr>
          <w:rStyle w:val="VerbatimChar"/>
        </w:rPr>
        <w:t>leaky_relu</w:t>
      </w:r>
      <w:r>
        <w:rPr/>
        <w:t xml:space="preserve">, </w:t>
      </w:r>
      <w:r>
        <w:rPr>
          <w:rStyle w:val="VerbatimChar"/>
        </w:rPr>
        <w:t>gelu</w:t>
      </w:r>
      <w:r>
        <w:rPr/>
        <w:t xml:space="preserve">, </w:t>
      </w:r>
      <w:r>
        <w:rPr>
          <w:rStyle w:val="VerbatimChar"/>
        </w:rPr>
        <w:t>sigmoid</w:t>
      </w:r>
      <w:r>
        <w:rPr/>
        <w:t xml:space="preserve">, </w:t>
      </w:r>
      <w:r>
        <w:rPr>
          <w:rStyle w:val="VerbatimChar"/>
        </w:rPr>
        <w:t>tanh</w:t>
      </w:r>
      <w:r>
        <w:rPr/>
        <w:t xml:space="preserve">, </w:t>
      </w:r>
      <w:r>
        <w:rPr>
          <w:rStyle w:val="VerbatimChar"/>
        </w:rPr>
        <w:t>silu</w:t>
      </w:r>
      <w:r>
        <w:rPr/>
        <w:t xml:space="preserve">, </w:t>
      </w:r>
      <w:r>
        <w:rPr>
          <w:rStyle w:val="VerbatimChar"/>
        </w:rPr>
        <w:t>softmax_8</w:t>
      </w:r>
    </w:p>
    <w:p>
      <w:pPr>
        <w:pStyle w:val="Compact"/>
        <w:numPr>
          <w:ilvl w:val="1"/>
          <w:numId w:val="246"/>
        </w:numPr>
        <w:rPr/>
      </w:pPr>
      <w:r>
        <w:rPr/>
        <w:t xml:space="preserve">Comparison/Selection: </w:t>
      </w:r>
      <w:r>
        <w:rPr>
          <w:rStyle w:val="VerbatimChar"/>
        </w:rPr>
        <w:t>comparator</w:t>
      </w:r>
      <w:r>
        <w:rPr/>
        <w:t xml:space="preserve">, </w:t>
      </w:r>
      <w:r>
        <w:rPr>
          <w:rStyle w:val="VerbatimChar"/>
        </w:rPr>
        <w:t>clamp</w:t>
      </w:r>
      <w:r>
        <w:rPr/>
        <w:t xml:space="preserve">, </w:t>
      </w:r>
      <w:r>
        <w:rPr>
          <w:rStyle w:val="VerbatimChar"/>
        </w:rPr>
        <w:t>min</w:t>
      </w:r>
      <w:r>
        <w:rPr/>
        <w:t xml:space="preserve">, </w:t>
      </w:r>
      <w:r>
        <w:rPr>
          <w:rStyle w:val="VerbatimChar"/>
        </w:rPr>
        <w:t>max</w:t>
      </w:r>
      <w:r>
        <w:rPr/>
        <w:t xml:space="preserve">, </w:t>
      </w:r>
      <w:r>
        <w:rPr>
          <w:rStyle w:val="VerbatimChar"/>
        </w:rPr>
        <w:t>min_tree_8</w:t>
      </w:r>
      <w:r>
        <w:rPr/>
        <w:t xml:space="preserve">, </w:t>
      </w:r>
      <w:r>
        <w:rPr>
          <w:rStyle w:val="VerbatimChar"/>
        </w:rPr>
        <w:t>max_tree_8</w:t>
      </w:r>
    </w:p>
    <w:p>
      <w:pPr>
        <w:pStyle w:val="Compact"/>
        <w:numPr>
          <w:ilvl w:val="1"/>
          <w:numId w:val="247"/>
        </w:numPr>
        <w:rPr/>
      </w:pPr>
      <w:r>
        <w:rPr/>
        <w:t xml:space="preserve">Format conversions: </w:t>
      </w:r>
      <w:r>
        <w:rPr>
          <w:rStyle w:val="VerbatimChar"/>
        </w:rPr>
        <w:t>to_bf16</w:t>
      </w:r>
      <w:r>
        <w:rPr/>
        <w:t xml:space="preserve">, </w:t>
      </w:r>
      <w:r>
        <w:rPr>
          <w:rStyle w:val="VerbatimChar"/>
        </w:rPr>
        <w:t>to_fp32</w:t>
      </w:r>
      <w:r>
        <w:rPr/>
        <w:t xml:space="preserve">, </w:t>
      </w:r>
      <w:r>
        <w:rPr>
          <w:rStyle w:val="VerbatimChar"/>
        </w:rPr>
        <w:t>to_fp8_e4m3</w:t>
      </w:r>
      <w:r>
        <w:rPr/>
        <w:t xml:space="preserve">, </w:t>
      </w:r>
      <w:r>
        <w:rPr>
          <w:rStyle w:val="VerbatimChar"/>
        </w:rPr>
        <w:t>to_fp8_e5m2</w:t>
      </w:r>
      <w:bookmarkEnd w:id="129"/>
    </w:p>
    <w:p>
      <w:pPr>
        <w:pStyle w:val="Heading3"/>
        <w:spacing w:before="200" w:after="80"/>
        <w:rPr/>
      </w:pPr>
      <w:bookmarkStart w:id="130" w:name="__RefHeading___Toc12219_211582255"/>
      <w:bookmarkStart w:id="131" w:name="fp32-single-precision-floating-point"/>
      <w:bookmarkEnd w:id="130"/>
      <w:r>
        <w:rPr>
          <w:rStyle w:val="SectionNumber"/>
          <w:b/>
          <w:color w:val="404040"/>
          <w:sz w:val="24"/>
        </w:rPr>
        <w:t>6.2.8</w:t>
      </w:r>
      <w:r>
        <w:rPr>
          <w:b/>
          <w:color w:val="404040"/>
          <w:sz w:val="24"/>
        </w:rPr>
        <w:tab/>
        <w:t>FP32 (single-precision) floating-point</w:t>
      </w:r>
    </w:p>
    <w:p>
      <w:pPr>
        <w:pStyle w:val="Compact"/>
        <w:numPr>
          <w:ilvl w:val="0"/>
          <w:numId w:val="248"/>
        </w:numPr>
        <w:rPr/>
      </w:pPr>
      <w:hyperlink r:id="rId73">
        <w:r>
          <w:rPr>
            <w:rStyle w:val="Hyperlink"/>
            <w:b/>
            <w:bCs/>
          </w:rPr>
          <w:t>math_fp32_modules</w:t>
        </w:r>
      </w:hyperlink>
      <w:r>
        <w:rPr/>
        <w:t xml:space="preserve"> — FP32 module collection (17 modules)</w:t>
      </w:r>
    </w:p>
    <w:p>
      <w:pPr>
        <w:pStyle w:val="Compact"/>
        <w:numPr>
          <w:ilvl w:val="1"/>
          <w:numId w:val="249"/>
        </w:numPr>
        <w:rPr/>
      </w:pPr>
      <w:r>
        <w:rPr/>
        <w:t xml:space="preserve">Activation functions: </w:t>
      </w:r>
      <w:r>
        <w:rPr>
          <w:rStyle w:val="VerbatimChar"/>
        </w:rPr>
        <w:t>relu</w:t>
      </w:r>
      <w:r>
        <w:rPr/>
        <w:t xml:space="preserve">, </w:t>
      </w:r>
      <w:r>
        <w:rPr>
          <w:rStyle w:val="VerbatimChar"/>
        </w:rPr>
        <w:t>leaky_relu</w:t>
      </w:r>
      <w:r>
        <w:rPr/>
        <w:t xml:space="preserve">, </w:t>
      </w:r>
      <w:r>
        <w:rPr>
          <w:rStyle w:val="VerbatimChar"/>
        </w:rPr>
        <w:t>gelu</w:t>
      </w:r>
      <w:r>
        <w:rPr/>
        <w:t xml:space="preserve">, </w:t>
      </w:r>
      <w:r>
        <w:rPr>
          <w:rStyle w:val="VerbatimChar"/>
        </w:rPr>
        <w:t>sigmoid</w:t>
      </w:r>
      <w:r>
        <w:rPr/>
        <w:t xml:space="preserve">, </w:t>
      </w:r>
      <w:r>
        <w:rPr>
          <w:rStyle w:val="VerbatimChar"/>
        </w:rPr>
        <w:t>tanh</w:t>
      </w:r>
      <w:r>
        <w:rPr/>
        <w:t xml:space="preserve">, </w:t>
      </w:r>
      <w:r>
        <w:rPr>
          <w:rStyle w:val="VerbatimChar"/>
        </w:rPr>
        <w:t>silu</w:t>
      </w:r>
      <w:r>
        <w:rPr/>
        <w:t xml:space="preserve">, </w:t>
      </w:r>
      <w:r>
        <w:rPr>
          <w:rStyle w:val="VerbatimChar"/>
        </w:rPr>
        <w:t>softmax_8</w:t>
      </w:r>
    </w:p>
    <w:p>
      <w:pPr>
        <w:pStyle w:val="Compact"/>
        <w:numPr>
          <w:ilvl w:val="1"/>
          <w:numId w:val="250"/>
        </w:numPr>
        <w:rPr/>
      </w:pPr>
      <w:r>
        <w:rPr/>
        <w:t xml:space="preserve">Comparison/Selection: </w:t>
      </w:r>
      <w:r>
        <w:rPr>
          <w:rStyle w:val="VerbatimChar"/>
        </w:rPr>
        <w:t>comparator</w:t>
      </w:r>
      <w:r>
        <w:rPr/>
        <w:t xml:space="preserve">, </w:t>
      </w:r>
      <w:r>
        <w:rPr>
          <w:rStyle w:val="VerbatimChar"/>
        </w:rPr>
        <w:t>clamp</w:t>
      </w:r>
      <w:r>
        <w:rPr/>
        <w:t xml:space="preserve">, </w:t>
      </w:r>
      <w:r>
        <w:rPr>
          <w:rStyle w:val="VerbatimChar"/>
        </w:rPr>
        <w:t>min</w:t>
      </w:r>
      <w:r>
        <w:rPr/>
        <w:t xml:space="preserve">, </w:t>
      </w:r>
      <w:r>
        <w:rPr>
          <w:rStyle w:val="VerbatimChar"/>
        </w:rPr>
        <w:t>max</w:t>
      </w:r>
      <w:r>
        <w:rPr/>
        <w:t xml:space="preserve">, </w:t>
      </w:r>
      <w:r>
        <w:rPr>
          <w:rStyle w:val="VerbatimChar"/>
        </w:rPr>
        <w:t>min_tree_8</w:t>
      </w:r>
      <w:r>
        <w:rPr/>
        <w:t xml:space="preserve">, </w:t>
      </w:r>
      <w:r>
        <w:rPr>
          <w:rStyle w:val="VerbatimChar"/>
        </w:rPr>
        <w:t>max_tree_8</w:t>
      </w:r>
    </w:p>
    <w:p>
      <w:pPr>
        <w:pStyle w:val="Compact"/>
        <w:numPr>
          <w:ilvl w:val="1"/>
          <w:numId w:val="251"/>
        </w:numPr>
        <w:rPr/>
      </w:pPr>
      <w:r>
        <w:rPr/>
        <w:t xml:space="preserve">Format conversions: </w:t>
      </w:r>
      <w:r>
        <w:rPr>
          <w:rStyle w:val="VerbatimChar"/>
        </w:rPr>
        <w:t>to_bf16</w:t>
      </w:r>
      <w:r>
        <w:rPr/>
        <w:t xml:space="preserve">, </w:t>
      </w:r>
      <w:r>
        <w:rPr>
          <w:rStyle w:val="VerbatimChar"/>
        </w:rPr>
        <w:t>to_fp16</w:t>
      </w:r>
      <w:r>
        <w:rPr/>
        <w:t xml:space="preserve">, </w:t>
      </w:r>
      <w:r>
        <w:rPr>
          <w:rStyle w:val="VerbatimChar"/>
        </w:rPr>
        <w:t>to_fp8_e4m3</w:t>
      </w:r>
      <w:r>
        <w:rPr/>
        <w:t xml:space="preserve">, </w:t>
      </w:r>
      <w:r>
        <w:rPr>
          <w:rStyle w:val="VerbatimChar"/>
        </w:rPr>
        <w:t>to_fp8_e5m2</w:t>
      </w:r>
      <w:bookmarkEnd w:id="131"/>
    </w:p>
    <w:p>
      <w:pPr>
        <w:pStyle w:val="Heading3"/>
        <w:spacing w:before="200" w:after="80"/>
        <w:rPr/>
      </w:pPr>
      <w:bookmarkStart w:id="132" w:name="__RefHeading___Toc12221_211582255"/>
      <w:bookmarkStart w:id="133" w:name="fp8-8-bit-floating-point"/>
      <w:bookmarkEnd w:id="132"/>
      <w:r>
        <w:rPr>
          <w:rStyle w:val="SectionNumber"/>
          <w:b/>
          <w:color w:val="404040"/>
          <w:sz w:val="24"/>
        </w:rPr>
        <w:t>6.2.9</w:t>
      </w:r>
      <w:r>
        <w:rPr>
          <w:b/>
          <w:color w:val="404040"/>
          <w:sz w:val="24"/>
        </w:rPr>
        <w:tab/>
        <w:t>FP8 (8-bit floating-point)</w:t>
      </w:r>
    </w:p>
    <w:p>
      <w:pPr>
        <w:pStyle w:val="Compact"/>
        <w:numPr>
          <w:ilvl w:val="0"/>
          <w:numId w:val="252"/>
        </w:numPr>
        <w:rPr/>
      </w:pPr>
      <w:hyperlink r:id="rId74">
        <w:r>
          <w:rPr>
            <w:rStyle w:val="Hyperlink"/>
            <w:b/>
            <w:bCs/>
          </w:rPr>
          <w:t>math_fp8_modules</w:t>
        </w:r>
      </w:hyperlink>
      <w:r>
        <w:rPr/>
        <w:t xml:space="preserve"> — FP8 E4M3 and E5M2 module collection (44 modules)</w:t>
      </w:r>
    </w:p>
    <w:p>
      <w:pPr>
        <w:pStyle w:val="Compact"/>
        <w:numPr>
          <w:ilvl w:val="1"/>
          <w:numId w:val="253"/>
        </w:numPr>
        <w:rPr/>
      </w:pPr>
      <w:r>
        <w:rPr/>
        <w:t xml:space="preserve">E4M3 (inference): </w:t>
      </w:r>
      <w:r>
        <w:rPr>
          <w:rStyle w:val="VerbatimChar"/>
        </w:rPr>
        <w:t>adder</w:t>
      </w:r>
      <w:r>
        <w:rPr/>
        <w:t xml:space="preserve">, </w:t>
      </w:r>
      <w:r>
        <w:rPr>
          <w:rStyle w:val="VerbatimChar"/>
        </w:rPr>
        <w:t>multiplier</w:t>
      </w:r>
      <w:r>
        <w:rPr/>
        <w:t xml:space="preserve">, </w:t>
      </w:r>
      <w:r>
        <w:rPr>
          <w:rStyle w:val="VerbatimChar"/>
        </w:rPr>
        <w:t>fma</w:t>
      </w:r>
      <w:r>
        <w:rPr/>
        <w:t>, activations, comparisons, conversions</w:t>
      </w:r>
    </w:p>
    <w:p>
      <w:pPr>
        <w:pStyle w:val="Compact"/>
        <w:numPr>
          <w:ilvl w:val="1"/>
          <w:numId w:val="254"/>
        </w:numPr>
        <w:rPr/>
      </w:pPr>
      <w:r>
        <w:rPr/>
        <w:t xml:space="preserve">E5M2 (training): </w:t>
      </w:r>
      <w:r>
        <w:rPr>
          <w:rStyle w:val="VerbatimChar"/>
        </w:rPr>
        <w:t>adder</w:t>
      </w:r>
      <w:r>
        <w:rPr/>
        <w:t xml:space="preserve">, </w:t>
      </w:r>
      <w:r>
        <w:rPr>
          <w:rStyle w:val="VerbatimChar"/>
        </w:rPr>
        <w:t>multiplier</w:t>
      </w:r>
      <w:r>
        <w:rPr/>
        <w:t xml:space="preserve">, </w:t>
      </w:r>
      <w:r>
        <w:rPr>
          <w:rStyle w:val="VerbatimChar"/>
        </w:rPr>
        <w:t>fma</w:t>
      </w:r>
      <w:r>
        <w:rPr/>
        <w:t>, activations, comparisons, conversions</w:t>
      </w:r>
    </w:p>
    <w:p>
      <w:pPr>
        <w:pStyle w:val="Compact"/>
        <w:numPr>
          <w:ilvl w:val="1"/>
          <w:numId w:val="255"/>
        </w:numPr>
        <w:rPr/>
      </w:pPr>
      <w:bookmarkStart w:id="134" w:name="fp8-8-bit-floating-point"/>
      <w:r>
        <w:rPr/>
        <w:t>Format conversions between E4M3, E5M2, BF16, FP16, FP32</w:t>
      </w:r>
      <w:bookmarkEnd w:id="134"/>
    </w:p>
    <w:p>
      <w:pPr>
        <w:pStyle w:val="Heading3"/>
        <w:spacing w:before="200" w:after="80"/>
        <w:rPr/>
      </w:pPr>
      <w:bookmarkStart w:id="135" w:name="__RefHeading___Toc12223_211582255"/>
      <w:bookmarkStart w:id="136" w:name="ieee-754-2008-compliant-arithmetic"/>
      <w:bookmarkEnd w:id="135"/>
      <w:r>
        <w:rPr>
          <w:rStyle w:val="SectionNumber"/>
          <w:b/>
          <w:color w:val="404040"/>
          <w:sz w:val="24"/>
        </w:rPr>
        <w:t>6.2.10</w:t>
      </w:r>
      <w:r>
        <w:rPr>
          <w:b/>
          <w:color w:val="404040"/>
          <w:sz w:val="24"/>
        </w:rPr>
        <w:tab/>
        <w:t>IEEE 754-2008 compliant arithmetic</w:t>
      </w:r>
    </w:p>
    <w:p>
      <w:pPr>
        <w:pStyle w:val="Compact"/>
        <w:numPr>
          <w:ilvl w:val="0"/>
          <w:numId w:val="256"/>
        </w:numPr>
        <w:rPr/>
      </w:pPr>
      <w:hyperlink r:id="rId75">
        <w:r>
          <w:rPr>
            <w:rStyle w:val="Hyperlink"/>
            <w:b/>
            <w:bCs/>
          </w:rPr>
          <w:t>math_ieee754_modules</w:t>
        </w:r>
      </w:hyperlink>
      <w:r>
        <w:rPr/>
        <w:t xml:space="preserve"> — IEEE 754-2008 arithmetic (12 modules; FTZ by default, full gradual underflow via </w:t>
      </w:r>
      <w:r>
        <w:rPr>
          <w:rStyle w:val="VerbatimChar"/>
        </w:rPr>
        <w:t>SUBNORMAL_SUPPORT=1</w:t>
      </w:r>
      <w:r>
        <w:rPr/>
        <w:t xml:space="preserve"> on every block; all eight arithmetic units run exact-integer-oracle suites at both parameter values, and the divider/sqrt TBs pin the FSM latencies exactly)</w:t>
      </w:r>
    </w:p>
    <w:p>
      <w:pPr>
        <w:pStyle w:val="Compact"/>
        <w:numPr>
          <w:ilvl w:val="1"/>
          <w:numId w:val="257"/>
        </w:numPr>
        <w:rPr/>
      </w:pPr>
      <w:r>
        <w:rPr/>
        <w:t xml:space="preserve">FP16: </w:t>
      </w:r>
      <w:r>
        <w:rPr>
          <w:rStyle w:val="VerbatimChar"/>
        </w:rPr>
        <w:t>adder</w:t>
      </w:r>
      <w:r>
        <w:rPr/>
        <w:t xml:space="preserve">, </w:t>
      </w:r>
      <w:r>
        <w:rPr>
          <w:rStyle w:val="VerbatimChar"/>
        </w:rPr>
        <w:t>multiplier</w:t>
      </w:r>
      <w:r>
        <w:rPr/>
        <w:t xml:space="preserve">, </w:t>
      </w:r>
      <w:r>
        <w:rPr>
          <w:rStyle w:val="VerbatimChar"/>
        </w:rPr>
        <w:t>fma</w:t>
      </w:r>
      <w:r>
        <w:rPr/>
        <w:t xml:space="preserve">, </w:t>
      </w:r>
      <w:r>
        <w:rPr>
          <w:rStyle w:val="VerbatimChar"/>
        </w:rPr>
        <w:t>mantissa_mult</w:t>
      </w:r>
      <w:r>
        <w:rPr/>
        <w:t xml:space="preserve">, </w:t>
      </w:r>
      <w:r>
        <w:rPr>
          <w:rStyle w:val="VerbatimChar"/>
        </w:rPr>
        <w:t>exponent_adder</w:t>
      </w:r>
    </w:p>
    <w:p>
      <w:pPr>
        <w:pStyle w:val="Compact"/>
        <w:numPr>
          <w:ilvl w:val="1"/>
          <w:numId w:val="258"/>
        </w:numPr>
        <w:rPr/>
      </w:pPr>
      <w:r>
        <w:rPr/>
        <w:t xml:space="preserve">FP32: </w:t>
      </w:r>
      <w:r>
        <w:rPr>
          <w:rStyle w:val="VerbatimChar"/>
        </w:rPr>
        <w:t>adder</w:t>
      </w:r>
      <w:r>
        <w:rPr/>
        <w:t xml:space="preserve">, </w:t>
      </w:r>
      <w:r>
        <w:rPr>
          <w:rStyle w:val="VerbatimChar"/>
        </w:rPr>
        <w:t>multiplier</w:t>
      </w:r>
      <w:r>
        <w:rPr/>
        <w:t xml:space="preserve">, </w:t>
      </w:r>
      <w:r>
        <w:rPr>
          <w:rStyle w:val="VerbatimChar"/>
        </w:rPr>
        <w:t>fma</w:t>
      </w:r>
      <w:r>
        <w:rPr/>
        <w:t xml:space="preserve">, </w:t>
      </w:r>
      <w:r>
        <w:rPr>
          <w:rStyle w:val="VerbatimChar"/>
        </w:rPr>
        <w:t>divider</w:t>
      </w:r>
      <w:r>
        <w:rPr/>
        <w:t xml:space="preserve">, </w:t>
      </w:r>
      <w:r>
        <w:rPr>
          <w:rStyle w:val="VerbatimChar"/>
        </w:rPr>
        <w:t>sqrt</w:t>
      </w:r>
      <w:r>
        <w:rPr/>
        <w:t xml:space="preserve">, </w:t>
      </w:r>
      <w:r>
        <w:rPr>
          <w:rStyle w:val="VerbatimChar"/>
        </w:rPr>
        <w:t>mantissa_mult</w:t>
      </w:r>
      <w:r>
        <w:rPr/>
        <w:t xml:space="preserve">, </w:t>
      </w:r>
      <w:r>
        <w:rPr>
          <w:rStyle w:val="VerbatimChar"/>
        </w:rPr>
        <w:t>exponent_adder</w:t>
      </w:r>
    </w:p>
    <w:p>
      <w:pPr>
        <w:pStyle w:val="Compact"/>
        <w:numPr>
          <w:ilvl w:val="1"/>
          <w:numId w:val="259"/>
        </w:numPr>
        <w:rPr/>
      </w:pPr>
      <w:r>
        <w:rPr/>
        <w:t xml:space="preserve">Features: </w:t>
      </w:r>
      <w:r>
        <w:rPr>
          <w:rStyle w:val="VerbatimChar"/>
        </w:rPr>
        <w:t>SUBNORMAL_SUPPORT=0</w:t>
      </w:r>
      <w:r>
        <w:rPr/>
        <w:t xml:space="preserve"> FTZ (legacy default) / </w:t>
      </w:r>
      <w:r>
        <w:rPr>
          <w:rStyle w:val="VerbatimChar"/>
        </w:rPr>
        <w:t>=1</w:t>
      </w:r>
      <w:r>
        <w:rPr/>
        <w:t xml:space="preserve"> IEEE 754-2008 gradual underflow, complete special-case handling, full status flags</w:t>
      </w:r>
      <w:bookmarkEnd w:id="136"/>
    </w:p>
    <w:p>
      <w:pPr>
        <w:pStyle w:val="Heading3"/>
        <w:spacing w:before="200" w:after="80"/>
        <w:rPr/>
      </w:pPr>
      <w:bookmarkStart w:id="137" w:name="__RefHeading___Toc12225_211582255"/>
      <w:bookmarkStart w:id="138" w:name="compressors-and-prefix-cells"/>
      <w:bookmarkEnd w:id="137"/>
      <w:r>
        <w:rPr>
          <w:rStyle w:val="SectionNumber"/>
          <w:b/>
          <w:color w:val="404040"/>
          <w:sz w:val="24"/>
        </w:rPr>
        <w:t>6.2.11</w:t>
      </w:r>
      <w:r>
        <w:rPr>
          <w:b/>
          <w:color w:val="404040"/>
          <w:sz w:val="24"/>
        </w:rPr>
        <w:tab/>
        <w:t>Compressors and prefix cells</w:t>
      </w:r>
    </w:p>
    <w:p>
      <w:pPr>
        <w:pStyle w:val="Compact"/>
        <w:numPr>
          <w:ilvl w:val="0"/>
          <w:numId w:val="260"/>
        </w:numPr>
        <w:rPr/>
      </w:pPr>
      <w:hyperlink r:id="rId76">
        <w:r>
          <w:rPr>
            <w:rStyle w:val="Hyperlink"/>
            <w:b/>
            <w:bCs/>
          </w:rPr>
          <w:t>math_compressor_4to2</w:t>
        </w:r>
      </w:hyperlink>
      <w:r>
        <w:rPr/>
        <w:t xml:space="preserve"> — 4:2 compressor for fast parallel reduction</w:t>
      </w:r>
    </w:p>
    <w:p>
      <w:pPr>
        <w:pStyle w:val="Compact"/>
        <w:numPr>
          <w:ilvl w:val="0"/>
          <w:numId w:val="261"/>
        </w:numPr>
        <w:rPr/>
      </w:pPr>
      <w:hyperlink r:id="rId77">
        <w:r>
          <w:rPr>
            <w:rStyle w:val="Hyperlink"/>
            <w:b/>
            <w:bCs/>
          </w:rPr>
          <w:t>math_mod_3_compress</w:t>
        </w:r>
      </w:hyperlink>
      <w:r>
        <w:rPr/>
        <w:t xml:space="preserve"> — combinational </w:t>
      </w:r>
      <w:r>
        <w:rPr>
          <w:rStyle w:val="VerbatimChar"/>
        </w:rPr>
        <w:t>X - (X mod 3)</w:t>
      </w:r>
      <w:r>
        <w:rPr/>
        <w:t xml:space="preserve"> carry-save rounding (monbus record packing)</w:t>
      </w:r>
    </w:p>
    <w:p>
      <w:pPr>
        <w:pStyle w:val="Compact"/>
        <w:numPr>
          <w:ilvl w:val="0"/>
          <w:numId w:val="262"/>
        </w:numPr>
        <w:rPr/>
      </w:pPr>
      <w:hyperlink r:id="rId78">
        <w:r>
          <w:rPr>
            <w:rStyle w:val="Hyperlink"/>
            <w:b/>
            <w:bCs/>
          </w:rPr>
          <w:t>math_prefix_cell</w:t>
        </w:r>
      </w:hyperlink>
      <w:r>
        <w:rPr/>
        <w:t xml:space="preserve"> — black cell for parallel prefix adders</w:t>
      </w:r>
    </w:p>
    <w:p>
      <w:pPr>
        <w:pStyle w:val="Compact"/>
        <w:numPr>
          <w:ilvl w:val="1"/>
          <w:numId w:val="263"/>
        </w:numPr>
        <w:rPr/>
      </w:pPr>
      <w:r>
        <w:rPr/>
        <w:t xml:space="preserve">Includes: </w:t>
      </w:r>
      <w:r>
        <w:rPr>
          <w:rStyle w:val="VerbatimChar"/>
        </w:rPr>
        <w:t>math_prefix_cell.sv</w:t>
      </w:r>
    </w:p>
    <w:p>
      <w:pPr>
        <w:pStyle w:val="Compact"/>
        <w:numPr>
          <w:ilvl w:val="0"/>
          <w:numId w:val="264"/>
        </w:numPr>
        <w:rPr/>
      </w:pPr>
      <w:hyperlink r:id="rId79">
        <w:r>
          <w:rPr>
            <w:rStyle w:val="Hyperlink"/>
            <w:b/>
            <w:bCs/>
          </w:rPr>
          <w:t>math_prefix_cell_gray</w:t>
        </w:r>
      </w:hyperlink>
      <w:r>
        <w:rPr/>
        <w:t xml:space="preserve"> — gray cell for parallel prefix adders (area-optimized)</w:t>
      </w:r>
    </w:p>
    <w:p>
      <w:pPr>
        <w:pStyle w:val="Compact"/>
        <w:numPr>
          <w:ilvl w:val="1"/>
          <w:numId w:val="265"/>
        </w:numPr>
        <w:rPr/>
      </w:pPr>
      <w:r>
        <w:rPr/>
        <w:t xml:space="preserve">Includes: </w:t>
      </w:r>
      <w:r>
        <w:rPr>
          <w:rStyle w:val="VerbatimChar"/>
        </w:rPr>
        <w:t>math_prefix_cell_gray.sv</w:t>
      </w:r>
      <w:bookmarkEnd w:id="115"/>
      <w:bookmarkEnd w:id="138"/>
      <w:r>
        <w:br w:type="page"/>
      </w:r>
    </w:p>
    <w:p>
      <w:pPr>
        <w:pStyle w:val="Heading2"/>
        <w:pBdr>
          <w:bottom w:val="single" w:sz="12" w:space="0" w:color="228B22"/>
        </w:pBdr>
        <w:spacing w:before="280" w:after="80"/>
        <w:rPr/>
      </w:pPr>
      <w:bookmarkStart w:id="139" w:name="__RefHeading___Toc12227_211582255"/>
      <w:bookmarkStart w:id="140" w:name="related-modules"/>
      <w:bookmarkEnd w:id="139"/>
      <w:r>
        <w:rPr>
          <w:rStyle w:val="SectionNumber"/>
          <w:b/>
          <w:color w:val="228B22"/>
          <w:sz w:val="28"/>
        </w:rPr>
        <w:t>6.3</w:t>
      </w:r>
      <w:r>
        <w:rPr>
          <w:b/>
          <w:color w:val="228B22"/>
          <w:sz w:val="28"/>
        </w:rPr>
        <w:tab/>
        <w:t>Related Modules</w:t>
      </w:r>
    </w:p>
    <w:p>
      <w:pPr>
        <w:pStyle w:val="Compact"/>
        <w:numPr>
          <w:ilvl w:val="0"/>
          <w:numId w:val="266"/>
        </w:numPr>
        <w:rPr/>
      </w:pPr>
      <w:hyperlink r:id="rId80">
        <w:r>
          <w:rPr>
            <w:rStyle w:val="Hyperlink"/>
          </w:rPr>
          <w:t>rtl-common index</w:t>
        </w:r>
      </w:hyperlink>
      <w:r>
        <w:rPr/>
        <w:t xml:space="preserve"> — counters, FIFOs, arbiters, CDC, data integrity</w:t>
      </w:r>
      <w:bookmarkEnd w:id="140"/>
      <w:r>
        <w:br w:type="page"/>
      </w:r>
    </w:p>
    <w:p>
      <w:pPr>
        <w:pStyle w:val="Heading2"/>
        <w:pBdr>
          <w:bottom w:val="single" w:sz="12" w:space="0" w:color="228B22"/>
        </w:pBdr>
        <w:spacing w:before="280" w:after="80"/>
        <w:rPr/>
      </w:pPr>
      <w:bookmarkStart w:id="141" w:name="__RefHeading___Toc12229_211582255"/>
      <w:bookmarkStart w:id="142" w:name="navigation"/>
      <w:bookmarkEnd w:id="141"/>
      <w:r>
        <w:rPr>
          <w:rStyle w:val="SectionNumber"/>
          <w:b/>
          <w:color w:val="228B22"/>
          <w:sz w:val="28"/>
        </w:rPr>
        <w:t>6.4</w:t>
      </w:r>
      <w:r>
        <w:rPr>
          <w:b/>
          <w:color w:val="228B22"/>
          <w:sz w:val="28"/>
        </w:rPr>
        <w:tab/>
        <w:t>Navigation</w:t>
      </w:r>
    </w:p>
    <w:p>
      <w:pPr>
        <w:pStyle w:val="Compact"/>
        <w:numPr>
          <w:ilvl w:val="0"/>
          <w:numId w:val="267"/>
        </w:numPr>
        <w:rPr/>
      </w:pPr>
      <w:hyperlink r:id="rId81">
        <w:r>
          <w:rPr>
            <w:rStyle w:val="Hyperlink"/>
          </w:rPr>
          <w:t>Documentation index</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3" w:name="rtl-math-module-index"/>
      <w:bookmarkStart w:id="144" w:name="navigation"/>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
      <w:bookmarkEnd w:id="144"/>
      <w:r>
        <w:br w:type="page"/>
      </w:r>
    </w:p>
    <w:p>
      <w:pPr>
        <w:pStyle w:val="Heading1"/>
        <w:shd w:val="clear" w:color="auto" w:fill="404040"/>
        <w:spacing w:before="360" w:after="120"/>
        <w:rPr/>
      </w:pPr>
      <w:bookmarkStart w:id="145" w:name="__RefHeading___Toc12231_211582255"/>
      <w:bookmarkStart w:id="146" w:name="document-information"/>
      <w:bookmarkEnd w:id="145"/>
      <w:r>
        <w:rPr>
          <w:rStyle w:val="SectionNumber"/>
          <w:b/>
          <w:color w:val="FFFFFF"/>
          <w:sz w:val="32"/>
        </w:rPr>
        <w:t>7</w:t>
      </w:r>
      <w:r>
        <w:rPr>
          <w:b/>
          <w:color w:val="FFFFFF"/>
          <w:sz w:val="32"/>
        </w:rPr>
        <w:tab/>
        <w:t>Document Information</w:t>
      </w:r>
    </w:p>
    <w:p>
      <w:pPr>
        <w:pStyle w:val="Heading2"/>
        <w:pageBreakBefore w:val="false"/>
        <w:pBdr>
          <w:bottom w:val="single" w:sz="12" w:space="0" w:color="228B22"/>
        </w:pBdr>
        <w:spacing w:before="280" w:after="80"/>
        <w:rPr/>
      </w:pPr>
      <w:bookmarkStart w:id="147" w:name="__RefHeading___Toc12233_211582255"/>
      <w:bookmarkStart w:id="148" w:name="overview-1"/>
      <w:bookmarkEnd w:id="147"/>
      <w:r>
        <w:rPr>
          <w:rStyle w:val="SectionNumber"/>
          <w:b/>
          <w:color w:val="228B22"/>
          <w:sz w:val="28"/>
        </w:rPr>
        <w:t>7.1</w:t>
      </w:r>
      <w:r>
        <w:rPr>
          <w:b/>
          <w:color w:val="228B22"/>
          <w:sz w:val="28"/>
        </w:rPr>
        <w:tab/>
        <w:t>Overview</w:t>
      </w:r>
    </w:p>
    <w:p>
      <w:pPr>
        <w:pStyle w:val="Heading3"/>
        <w:spacing w:before="200" w:after="80"/>
        <w:rPr/>
      </w:pPr>
      <w:bookmarkStart w:id="149" w:name="__RefHeading___Toc12235_211582255"/>
      <w:bookmarkEnd w:id="149"/>
      <w:r>
        <w:rPr>
          <w:rStyle w:val="SectionNumber"/>
          <w:b/>
          <w:color w:val="404040"/>
          <w:sz w:val="24"/>
        </w:rPr>
        <w:t>7.1.1</w:t>
      </w:r>
      <w:r>
        <w:rPr>
          <w:b/>
          <w:color w:val="404040"/>
          <w:sz w:val="24"/>
        </w:rPr>
        <w:tab/>
        <w:t>ALU-INFER Micro-Architecture Specification</w:t>
      </w:r>
    </w:p>
    <w:p>
      <w:pPr>
        <w:pStyle w:val="TableCaption"/>
        <w:rPr/>
      </w:pPr>
      <w:bookmarkStart w:id="150" w:name="_Tab_1_Document_information"/>
      <w:r>
        <w:rPr/>
        <w:t>Document information</w:t>
      </w:r>
      <w:bookmarkEnd w:id="1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ALU-INFER Micro-Architecture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 (pinned per owner, “for now”)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Draft, reconciled to the as-built RTL in </w:t>
            </w:r>
            <w:r>
              <w:rPr>
                <w:rStyle w:val="VerbatimChar"/>
                <w:rFonts w:eastAsia="Cambria" w:cs=""/>
                <w:kern w:val="0"/>
                <w:szCs w:val="24"/>
                <w:lang w:val="en-US" w:eastAsia="en-US" w:bidi="ar-SA"/>
              </w:rPr>
              <w:t>alu-infer/rtl/</w:t>
            </w:r>
            <w:r>
              <w:rPr>
                <w:rFonts w:eastAsia="Cambria" w:cs=""/>
                <w:kern w:val="0"/>
                <w:sz w:val="24"/>
                <w:szCs w:val="24"/>
                <w:lang w:val="en-US" w:eastAsia="en-US" w:bidi="ar-SA"/>
              </w:rPr>
              <w:t>. Every row of the PRD’s v1 table, function-set roadmap and growth list is implemented and verified, except what the PRD rules out (a true divider; the integer B4–B32 companion mode; the CGRA replacement). Open decisions are carried as M1–M8 (Chapter 6).</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151" w:name="Xc0b36cd5c08b10a9248707173c36d587f158358"/>
            <w:bookmarkEnd w:id="151"/>
          </w:p>
        </w:tc>
      </w:tr>
    </w:tbl>
    <w:p>
      <w:pPr>
        <w:pStyle w:val="Heading3"/>
        <w:spacing w:before="200" w:after="80"/>
        <w:rPr/>
      </w:pPr>
      <w:bookmarkStart w:id="152" w:name="__RefHeading___Toc12237_211582255"/>
      <w:bookmarkEnd w:id="152"/>
      <w:r>
        <w:rPr>
          <w:rStyle w:val="SectionNumber"/>
          <w:b/>
          <w:color w:val="404040"/>
          <w:sz w:val="24"/>
        </w:rPr>
        <w:t>7.1.2</w:t>
      </w:r>
      <w:r>
        <w:rPr>
          <w:b/>
          <w:color w:val="404040"/>
          <w:sz w:val="24"/>
        </w:rPr>
        <w:tab/>
        <w:t>Document Purpose</w:t>
      </w:r>
    </w:p>
    <w:p>
      <w:pPr>
        <w:pStyle w:val="FirstParagraph"/>
        <w:rPr/>
      </w:pPr>
      <w:r>
        <w:rPr>
          <w:sz w:val="20"/>
        </w:rPr>
        <w:t>This Micro-Architecture Specification (MAS) documents how the cell’s inference ALU is built:</w:t>
      </w:r>
    </w:p>
    <w:p>
      <w:pPr>
        <w:pStyle w:val="Compact"/>
        <w:numPr>
          <w:ilvl w:val="0"/>
          <w:numId w:val="268"/>
        </w:numPr>
        <w:rPr/>
      </w:pPr>
      <w:r>
        <w:rPr/>
        <w:t xml:space="preserve">The </w:t>
      </w:r>
      <w:r>
        <w:rPr>
          <w:rStyle w:val="VerbatimChar"/>
        </w:rPr>
        <w:t>alu_infer_top</w:t>
      </w:r>
      <w:r>
        <w:rPr/>
        <w:t xml:space="preserve"> module tree and its parameters</w:t>
      </w:r>
    </w:p>
    <w:p>
      <w:pPr>
        <w:pStyle w:val="Compact"/>
        <w:numPr>
          <w:ilvl w:val="0"/>
          <w:numId w:val="269"/>
        </w:numPr>
        <w:rPr/>
      </w:pPr>
      <w:r>
        <w:rPr/>
        <w:t xml:space="preserve">Every function row: the </w:t>
      </w:r>
      <w:r>
        <w:rPr>
          <w:rStyle w:val="VerbatimChar"/>
        </w:rPr>
        <w:t>rtl/math</w:t>
      </w:r>
      <w:r>
        <w:rPr/>
        <w:t xml:space="preserve"> block it instantiates, its lanes per element format, and its wiring decisions</w:t>
      </w:r>
    </w:p>
    <w:p>
      <w:pPr>
        <w:pStyle w:val="Compact"/>
        <w:numPr>
          <w:ilvl w:val="0"/>
          <w:numId w:val="270"/>
        </w:numPr>
        <w:rPr/>
      </w:pPr>
      <w:r>
        <w:rPr/>
        <w:t>The accumulator rows (MAC, REDUCE), the block’s main state</w:t>
      </w:r>
    </w:p>
    <w:p>
      <w:pPr>
        <w:pStyle w:val="Compact"/>
        <w:numPr>
          <w:ilvl w:val="0"/>
          <w:numId w:val="271"/>
        </w:numPr>
        <w:rPr/>
      </w:pPr>
      <w:r>
        <w:rPr/>
        <w:t>Decode and the four natural-latency result ports</w:t>
      </w:r>
    </w:p>
    <w:p>
      <w:pPr>
        <w:pStyle w:val="Compact"/>
        <w:numPr>
          <w:ilvl w:val="0"/>
          <w:numId w:val="272"/>
        </w:numPr>
        <w:rPr/>
      </w:pPr>
      <w:r>
        <w:rPr/>
        <w:t>The PWL lookup-table activation and the format conversions</w:t>
      </w:r>
    </w:p>
    <w:p>
      <w:pPr>
        <w:pStyle w:val="Compact"/>
        <w:numPr>
          <w:ilvl w:val="0"/>
          <w:numId w:val="273"/>
        </w:numPr>
        <w:rPr/>
      </w:pPr>
      <w:r>
        <w:rPr/>
        <w:t>The issue seam between the gatling core and the ALU</w:t>
      </w:r>
    </w:p>
    <w:p>
      <w:pPr>
        <w:pStyle w:val="Compact"/>
        <w:numPr>
          <w:ilvl w:val="0"/>
          <w:numId w:val="274"/>
        </w:numPr>
        <w:rPr/>
      </w:pPr>
      <w:r>
        <w:rPr/>
        <w:t>Cycle-level behavior per opcode class, with timing diagrams</w:t>
      </w:r>
    </w:p>
    <w:p>
      <w:pPr>
        <w:pStyle w:val="Compact"/>
        <w:numPr>
          <w:ilvl w:val="0"/>
          <w:numId w:val="275"/>
        </w:numPr>
        <w:rPr/>
      </w:pPr>
      <w:r>
        <w:rPr/>
        <w:t>Verification hooks: the library cross-check, the test scenarios and the build configurations</w:t>
      </w:r>
    </w:p>
    <w:p>
      <w:pPr>
        <w:pStyle w:val="Compact"/>
        <w:numPr>
          <w:ilvl w:val="0"/>
          <w:numId w:val="276"/>
        </w:numPr>
        <w:rPr/>
      </w:pPr>
      <w:r>
        <w:rPr/>
        <w:t>The configuration surface: parameters, encodings, open items</w:t>
      </w:r>
    </w:p>
    <w:p>
      <w:pPr>
        <w:pStyle w:val="FirstParagraph"/>
        <w:rPr/>
      </w:pPr>
      <w:r>
        <w:rPr>
          <w:sz w:val="20"/>
        </w:rPr>
        <w:t xml:space="preserve">For what the ALU must do and why, see the </w:t>
      </w:r>
      <w:r>
        <w:rPr>
          <w:b/>
          <w:bCs/>
          <w:sz w:val="20"/>
        </w:rPr>
        <w:t>alu-infer PRD</w:t>
      </w:r>
      <w:r>
        <w:rPr>
          <w:sz w:val="20"/>
        </w:rPr>
        <w:t xml:space="preserve"> (normative for the ALU block). For the issuer, see the </w:t>
      </w:r>
      <w:r>
        <w:rPr>
          <w:b/>
          <w:bCs/>
          <w:sz w:val="20"/>
        </w:rPr>
        <w:t>gatling PRD</w:t>
      </w:r>
      <w:r>
        <w:rPr>
          <w:sz w:val="20"/>
        </w:rPr>
        <w:t xml:space="preserve">. For the cell around both, see the </w:t>
      </w:r>
      <w:r>
        <w:rPr>
          <w:b/>
          <w:bCs/>
          <w:sz w:val="20"/>
        </w:rPr>
        <w:t>cell PRD</w:t>
      </w:r>
      <w:r>
        <w:rPr>
          <w:sz w:val="20"/>
        </w:rPr>
        <w:t>.</w:t>
      </w:r>
    </w:p>
    <w:p>
      <w:pPr>
        <w:pStyle w:val="Heading3"/>
        <w:spacing w:before="200" w:after="80"/>
        <w:rPr/>
      </w:pPr>
      <w:bookmarkStart w:id="153" w:name="__RefHeading___Toc12239_211582255"/>
      <w:bookmarkStart w:id="154" w:name="intended-audience"/>
      <w:bookmarkEnd w:id="153"/>
      <w:r>
        <w:rPr>
          <w:rStyle w:val="SectionNumber"/>
          <w:b/>
          <w:color w:val="404040"/>
          <w:sz w:val="24"/>
        </w:rPr>
        <w:t>7.1.3</w:t>
      </w:r>
      <w:r>
        <w:rPr>
          <w:b/>
          <w:color w:val="404040"/>
          <w:sz w:val="24"/>
        </w:rPr>
        <w:tab/>
        <w:t>Intended Audience</w:t>
      </w:r>
    </w:p>
    <w:p>
      <w:pPr>
        <w:pStyle w:val="Compact"/>
        <w:numPr>
          <w:ilvl w:val="0"/>
          <w:numId w:val="277"/>
        </w:numPr>
        <w:rPr/>
      </w:pPr>
      <w:r>
        <w:rPr/>
        <w:t>RTL designers integrating the ALU into the cell</w:t>
      </w:r>
    </w:p>
    <w:p>
      <w:pPr>
        <w:pStyle w:val="Compact"/>
        <w:numPr>
          <w:ilvl w:val="0"/>
          <w:numId w:val="278"/>
        </w:numPr>
        <w:rPr/>
      </w:pPr>
      <w:r>
        <w:rPr/>
        <w:t>Verification engineers extending its testbench</w:t>
      </w:r>
    </w:p>
    <w:p>
      <w:pPr>
        <w:pStyle w:val="Compact"/>
        <w:numPr>
          <w:ilvl w:val="0"/>
          <w:numId w:val="279"/>
        </w:numPr>
        <w:rPr/>
      </w:pPr>
      <w:r>
        <w:rPr/>
        <w:t>Firmware authors writing gatling programs that issue it</w:t>
      </w:r>
    </w:p>
    <w:p>
      <w:pPr>
        <w:pStyle w:val="Compact"/>
        <w:numPr>
          <w:ilvl w:val="0"/>
          <w:numId w:val="280"/>
        </w:numPr>
        <w:rPr/>
      </w:pPr>
      <w:bookmarkStart w:id="155" w:name="overview-1"/>
      <w:bookmarkStart w:id="156" w:name="intended-audience"/>
      <w:r>
        <w:rPr/>
        <w:t>Students reading an inference datapath top to bottom</w:t>
      </w:r>
      <w:bookmarkEnd w:id="155"/>
      <w:bookmarkEnd w:id="156"/>
      <w:r>
        <w:br w:type="page"/>
      </w:r>
    </w:p>
    <w:p>
      <w:pPr>
        <w:pStyle w:val="Heading2"/>
        <w:pBdr>
          <w:bottom w:val="single" w:sz="12" w:space="0" w:color="228B22"/>
        </w:pBdr>
        <w:spacing w:before="280" w:after="80"/>
        <w:rPr/>
      </w:pPr>
      <w:bookmarkStart w:id="157" w:name="__RefHeading___Toc12241_211582255"/>
      <w:bookmarkEnd w:id="157"/>
      <w:r>
        <w:rPr>
          <w:rStyle w:val="SectionNumber"/>
          <w:b/>
          <w:color w:val="228B22"/>
          <w:sz w:val="28"/>
        </w:rPr>
        <w:t>7.2</w:t>
      </w:r>
      <w:r>
        <w:rPr>
          <w:b/>
          <w:color w:val="228B22"/>
          <w:sz w:val="28"/>
        </w:rPr>
        <w:tab/>
        <w:t>Design Notes</w:t>
      </w:r>
    </w:p>
    <w:p>
      <w:pPr>
        <w:pStyle w:val="Heading3"/>
        <w:spacing w:before="200" w:after="80"/>
        <w:rPr/>
      </w:pPr>
      <w:bookmarkStart w:id="158" w:name="__RefHeading___Toc12243_211582255"/>
      <w:bookmarkEnd w:id="158"/>
      <w:r>
        <w:rPr>
          <w:rStyle w:val="SectionNumber"/>
          <w:b/>
          <w:color w:val="404040"/>
          <w:sz w:val="24"/>
        </w:rPr>
        <w:t>7.2.1</w:t>
      </w:r>
      <w:r>
        <w:rPr>
          <w:b/>
          <w:color w:val="404040"/>
          <w:sz w:val="24"/>
        </w:rPr>
        <w:tab/>
        <w:t>Revision History</w:t>
      </w:r>
    </w:p>
    <w:p>
      <w:pPr>
        <w:pStyle w:val="TableCaption"/>
        <w:rPr/>
      </w:pPr>
      <w:bookmarkStart w:id="159" w:name="_Tab_2_Revision_history"/>
      <w:r>
        <w:rPr/>
        <w:t>Revision history</w:t>
      </w:r>
      <w:bookmarkEnd w:id="1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Roadmap and growth rows implemented and verified: element formats on </w:t>
            </w:r>
            <w:r>
              <w:rPr>
                <w:rStyle w:val="VerbatimChar"/>
                <w:rFonts w:eastAsia="Cambria" w:cs=""/>
                <w:kern w:val="0"/>
                <w:szCs w:val="24"/>
                <w:lang w:val="en-US" w:eastAsia="en-US" w:bidi="ar-SA"/>
              </w:rPr>
              <w:t>func_sel[8:7]</w:t>
            </w:r>
            <w:r>
              <w:rPr>
                <w:rFonts w:eastAsia="Cambria" w:cs=""/>
                <w:kern w:val="0"/>
                <w:sz w:val="24"/>
                <w:szCs w:val="24"/>
                <w:lang w:val="en-US" w:eastAsia="en-US" w:bidi="ar-SA"/>
              </w:rPr>
              <w:t xml:space="preserve"> (int8, fp32, fp8 e4m3), REDUCE sum/max with cross-lane fold, PWL LUT, const, library activations, conversions, MAC in every format. Four natural-latency result ports; </w:t>
            </w:r>
            <w:r>
              <w:rPr>
                <w:rStyle w:val="VerbatimChar"/>
                <w:rFonts w:eastAsia="Cambria" w:cs=""/>
                <w:kern w:val="0"/>
                <w:szCs w:val="24"/>
                <w:lang w:val="en-US" w:eastAsia="en-US" w:bidi="ar-SA"/>
              </w:rPr>
              <w:t>MUL_LATENCY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MAC_LATENCY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EN_*</w:t>
            </w:r>
            <w:r>
              <w:rPr>
                <w:rFonts w:eastAsia="Cambria" w:cs=""/>
                <w:kern w:val="0"/>
                <w:sz w:val="24"/>
                <w:szCs w:val="24"/>
                <w:lang w:val="en-US" w:eastAsia="en-US" w:bidi="ar-SA"/>
              </w:rPr>
              <w:t xml:space="preserve"> parameters; </w:t>
            </w:r>
            <w:r>
              <w:rPr>
                <w:rStyle w:val="VerbatimChar"/>
                <w:rFonts w:eastAsia="Cambria" w:cs=""/>
                <w:kern w:val="0"/>
                <w:szCs w:val="24"/>
                <w:lang w:val="en-US" w:eastAsia="en-US" w:bidi="ar-SA"/>
              </w:rPr>
              <w:t>err_opcode</w:t>
            </w:r>
            <w:r>
              <w:rPr>
                <w:rFonts w:eastAsia="Cambria" w:cs=""/>
                <w:kern w:val="0"/>
                <w:sz w:val="24"/>
                <w:szCs w:val="24"/>
                <w:lang w:val="en-US" w:eastAsia="en-US" w:bidi="ar-SA"/>
              </w:rPr>
              <w:t>. Issuer is gatling throughout; the execution-FSM framing is retired. Library bug math BUG-009 (exp2) found and fixed.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Revs pinned at 0.50 per owner. Tag-based elastic alignment (implemented 2026-10-19): </w:t>
            </w:r>
            <w:r>
              <w:rPr>
                <w:rStyle w:val="VerbatimChar"/>
                <w:rFonts w:eastAsia="Cambria" w:cs=""/>
                <w:kern w:val="0"/>
                <w:szCs w:val="24"/>
                <w:lang w:val="en-US" w:eastAsia="en-US" w:bidi="ar-SA"/>
              </w:rPr>
              <w:t>alu_infer_pipe</w:t>
            </w:r>
            <w:r>
              <w:rPr>
                <w:rFonts w:eastAsia="Cambria" w:cs=""/>
                <w:kern w:val="0"/>
                <w:sz w:val="24"/>
                <w:szCs w:val="24"/>
                <w:lang w:val="en-US" w:eastAsia="en-US" w:bidi="ar-SA"/>
              </w:rPr>
              <w:t xml:space="preserve"> is a tag FIFO with an arrival join; </w:t>
            </w:r>
            <w:r>
              <w:rPr>
                <w:rStyle w:val="VerbatimChar"/>
                <w:rFonts w:eastAsia="Cambria" w:cs=""/>
                <w:kern w:val="0"/>
                <w:szCs w:val="24"/>
                <w:lang w:val="en-US" w:eastAsia="en-US" w:bidi="ar-SA"/>
              </w:rPr>
              <w:t>PIPE_DEPTH</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ADDER_LATENCY</w:t>
            </w:r>
            <w:r>
              <w:rPr>
                <w:rFonts w:eastAsia="Cambria" w:cs=""/>
                <w:kern w:val="0"/>
                <w:sz w:val="24"/>
                <w:szCs w:val="24"/>
                <w:lang w:val="en-US" w:eastAsia="en-US" w:bidi="ar-SA"/>
              </w:rPr>
              <w:t xml:space="preserve"> replace </w:t>
            </w:r>
            <w:r>
              <w:rPr>
                <w:rStyle w:val="VerbatimChar"/>
                <w:rFonts w:eastAsia="Cambria" w:cs=""/>
                <w:kern w:val="0"/>
                <w:szCs w:val="24"/>
                <w:lang w:val="en-US" w:eastAsia="en-US" w:bidi="ar-SA"/>
              </w:rPr>
              <w:t>ROW_LATENCY</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Operand ports stay </w:t>
            </w:r>
            <w:r>
              <w:rPr>
                <w:rStyle w:val="VerbatimChar"/>
                <w:rFonts w:eastAsia="Cambria" w:cs=""/>
                <w:kern w:val="0"/>
                <w:szCs w:val="24"/>
                <w:lang w:val="en-US" w:eastAsia="en-US" w:bidi="ar-SA"/>
              </w:rPr>
              <w:t>LINE_W</w:t>
            </w:r>
            <w:r>
              <w:rPr>
                <w:rFonts w:eastAsia="Cambria" w:cs=""/>
                <w:kern w:val="0"/>
                <w:sz w:val="24"/>
                <w:szCs w:val="24"/>
                <w:lang w:val="en-US" w:eastAsia="en-US" w:bidi="ar-SA"/>
              </w:rPr>
              <w:t xml:space="preserve"> each (the v0.7 widening was a line/lane mis-count).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M7 and the </w:t>
            </w:r>
            <w:r>
              <w:rPr>
                <w:rStyle w:val="VerbatimChar"/>
                <w:rFonts w:eastAsia="Cambria" w:cs=""/>
                <w:kern w:val="0"/>
                <w:szCs w:val="24"/>
                <w:lang w:val="en-US" w:eastAsia="en-US" w:bidi="ar-SA"/>
              </w:rPr>
              <w:t>acc_ctrl</w:t>
            </w:r>
            <w:r>
              <w:rPr>
                <w:rFonts w:eastAsia="Cambria" w:cs=""/>
                <w:kern w:val="0"/>
                <w:sz w:val="24"/>
                <w:szCs w:val="24"/>
                <w:lang w:val="en-US" w:eastAsia="en-US" w:bidi="ar-SA"/>
              </w:rPr>
              <w:t xml:space="preserve"> encoding accepted; per-row latency deferred to FPGA bring-up (M8); result flags packed 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Same-clock operand capture; scheduler-paced feedback; CLEAR and errored opcodes retire their slots; M5 closed.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Elastic valid/ready seam at both ends.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MAS: bf16 lanes on the </w:t>
            </w:r>
            <w:r>
              <w:rPr>
                <w:rStyle w:val="VerbatimChar"/>
                <w:rFonts w:eastAsia="Cambria" w:cs=""/>
                <w:kern w:val="0"/>
                <w:szCs w:val="24"/>
                <w:lang w:val="en-US" w:eastAsia="en-US" w:bidi="ar-SA"/>
              </w:rPr>
              <w:t>math_bf16_*</w:t>
            </w:r>
            <w:r>
              <w:rPr>
                <w:rFonts w:eastAsia="Cambria" w:cs=""/>
                <w:kern w:val="0"/>
                <w:sz w:val="24"/>
                <w:szCs w:val="24"/>
                <w:lang w:val="en-US" w:eastAsia="en-US" w:bidi="ar-SA"/>
              </w:rPr>
              <w:t xml:space="preserve"> library, fp32 MAC accumulation (M7).</w:t>
            </w:r>
            <w:bookmarkStart w:id="160" w:name="design-notes"/>
            <w:bookmarkStart w:id="161" w:name="revision-history"/>
            <w:bookmarkEnd w:id="160"/>
            <w:bookmarkEnd w:id="161"/>
          </w:p>
        </w:tc>
      </w:tr>
    </w:tbl>
    <w:p>
      <w:pPr>
        <w:pStyle w:val="Heading2"/>
        <w:pBdr>
          <w:bottom w:val="single" w:sz="12" w:space="0" w:color="228B22"/>
        </w:pBdr>
        <w:spacing w:before="280" w:after="80"/>
        <w:rPr/>
      </w:pPr>
      <w:r>
        <w:br w:type="page"/>
      </w:r>
      <w:bookmarkStart w:id="162" w:name="__RefHeading___Toc12245_211582255"/>
      <w:bookmarkEnd w:id="162"/>
      <w:r>
        <w:rPr>
          <w:rStyle w:val="SectionNumber"/>
          <w:b/>
          <w:color w:val="228B22"/>
          <w:sz w:val="28"/>
        </w:rPr>
        <w:t>7.3</w:t>
      </w:r>
      <w:r>
        <w:rPr>
          <w:b/>
          <w:color w:val="228B22"/>
          <w:sz w:val="28"/>
        </w:rPr>
        <w:tab/>
        <w:t>References</w:t>
      </w:r>
    </w:p>
    <w:p>
      <w:pPr>
        <w:pStyle w:val="Heading3"/>
        <w:spacing w:before="200" w:after="80"/>
        <w:rPr/>
      </w:pPr>
      <w:bookmarkStart w:id="163" w:name="__RefHeading___Toc12247_211582255"/>
      <w:bookmarkStart w:id="164" w:name="related-documents"/>
      <w:bookmarkEnd w:id="163"/>
      <w:r>
        <w:rPr>
          <w:rStyle w:val="SectionNumber"/>
          <w:b/>
          <w:color w:val="404040"/>
          <w:sz w:val="24"/>
        </w:rPr>
        <w:t>7.3.1</w:t>
      </w:r>
      <w:r>
        <w:rPr>
          <w:b/>
          <w:color w:val="404040"/>
          <w:sz w:val="24"/>
        </w:rPr>
        <w:tab/>
        <w:t>Related Documents</w:t>
      </w:r>
    </w:p>
    <w:p>
      <w:pPr>
        <w:pStyle w:val="Compact"/>
        <w:numPr>
          <w:ilvl w:val="0"/>
          <w:numId w:val="281"/>
        </w:numPr>
        <w:rPr/>
      </w:pPr>
      <w:r>
        <w:rPr>
          <w:b/>
          <w:bCs/>
        </w:rPr>
        <w:t>alu-infer PRD</w:t>
      </w:r>
      <w:r>
        <w:rPr/>
        <w:t xml:space="preserve"> (</w:t>
      </w:r>
      <w:hyperlink r:id="rId82">
        <w:r>
          <w:rPr>
            <w:rStyle w:val="Hyperlink"/>
          </w:rPr>
          <w:t>../../../PRD.md</w:t>
        </w:r>
      </w:hyperlink>
      <w:r>
        <w:rPr/>
        <w:t>) — product definition, normative for the ALU block</w:t>
      </w:r>
    </w:p>
    <w:p>
      <w:pPr>
        <w:pStyle w:val="Compact"/>
        <w:numPr>
          <w:ilvl w:val="0"/>
          <w:numId w:val="282"/>
        </w:numPr>
        <w:rPr/>
      </w:pPr>
      <w:r>
        <w:rPr>
          <w:b/>
          <w:bCs/>
        </w:rPr>
        <w:t>gatling PRD</w:t>
      </w:r>
      <w:r>
        <w:rPr/>
        <w:t xml:space="preserve"> (</w:t>
      </w:r>
      <w:hyperlink r:id="rId83">
        <w:r>
          <w:rPr>
            <w:rStyle w:val="Hyperlink"/>
          </w:rPr>
          <w:t>../../../../../riscv-ip/gatling-rv32itetrad/PRD.md</w:t>
        </w:r>
      </w:hyperlink>
      <w:r>
        <w:rPr/>
        <w:t>) — the barrel RV32I core that issues the ALU</w:t>
      </w:r>
    </w:p>
    <w:p>
      <w:pPr>
        <w:pStyle w:val="Compact"/>
        <w:numPr>
          <w:ilvl w:val="0"/>
          <w:numId w:val="283"/>
        </w:numPr>
        <w:rPr/>
      </w:pPr>
      <w:r>
        <w:rPr>
          <w:b/>
          <w:bCs/>
        </w:rPr>
        <w:t>cell PRD</w:t>
      </w:r>
      <w:r>
        <w:rPr/>
        <w:t xml:space="preserve"> (</w:t>
      </w:r>
      <w:hyperlink r:id="rId84">
        <w:r>
          <w:rPr>
            <w:rStyle w:val="Hyperlink"/>
          </w:rPr>
          <w:t>../../../../cell/docs/PRD.md</w:t>
        </w:r>
      </w:hyperlink>
      <w:r>
        <w:rPr/>
        <w:t>) — the cell around the ALU</w:t>
      </w:r>
    </w:p>
    <w:p>
      <w:pPr>
        <w:pStyle w:val="Compact"/>
        <w:numPr>
          <w:ilvl w:val="0"/>
          <w:numId w:val="284"/>
        </w:numPr>
        <w:rPr/>
      </w:pPr>
      <w:r>
        <w:rPr>
          <w:b/>
          <w:bCs/>
        </w:rPr>
        <w:t>rtl-math book</w:t>
      </w:r>
      <w:r>
        <w:rPr/>
        <w:t xml:space="preserve"> (</w:t>
      </w:r>
      <w:hyperlink r:id="rId85">
        <w:r>
          <w:rPr>
            <w:rStyle w:val="Hyperlink"/>
          </w:rPr>
          <w:t>../../../../../../../docs/markdown/rtl-math/index.md</w:t>
        </w:r>
      </w:hyperlink>
      <w:r>
        <w:rPr/>
        <w:t>) — the library the rows instantiate</w:t>
      </w:r>
    </w:p>
    <w:p>
      <w:pPr>
        <w:pStyle w:val="Compact"/>
        <w:numPr>
          <w:ilvl w:val="0"/>
          <w:numId w:val="285"/>
        </w:numPr>
        <w:rPr/>
      </w:pPr>
      <w:r>
        <w:rPr>
          <w:b/>
          <w:bCs/>
        </w:rPr>
        <w:t>rtl-math references index</w:t>
      </w:r>
      <w:r>
        <w:rPr/>
        <w:t xml:space="preserve"> (</w:t>
      </w:r>
      <w:hyperlink r:id="rId86">
        <w:r>
          <w:rPr>
            <w:rStyle w:val="Hyperlink"/>
          </w:rPr>
          <w:t>../../../../../../../rtl/math/references/README.md</w:t>
        </w:r>
      </w:hyperlink>
      <w:r>
        <w:rPr/>
        <w:t>) — bf16, activation and quantization papers</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5" w:name="document-information"/>
      <w:bookmarkStart w:id="166" w:name="related-document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
      <w:bookmarkEnd w:id="166"/>
      <w:r>
        <w:br w:type="page"/>
      </w:r>
    </w:p>
    <w:p>
      <w:pPr>
        <w:pStyle w:val="Heading1"/>
        <w:shd w:val="clear" w:color="auto" w:fill="404040"/>
        <w:spacing w:before="360" w:after="120"/>
        <w:rPr/>
      </w:pPr>
      <w:bookmarkStart w:id="167" w:name="__RefHeading___Toc12249_211582255"/>
      <w:bookmarkStart w:id="168" w:name="Xd6d1d1bdaf4eacc6d67ff60d80ff81db4211876"/>
      <w:bookmarkEnd w:id="167"/>
      <w:r>
        <w:rPr>
          <w:rStyle w:val="SectionNumber"/>
          <w:b/>
          <w:color w:val="FFFFFF"/>
          <w:sz w:val="32"/>
        </w:rPr>
        <w:t>8</w:t>
      </w:r>
      <w:r>
        <w:rPr>
          <w:b/>
          <w:color w:val="FFFFFF"/>
          <w:sz w:val="32"/>
        </w:rPr>
        <w:tab/>
        <w:t>Design Philosophy and Datapath Organization</w:t>
      </w:r>
    </w:p>
    <w:p>
      <w:pPr>
        <w:pStyle w:val="Heading2"/>
        <w:pageBreakBefore w:val="false"/>
        <w:pBdr>
          <w:bottom w:val="single" w:sz="12" w:space="0" w:color="228B22"/>
        </w:pBdr>
        <w:spacing w:before="280" w:after="80"/>
        <w:rPr/>
      </w:pPr>
      <w:bookmarkStart w:id="169" w:name="__RefHeading___Toc12251_211582255"/>
      <w:bookmarkStart w:id="170" w:name="what-this-block-is"/>
      <w:bookmarkEnd w:id="169"/>
      <w:r>
        <w:rPr>
          <w:rStyle w:val="SectionNumber"/>
          <w:b/>
          <w:color w:val="228B22"/>
          <w:sz w:val="28"/>
        </w:rPr>
        <w:t>8.1</w:t>
      </w:r>
      <w:r>
        <w:rPr>
          <w:b/>
          <w:color w:val="228B22"/>
          <w:sz w:val="28"/>
        </w:rPr>
        <w:tab/>
        <w:t>What This Block Is</w:t>
      </w:r>
    </w:p>
    <w:p>
      <w:pPr>
        <w:pStyle w:val="FirstParagraph"/>
        <w:rPr/>
      </w:pPr>
      <w:r>
        <w:rPr>
          <w:rStyle w:val="VerbatimChar"/>
          <w:sz w:val="20"/>
        </w:rPr>
        <w:t>alu_infer</w:t>
      </w:r>
      <w:r>
        <w:rPr>
          <w:sz w:val="20"/>
        </w:rPr>
        <w:t xml:space="preserve"> is the cell’s compute engine: a function table over packed element lanes. It is deliberately </w:t>
      </w:r>
      <w:r>
        <w:rPr>
          <w:i/>
          <w:iCs/>
          <w:sz w:val="20"/>
        </w:rPr>
        <w:t>not</w:t>
      </w:r>
      <w:r>
        <w:rPr>
          <w:sz w:val="20"/>
        </w:rPr>
        <w:t xml:space="preserve"> a processor — no fetch, no program counter, no branches. Programmability lives in the issuer: the tetrad’s </w:t>
      </w:r>
      <w:r>
        <w:rPr>
          <w:b/>
          <w:bCs/>
          <w:sz w:val="20"/>
        </w:rPr>
        <w:t>gatling</w:t>
      </w:r>
      <w:r>
        <w:rPr>
          <w:sz w:val="20"/>
        </w:rPr>
        <w:t xml:space="preserve"> core, a barrel RV32I with the Xcell extension, runs one context per cell. A context’s program presents operands and a function select to this block’s issue seam and takes results back in order (gatling PRD §1, owner ruling 2026-10-19: </w:t>
      </w:r>
      <w:r>
        <w:rPr>
          <w:i/>
          <w:iCs/>
          <w:sz w:val="20"/>
        </w:rPr>
        <w:t>the program is the schedule</w:t>
      </w:r>
      <w:r>
        <w:rPr>
          <w:sz w:val="20"/>
        </w:rPr>
        <w:t>). The ALU turns operand lines into result lines, one invocation at a time, and makes no pacing decisions of its own.</w:t>
      </w:r>
    </w:p>
    <w:p>
      <w:pPr>
        <w:pStyle w:val="BodyText"/>
        <w:rPr/>
      </w:pPr>
      <w:r>
        <w:rPr>
          <w:sz w:val="20"/>
        </w:rPr>
        <w:t>Three commitments shape every decision in this specification.</w:t>
      </w:r>
    </w:p>
    <w:p>
      <w:pPr>
        <w:pStyle w:val="BodyText"/>
        <w:rPr/>
      </w:pPr>
      <w:r>
        <w:rPr>
          <w:b/>
          <w:bCs/>
          <w:sz w:val="20"/>
        </w:rPr>
        <w:t>1. The math library is the datapath.</w:t>
      </w:r>
      <w:r>
        <w:rPr>
          <w:sz w:val="20"/>
        </w:rPr>
        <w:t xml:space="preserve"> Every floating-point row instantiates an existing </w:t>
      </w:r>
      <w:r>
        <w:rPr>
          <w:rStyle w:val="VerbatimChar"/>
          <w:sz w:val="20"/>
        </w:rPr>
        <w:t>rtl/math</w:t>
      </w:r>
      <w:r>
        <w:rPr>
          <w:sz w:val="20"/>
        </w:rPr>
        <w:t xml:space="preserve"> block — </w:t>
      </w:r>
      <w:r>
        <w:rPr>
          <w:rStyle w:val="VerbatimChar"/>
          <w:sz w:val="20"/>
        </w:rPr>
        <w:t>math_bf16_*</w:t>
      </w:r>
      <w:r>
        <w:rPr>
          <w:sz w:val="20"/>
        </w:rPr>
        <w:t xml:space="preserve"> for bf16, the IEEE 754-2008 fp32 adder/multiplier/FMA and </w:t>
      </w:r>
      <w:r>
        <w:rPr>
          <w:rStyle w:val="VerbatimChar"/>
          <w:sz w:val="20"/>
        </w:rPr>
        <w:t>math_fp32_*</w:t>
      </w:r>
      <w:r>
        <w:rPr>
          <w:sz w:val="20"/>
        </w:rPr>
        <w:t xml:space="preserve"> for fp32, </w:t>
      </w:r>
      <w:r>
        <w:rPr>
          <w:rStyle w:val="VerbatimChar"/>
          <w:sz w:val="20"/>
        </w:rPr>
        <w:t>math_fp8_e4m3_*</w:t>
      </w:r>
      <w:r>
        <w:rPr>
          <w:sz w:val="20"/>
        </w:rPr>
        <w:t xml:space="preserve"> for fp8, the </w:t>
      </w:r>
      <w:r>
        <w:rPr>
          <w:rStyle w:val="VerbatimChar"/>
          <w:sz w:val="20"/>
        </w:rPr>
        <w:t>*_to_*</w:t>
      </w:r>
      <w:r>
        <w:rPr>
          <w:sz w:val="20"/>
        </w:rPr>
        <w:t xml:space="preserve"> converters. The ALU inherits each block’s structure, numerics and special-value behavior. The int8 rows are plain saturating integer logic; there is no int8 library family.</w:t>
      </w:r>
    </w:p>
    <w:p>
      <w:pPr>
        <w:pStyle w:val="BodyText"/>
        <w:rPr/>
      </w:pPr>
      <w:r>
        <w:rPr>
          <w:b/>
          <w:bCs/>
          <w:sz w:val="20"/>
        </w:rPr>
        <w:t>2. FMA-first, one-cycle loop.</w:t>
      </w:r>
      <w:r>
        <w:rPr>
          <w:sz w:val="20"/>
        </w:rPr>
        <w:t xml:space="preserve"> Inference time is multiply-accumulate time. The accumulator is a per-lane 32-bit bank (fp32 for the float formats, int32 for int8). The bf16 FMA computes the product exactly in fp32 and rounds once, and the accumulate loop is that one fused operation per cycle, so a dependent chain sustains one step per clock at any operand pipeline depth.</w:t>
      </w:r>
    </w:p>
    <w:p>
      <w:pPr>
        <w:pStyle w:val="BodyText"/>
        <w:rPr/>
      </w:pPr>
      <w:r>
        <w:rPr>
          <w:b/>
          <w:bCs/>
          <w:sz w:val="20"/>
        </w:rPr>
        <w:t>3. A function table, not a function zoo.</w:t>
      </w:r>
      <w:r>
        <w:rPr>
          <w:sz w:val="20"/>
        </w:rPr>
        <w:t xml:space="preserve"> </w:t>
      </w:r>
      <w:r>
        <w:rPr>
          <w:rStyle w:val="VerbatimChar"/>
          <w:sz w:val="20"/>
        </w:rPr>
        <w:t>func_sel</w:t>
      </w:r>
      <w:r>
        <w:rPr>
          <w:sz w:val="20"/>
        </w:rPr>
        <w:t xml:space="preserve"> names an element format, a row and a sub-op. Decode routes the invocation to one row and to one of four result ports by latency class; nothing arbitrates. New rows are table entries behind the same seam.</w:t>
      </w:r>
      <w:bookmarkEnd w:id="170"/>
      <w:r>
        <w:br w:type="page"/>
      </w:r>
    </w:p>
    <w:p>
      <w:pPr>
        <w:pStyle w:val="Heading2"/>
        <w:pBdr>
          <w:bottom w:val="single" w:sz="12" w:space="0" w:color="228B22"/>
        </w:pBdr>
        <w:spacing w:before="280" w:after="80"/>
        <w:rPr/>
      </w:pPr>
      <w:bookmarkStart w:id="171" w:name="__RefHeading___Toc12253_211582255"/>
      <w:bookmarkStart w:id="172" w:name="the-dataflow-in-one-paragraph"/>
      <w:bookmarkEnd w:id="171"/>
      <w:r>
        <w:rPr>
          <w:rStyle w:val="SectionNumber"/>
          <w:b/>
          <w:color w:val="228B22"/>
          <w:sz w:val="28"/>
        </w:rPr>
        <w:t>8.2</w:t>
      </w:r>
      <w:r>
        <w:rPr>
          <w:b/>
          <w:color w:val="228B22"/>
          <w:sz w:val="28"/>
        </w:rPr>
        <w:tab/>
        <w:t>The Dataflow in One Paragraph</w:t>
      </w:r>
    </w:p>
    <w:p>
      <w:pPr>
        <w:pStyle w:val="FirstParagraph"/>
        <w:rPr/>
      </w:pPr>
      <w:r>
        <w:rPr>
          <w:sz w:val="20"/>
        </w:rPr>
        <w:t>Gatling presents an invocation: operand lines A and B (</w:t>
      </w:r>
      <w:r>
        <w:rPr>
          <w:rStyle w:val="VerbatimChar"/>
          <w:sz w:val="20"/>
        </w:rPr>
        <w:t>LINE_W</w:t>
      </w:r>
      <w:r>
        <w:rPr>
          <w:sz w:val="20"/>
        </w:rPr>
        <w:t xml:space="preserve"> each, captured in the same clock), a 16-bit immediate, </w:t>
      </w:r>
      <w:r>
        <w:rPr>
          <w:rStyle w:val="VerbatimChar"/>
          <w:sz w:val="20"/>
        </w:rPr>
        <w:t>func_sel</w:t>
      </w:r>
      <w:r>
        <w:rPr>
          <w:sz w:val="20"/>
        </w:rPr>
        <w:t xml:space="preserve">, </w:t>
      </w:r>
      <w:r>
        <w:rPr>
          <w:rStyle w:val="VerbatimChar"/>
          <w:sz w:val="20"/>
        </w:rPr>
        <w:t>acc_ctrl</w:t>
      </w:r>
      <w:r>
        <w:rPr>
          <w:sz w:val="20"/>
        </w:rPr>
        <w:t xml:space="preserve">, and </w:t>
      </w:r>
      <w:r>
        <w:rPr>
          <w:rStyle w:val="VerbatimChar"/>
          <w:sz w:val="20"/>
        </w:rPr>
        <w:t>valid</w:t>
      </w:r>
      <w:r>
        <w:rPr>
          <w:sz w:val="20"/>
        </w:rPr>
        <w:t>. On the issue edge (</w:t>
      </w:r>
      <w:r>
        <w:rPr>
          <w:rStyle w:val="VerbatimChar"/>
          <w:sz w:val="20"/>
        </w:rPr>
        <w:t>valid &amp;&amp; ready</w:t>
      </w:r>
      <w:r>
        <w:rPr>
          <w:sz w:val="20"/>
        </w:rPr>
        <w:t xml:space="preserve">) the invocation takes the next 8-bit tag. Decode checks that the (opcode, format) pair is legal in this build and routes it. A combinational row lands its result in the tag FIFO at the issue edge. The adders land </w:t>
      </w:r>
      <w:r>
        <w:rPr>
          <w:rStyle w:val="VerbatimChar"/>
          <w:sz w:val="20"/>
        </w:rPr>
        <w:t>ADDER_LATENCY</w:t>
      </w:r>
      <w:r>
        <w:rPr>
          <w:sz w:val="20"/>
        </w:rPr>
        <w:t xml:space="preserve"> cycles later, the multipliers </w:t>
      </w:r>
      <w:r>
        <w:rPr>
          <w:rStyle w:val="VerbatimChar"/>
          <w:sz w:val="20"/>
        </w:rPr>
        <w:t>MUL_LATENCY</w:t>
      </w:r>
      <w:r>
        <w:rPr>
          <w:sz w:val="20"/>
        </w:rPr>
        <w:t xml:space="preserve"> later, and the accumulator rows </w:t>
      </w:r>
      <w:r>
        <w:rPr>
          <w:rStyle w:val="VerbatimChar"/>
          <w:sz w:val="20"/>
        </w:rPr>
        <w:t>MAC_LATENCY</w:t>
      </w:r>
      <w:r>
        <w:rPr>
          <w:sz w:val="20"/>
        </w:rPr>
        <w:t xml:space="preserve"> later. Each carries its tag and joins its FIFO entry by tag compare. The FIFO offers results strictly in issue order. An illegal invocation still retires its slot, with a zero line, and pulses </w:t>
      </w:r>
      <w:r>
        <w:rPr>
          <w:rStyle w:val="VerbatimChar"/>
          <w:sz w:val="20"/>
        </w:rPr>
        <w:t>err_opcode</w:t>
      </w:r>
      <w:r>
        <w:rPr>
          <w:sz w:val="20"/>
        </w:rPr>
        <w:t>.</w:t>
      </w:r>
    </w:p>
    <w:p>
      <w:pPr>
        <w:pStyle w:val="Heading3"/>
        <w:spacing w:before="200" w:after="80"/>
        <w:rPr/>
      </w:pPr>
      <w:bookmarkStart w:id="173" w:name="__RefHeading___Toc12255_211582255"/>
      <w:bookmarkStart w:id="174" w:name="figure-1.1-alu-infer-datapath-overview"/>
      <w:bookmarkStart w:id="175" w:name="_Fig_2_ALU_INFER_datapath_o"/>
      <w:bookmarkEnd w:id="173"/>
      <w:r>
        <w:rPr>
          <w:rStyle w:val="SectionNumber"/>
          <w:b/>
          <w:color w:val="404040"/>
          <w:sz w:val="24"/>
        </w:rPr>
        <w:t>8.2.1</w:t>
      </w:r>
      <w:r>
        <w:rPr>
          <w:b/>
          <w:color w:val="404040"/>
          <w:sz w:val="24"/>
        </w:rPr>
        <w:tab/>
        <w:t>Figure 1.1: ALU-INFER datapath overview</w:t>
      </w:r>
      <w:bookmarkEnd w:id="175"/>
    </w:p>
    <w:p>
      <w:pPr>
        <w:pStyle w:val="CaptionedFigure"/>
        <w:rPr/>
      </w:pPr>
      <w:r>
        <w:rPr/>
        <w:drawing>
          <wp:inline distT="0" distB="0" distL="0" distR="0">
            <wp:extent cx="5334000" cy="3488690"/>
            <wp:effectExtent l="0" t="0" r="0" b="0"/>
            <wp:docPr id="29" name="Image4" descr="Figure 1.1: ALU-INFER datapath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 descr="Figure 1.1: ALU-INFER datapath overview"/>
                    <pic:cNvPicPr>
                      <a:picLocks noChangeAspect="1" noChangeArrowheads="1"/>
                    </pic:cNvPicPr>
                  </pic:nvPicPr>
                  <pic:blipFill>
                    <a:blip r:embed="rId87"/>
                    <a:stretch>
                      <a:fillRect/>
                    </a:stretch>
                  </pic:blipFill>
                  <pic:spPr bwMode="auto">
                    <a:xfrm>
                      <a:off x="0" y="0"/>
                      <a:ext cx="5334000" cy="3488690"/>
                    </a:xfrm>
                    <a:prstGeom prst="rect">
                      <a:avLst/>
                    </a:prstGeom>
                  </pic:spPr>
                </pic:pic>
              </a:graphicData>
            </a:graphic>
          </wp:inline>
        </w:drawing>
      </w:r>
    </w:p>
    <w:p>
      <w:pPr>
        <w:pStyle w:val="ImageCaption"/>
        <w:rPr/>
      </w:pPr>
      <w:r>
        <w:rPr/>
        <w:t>Figure 1.1: ALU-INFER datapath overview</w:t>
      </w:r>
    </w:p>
    <w:p>
      <w:pPr>
        <w:pStyle w:val="BodyText"/>
        <w:rPr/>
      </w:pPr>
      <w:bookmarkStart w:id="176" w:name="the-dataflow-in-one-paragraph"/>
      <w:bookmarkStart w:id="177" w:name="figure-1.1-alu-infer-datapath-overview"/>
      <w:r>
        <w:rPr>
          <w:sz w:val="20"/>
        </w:rPr>
        <w:t>The full block diagram, with every row family and result port, is Figure 2.1 in the next chapter.</w:t>
      </w:r>
      <w:bookmarkEnd w:id="176"/>
      <w:bookmarkEnd w:id="177"/>
      <w:r>
        <w:br w:type="page"/>
      </w:r>
    </w:p>
    <w:p>
      <w:pPr>
        <w:pStyle w:val="Heading2"/>
        <w:pBdr>
          <w:bottom w:val="single" w:sz="12" w:space="0" w:color="228B22"/>
        </w:pBdr>
        <w:spacing w:before="280" w:after="80"/>
        <w:rPr/>
      </w:pPr>
      <w:bookmarkStart w:id="178" w:name="__RefHeading___Toc12257_211582255"/>
      <w:bookmarkStart w:id="179" w:name="element-formats"/>
      <w:bookmarkEnd w:id="178"/>
      <w:r>
        <w:rPr>
          <w:rStyle w:val="SectionNumber"/>
          <w:b/>
          <w:color w:val="228B22"/>
          <w:sz w:val="28"/>
        </w:rPr>
        <w:t>8.3</w:t>
      </w:r>
      <w:r>
        <w:rPr>
          <w:b/>
          <w:color w:val="228B22"/>
          <w:sz w:val="28"/>
        </w:rPr>
        <w:tab/>
        <w:t>Element Formats</w:t>
      </w:r>
    </w:p>
    <w:p>
      <w:pPr>
        <w:pStyle w:val="TableCaption"/>
        <w:rPr/>
      </w:pPr>
      <w:bookmarkStart w:id="180" w:name="_Tab_3_Table_1_1__element_f"/>
      <w:r>
        <w:rPr/>
        <w:t>Table 1.1: element formats</w:t>
      </w:r>
      <w:bookmarkEnd w:id="1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func_sel[8:7]</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Lanes per 32-bit line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Accumulator lane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int8 (two’s complement)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fp8 e4m3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fp32</w:t>
            </w:r>
          </w:p>
        </w:tc>
      </w:tr>
    </w:tbl>
    <w:p>
      <w:pPr>
        <w:pStyle w:val="BodyText"/>
        <w:rPr/>
      </w:pPr>
      <w:bookmarkStart w:id="181" w:name="element-formats"/>
      <w:r>
        <w:rPr>
          <w:sz w:val="20"/>
        </w:rPr>
        <w:t>bf16 is the v1 format and the one every row supports. int8 is the PRD roadmap’s first added format (4 MACs per clock on a 32-bit line), and fp32 the second. fp8 e4m3 is the §7 element-model extension. Wider lines scale the lane count, never the element width.</w:t>
      </w:r>
      <w:bookmarkEnd w:id="181"/>
      <w:r>
        <w:br w:type="page"/>
      </w:r>
    </w:p>
    <w:p>
      <w:pPr>
        <w:pStyle w:val="Heading2"/>
        <w:pBdr>
          <w:bottom w:val="single" w:sz="12" w:space="0" w:color="228B22"/>
        </w:pBdr>
        <w:spacing w:before="280" w:after="80"/>
        <w:rPr/>
      </w:pPr>
      <w:bookmarkStart w:id="182" w:name="__RefHeading___Toc12259_211582255"/>
      <w:bookmarkStart w:id="183" w:name="relationship-to-gatling-and-the-cell"/>
      <w:bookmarkEnd w:id="182"/>
      <w:r>
        <w:rPr>
          <w:rStyle w:val="SectionNumber"/>
          <w:b/>
          <w:color w:val="228B22"/>
          <w:sz w:val="28"/>
        </w:rPr>
        <w:t>8.4</w:t>
      </w:r>
      <w:r>
        <w:rPr>
          <w:b/>
          <w:color w:val="228B22"/>
          <w:sz w:val="28"/>
        </w:rPr>
        <w:tab/>
        <w:t>Relationship to Gatling and the Cell</w:t>
      </w:r>
    </w:p>
    <w:p>
      <w:pPr>
        <w:pStyle w:val="FirstParagraph"/>
        <w:rPr/>
      </w:pPr>
      <w:r>
        <w:rPr>
          <w:sz w:val="20"/>
        </w:rPr>
        <w:t xml:space="preserve">The ALU speaks only across the issue seam (Chapter 3) and one status output. Gatling owns sequencing and pacing: it shapes the </w:t>
      </w:r>
      <w:r>
        <w:rPr>
          <w:rStyle w:val="VerbatimChar"/>
          <w:sz w:val="20"/>
        </w:rPr>
        <w:t>valid</w:t>
      </w:r>
      <w:r>
        <w:rPr>
          <w:sz w:val="20"/>
        </w:rPr>
        <w:t xml:space="preserve"> stream, obeys </w:t>
      </w:r>
      <w:r>
        <w:rPr>
          <w:rStyle w:val="VerbatimChar"/>
          <w:sz w:val="20"/>
        </w:rPr>
        <w:t>ready</w:t>
      </w:r>
      <w:r>
        <w:rPr>
          <w:sz w:val="20"/>
        </w:rPr>
        <w:t>, and pairs results with invocations by counting. Cell configuration — including anything that sets an ALU mode for a layer — arrives in-band on delta, and gatling never originates config traffic (gatling PRD §1). Observability belongs to the Ocelus MonBus plane, and this block exposes no monitor taps.</w:t>
      </w:r>
      <w:bookmarkEnd w:id="183"/>
      <w:r>
        <w:br w:type="page"/>
      </w:r>
    </w:p>
    <w:p>
      <w:pPr>
        <w:pStyle w:val="Heading2"/>
        <w:pBdr>
          <w:bottom w:val="single" w:sz="12" w:space="0" w:color="228B22"/>
        </w:pBdr>
        <w:spacing w:before="280" w:after="80"/>
        <w:rPr/>
      </w:pPr>
      <w:bookmarkStart w:id="184" w:name="__RefHeading___Toc12261_211582255"/>
      <w:bookmarkStart w:id="185" w:name="status-of-this-specification"/>
      <w:bookmarkEnd w:id="184"/>
      <w:r>
        <w:rPr>
          <w:rStyle w:val="SectionNumber"/>
          <w:b/>
          <w:color w:val="228B22"/>
          <w:sz w:val="28"/>
        </w:rPr>
        <w:t>8.5</w:t>
      </w:r>
      <w:r>
        <w:rPr>
          <w:b/>
          <w:color w:val="228B22"/>
          <w:sz w:val="28"/>
        </w:rPr>
        <w:tab/>
        <w:t>Status of This Specification</w:t>
      </w:r>
    </w:p>
    <w:p>
      <w:pPr>
        <w:pStyle w:val="FirstParagraph"/>
        <w:rPr/>
      </w:pPr>
      <w:r>
        <w:rPr>
          <w:sz w:val="20"/>
        </w:rPr>
        <w:t>The RTL is built and verified at gate and func levels, in four build configurations (Chapter 5). Chapters 2–4 document the as-built code. Where the PRD left a choice open, this specification records the as-built choice or carries it as M1–M8 (Chapter 6).</w:t>
      </w:r>
    </w:p>
    <w:p>
      <w:pPr>
        <w:pStyle w:val="Normal"/>
        <w:rPr/>
      </w:pPr>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6" w:name="Xd6d1d1bdaf4eacc6d67ff60d80ff81db4211876"/>
      <w:bookmarkStart w:id="187" w:name="status-of-this-specifica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6"/>
      <w:bookmarkEnd w:id="187"/>
      <w:r>
        <w:br w:type="page"/>
      </w:r>
    </w:p>
    <w:p>
      <w:pPr>
        <w:pStyle w:val="Heading1"/>
        <w:shd w:val="clear" w:color="auto" w:fill="404040"/>
        <w:spacing w:before="360" w:after="120"/>
        <w:rPr/>
      </w:pPr>
      <w:bookmarkStart w:id="188" w:name="__RefHeading___Toc12263_211582255"/>
      <w:bookmarkStart w:id="189" w:name="alu_infer_top-module-tree"/>
      <w:bookmarkEnd w:id="188"/>
      <w:r>
        <w:rPr>
          <w:rStyle w:val="SectionNumber"/>
          <w:b/>
          <w:color w:val="FFFFFF"/>
          <w:sz w:val="32"/>
        </w:rPr>
        <w:t>9</w:t>
      </w:r>
      <w:r>
        <w:rPr>
          <w:b/>
          <w:color w:val="FFFFFF"/>
          <w:sz w:val="32"/>
        </w:rPr>
        <w:tab/>
        <w:t>alu_infer_top (module tree)</w:t>
      </w:r>
    </w:p>
    <w:p>
      <w:pPr>
        <w:pStyle w:val="Heading2"/>
        <w:pageBreakBefore w:val="false"/>
        <w:pBdr>
          <w:bottom w:val="single" w:sz="12" w:space="0" w:color="228B22"/>
        </w:pBdr>
        <w:spacing w:before="280" w:after="80"/>
        <w:rPr/>
      </w:pPr>
      <w:bookmarkStart w:id="190" w:name="__RefHeading___Toc12265_211582255"/>
      <w:bookmarkStart w:id="191" w:name="purpose-1"/>
      <w:bookmarkEnd w:id="190"/>
      <w:r>
        <w:rPr>
          <w:rStyle w:val="SectionNumber"/>
          <w:b/>
          <w:color w:val="228B22"/>
          <w:sz w:val="28"/>
        </w:rPr>
        <w:t>9.1</w:t>
      </w:r>
      <w:r>
        <w:rPr>
          <w:b/>
          <w:color w:val="228B22"/>
          <w:sz w:val="28"/>
        </w:rPr>
        <w:tab/>
        <w:t>Purpose</w:t>
      </w:r>
    </w:p>
    <w:p>
      <w:pPr>
        <w:pStyle w:val="FirstParagraph"/>
        <w:rPr/>
      </w:pPr>
      <w:r>
        <w:rPr>
          <w:rStyle w:val="VerbatimChar"/>
          <w:sz w:val="20"/>
        </w:rPr>
        <w:t>alu_infer_top</w:t>
      </w:r>
      <w:r>
        <w:rPr>
          <w:sz w:val="20"/>
        </w:rPr>
        <w:t xml:space="preserve"> is the ALU block the cell instantiates at its issue seam. It owns everything between the operand inputs and the result outputs: decode, the row families, the accumulator, the result ports and the tag FIFO.</w:t>
      </w:r>
      <w:bookmarkEnd w:id="191"/>
      <w:r>
        <w:br w:type="page"/>
      </w:r>
    </w:p>
    <w:p>
      <w:pPr>
        <w:pStyle w:val="Heading2"/>
        <w:pBdr>
          <w:bottom w:val="single" w:sz="12" w:space="0" w:color="228B22"/>
        </w:pBdr>
        <w:spacing w:before="280" w:after="80"/>
        <w:rPr/>
      </w:pPr>
      <w:bookmarkStart w:id="192" w:name="__RefHeading___Toc12267_211582255"/>
      <w:bookmarkStart w:id="193" w:name="module-tree"/>
      <w:bookmarkEnd w:id="192"/>
      <w:r>
        <w:rPr>
          <w:rStyle w:val="SectionNumber"/>
          <w:b/>
          <w:color w:val="228B22"/>
          <w:sz w:val="28"/>
        </w:rPr>
        <w:t>9.2</w:t>
      </w:r>
      <w:r>
        <w:rPr>
          <w:b/>
          <w:color w:val="228B22"/>
          <w:sz w:val="28"/>
        </w:rPr>
        <w:tab/>
        <w:t>Module Tree</w:t>
      </w:r>
    </w:p>
    <w:p>
      <w:pPr>
        <w:pStyle w:val="SourceCode"/>
        <w:rPr/>
      </w:pPr>
      <w:r>
        <w:rPr>
          <w:rStyle w:val="VerbatimChar"/>
        </w:rPr>
        <w:t>alu_infer_top                     the ALU block at the issue seam</w:t>
      </w:r>
      <w:r>
        <w:rPr/>
        <w:br/>
      </w:r>
      <w:r>
        <w:rPr>
          <w:rStyle w:val="VerbatimChar"/>
        </w:rPr>
        <w:t>├── alu_infer_pipe                tag FIFO + arrival join (one join per port)</w:t>
      </w:r>
      <w:r>
        <w:rPr/>
        <w:br/>
      </w:r>
      <w:r>
        <w:rPr>
          <w:rStyle w:val="VerbatimChar"/>
        </w:rPr>
        <w:t>└── alu_infer_rows                the function table</w:t>
      </w:r>
      <w:r>
        <w:rPr/>
        <w:br/>
      </w:r>
      <w:r>
        <w:rPr>
          <w:rStyle w:val="VerbatimChar"/>
        </w:rPr>
        <w:t xml:space="preserve">    ├── alu_infer_decode          legality + result-port routing</w:t>
      </w:r>
      <w:r>
        <w:rPr/>
        <w:br/>
      </w:r>
      <w:r>
        <w:rPr>
          <w:rStyle w:val="VerbatimChar"/>
        </w:rPr>
        <w:t xml:space="preserve">    ├── alu_infer_bf16_rows       bf16: add/sub, mul, min/max, cmp, relu, const</w:t>
      </w:r>
      <w:r>
        <w:rPr/>
        <w:br/>
      </w:r>
      <w:r>
        <w:rPr>
          <w:rStyle w:val="VerbatimChar"/>
        </w:rPr>
        <w:t xml:space="preserve">    ├── alu_infer_int8_rows       int8: saturating add/sub/mul, min/max, cmp, relu, const   [EN_INT8]</w:t>
      </w:r>
      <w:r>
        <w:rPr/>
        <w:br/>
      </w:r>
      <w:r>
        <w:rPr>
          <w:rStyle w:val="VerbatimChar"/>
        </w:rPr>
        <w:t xml:space="preserve">    ├── alu_infer_fp32_rows       fp32: IEEE add/sub, mul, min/max, cmp, relu, const          [EN_FP32]</w:t>
      </w:r>
      <w:r>
        <w:rPr/>
        <w:br/>
      </w:r>
      <w:r>
        <w:rPr>
          <w:rStyle w:val="VerbatimChar"/>
        </w:rPr>
        <w:t xml:space="preserve">    ├── alu_infer_fp8_rows        fp8 e4m3: add/sub, mul, min/max, cmp, relu, const           [EN_FP8]</w:t>
      </w:r>
      <w:r>
        <w:rPr/>
        <w:br/>
      </w:r>
      <w:r>
        <w:rPr>
          <w:rStyle w:val="VerbatimChar"/>
        </w:rPr>
        <w:t xml:space="preserve">    ├── alu_infer_act_rows        activations (bf16/fp32/fp8) + recip/exp2/log2/qscale (bf16) [EN_ACT]</w:t>
      </w:r>
      <w:r>
        <w:rPr/>
        <w:br/>
      </w:r>
      <w:r>
        <w:rPr>
          <w:rStyle w:val="VerbatimChar"/>
        </w:rPr>
        <w:t xml:space="preserve">    ├── alu_infer_pwl             256-entry PWL LUT activation                                 [EN_PWL]</w:t>
      </w:r>
      <w:r>
        <w:rPr/>
        <w:br/>
      </w:r>
      <w:r>
        <w:rPr>
          <w:rStyle w:val="VerbatimChar"/>
        </w:rPr>
        <w:t xml:space="preserve">    ├── alu_infer_cvt             CVT and ALTFMT conversions                                   [EN_CVT]</w:t>
      </w:r>
      <w:r>
        <w:rPr/>
        <w:br/>
      </w:r>
      <w:r>
        <w:rPr>
          <w:rStyle w:val="VerbatimChar"/>
        </w:rPr>
        <w:t xml:space="preserve">    ├── alu_infer_delay           tag/data delay lines (adder tag, MUL_LATENCY)</w:t>
      </w:r>
      <w:r>
        <w:rPr/>
        <w:br/>
      </w:r>
      <w:r>
        <w:rPr>
          <w:rStyle w:val="VerbatimChar"/>
        </w:rPr>
        <w:t xml:space="preserve">    └── alu_infer_acc             MAC / REDUCE: operand pipeline + accumulate stage + bank</w:t>
      </w:r>
      <w:r>
        <w:rPr/>
        <w:br/>
      </w:r>
      <w:r>
        <w:rPr>
          <w:rStyle w:val="VerbatimChar"/>
        </w:rPr>
        <w:t xml:space="preserve">        └── alu_infer_delay       MAC_LATENCY operand stages</w:t>
      </w:r>
    </w:p>
    <w:p>
      <w:pPr>
        <w:pStyle w:val="FirstParagraph"/>
        <w:rPr/>
      </w:pPr>
      <w:r>
        <w:rPr>
          <w:rStyle w:val="VerbatimChar"/>
          <w:sz w:val="20"/>
        </w:rPr>
        <w:t>alu_infer_pkg</w:t>
      </w:r>
      <w:r>
        <w:rPr>
          <w:sz w:val="20"/>
        </w:rPr>
        <w:t xml:space="preserve"> (</w:t>
      </w:r>
      <w:r>
        <w:rPr>
          <w:rStyle w:val="VerbatimChar"/>
          <w:sz w:val="20"/>
        </w:rPr>
        <w:t>rtl/includes/</w:t>
      </w:r>
      <w:r>
        <w:rPr>
          <w:sz w:val="20"/>
        </w:rPr>
        <w:t xml:space="preserve">) holds the shared encodings: opcodes, formats, </w:t>
      </w:r>
      <w:r>
        <w:rPr>
          <w:rStyle w:val="VerbatimChar"/>
          <w:sz w:val="20"/>
        </w:rPr>
        <w:t>acc_ctrl</w:t>
      </w:r>
      <w:r>
        <w:rPr>
          <w:sz w:val="20"/>
        </w:rPr>
        <w:t xml:space="preserve">, port numbers. Each </w:t>
      </w:r>
      <w:r>
        <w:rPr>
          <w:rStyle w:val="VerbatimChar"/>
          <w:sz w:val="20"/>
        </w:rPr>
        <w:t>[EN_*]</w:t>
      </w:r>
      <w:r>
        <w:rPr>
          <w:sz w:val="20"/>
        </w:rPr>
        <w:t xml:space="preserve"> family is a generate branch: built out, it costs nothing and decodes as illegal (Chapter 2.4). The four planned submodules of the first draft (decompose, select, compose, decode) are absorbed: lane split and pack are part-selects inside each row family, and the select is the per-port mux in </w:t>
      </w:r>
      <w:r>
        <w:rPr>
          <w:rStyle w:val="VerbatimChar"/>
          <w:sz w:val="20"/>
        </w:rPr>
        <w:t>alu_infer_rows</w:t>
      </w:r>
      <w:r>
        <w:rPr>
          <w:sz w:val="20"/>
        </w:rPr>
        <w:t>.</w:t>
      </w:r>
    </w:p>
    <w:p>
      <w:pPr>
        <w:pStyle w:val="Heading3"/>
        <w:spacing w:before="200" w:after="80"/>
        <w:rPr/>
      </w:pPr>
      <w:bookmarkStart w:id="194" w:name="__RefHeading___Toc12269_211582255"/>
      <w:bookmarkStart w:id="195" w:name="figure-2.1-alu-infer-full-block-diagram"/>
      <w:bookmarkStart w:id="196" w:name="_Fig_3_ALU_INFER_full_block"/>
      <w:bookmarkEnd w:id="194"/>
      <w:r>
        <w:rPr>
          <w:rStyle w:val="SectionNumber"/>
          <w:b/>
          <w:color w:val="404040"/>
          <w:sz w:val="24"/>
        </w:rPr>
        <w:t>9.2.1</w:t>
      </w:r>
      <w:r>
        <w:rPr>
          <w:b/>
          <w:color w:val="404040"/>
          <w:sz w:val="24"/>
        </w:rPr>
        <w:tab/>
        <w:t>Figure 2.1: ALU-INFER full block diagram</w:t>
      </w:r>
      <w:bookmarkEnd w:id="196"/>
    </w:p>
    <w:p>
      <w:pPr>
        <w:pStyle w:val="CaptionedFigure"/>
        <w:rPr/>
      </w:pPr>
      <w:r>
        <w:rPr/>
        <w:drawing>
          <wp:inline distT="0" distB="0" distL="0" distR="0">
            <wp:extent cx="5334000" cy="2887345"/>
            <wp:effectExtent l="0" t="0" r="0" b="0"/>
            <wp:docPr id="34" name="Image5" descr="Figure 2.1: ALU-INFER ful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5" descr="Figure 2.1: ALU-INFER full block diagram"/>
                    <pic:cNvPicPr>
                      <a:picLocks noChangeAspect="1" noChangeArrowheads="1"/>
                    </pic:cNvPicPr>
                  </pic:nvPicPr>
                  <pic:blipFill>
                    <a:blip r:embed="rId88"/>
                    <a:stretch>
                      <a:fillRect/>
                    </a:stretch>
                  </pic:blipFill>
                  <pic:spPr bwMode="auto">
                    <a:xfrm>
                      <a:off x="0" y="0"/>
                      <a:ext cx="5334000" cy="2887345"/>
                    </a:xfrm>
                    <a:prstGeom prst="rect">
                      <a:avLst/>
                    </a:prstGeom>
                  </pic:spPr>
                </pic:pic>
              </a:graphicData>
            </a:graphic>
          </wp:inline>
        </w:drawing>
      </w:r>
    </w:p>
    <w:p>
      <w:pPr>
        <w:pStyle w:val="ImageCaption"/>
        <w:rPr/>
      </w:pPr>
      <w:r>
        <w:rPr/>
        <w:t>Figure 2.1: ALU-INFER full block diagram</w:t>
      </w:r>
    </w:p>
    <w:p>
      <w:pPr>
        <w:pStyle w:val="BodyText"/>
        <w:rPr/>
      </w:pPr>
      <w:bookmarkStart w:id="197" w:name="module-tree"/>
      <w:bookmarkStart w:id="198" w:name="figure-2.1-alu-infer-full-block-diagram"/>
      <w:r>
        <w:rPr>
          <w:sz w:val="20"/>
        </w:rPr>
        <w:t>The element key is the house v3 key: green rounded boxes are the seam, white boxes combinational logic, double-bordered blue boxes registered, lavender cylinders storage, and dashed outlines build-optional families. The four result ports sit in one rank above the tag FIFO. Each port carries its rows’ results and tags at that port’s latency.</w:t>
      </w:r>
      <w:bookmarkEnd w:id="197"/>
      <w:bookmarkEnd w:id="198"/>
      <w:r>
        <w:br w:type="page"/>
      </w:r>
    </w:p>
    <w:p>
      <w:pPr>
        <w:pStyle w:val="Heading2"/>
        <w:pBdr>
          <w:bottom w:val="single" w:sz="12" w:space="0" w:color="228B22"/>
        </w:pBdr>
        <w:spacing w:before="280" w:after="80"/>
        <w:rPr/>
      </w:pPr>
      <w:bookmarkStart w:id="199" w:name="__RefHeading___Toc12271_211582255"/>
      <w:bookmarkEnd w:id="199"/>
      <w:r>
        <w:rPr>
          <w:rStyle w:val="SectionNumber"/>
          <w:b/>
          <w:color w:val="228B22"/>
          <w:sz w:val="28"/>
        </w:rPr>
        <w:t>9.3</w:t>
      </w:r>
      <w:r>
        <w:rPr>
          <w:b/>
          <w:color w:val="228B22"/>
          <w:sz w:val="28"/>
        </w:rPr>
        <w:tab/>
        <w:t>Parameters</w:t>
      </w:r>
    </w:p>
    <w:p>
      <w:pPr>
        <w:pStyle w:val="TableCaption"/>
        <w:rPr/>
      </w:pPr>
      <w:bookmarkStart w:id="200" w:name="_Tab_4_Table_2_1__alu_infer"/>
      <w:r>
        <w:rPr/>
        <w:t xml:space="preserve">Table 2.1: </w:t>
      </w:r>
      <w:r>
        <w:rPr>
          <w:rStyle w:val="VerbatimChar"/>
        </w:rPr>
        <w:t>alu_infer_top</w:t>
      </w:r>
      <w:r>
        <w:rPr/>
        <w:t xml:space="preserve"> parameters</w:t>
      </w:r>
      <w:bookmarkEnd w:id="2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LINE_W</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width; a positive multiple of 32. Lanes scale with it, element widths never do</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PIPE_DEPTH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Tag-FIFO entries = invocations in flight, [2,16]; the stall tolerance, not a latency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ADDER_LATENCY</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bf16 and fp32 adder pipe stages (the library </w:t>
            </w:r>
            <w:r>
              <w:rPr>
                <w:rStyle w:val="VerbatimChar"/>
                <w:rFonts w:eastAsia="Cambria" w:cs=""/>
                <w:kern w:val="0"/>
                <w:szCs w:val="24"/>
                <w:lang w:val="en-US" w:eastAsia="en-US" w:bidi="ar-SA"/>
              </w:rPr>
              <w:t>PIPE_STAGE_1..4</w:t>
            </w:r>
            <w:r>
              <w:rPr>
                <w:rFonts w:eastAsia="Cambria" w:cs=""/>
                <w:kern w:val="0"/>
                <w:sz w:val="24"/>
                <w:szCs w:val="24"/>
                <w:lang w:val="en-US" w:eastAsia="en-US" w:bidi="ar-SA"/>
              </w:rPr>
              <w:t>), [0,4]</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MUL_LATENCY</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and fp32 multiplier output stages, [0,4]; retiming candidates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MAC_LATENCY</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Operand stages ahead of the one-cycle accumulate stage, [0,4]</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TAG_W</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tag width (owner ruling 2026-10-18)</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LEAKY_SHIFT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Leaky-relu alpha = 2^-LEAKY_SHIFT, every format</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EN_INT8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EN_FP32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EN_FP8</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the element format</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EN_REDUCE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EN_PWL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EN_ACT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EN_CVT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the row family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N_LANES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ACC_W</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LINE_W/16</w:t>
            </w:r>
            <w:r>
              <w:rPr>
                <w:rFonts w:eastAsia="Cambria" w:cs=""/>
                <w:kern w:val="0"/>
                <w:sz w:val="24"/>
                <w:szCs w:val="24"/>
                <w:lang w:val="en-US" w:eastAsia="en-US" w:bidi="ar-SA"/>
              </w:rPr>
              <w:t>, 32</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Retained for compatibility; not used by the rows</w:t>
            </w:r>
            <w:bookmarkStart w:id="201" w:name="parameters"/>
            <w:bookmarkEnd w:id="201"/>
          </w:p>
        </w:tc>
      </w:tr>
    </w:tbl>
    <w:p>
      <w:pPr>
        <w:pStyle w:val="Heading2"/>
        <w:pBdr>
          <w:bottom w:val="single" w:sz="12" w:space="0" w:color="228B22"/>
        </w:pBdr>
        <w:spacing w:before="280" w:after="80"/>
        <w:rPr/>
      </w:pPr>
      <w:r>
        <w:br w:type="page"/>
      </w:r>
      <w:bookmarkStart w:id="202" w:name="__RefHeading___Toc12273_211582255"/>
      <w:bookmarkEnd w:id="202"/>
      <w:r>
        <w:rPr>
          <w:rStyle w:val="SectionNumber"/>
          <w:b/>
          <w:color w:val="228B22"/>
          <w:sz w:val="28"/>
        </w:rPr>
        <w:t>9.4</w:t>
      </w:r>
      <w:r>
        <w:rPr>
          <w:b/>
          <w:color w:val="228B22"/>
          <w:sz w:val="28"/>
        </w:rPr>
        <w:tab/>
        <w:t>Clock and Reset</w:t>
      </w:r>
    </w:p>
    <w:p>
      <w:pPr>
        <w:pStyle w:val="FirstParagraph"/>
        <w:rPr/>
      </w:pPr>
      <w:r>
        <w:rPr>
          <w:sz w:val="20"/>
        </w:rPr>
        <w:t xml:space="preserve">Single clock, active-low asynchronous </w:t>
      </w:r>
      <w:r>
        <w:rPr>
          <w:rStyle w:val="VerbatimChar"/>
          <w:sz w:val="20"/>
        </w:rPr>
        <w:t>aresetn</w:t>
      </w:r>
      <w:r>
        <w:rPr>
          <w:sz w:val="20"/>
        </w:rPr>
        <w:t xml:space="preserve"> (house </w:t>
      </w:r>
      <w:r>
        <w:rPr>
          <w:rStyle w:val="VerbatimChar"/>
          <w:sz w:val="20"/>
        </w:rPr>
        <w:t>ALWAYS_FF_RST</w:t>
      </w:r>
      <w:r>
        <w:rPr>
          <w:sz w:val="20"/>
        </w:rPr>
        <w:t>), matching the cell. Reset clears the tag FIFO, the delay lines and the accumulator bank. The PWL table is a memory and has no reset (house SRAM rule): it must be loaded before use (Chapter 2.5).</w:t>
      </w:r>
    </w:p>
    <w:p>
      <w:pPr>
        <w:pStyle w:val="Normal"/>
        <w:rPr/>
      </w:pP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3" w:name="alu_infer_top-module-tree"/>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
      <w:r>
        <w:br w:type="page"/>
      </w:r>
    </w:p>
    <w:p>
      <w:pPr>
        <w:pStyle w:val="Heading1"/>
        <w:shd w:val="clear" w:color="auto" w:fill="404040"/>
        <w:spacing w:before="360" w:after="120"/>
        <w:rPr/>
      </w:pPr>
      <w:bookmarkStart w:id="204" w:name="__RefHeading___Toc12275_211582255"/>
      <w:bookmarkStart w:id="205" w:name="the-function-rows"/>
      <w:bookmarkEnd w:id="204"/>
      <w:r>
        <w:rPr>
          <w:rStyle w:val="SectionNumber"/>
          <w:b/>
          <w:color w:val="FFFFFF"/>
          <w:sz w:val="32"/>
        </w:rPr>
        <w:t>10</w:t>
      </w:r>
      <w:r>
        <w:rPr>
          <w:b/>
          <w:color w:val="FFFFFF"/>
          <w:sz w:val="32"/>
        </w:rPr>
        <w:tab/>
        <w:t>The Function Rows</w:t>
      </w:r>
    </w:p>
    <w:p>
      <w:pPr>
        <w:pStyle w:val="FirstParagraph"/>
        <w:rPr/>
      </w:pPr>
      <w:r>
        <w:rPr>
          <w:sz w:val="20"/>
        </w:rPr>
        <w:t xml:space="preserve">Each row is one table entry. It takes the lanes of operand A (and B or the immediate), computes every lane in parallel and independently, and returns one result line. The </w:t>
      </w:r>
      <w:r>
        <w:rPr>
          <w:rStyle w:val="VerbatimChar"/>
          <w:sz w:val="20"/>
        </w:rPr>
        <w:t>rtl/math</w:t>
      </w:r>
      <w:r>
        <w:rPr>
          <w:sz w:val="20"/>
        </w:rPr>
        <w:t xml:space="preserve"> block named for a row is its implementation. That block’s structure, numerics and special-value handling are documented in its rtl-math page and not restated here; this chapter pins the row’s wiring.</w:t>
      </w:r>
      <w:r>
        <w:br w:type="page"/>
      </w:r>
    </w:p>
    <w:p>
      <w:pPr>
        <w:pStyle w:val="Heading2"/>
        <w:pBdr>
          <w:bottom w:val="single" w:sz="12" w:space="0" w:color="228B22"/>
        </w:pBdr>
        <w:spacing w:before="280" w:after="80"/>
        <w:rPr/>
      </w:pPr>
      <w:bookmarkStart w:id="206" w:name="__RefHeading___Toc12277_211582255"/>
      <w:bookmarkStart w:id="207" w:name="opcode-map"/>
      <w:bookmarkEnd w:id="206"/>
      <w:r>
        <w:rPr>
          <w:rStyle w:val="SectionNumber"/>
          <w:b/>
          <w:color w:val="228B22"/>
          <w:sz w:val="28"/>
        </w:rPr>
        <w:t>10.1</w:t>
      </w:r>
      <w:r>
        <w:rPr>
          <w:b/>
          <w:color w:val="228B22"/>
          <w:sz w:val="28"/>
        </w:rPr>
        <w:tab/>
        <w:t>Opcode Map</w:t>
      </w:r>
    </w:p>
    <w:p>
      <w:pPr>
        <w:pStyle w:val="TableCaption"/>
        <w:rPr/>
      </w:pPr>
      <w:bookmarkStart w:id="208" w:name="_Tab_5_Table_2_2__the_funct"/>
      <w:r>
        <w:rPr/>
        <w:t>Table 2.2: the function rows</w:t>
      </w:r>
      <w:bookmarkEnd w:id="2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Operands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adder (bf16, fp32) / comb (int8, fp8)</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add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multiplier (bf16, fp32) / comb (int8, fp8)</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 bank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accumulator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 max (sub_op[0])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(sub_op[0]: B / imm)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 or imm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(sub_op[0]: sum / max; sub_op[1]: fold)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bank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accumulator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pwl_lut (sub_op[0]: write / read)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 entry, B[7:0] = index</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leaky-relu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fp32, fp8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gelu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fp32, fp8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sigmoid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fp32, fp8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silu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fp32, fp8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tanh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fp32, fp8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reciprocal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log2-scale (qscale)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cvt (src = fmt, dst = sub_op)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library pairs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 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altfmt (bf16 &lt;-&gt; fp16 / e5m2)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 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23–31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w:t>
            </w:r>
          </w:p>
        </w:tc>
      </w:tr>
    </w:tbl>
    <w:p>
      <w:pPr>
        <w:pStyle w:val="BodyText"/>
        <w:rPr/>
      </w:pPr>
      <w:r>
        <w:rPr>
          <w:sz w:val="20"/>
        </w:rPr>
        <w:t>“</w:t>
      </w:r>
      <w:r>
        <w:rPr>
          <w:sz w:val="20"/>
        </w:rPr>
        <w:t>All” means every format built in. A (format, opcode) pair outside this table is illegal (Chapter 2.4).</w:t>
      </w:r>
      <w:bookmarkEnd w:id="207"/>
      <w:r>
        <w:br w:type="page"/>
      </w:r>
    </w:p>
    <w:p>
      <w:pPr>
        <w:pStyle w:val="Heading2"/>
        <w:pBdr>
          <w:bottom w:val="single" w:sz="12" w:space="0" w:color="228B22"/>
        </w:pBdr>
        <w:spacing w:before="280" w:after="80"/>
        <w:rPr/>
      </w:pPr>
      <w:bookmarkStart w:id="209" w:name="__RefHeading___Toc12279_211582255"/>
      <w:bookmarkEnd w:id="209"/>
      <w:r>
        <w:rPr>
          <w:rStyle w:val="SectionNumber"/>
          <w:b/>
          <w:color w:val="228B22"/>
          <w:sz w:val="28"/>
        </w:rPr>
        <w:t>10.2</w:t>
      </w:r>
      <w:r>
        <w:rPr>
          <w:b/>
          <w:color w:val="228B22"/>
          <w:sz w:val="28"/>
        </w:rPr>
        <w:tab/>
        <w:t>Elementwise Rows per Format</w:t>
      </w:r>
    </w:p>
    <w:p>
      <w:pPr>
        <w:pStyle w:val="TableCaption"/>
        <w:rPr/>
      </w:pPr>
      <w:bookmarkStart w:id="210" w:name="_Tab_6_Table_2_3__elementwi"/>
      <w:r>
        <w:rPr/>
        <w:t>Table 2.3: elementwise rows</w:t>
      </w:r>
      <w:bookmarkEnd w:id="2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bf16</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int8</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fp32</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fp8 e4m3</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 sub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math_bf16_adder</w:t>
            </w:r>
            <w:r>
              <w:rPr>
                <w:rFonts w:eastAsia="Cambria" w:cs=""/>
                <w:kern w:val="0"/>
                <w:sz w:val="24"/>
                <w:szCs w:val="24"/>
                <w:lang w:val="en-US" w:eastAsia="en-US" w:bidi="ar-SA"/>
              </w:rPr>
              <w:t xml:space="preserve"> (sub: B sign flipped)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saturating </w:t>
            </w:r>
            <w:r>
              <w:rPr>
                <w:rStyle w:val="VerbatimChar"/>
                <w:rFonts w:eastAsia="Cambria" w:cs=""/>
                <w:kern w:val="0"/>
                <w:szCs w:val="24"/>
                <w:lang w:val="en-US" w:eastAsia="en-US" w:bidi="ar-SA"/>
              </w:rPr>
              <w:t>a ± 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math_ieee754_2008_fp32_adder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math_fp8_e4m3_adder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math_bf16_multiplier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saturating </w:t>
            </w:r>
            <w:r>
              <w:rPr>
                <w:rStyle w:val="VerbatimChar"/>
                <w:rFonts w:eastAsia="Cambria" w:cs=""/>
                <w:kern w:val="0"/>
                <w:szCs w:val="24"/>
                <w:lang w:val="en-US" w:eastAsia="en-US" w:bidi="ar-SA"/>
              </w:rPr>
              <w:t>a × 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math_ieee754_2008_fp32_multiplier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math_fp8_e4m3_multiplier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 max</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math_bf16_min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_max</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signed compare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math_fp32_min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_max</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math_fp8_e4m3_min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_max</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math_bf16_comparator</w:t>
            </w:r>
            <w:r>
              <w:rPr>
                <w:rFonts w:eastAsia="Cambria" w:cs=""/>
                <w:kern w:val="0"/>
                <w:sz w:val="24"/>
                <w:szCs w:val="24"/>
                <w:lang w:val="en-US" w:eastAsia="en-US" w:bidi="ar-SA"/>
              </w:rPr>
              <w:t xml:space="preserve"> (lt)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signed </w:t>
            </w:r>
            <w:r>
              <w:rPr>
                <w:rStyle w:val="VerbatimChar"/>
                <w:rFonts w:eastAsia="Cambria" w:cs=""/>
                <w:kern w:val="0"/>
                <w:szCs w:val="24"/>
                <w:lang w:val="en-US" w:eastAsia="en-US" w:bidi="ar-SA"/>
              </w:rPr>
              <w:t>a &lt; 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math_fp32_comparator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math_fp8_e4m3_comparator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math_bf16_relu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 &lt; 0 ? 0 : 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math_fp32_relu</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math_fp8_e4m3_relu</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imm[7:0]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 16'h0}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imm[7:0]</w:t>
            </w:r>
            <w:bookmarkStart w:id="211" w:name="elementwise-rows-per-format"/>
            <w:bookmarkEnd w:id="211"/>
          </w:p>
        </w:tc>
      </w:tr>
    </w:tbl>
    <w:p>
      <w:pPr>
        <w:pStyle w:val="Heading2"/>
        <w:pBdr>
          <w:bottom w:val="single" w:sz="12" w:space="0" w:color="228B22"/>
        </w:pBdr>
        <w:spacing w:before="280" w:after="80"/>
        <w:rPr/>
      </w:pPr>
      <w:r>
        <w:br w:type="page"/>
      </w:r>
      <w:bookmarkStart w:id="212" w:name="__RefHeading___Toc12281_211582255"/>
      <w:bookmarkEnd w:id="212"/>
      <w:r>
        <w:rPr>
          <w:rStyle w:val="SectionNumber"/>
          <w:b/>
          <w:color w:val="228B22"/>
          <w:sz w:val="28"/>
        </w:rPr>
        <w:t>10.3</w:t>
      </w:r>
      <w:r>
        <w:rPr>
          <w:b/>
          <w:color w:val="228B22"/>
          <w:sz w:val="28"/>
        </w:rPr>
        <w:tab/>
        <w:t>Per-Row Notes</w:t>
      </w:r>
    </w:p>
    <w:p>
      <w:pPr>
        <w:pStyle w:val="FirstParagraph"/>
        <w:rPr/>
      </w:pPr>
      <w:r>
        <w:rPr>
          <w:b/>
          <w:bCs/>
          <w:sz w:val="20"/>
        </w:rPr>
        <w:t>copy (0).</w:t>
      </w:r>
      <w:r>
        <w:rPr>
          <w:sz w:val="20"/>
        </w:rPr>
        <w:t xml:space="preserve"> Operand A to the result line, in any format; useful for moving lines and for test patterns.</w:t>
      </w:r>
    </w:p>
    <w:p>
      <w:pPr>
        <w:pStyle w:val="BodyText"/>
        <w:rPr/>
      </w:pPr>
      <w:r>
        <w:rPr>
          <w:b/>
          <w:bCs/>
          <w:sz w:val="20"/>
        </w:rPr>
        <w:t>add / sub (1, 2).</w:t>
      </w:r>
      <w:r>
        <w:rPr>
          <w:sz w:val="20"/>
        </w:rPr>
        <w:t xml:space="preserve"> Sub shares the adder with B’s sign bit flipped (bf16, fp32, fp8). The bf16 and fp32 adders are pipelined </w:t>
      </w:r>
      <w:r>
        <w:rPr>
          <w:rStyle w:val="VerbatimChar"/>
          <w:sz w:val="20"/>
        </w:rPr>
        <w:t>ADDER_LATENCY</w:t>
      </w:r>
      <w:r>
        <w:rPr>
          <w:sz w:val="20"/>
        </w:rPr>
        <w:t xml:space="preserve"> stages and land on the adder port; the int8 and fp8 adders are combinational. int8 saturates to [-128, 127] — the inference convention — and never wraps.</w:t>
      </w:r>
    </w:p>
    <w:p>
      <w:pPr>
        <w:pStyle w:val="BodyText"/>
        <w:rPr/>
      </w:pPr>
      <w:r>
        <w:rPr>
          <w:b/>
          <w:bCs/>
          <w:sz w:val="20"/>
        </w:rPr>
        <w:t>mul (3).</w:t>
      </w:r>
      <w:r>
        <w:rPr>
          <w:sz w:val="20"/>
        </w:rPr>
        <w:t xml:space="preserve"> The bf16 and fp32 multipliers are combinational blocks followed by </w:t>
      </w:r>
      <w:r>
        <w:rPr>
          <w:rStyle w:val="VerbatimChar"/>
          <w:sz w:val="20"/>
        </w:rPr>
        <w:t>MUL_LATENCY</w:t>
      </w:r>
      <w:r>
        <w:rPr>
          <w:sz w:val="20"/>
        </w:rPr>
        <w:t xml:space="preserve"> output stages. Those registers are retiming candidates: the integration flow moves them into the multiplier. int8 saturates its 16-bit product.</w:t>
      </w:r>
    </w:p>
    <w:p>
      <w:pPr>
        <w:pStyle w:val="BodyText"/>
        <w:rPr/>
      </w:pPr>
      <w:r>
        <w:rPr>
          <w:b/>
          <w:bCs/>
          <w:sz w:val="20"/>
        </w:rPr>
        <w:t>min / max (5).</w:t>
      </w:r>
      <w:r>
        <w:rPr>
          <w:sz w:val="20"/>
        </w:rPr>
        <w:t xml:space="preserve"> </w:t>
      </w:r>
      <w:r>
        <w:rPr>
          <w:rStyle w:val="VerbatimChar"/>
          <w:sz w:val="20"/>
        </w:rPr>
        <w:t>sub_op[0]</w:t>
      </w:r>
      <w:r>
        <w:rPr>
          <w:sz w:val="20"/>
        </w:rPr>
        <w:t xml:space="preserve"> picks max. NaN semantics are each block’s own: the float blocks return the non-NaN operand (IEEE </w:t>
      </w:r>
      <w:r>
        <w:rPr>
          <w:rStyle w:val="VerbatimChar"/>
          <w:sz w:val="20"/>
        </w:rPr>
        <w:t>minNum</w:t>
      </w:r>
      <w:r>
        <w:rPr>
          <w:sz w:val="20"/>
        </w:rPr>
        <w:t>/</w:t>
      </w:r>
      <w:r>
        <w:rPr>
          <w:rStyle w:val="VerbatimChar"/>
          <w:sz w:val="20"/>
        </w:rPr>
        <w:t>maxNum</w:t>
      </w:r>
      <w:r>
        <w:rPr>
          <w:sz w:val="20"/>
        </w:rPr>
        <w:t>), recorded at M1.</w:t>
      </w:r>
    </w:p>
    <w:p>
      <w:pPr>
        <w:pStyle w:val="BodyText"/>
        <w:rPr/>
      </w:pPr>
      <w:r>
        <w:rPr>
          <w:b/>
          <w:bCs/>
          <w:sz w:val="20"/>
        </w:rPr>
        <w:t>compare (6).</w:t>
      </w:r>
      <w:r>
        <w:rPr>
          <w:sz w:val="20"/>
        </w:rPr>
        <w:t xml:space="preserve"> Lane </w:t>
      </w:r>
      <w:r>
        <w:rPr>
          <w:rStyle w:val="VerbatimChar"/>
          <w:sz w:val="20"/>
        </w:rPr>
        <w:t>i</w:t>
      </w:r>
      <w:r>
        <w:rPr>
          <w:sz w:val="20"/>
        </w:rPr>
        <w:t xml:space="preserve"> of the mask is </w:t>
      </w:r>
      <w:r>
        <w:rPr>
          <w:rStyle w:val="VerbatimChar"/>
          <w:sz w:val="20"/>
        </w:rPr>
        <w:t>A[i] &lt; B[i]</w:t>
      </w:r>
      <w:r>
        <w:rPr>
          <w:sz w:val="20"/>
        </w:rPr>
        <w:t xml:space="preserve">, or </w:t>
      </w:r>
      <w:r>
        <w:rPr>
          <w:rStyle w:val="VerbatimChar"/>
          <w:sz w:val="20"/>
        </w:rPr>
        <w:t>A[i] &lt; imm</w:t>
      </w:r>
      <w:r>
        <w:rPr>
          <w:sz w:val="20"/>
        </w:rPr>
        <w:t xml:space="preserve"> when </w:t>
      </w:r>
      <w:r>
        <w:rPr>
          <w:rStyle w:val="VerbatimChar"/>
          <w:sz w:val="20"/>
        </w:rPr>
        <w:t>sub_op[0]</w:t>
      </w:r>
      <w:r>
        <w:rPr>
          <w:sz w:val="20"/>
        </w:rPr>
        <w:t xml:space="preserve"> is set. The mask is packed low in </w:t>
      </w:r>
      <w:r>
        <w:rPr>
          <w:rStyle w:val="VerbatimChar"/>
          <w:sz w:val="20"/>
        </w:rPr>
        <w:t>result_flags</w:t>
      </w:r>
      <w:r>
        <w:rPr>
          <w:sz w:val="20"/>
        </w:rPr>
        <w:t xml:space="preserve">, one bit per lane of the format (2, 4, 1 or 4 bits), and </w:t>
      </w:r>
      <w:r>
        <w:rPr>
          <w:rStyle w:val="VerbatimChar"/>
          <w:sz w:val="20"/>
        </w:rPr>
        <w:t>result_line</w:t>
      </w:r>
      <w:r>
        <w:rPr>
          <w:sz w:val="20"/>
        </w:rPr>
        <w:t xml:space="preserve"> is zero. The immediate is the raw pattern of the format: a bf16 pattern for bf16, widened exactly to fp32 for fp32, and </w:t>
      </w:r>
      <w:r>
        <w:rPr>
          <w:rStyle w:val="VerbatimChar"/>
          <w:sz w:val="20"/>
        </w:rPr>
        <w:t>imm[7:0]</w:t>
      </w:r>
      <w:r>
        <w:rPr>
          <w:sz w:val="20"/>
        </w:rPr>
        <w:t xml:space="preserve"> for int8 and fp8 (M4).</w:t>
      </w:r>
    </w:p>
    <w:p>
      <w:pPr>
        <w:pStyle w:val="BodyText"/>
        <w:rPr/>
      </w:pPr>
      <w:r>
        <w:rPr>
          <w:b/>
          <w:bCs/>
          <w:sz w:val="20"/>
        </w:rPr>
        <w:t>relu (7).</w:t>
      </w:r>
      <w:r>
        <w:rPr>
          <w:sz w:val="20"/>
        </w:rPr>
        <w:t xml:space="preserve"> Negative lanes to zero; NaN passes per the block (M1).</w:t>
      </w:r>
    </w:p>
    <w:p>
      <w:pPr>
        <w:pStyle w:val="BodyText"/>
        <w:rPr/>
      </w:pPr>
      <w:r>
        <w:rPr>
          <w:b/>
          <w:bCs/>
          <w:sz w:val="20"/>
        </w:rPr>
        <w:t>const (11).</w:t>
      </w:r>
      <w:r>
        <w:rPr>
          <w:sz w:val="20"/>
        </w:rPr>
        <w:t xml:space="preserve"> The immediate broadcast into every lane of the format (PRD roadmap item 3): a program builds a bias line without memory traffic.</w:t>
      </w:r>
      <w:r>
        <w:br w:type="page"/>
      </w:r>
    </w:p>
    <w:p>
      <w:pPr>
        <w:pStyle w:val="Heading2"/>
        <w:pBdr>
          <w:bottom w:val="single" w:sz="12" w:space="0" w:color="228B22"/>
        </w:pBdr>
        <w:spacing w:before="280" w:after="80"/>
        <w:rPr/>
      </w:pPr>
      <w:bookmarkStart w:id="213" w:name="__RefHeading___Toc12283_211582255"/>
      <w:bookmarkStart w:id="214" w:name="activation-and-scaling-rows"/>
      <w:bookmarkEnd w:id="213"/>
      <w:r>
        <w:rPr>
          <w:rStyle w:val="SectionNumber"/>
          <w:b/>
          <w:color w:val="228B22"/>
          <w:sz w:val="28"/>
        </w:rPr>
        <w:t>10.4</w:t>
      </w:r>
      <w:r>
        <w:rPr>
          <w:b/>
          <w:color w:val="228B22"/>
          <w:sz w:val="28"/>
        </w:rPr>
        <w:tab/>
        <w:t>Activation and Scaling Rows</w:t>
      </w:r>
    </w:p>
    <w:p>
      <w:pPr>
        <w:pStyle w:val="FirstParagraph"/>
        <w:rPr/>
      </w:pPr>
      <w:r>
        <w:rPr>
          <w:sz w:val="20"/>
        </w:rPr>
        <w:t>Opcodes 12–16 instantiate each format’s library activation: leaky-relu (alpha = 2^-</w:t>
      </w:r>
      <w:r>
        <w:rPr>
          <w:rStyle w:val="VerbatimChar"/>
          <w:sz w:val="20"/>
        </w:rPr>
        <w:t>LEAKY_SHIFT</w:t>
      </w:r>
      <w:r>
        <w:rPr>
          <w:sz w:val="20"/>
        </w:rPr>
        <w:t xml:space="preserve">), gelu, sigmoid, silu, tanh, in bf16, fp32 and fp8. Opcodes 17–20 are bf16 only, because those blocks exist only in bf16: </w:t>
      </w:r>
      <w:r>
        <w:rPr>
          <w:rStyle w:val="VerbatimChar"/>
          <w:sz w:val="20"/>
        </w:rPr>
        <w:t>math_bf16_reciprocal</w:t>
      </w:r>
      <w:r>
        <w:rPr>
          <w:sz w:val="20"/>
        </w:rPr>
        <w:t xml:space="preserve">, </w:t>
      </w:r>
      <w:r>
        <w:rPr>
          <w:rStyle w:val="VerbatimChar"/>
          <w:sz w:val="20"/>
        </w:rPr>
        <w:t>math_bf16_exp2</w:t>
      </w:r>
      <w:r>
        <w:rPr>
          <w:sz w:val="20"/>
        </w:rPr>
        <w:t xml:space="preserve">, </w:t>
      </w:r>
      <w:r>
        <w:rPr>
          <w:rStyle w:val="VerbatimChar"/>
          <w:sz w:val="20"/>
        </w:rPr>
        <w:t>math_bf16_log2</w:t>
      </w:r>
      <w:r>
        <w:rPr>
          <w:sz w:val="20"/>
        </w:rPr>
        <w:t xml:space="preserve"> and </w:t>
      </w:r>
      <w:r>
        <w:rPr>
          <w:rStyle w:val="VerbatimChar"/>
          <w:sz w:val="20"/>
        </w:rPr>
        <w:t>math_bf16_log2_scale</w:t>
      </w:r>
      <w:r>
        <w:rPr>
          <w:sz w:val="20"/>
        </w:rPr>
        <w:t xml:space="preserve"> (the quantization scale </w:t>
      </w:r>
      <w:r>
        <w:rPr>
          <w:rStyle w:val="VerbatimChar"/>
          <w:sz w:val="20"/>
        </w:rPr>
        <w:t>2^ceil(log2 max)</w:t>
      </w:r>
      <w:r>
        <w:rPr>
          <w:sz w:val="20"/>
        </w:rPr>
        <w:t xml:space="preserve"> of a max value, as bf16).</w:t>
      </w:r>
    </w:p>
    <w:p>
      <w:pPr>
        <w:pStyle w:val="BodyText"/>
        <w:rPr/>
      </w:pPr>
      <w:r>
        <w:rPr>
          <w:sz w:val="20"/>
        </w:rPr>
        <w:t xml:space="preserve">These rows inherit the library’s approximations unchanged. The gelu, sigmoid, silu and tanh blocks are coarse piecewise forms (gelu, for example, is a constant over the medium range). </w:t>
      </w:r>
      <w:r>
        <w:rPr>
          <w:b/>
          <w:bCs/>
          <w:sz w:val="20"/>
        </w:rPr>
        <w:t>The PWL row (Chapter 2.5) is the accurate activation path.</w:t>
      </w:r>
      <w:r>
        <w:rPr>
          <w:sz w:val="20"/>
        </w:rPr>
        <w:t xml:space="preserve"> It is what the PRD’s roadmap item 2 asked for, and its error is bounded and measured. There is no divider row: the PRD (roadmap, 2026-10-19) plans none, and exp followed by reciprocal-multiply covers softmax’s divide.</w:t>
      </w:r>
      <w:bookmarkEnd w:id="214"/>
      <w:r>
        <w:br w:type="page"/>
      </w:r>
    </w:p>
    <w:p>
      <w:pPr>
        <w:pStyle w:val="Heading2"/>
        <w:pBdr>
          <w:bottom w:val="single" w:sz="12" w:space="0" w:color="228B22"/>
        </w:pBdr>
        <w:spacing w:before="280" w:after="80"/>
        <w:rPr/>
      </w:pPr>
      <w:bookmarkStart w:id="215" w:name="__RefHeading___Toc12285_211582255"/>
      <w:bookmarkStart w:id="216" w:name="what-every-row-shares"/>
      <w:bookmarkEnd w:id="215"/>
      <w:r>
        <w:rPr>
          <w:rStyle w:val="SectionNumber"/>
          <w:b/>
          <w:color w:val="228B22"/>
          <w:sz w:val="28"/>
        </w:rPr>
        <w:t>10.5</w:t>
      </w:r>
      <w:r>
        <w:rPr>
          <w:b/>
          <w:color w:val="228B22"/>
          <w:sz w:val="28"/>
        </w:rPr>
        <w:tab/>
        <w:t>What Every Row Shares</w:t>
      </w:r>
    </w:p>
    <w:p>
      <w:pPr>
        <w:pStyle w:val="Compact"/>
        <w:numPr>
          <w:ilvl w:val="0"/>
          <w:numId w:val="286"/>
        </w:numPr>
        <w:rPr/>
      </w:pPr>
      <w:r>
        <w:rPr>
          <w:b/>
          <w:bCs/>
        </w:rPr>
        <w:t>Lane independence.</w:t>
      </w:r>
      <w:r>
        <w:rPr/>
        <w:t xml:space="preserve"> Lane </w:t>
      </w:r>
      <w:r>
        <w:rPr>
          <w:rStyle w:val="VerbatimChar"/>
        </w:rPr>
        <w:t>i</w:t>
      </w:r>
      <w:r>
        <w:rPr/>
        <w:t xml:space="preserve"> of a result never depends on lane </w:t>
      </w:r>
      <w:r>
        <w:rPr>
          <w:rStyle w:val="VerbatimChar"/>
        </w:rPr>
        <w:t>j</w:t>
      </w:r>
      <w:r>
        <w:rPr/>
        <w:t xml:space="preserve"> (PRD §4 invariant 1). The accumulator rows’ fold sub-op is the one deliberate exception (Chapter 2.3).</w:t>
      </w:r>
    </w:p>
    <w:p>
      <w:pPr>
        <w:pStyle w:val="Compact"/>
        <w:numPr>
          <w:ilvl w:val="0"/>
          <w:numId w:val="287"/>
        </w:numPr>
        <w:rPr/>
      </w:pPr>
      <w:r>
        <w:rPr>
          <w:b/>
          <w:bCs/>
        </w:rPr>
        <w:t>Natural speed, joined by tag.</w:t>
      </w:r>
      <w:r>
        <w:rPr/>
        <w:t xml:space="preserve"> A row does not pad itself to match slower ones; its port carries the tag and the FIFO keeps order (Chapter 2.4).</w:t>
      </w:r>
    </w:p>
    <w:p>
      <w:pPr>
        <w:pStyle w:val="Compact"/>
        <w:numPr>
          <w:ilvl w:val="0"/>
          <w:numId w:val="288"/>
        </w:numPr>
        <w:rPr/>
      </w:pPr>
      <w:r>
        <w:rPr>
          <w:b/>
          <w:bCs/>
        </w:rPr>
        <w:t>FTZ.</w:t>
      </w:r>
      <w:r>
        <w:rPr/>
        <w:t xml:space="preserve"> Every library block runs at its default </w:t>
      </w:r>
      <w:r>
        <w:rPr>
          <w:rStyle w:val="VerbatimChar"/>
        </w:rPr>
        <w:t>SUBNORMAL_SUPPORT = 0</w:t>
      </w:r>
      <w:r>
        <w:rPr/>
        <w:t>: subnormal inputs flush to zero (M3).</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7" w:name="the-function-rows"/>
      <w:bookmarkStart w:id="218" w:name="what-every-row-shares"/>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7"/>
      <w:bookmarkEnd w:id="218"/>
      <w:r>
        <w:br w:type="page"/>
      </w:r>
    </w:p>
    <w:p>
      <w:pPr>
        <w:pStyle w:val="Heading1"/>
        <w:shd w:val="clear" w:color="auto" w:fill="404040"/>
        <w:spacing w:before="360" w:after="120"/>
        <w:rPr/>
      </w:pPr>
      <w:bookmarkStart w:id="219" w:name="__RefHeading___Toc12287_211582255"/>
      <w:bookmarkStart w:id="220" w:name="the-accumulator-rows-mac-and-reduce"/>
      <w:bookmarkEnd w:id="219"/>
      <w:r>
        <w:rPr>
          <w:rStyle w:val="SectionNumber"/>
          <w:b/>
          <w:color w:val="FFFFFF"/>
          <w:sz w:val="32"/>
        </w:rPr>
        <w:t>11</w:t>
      </w:r>
      <w:r>
        <w:rPr>
          <w:b/>
          <w:color w:val="FFFFFF"/>
          <w:sz w:val="32"/>
        </w:rPr>
        <w:tab/>
        <w:t>The Accumulator Rows: MAC and REDUCE</w:t>
      </w:r>
    </w:p>
    <w:p>
      <w:pPr>
        <w:pStyle w:val="Heading2"/>
        <w:pageBreakBefore w:val="false"/>
        <w:pBdr>
          <w:bottom w:val="single" w:sz="12" w:space="0" w:color="228B22"/>
        </w:pBdr>
        <w:spacing w:before="280" w:after="80"/>
        <w:rPr/>
      </w:pPr>
      <w:bookmarkStart w:id="221" w:name="__RefHeading___Toc12289_211582255"/>
      <w:bookmarkStart w:id="222" w:name="why-a-wide-accumulator"/>
      <w:bookmarkEnd w:id="221"/>
      <w:r>
        <w:rPr>
          <w:rStyle w:val="SectionNumber"/>
          <w:b/>
          <w:color w:val="228B22"/>
          <w:sz w:val="28"/>
        </w:rPr>
        <w:t>11.1</w:t>
      </w:r>
      <w:r>
        <w:rPr>
          <w:b/>
          <w:color w:val="228B22"/>
          <w:sz w:val="28"/>
        </w:rPr>
        <w:tab/>
        <w:t>Why a Wide Accumulator</w:t>
      </w:r>
    </w:p>
    <w:p>
      <w:pPr>
        <w:pStyle w:val="FirstParagraph"/>
        <w:rPr/>
      </w:pPr>
      <w:r>
        <w:rPr>
          <w:rStyle w:val="VerbatimChar"/>
          <w:sz w:val="20"/>
        </w:rPr>
        <w:t>alu_infer_acc</w:t>
      </w:r>
      <w:r>
        <w:rPr>
          <w:sz w:val="20"/>
        </w:rPr>
        <w:t xml:space="preserve"> holds the block’s main state: a bank of </w:t>
      </w:r>
      <w:r>
        <w:rPr>
          <w:rStyle w:val="VerbatimChar"/>
          <w:sz w:val="20"/>
        </w:rPr>
        <w:t>LINE_W/8</w:t>
      </w:r>
      <w:r>
        <w:rPr>
          <w:sz w:val="20"/>
        </w:rPr>
        <w:t xml:space="preserve"> 32-bit lanes (4 at </w:t>
      </w:r>
      <w:r>
        <w:rPr>
          <w:rStyle w:val="VerbatimChar"/>
          <w:sz w:val="20"/>
        </w:rPr>
        <w:t>LINE_W = 32</w:t>
      </w:r>
      <w:r>
        <w:rPr>
          <w:sz w:val="20"/>
        </w:rPr>
        <w:t xml:space="preserve">). The float formats accumulate in fp32 and int8 in int32. A bf16×bf16 product is </w:t>
      </w:r>
      <w:r>
        <w:rPr>
          <w:b/>
          <w:bCs/>
          <w:sz w:val="20"/>
        </w:rPr>
        <w:t>exact</w:t>
      </w:r>
      <w:r>
        <w:rPr>
          <w:sz w:val="20"/>
        </w:rPr>
        <w:t xml:space="preserve"> in fp32 (8 × 8 significand bits fit in 24), so </w:t>
      </w:r>
      <w:r>
        <w:rPr>
          <w:rStyle w:val="VerbatimChar"/>
          <w:sz w:val="20"/>
        </w:rPr>
        <w:t>math_bf16_fma</w:t>
      </w:r>
      <w:r>
        <w:rPr>
          <w:sz w:val="20"/>
        </w:rPr>
        <w:t xml:space="preserve"> accumulates with one rounding per step and the bank rounds to the element format only when a result is presented. This is the production pattern (owner decision 2026-10-17, PRD §3).</w:t>
      </w:r>
      <w:bookmarkEnd w:id="222"/>
      <w:r>
        <w:br w:type="page"/>
      </w:r>
    </w:p>
    <w:p>
      <w:pPr>
        <w:pStyle w:val="Heading2"/>
        <w:pBdr>
          <w:bottom w:val="single" w:sz="12" w:space="0" w:color="228B22"/>
        </w:pBdr>
        <w:spacing w:before="280" w:after="80"/>
        <w:rPr/>
      </w:pPr>
      <w:bookmarkStart w:id="223" w:name="__RefHeading___Toc12291_211582255"/>
      <w:bookmarkStart w:id="224" w:name="structure"/>
      <w:bookmarkEnd w:id="223"/>
      <w:r>
        <w:rPr>
          <w:rStyle w:val="SectionNumber"/>
          <w:b/>
          <w:color w:val="228B22"/>
          <w:sz w:val="28"/>
        </w:rPr>
        <w:t>11.2</w:t>
      </w:r>
      <w:r>
        <w:rPr>
          <w:b/>
          <w:color w:val="228B22"/>
          <w:sz w:val="28"/>
        </w:rPr>
        <w:tab/>
        <w:t>Structure</w:t>
      </w:r>
    </w:p>
    <w:p>
      <w:pPr>
        <w:pStyle w:val="SourceCode"/>
        <w:rPr/>
      </w:pPr>
      <w:r>
        <w:rPr>
          <w:rStyle w:val="VerbatimChar"/>
        </w:rPr>
        <w:t>issue --&gt; [ MAC_LATENCY operand stages ] --&gt; accumulate stage --&gt; view --&gt; port 3</w:t>
      </w:r>
      <w:r>
        <w:rPr/>
        <w:br/>
      </w:r>
      <w:r>
        <w:rPr>
          <w:rStyle w:val="VerbatimChar"/>
        </w:rPr>
        <w:t xml:space="preserve">           tag, A, B, imm, func_sel, acc_ctrl      |      ^</w:t>
      </w:r>
      <w:r>
        <w:rPr/>
        <w:br/>
      </w:r>
      <w:r>
        <w:rPr>
          <w:rStyle w:val="VerbatimChar"/>
        </w:rPr>
        <w:t xml:space="preserve">                                                   v      |</w:t>
      </w:r>
      <w:r>
        <w:rPr/>
        <w:br/>
      </w:r>
      <w:r>
        <w:rPr>
          <w:rStyle w:val="VerbatimChar"/>
        </w:rPr>
        <w:t xml:space="preserve">                                               accumulator bank</w:t>
      </w:r>
    </w:p>
    <w:p>
      <w:pPr>
        <w:pStyle w:val="FirstParagraph"/>
        <w:rPr/>
      </w:pPr>
      <w:r>
        <w:rPr>
          <w:sz w:val="20"/>
        </w:rPr>
        <w:t xml:space="preserve">Every accumulator invocation — CLEAR, HOLD and DRAIN included — enters the operand pipeline in issue order and reads the bank at the accumulate stage, never at issue. A dependent chain is therefore correct at any </w:t>
      </w:r>
      <w:r>
        <w:rPr>
          <w:rStyle w:val="VerbatimChar"/>
          <w:sz w:val="20"/>
        </w:rPr>
        <w:t>MAC_LATENCY</w:t>
      </w:r>
      <w:r>
        <w:rPr>
          <w:sz w:val="20"/>
        </w:rPr>
        <w:t>, and it sustains one step per clock: the loop is the single accumulate stage, and the operand stages sit ahead of it.</w:t>
      </w:r>
    </w:p>
    <w:p>
      <w:pPr>
        <w:pStyle w:val="TableCaption"/>
        <w:rPr/>
      </w:pPr>
      <w:bookmarkStart w:id="225" w:name="_Tab_7_Table_2_4__accumulat"/>
      <w:r>
        <w:rPr/>
        <w:t>Table 2.4: accumulate operation per format</w:t>
      </w:r>
      <w:bookmarkEnd w:id="2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Lanes used</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MAC update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REDUCE sum</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REDUCE max</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LINE_W/16-1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math_bf16_fma(a, b, acc)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fma(a, 1.0, acc)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math_fp32_max(acc, a)</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fp8 e4m3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LINE_W/8-1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operands widened exactly to bf16, then as bf16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bf16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bf16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LINE_W/32-1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math_ieee754_2008_fp32_fma(a, b, acc)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fma(a, 1.0, acc)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math_fp32_max(acc, a)</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LINE_W/8-1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 + a*b</w:t>
            </w:r>
            <w:r>
              <w:rPr>
                <w:rFonts w:eastAsia="Cambria" w:cs=""/>
                <w:kern w:val="0"/>
                <w:sz w:val="24"/>
                <w:szCs w:val="24"/>
                <w:lang w:val="en-US" w:eastAsia="en-US" w:bidi="ar-SA"/>
              </w:rPr>
              <w:t xml:space="preserve"> (int32, wraps)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 + 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max(acc, a)</w:t>
            </w:r>
          </w:p>
        </w:tc>
      </w:tr>
    </w:tbl>
    <w:p>
      <w:pPr>
        <w:pStyle w:val="BodyText"/>
        <w:rPr/>
      </w:pPr>
      <w:bookmarkStart w:id="226" w:name="structure"/>
      <w:r>
        <w:rPr>
          <w:sz w:val="20"/>
        </w:rPr>
        <w:t>The bank is shared across formats. Lanes a format does not use hold their value; a program that changes format mid-layer issues CLEAR first.</w:t>
      </w:r>
      <w:bookmarkEnd w:id="226"/>
      <w:r>
        <w:br w:type="page"/>
      </w:r>
    </w:p>
    <w:p>
      <w:pPr>
        <w:pStyle w:val="Heading2"/>
        <w:pBdr>
          <w:bottom w:val="single" w:sz="12" w:space="0" w:color="228B22"/>
        </w:pBdr>
        <w:spacing w:before="280" w:after="80"/>
        <w:rPr/>
      </w:pPr>
      <w:bookmarkStart w:id="227" w:name="__RefHeading___Toc12293_211582255"/>
      <w:bookmarkStart w:id="228" w:name="why-the-loop-stays-fused"/>
      <w:bookmarkEnd w:id="227"/>
      <w:r>
        <w:rPr>
          <w:rStyle w:val="SectionNumber"/>
          <w:b/>
          <w:color w:val="228B22"/>
          <w:sz w:val="28"/>
        </w:rPr>
        <w:t>11.3</w:t>
      </w:r>
      <w:r>
        <w:rPr>
          <w:b/>
          <w:color w:val="228B22"/>
          <w:sz w:val="28"/>
        </w:rPr>
        <w:tab/>
        <w:t>Why the Loop Stays Fused</w:t>
      </w:r>
    </w:p>
    <w:p>
      <w:pPr>
        <w:pStyle w:val="FirstParagraph"/>
        <w:rPr/>
      </w:pPr>
      <w:r>
        <w:rPr>
          <w:sz w:val="20"/>
        </w:rPr>
        <w:t xml:space="preserve">The draft MAS described a split row: an exact-product stage, pipelined, ahead of a one-cycle fp32 add in the loop. As built, the loop is the fused library block. A 4-million-vector equivalence check of </w:t>
      </w:r>
      <w:r>
        <w:rPr>
          <w:rStyle w:val="VerbatimChar"/>
          <w:sz w:val="20"/>
        </w:rPr>
        <w:t>fp32_adder(exact_product, acc)</w:t>
      </w:r>
      <w:r>
        <w:rPr>
          <w:sz w:val="20"/>
        </w:rPr>
        <w:t xml:space="preserve"> against </w:t>
      </w:r>
      <w:r>
        <w:rPr>
          <w:rStyle w:val="VerbatimChar"/>
          <w:sz w:val="20"/>
        </w:rPr>
        <w:t>math_bf16_fma(a, b, acc)</w:t>
      </w:r>
      <w:r>
        <w:rPr>
          <w:sz w:val="20"/>
        </w:rPr>
        <w:t xml:space="preserve"> found 24,987 differences. The two classes were a product that overflows fp32 against an infinite accumulator (the fused block returns the accumulator, the split returns NaN), and subnormal accumulator pass-through. The split would trade the library’s numerics for a loop the 8×8 bf16 product barely lengthens. Depth goes into the operand stages instead, where the integration flow can retime it into the product half.</w:t>
      </w:r>
      <w:bookmarkEnd w:id="228"/>
      <w:r>
        <w:br w:type="page"/>
      </w:r>
    </w:p>
    <w:p>
      <w:pPr>
        <w:pStyle w:val="Heading2"/>
        <w:pBdr>
          <w:bottom w:val="single" w:sz="12" w:space="0" w:color="228B22"/>
        </w:pBdr>
        <w:spacing w:before="280" w:after="80"/>
        <w:rPr/>
      </w:pPr>
      <w:bookmarkStart w:id="229" w:name="__RefHeading___Toc12295_211582255"/>
      <w:bookmarkEnd w:id="229"/>
      <w:r>
        <w:rPr>
          <w:rStyle w:val="SectionNumber"/>
          <w:b/>
          <w:color w:val="228B22"/>
          <w:sz w:val="28"/>
        </w:rPr>
        <w:t>11.4</w:t>
      </w:r>
      <w:r>
        <w:rPr>
          <w:b/>
          <w:color w:val="228B22"/>
          <w:sz w:val="28"/>
        </w:rPr>
        <w:tab/>
        <w:t>acc_ctrl</w:t>
      </w:r>
    </w:p>
    <w:p>
      <w:pPr>
        <w:pStyle w:val="TableCaption"/>
        <w:rPr/>
      </w:pPr>
      <w:bookmarkStart w:id="230" w:name="_Tab_8_Table_2_5__accumulat"/>
      <w:r>
        <w:rPr/>
        <w:t>Table 2.5: accumulator actions</w:t>
      </w:r>
      <w:bookmarkEnd w:id="2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616"/>
        <w:gridCol w:w="3743"/>
      </w:tblGrid>
      <w:tr>
        <w:trPr>
          <w:tblHeader w:val="true"/>
        </w:trPr>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acc_ctrl</w:t>
            </w:r>
          </w:p>
        </w:tc>
        <w:tc>
          <w:tcPr>
            <w:tcW w:w="37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HOLD</w:t>
            </w:r>
            <w:r>
              <w:rPr>
                <w:rFonts w:eastAsia="Cambria" w:cs=""/>
                <w:kern w:val="0"/>
                <w:sz w:val="24"/>
                <w:szCs w:val="24"/>
                <w:lang w:val="en-US" w:eastAsia="en-US" w:bidi="ar-SA"/>
              </w:rPr>
              <w:t xml:space="preserve"> (00)</w:t>
            </w:r>
          </w:p>
        </w:tc>
        <w:tc>
          <w:tcPr>
            <w:tcW w:w="3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unchanged; present it</w:t>
            </w:r>
          </w:p>
        </w:tc>
      </w:tr>
      <w:tr>
        <w:trPr/>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ACCUMULATE</w:t>
            </w:r>
            <w:r>
              <w:rPr>
                <w:rFonts w:eastAsia="Cambria" w:cs=""/>
                <w:kern w:val="0"/>
                <w:sz w:val="24"/>
                <w:szCs w:val="24"/>
                <w:lang w:val="en-US" w:eastAsia="en-US" w:bidi="ar-SA"/>
              </w:rPr>
              <w:t xml:space="preserve"> (01)</w:t>
            </w:r>
          </w:p>
        </w:tc>
        <w:tc>
          <w:tcPr>
            <w:tcW w:w="3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update (Table 2.4) per active lane; present the new bank</w:t>
            </w:r>
          </w:p>
        </w:tc>
      </w:tr>
      <w:tr>
        <w:trPr/>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w:t>
            </w:r>
            <w:r>
              <w:rPr>
                <w:rFonts w:eastAsia="Cambria" w:cs=""/>
                <w:kern w:val="0"/>
                <w:sz w:val="24"/>
                <w:szCs w:val="24"/>
                <w:lang w:val="en-US" w:eastAsia="en-US" w:bidi="ar-SA"/>
              </w:rPr>
              <w:t xml:space="preserve"> (10)</w:t>
            </w:r>
          </w:p>
        </w:tc>
        <w:tc>
          <w:tcPr>
            <w:tcW w:w="3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the operation’s identity: +0 for MAC and sum, −inf for max (int8: INT32_MIN)</w:t>
            </w:r>
          </w:p>
        </w:tc>
      </w:tr>
      <w:tr>
        <w:trPr/>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w:t>
            </w:r>
            <w:r>
              <w:rPr>
                <w:rFonts w:eastAsia="Cambria" w:cs=""/>
                <w:kern w:val="0"/>
                <w:sz w:val="24"/>
                <w:szCs w:val="24"/>
                <w:lang w:val="en-US" w:eastAsia="en-US" w:bidi="ar-SA"/>
              </w:rPr>
              <w:t xml:space="preserve"> (11)</w:t>
            </w:r>
          </w:p>
        </w:tc>
        <w:tc>
          <w:tcPr>
            <w:tcW w:w="3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unchanged; present it (the layer’s final read-out)</w:t>
            </w:r>
            <w:bookmarkStart w:id="231" w:name="acc_ctrl"/>
            <w:bookmarkEnd w:id="231"/>
          </w:p>
        </w:tc>
      </w:tr>
    </w:tbl>
    <w:p>
      <w:pPr>
        <w:pStyle w:val="Heading2"/>
        <w:pBdr>
          <w:bottom w:val="single" w:sz="12" w:space="0" w:color="228B22"/>
        </w:pBdr>
        <w:spacing w:before="280" w:after="80"/>
        <w:rPr/>
      </w:pPr>
      <w:r>
        <w:br w:type="page"/>
      </w:r>
      <w:bookmarkStart w:id="232" w:name="__RefHeading___Toc12297_211582255"/>
      <w:bookmarkEnd w:id="232"/>
      <w:r>
        <w:rPr>
          <w:rStyle w:val="SectionNumber"/>
          <w:b/>
          <w:color w:val="228B22"/>
          <w:sz w:val="28"/>
        </w:rPr>
        <w:t>11.5</w:t>
      </w:r>
      <w:r>
        <w:rPr>
          <w:b/>
          <w:color w:val="228B22"/>
          <w:sz w:val="28"/>
        </w:rPr>
        <w:tab/>
        <w:t>Presentation (decision M7)</w:t>
      </w:r>
    </w:p>
    <w:p>
      <w:pPr>
        <w:pStyle w:val="FirstParagraph"/>
        <w:rPr/>
      </w:pPr>
      <w:r>
        <w:rPr>
          <w:sz w:val="20"/>
        </w:rPr>
        <w:t xml:space="preserve">Every accumulator invocation retires one result line: the post-update bank rounded to the element format. That is </w:t>
      </w:r>
      <w:r>
        <w:rPr>
          <w:rStyle w:val="VerbatimChar"/>
          <w:sz w:val="20"/>
        </w:rPr>
        <w:t>math_fp32_to_bf16</w:t>
      </w:r>
      <w:r>
        <w:rPr>
          <w:sz w:val="20"/>
        </w:rPr>
        <w:t xml:space="preserve"> for bf16 and </w:t>
      </w:r>
      <w:r>
        <w:rPr>
          <w:rStyle w:val="VerbatimChar"/>
          <w:sz w:val="20"/>
        </w:rPr>
        <w:t>math_fp32_to_fp8_e4m3</w:t>
      </w:r>
      <w:r>
        <w:rPr>
          <w:sz w:val="20"/>
        </w:rPr>
        <w:t xml:space="preserve"> for fp8. fp32 presents the bank exactly. int8 presents </w:t>
      </w:r>
      <w:r>
        <w:rPr>
          <w:rStyle w:val="VerbatimChar"/>
          <w:sz w:val="20"/>
        </w:rPr>
        <w:t>sat8(round(acc / 2^imm[4:0]))</w:t>
      </w:r>
      <w:r>
        <w:rPr>
          <w:sz w:val="20"/>
        </w:rPr>
        <w:t>, the requantize shift (round half up), so an int8 layer drains to int8 without a separate pass. The bank itself never rounds: the views are lossy, the state is not.</w:t>
      </w:r>
      <w:r>
        <w:br w:type="page"/>
      </w:r>
    </w:p>
    <w:p>
      <w:pPr>
        <w:pStyle w:val="Heading2"/>
        <w:pBdr>
          <w:bottom w:val="single" w:sz="12" w:space="0" w:color="228B22"/>
        </w:pBdr>
        <w:spacing w:before="280" w:after="80"/>
        <w:rPr/>
      </w:pPr>
      <w:bookmarkStart w:id="233" w:name="__RefHeading___Toc12299_211582255"/>
      <w:bookmarkStart w:id="234" w:name="reduce-and-the-cross-lane-fold"/>
      <w:bookmarkEnd w:id="233"/>
      <w:r>
        <w:rPr>
          <w:rStyle w:val="SectionNumber"/>
          <w:b/>
          <w:color w:val="228B22"/>
          <w:sz w:val="28"/>
        </w:rPr>
        <w:t>11.6</w:t>
      </w:r>
      <w:r>
        <w:rPr>
          <w:b/>
          <w:color w:val="228B22"/>
          <w:sz w:val="28"/>
        </w:rPr>
        <w:tab/>
        <w:t>REDUCE and the Cross-Lane Fold</w:t>
      </w:r>
    </w:p>
    <w:p>
      <w:pPr>
        <w:pStyle w:val="FirstParagraph"/>
        <w:rPr/>
      </w:pPr>
      <w:r>
        <w:rPr>
          <w:sz w:val="20"/>
        </w:rPr>
        <w:t>REDUCE folds a span of lines into the bank. Each ACCUMULATE adds line A (sum) or keeps its maximum (max), lane by lane; B is unused. CLEAR starts a span and DRAIN reads it out. This is the PRD’s roadmap item 1, which unlocks softmax, layernorm and pooling.</w:t>
      </w:r>
    </w:p>
    <w:p>
      <w:pPr>
        <w:pStyle w:val="BodyText"/>
        <w:rPr/>
      </w:pPr>
      <w:r>
        <w:rPr>
          <w:sz w:val="20"/>
        </w:rPr>
        <w:t xml:space="preserve">A per-lane result still leaves </w:t>
      </w:r>
      <w:r>
        <w:rPr>
          <w:rStyle w:val="VerbatimChar"/>
          <w:sz w:val="20"/>
        </w:rPr>
        <w:t>N</w:t>
      </w:r>
      <w:r>
        <w:rPr>
          <w:sz w:val="20"/>
        </w:rPr>
        <w:t xml:space="preserve"> partial results. </w:t>
      </w:r>
      <w:r>
        <w:rPr>
          <w:rStyle w:val="VerbatimChar"/>
          <w:b/>
          <w:bCs/>
          <w:sz w:val="20"/>
        </w:rPr>
        <w:t>sub_op[1]</w:t>
      </w:r>
      <w:r>
        <w:rPr>
          <w:b/>
          <w:bCs/>
          <w:sz w:val="20"/>
        </w:rPr>
        <w:t xml:space="preserve"> presents the cross-lane fold</w:t>
      </w:r>
      <w:r>
        <w:rPr>
          <w:sz w:val="20"/>
        </w:rPr>
        <w:t>: the sum (or max) of the active lanes, in lane order (</w:t>
      </w:r>
      <w:r>
        <w:rPr>
          <w:rStyle w:val="VerbatimChar"/>
          <w:sz w:val="20"/>
        </w:rPr>
        <w:t>((l0 + l1) + l2) + l3</w:t>
      </w:r>
      <w:r>
        <w:rPr>
          <w:sz w:val="20"/>
        </w:rPr>
        <w:t>, fp32 adds), broadcast to every lane of the result. The bank is unchanged, so a program can DRAIN the per-lane values and the fold from the same span. Softmax uses it directly: REDUCE max with fold gives the row maximum in every lane, ready for the subtract.</w:t>
      </w:r>
      <w:bookmarkEnd w:id="234"/>
      <w:r>
        <w:br w:type="page"/>
      </w:r>
    </w:p>
    <w:p>
      <w:pPr>
        <w:pStyle w:val="Heading2"/>
        <w:pBdr>
          <w:bottom w:val="single" w:sz="12" w:space="0" w:color="228B22"/>
        </w:pBdr>
        <w:spacing w:before="280" w:after="80"/>
        <w:rPr/>
      </w:pPr>
      <w:bookmarkStart w:id="235" w:name="__RefHeading___Toc12301_211582255"/>
      <w:bookmarkStart w:id="236" w:name="isolation-invariants"/>
      <w:bookmarkEnd w:id="235"/>
      <w:r>
        <w:rPr>
          <w:rStyle w:val="SectionNumber"/>
          <w:b/>
          <w:color w:val="228B22"/>
          <w:sz w:val="28"/>
        </w:rPr>
        <w:t>11.7</w:t>
      </w:r>
      <w:r>
        <w:rPr>
          <w:b/>
          <w:color w:val="228B22"/>
          <w:sz w:val="28"/>
        </w:rPr>
        <w:tab/>
        <w:t>Isolation Invariants</w:t>
      </w:r>
    </w:p>
    <w:p>
      <w:pPr>
        <w:pStyle w:val="Compact"/>
        <w:numPr>
          <w:ilvl w:val="0"/>
          <w:numId w:val="289"/>
        </w:numPr>
        <w:rPr/>
      </w:pPr>
      <w:r>
        <w:rPr/>
        <w:t>The bank is read and written only by the accumulator rows (PRD §4 invariant 2, extended from MAC to REDUCE).</w:t>
      </w:r>
    </w:p>
    <w:p>
      <w:pPr>
        <w:pStyle w:val="Compact"/>
        <w:numPr>
          <w:ilvl w:val="0"/>
          <w:numId w:val="290"/>
        </w:numPr>
        <w:rPr/>
      </w:pPr>
      <w:r>
        <w:rPr/>
        <w:t xml:space="preserve">CLEAR or reset is the only way to re-initialize it, so a chain is reproducible from </w:t>
      </w:r>
      <w:r>
        <w:rPr>
          <w:rStyle w:val="VerbatimChar"/>
        </w:rPr>
        <w:t>{reset, acc_ctrl sequence, operand sequence}</w:t>
      </w:r>
      <w:r>
        <w:rPr/>
        <w:t>.</w:t>
      </w:r>
    </w:p>
    <w:p>
      <w:pPr>
        <w:pStyle w:val="Compact"/>
        <w:numPr>
          <w:ilvl w:val="0"/>
          <w:numId w:val="291"/>
        </w:numPr>
        <w:rPr/>
      </w:pPr>
      <w:r>
        <w:rPr/>
        <w:t xml:space="preserve">Outside the fold, lane </w:t>
      </w:r>
      <w:r>
        <w:rPr>
          <w:rStyle w:val="VerbatimChar"/>
        </w:rPr>
        <w:t>i</w:t>
      </w:r>
      <w:r>
        <w:rPr/>
        <w:t xml:space="preserve"> of the bank never sees lane </w:t>
      </w:r>
      <w:r>
        <w:rPr>
          <w:rStyle w:val="VerbatimChar"/>
        </w:rPr>
        <w:t>j</w:t>
      </w:r>
      <w:r>
        <w:rPr/>
        <w:t>’s operands.</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7" w:name="the-accumulator-rows-mac-and-reduce"/>
      <w:bookmarkStart w:id="238" w:name="isolation-invariant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7"/>
      <w:bookmarkEnd w:id="238"/>
      <w:r>
        <w:br w:type="page"/>
      </w:r>
    </w:p>
    <w:p>
      <w:pPr>
        <w:pStyle w:val="Heading1"/>
        <w:shd w:val="clear" w:color="auto" w:fill="404040"/>
        <w:spacing w:before="360" w:after="120"/>
        <w:rPr/>
      </w:pPr>
      <w:bookmarkStart w:id="239" w:name="__RefHeading___Toc12303_211582255"/>
      <w:bookmarkStart w:id="240" w:name="decode-and-result-ports"/>
      <w:bookmarkEnd w:id="239"/>
      <w:r>
        <w:rPr>
          <w:rStyle w:val="SectionNumber"/>
          <w:b/>
          <w:color w:val="FFFFFF"/>
          <w:sz w:val="32"/>
        </w:rPr>
        <w:t>12</w:t>
      </w:r>
      <w:r>
        <w:rPr>
          <w:b/>
          <w:color w:val="FFFFFF"/>
          <w:sz w:val="32"/>
        </w:rPr>
        <w:tab/>
        <w:t>Decode and Result Ports</w:t>
      </w:r>
    </w:p>
    <w:p>
      <w:pPr>
        <w:pStyle w:val="Heading2"/>
        <w:pageBreakBefore w:val="false"/>
        <w:pBdr>
          <w:bottom w:val="single" w:sz="12" w:space="0" w:color="228B22"/>
        </w:pBdr>
        <w:spacing w:before="280" w:after="80"/>
        <w:rPr/>
      </w:pPr>
      <w:bookmarkStart w:id="241" w:name="__RefHeading___Toc12305_211582255"/>
      <w:bookmarkStart w:id="242" w:name="decode-alu_infer_decode"/>
      <w:bookmarkEnd w:id="241"/>
      <w:r>
        <w:rPr>
          <w:rStyle w:val="SectionNumber"/>
          <w:b/>
          <w:color w:val="228B22"/>
          <w:sz w:val="28"/>
        </w:rPr>
        <w:t>12.1</w:t>
      </w:r>
      <w:r>
        <w:rPr>
          <w:b/>
          <w:color w:val="228B22"/>
          <w:sz w:val="28"/>
        </w:rPr>
        <w:tab/>
        <w:t>Decode (</w:t>
      </w:r>
      <w:r>
        <w:rPr>
          <w:rStyle w:val="VerbatimChar"/>
          <w:b/>
          <w:color w:val="228B22"/>
          <w:sz w:val="28"/>
        </w:rPr>
        <w:t>alu_infer_decode</w:t>
      </w:r>
      <w:r>
        <w:rPr>
          <w:b/>
          <w:color w:val="228B22"/>
          <w:sz w:val="28"/>
        </w:rPr>
        <w:t>)</w:t>
      </w:r>
    </w:p>
    <w:p>
      <w:pPr>
        <w:pStyle w:val="FirstParagraph"/>
        <w:rPr/>
      </w:pPr>
      <w:r>
        <w:rPr>
          <w:sz w:val="20"/>
        </w:rPr>
        <w:t xml:space="preserve">A combinational check of </w:t>
      </w:r>
      <w:r>
        <w:rPr>
          <w:rStyle w:val="VerbatimChar"/>
          <w:sz w:val="20"/>
        </w:rPr>
        <w:t>func_sel</w:t>
      </w:r>
      <w:r>
        <w:rPr>
          <w:sz w:val="20"/>
        </w:rPr>
        <w:t xml:space="preserve"> against Table 2.2 and the build’s </w:t>
      </w:r>
      <w:r>
        <w:rPr>
          <w:rStyle w:val="VerbatimChar"/>
          <w:sz w:val="20"/>
        </w:rPr>
        <w:t>EN_*</w:t>
      </w:r>
      <w:r>
        <w:rPr>
          <w:sz w:val="20"/>
        </w:rPr>
        <w:t xml:space="preserve"> parameters. It returns </w:t>
      </w:r>
      <w:r>
        <w:rPr>
          <w:rStyle w:val="VerbatimChar"/>
          <w:sz w:val="20"/>
        </w:rPr>
        <w:t>legal</w:t>
      </w:r>
      <w:r>
        <w:rPr>
          <w:sz w:val="20"/>
        </w:rPr>
        <w:t xml:space="preserve"> and the result port. An invocation is </w:t>
      </w:r>
      <w:r>
        <w:rPr>
          <w:b/>
          <w:bCs/>
          <w:sz w:val="20"/>
        </w:rPr>
        <w:t>illegal</w:t>
      </w:r>
      <w:r>
        <w:rPr>
          <w:sz w:val="20"/>
        </w:rPr>
        <w:t xml:space="preserve"> when its opcode is unassigned (23–31), its format is not defined for the row (an int8 activation, a PWL in fp32, reciprocal in fp8), its conversion pair has no library converter, or its format or family is built out.</w:t>
      </w:r>
    </w:p>
    <w:p>
      <w:pPr>
        <w:pStyle w:val="BodyText"/>
        <w:rPr/>
      </w:pPr>
      <w:r>
        <w:rPr>
          <w:sz w:val="20"/>
        </w:rPr>
        <w:t xml:space="preserve">An illegal invocation is not dropped. It routes to the combinational port with a zero line and zero flags and </w:t>
      </w:r>
      <w:r>
        <w:rPr>
          <w:b/>
          <w:bCs/>
          <w:sz w:val="20"/>
        </w:rPr>
        <w:t>retires its slot in order</w:t>
      </w:r>
      <w:r>
        <w:rPr>
          <w:sz w:val="20"/>
        </w:rPr>
        <w:t xml:space="preserve"> (owner ruling 2026-10-17): the pipeline never deadlocks and gatling’s count pairing never breaks. On its issue edge </w:t>
      </w:r>
      <w:r>
        <w:rPr>
          <w:rStyle w:val="VerbatimChar"/>
          <w:sz w:val="20"/>
        </w:rPr>
        <w:t>err_opcode</w:t>
      </w:r>
      <w:r>
        <w:rPr>
          <w:sz w:val="20"/>
        </w:rPr>
        <w:t xml:space="preserve"> pulses for one cycle. That is a status output for the cell’s error IRQ, not seam flow control (PRD §4: the seam carries no error signal).</w:t>
      </w:r>
      <w:bookmarkEnd w:id="242"/>
      <w:r>
        <w:br w:type="page"/>
      </w:r>
    </w:p>
    <w:p>
      <w:pPr>
        <w:pStyle w:val="Heading2"/>
        <w:pBdr>
          <w:bottom w:val="single" w:sz="12" w:space="0" w:color="228B22"/>
        </w:pBdr>
        <w:spacing w:before="280" w:after="80"/>
        <w:rPr/>
      </w:pPr>
      <w:bookmarkStart w:id="243" w:name="__RefHeading___Toc12307_211582255"/>
      <w:bookmarkStart w:id="244" w:name="the-four-result-ports"/>
      <w:bookmarkEnd w:id="243"/>
      <w:r>
        <w:rPr>
          <w:rStyle w:val="SectionNumber"/>
          <w:b/>
          <w:color w:val="228B22"/>
          <w:sz w:val="28"/>
        </w:rPr>
        <w:t>12.2</w:t>
      </w:r>
      <w:r>
        <w:rPr>
          <w:b/>
          <w:color w:val="228B22"/>
          <w:sz w:val="28"/>
        </w:rPr>
        <w:tab/>
        <w:t>The Four Result Ports</w:t>
      </w:r>
    </w:p>
    <w:p>
      <w:pPr>
        <w:pStyle w:val="TableCaption"/>
        <w:rPr/>
      </w:pPr>
      <w:bookmarkStart w:id="245" w:name="_Tab_9_Table_2_6__result_po"/>
      <w:r>
        <w:rPr/>
        <w:t>Table 2.6: result ports</w:t>
      </w:r>
      <w:bookmarkEnd w:id="2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 after the issue edge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combinational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copy, min/max, compare, relu, const, int8 and fp8 arithmetic, fp32 non-arithmetic, activations, PWL, conversions, illegal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(written at the issue edge)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per-format result mux in </w:t>
            </w:r>
            <w:r>
              <w:rPr>
                <w:rStyle w:val="VerbatimChar"/>
                <w:rFonts w:eastAsia="Cambria" w:cs=""/>
                <w:kern w:val="0"/>
                <w:szCs w:val="24"/>
                <w:lang w:val="en-US" w:eastAsia="en-US" w:bidi="ar-SA"/>
              </w:rPr>
              <w:t>alu_infer_rows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and fp32 add/sub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ADDER_LATENCY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library adder pipes; the tag and format ride an </w:t>
            </w:r>
            <w:r>
              <w:rPr>
                <w:rStyle w:val="VerbatimChar"/>
                <w:rFonts w:eastAsia="Cambria" w:cs=""/>
                <w:kern w:val="0"/>
                <w:szCs w:val="24"/>
                <w:lang w:val="en-US" w:eastAsia="en-US" w:bidi="ar-SA"/>
              </w:rPr>
              <w:t>alu_infer_delay</w:t>
            </w:r>
            <w:r>
              <w:rPr>
                <w:rFonts w:eastAsia="Cambria" w:cs=""/>
                <w:kern w:val="0"/>
                <w:sz w:val="24"/>
                <w:szCs w:val="24"/>
                <w:lang w:val="en-US" w:eastAsia="en-US" w:bidi="ar-SA"/>
              </w:rPr>
              <w:t xml:space="preserve"> alongside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multiplier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and fp32 mul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MUL_LATENCY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multiplier, then </w:t>
            </w:r>
            <w:r>
              <w:rPr>
                <w:rStyle w:val="VerbatimChar"/>
                <w:rFonts w:eastAsia="Cambria" w:cs=""/>
                <w:kern w:val="0"/>
                <w:szCs w:val="24"/>
                <w:lang w:val="en-US" w:eastAsia="en-US" w:bidi="ar-SA"/>
              </w:rPr>
              <w:t>alu_infer_delay</w:t>
            </w:r>
            <w:r>
              <w:rPr>
                <w:rFonts w:eastAsia="Cambria" w:cs=""/>
                <w:kern w:val="0"/>
                <w:sz w:val="24"/>
                <w:szCs w:val="24"/>
                <w:lang w:val="en-US" w:eastAsia="en-US" w:bidi="ar-SA"/>
              </w:rPr>
              <w:t xml:space="preserve"> of {tag, product}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accumulator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 REDUCE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MAC_LATENCY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alu_infer_acc</w:t>
            </w:r>
            <w:r>
              <w:rPr>
                <w:rFonts w:eastAsia="Cambria" w:cs=""/>
                <w:kern w:val="0"/>
                <w:sz w:val="24"/>
                <w:szCs w:val="24"/>
                <w:lang w:val="en-US" w:eastAsia="en-US" w:bidi="ar-SA"/>
              </w:rPr>
              <w:t xml:space="preserve"> (Chapter 2.3)</w:t>
            </w:r>
          </w:p>
        </w:tc>
      </w:tr>
    </w:tbl>
    <w:p>
      <w:pPr>
        <w:pStyle w:val="BodyText"/>
        <w:rPr/>
      </w:pPr>
      <w:r>
        <w:rPr>
          <w:sz w:val="20"/>
        </w:rPr>
        <w:t xml:space="preserve">Each port carries </w:t>
      </w:r>
      <w:r>
        <w:rPr>
          <w:rStyle w:val="VerbatimChar"/>
          <w:sz w:val="20"/>
        </w:rPr>
        <w:t>{valid, tag, line, flags}</w:t>
      </w:r>
      <w:r>
        <w:rPr>
          <w:sz w:val="20"/>
        </w:rPr>
        <w:t>. Within a port, results are in issue order. Across ports, several may land in the same cycle, each in its own FIFO entry.</w:t>
      </w:r>
      <w:bookmarkEnd w:id="244"/>
      <w:r>
        <w:br w:type="page"/>
      </w:r>
    </w:p>
    <w:p>
      <w:pPr>
        <w:pStyle w:val="Heading2"/>
        <w:pBdr>
          <w:bottom w:val="single" w:sz="12" w:space="0" w:color="228B22"/>
        </w:pBdr>
        <w:spacing w:before="280" w:after="80"/>
        <w:rPr/>
      </w:pPr>
      <w:bookmarkStart w:id="246" w:name="__RefHeading___Toc12309_211582255"/>
      <w:bookmarkStart w:id="247" w:name="X8ef95be183fa039d8eaf02ec3c439fdf05d3000"/>
      <w:bookmarkEnd w:id="246"/>
      <w:r>
        <w:rPr>
          <w:rStyle w:val="SectionNumber"/>
          <w:b/>
          <w:color w:val="228B22"/>
          <w:sz w:val="28"/>
        </w:rPr>
        <w:t>12.3</w:t>
      </w:r>
      <w:r>
        <w:rPr>
          <w:b/>
          <w:color w:val="228B22"/>
          <w:sz w:val="28"/>
        </w:rPr>
        <w:tab/>
        <w:t>The Tag FIFO and Arrival Join (</w:t>
      </w:r>
      <w:r>
        <w:rPr>
          <w:rStyle w:val="VerbatimChar"/>
          <w:b/>
          <w:color w:val="228B22"/>
          <w:sz w:val="28"/>
        </w:rPr>
        <w:t>alu_infer_pipe</w:t>
      </w:r>
      <w:r>
        <w:rPr>
          <w:b/>
          <w:color w:val="228B22"/>
          <w:sz w:val="28"/>
        </w:rPr>
        <w:t>)</w:t>
      </w:r>
    </w:p>
    <w:p>
      <w:pPr>
        <w:pStyle w:val="FirstParagraph"/>
        <w:rPr/>
      </w:pPr>
      <w:r>
        <w:rPr>
          <w:sz w:val="20"/>
        </w:rPr>
        <w:t>Owner ruling 2026-10-18: each issue takes an 8-bit tag, a FIFO tracks the tags in flight, and a result is offered only when every op of its tag group has arrived. As built:</w:t>
      </w:r>
    </w:p>
    <w:p>
      <w:pPr>
        <w:pStyle w:val="Compact"/>
        <w:numPr>
          <w:ilvl w:val="0"/>
          <w:numId w:val="292"/>
        </w:numPr>
        <w:rPr/>
      </w:pPr>
      <w:r>
        <w:rPr/>
        <w:t xml:space="preserve">A free-running counter assigns the tag at issue, and the FIFO allocates the tail entry </w:t>
      </w:r>
      <w:r>
        <w:rPr>
          <w:rStyle w:val="VerbatimChar"/>
        </w:rPr>
        <w:t>{tag, pending}</w:t>
      </w:r>
      <w:r>
        <w:rPr/>
        <w:t>.</w:t>
      </w:r>
    </w:p>
    <w:p>
      <w:pPr>
        <w:pStyle w:val="Compact"/>
        <w:numPr>
          <w:ilvl w:val="0"/>
          <w:numId w:val="293"/>
        </w:numPr>
        <w:rPr/>
      </w:pPr>
      <w:r>
        <w:rPr/>
        <w:t xml:space="preserve">Each port that lands searches the entries for its tag (unique while in flight: </w:t>
      </w:r>
      <w:r>
        <w:rPr>
          <w:rStyle w:val="VerbatimChar"/>
        </w:rPr>
        <w:t>PIPE_DEPTH</w:t>
      </w:r>
      <w:r>
        <w:rPr/>
        <w:t xml:space="preserve"> ≤ 16 against a 256-value space) and fills </w:t>
      </w:r>
      <w:r>
        <w:rPr>
          <w:rStyle w:val="VerbatimChar"/>
        </w:rPr>
        <w:t>{line, flags, arrived}</w:t>
      </w:r>
      <w:r>
        <w:rPr/>
        <w:t>. A port landing in its own issue cycle (latency</w:t>
      </w:r>
    </w:p>
    <w:p>
      <w:pPr>
        <w:pStyle w:val="Compact"/>
        <w:numPr>
          <w:ilvl w:val="1"/>
          <w:numId w:val="294"/>
        </w:numPr>
        <w:rPr/>
      </w:pPr>
      <w:r>
        <w:rPr/>
        <w:t>writes the entry being allocated.</w:t>
      </w:r>
    </w:p>
    <w:p>
      <w:pPr>
        <w:pStyle w:val="Compact"/>
        <w:numPr>
          <w:ilvl w:val="0"/>
          <w:numId w:val="295"/>
        </w:numPr>
        <w:rPr/>
      </w:pPr>
      <w:r>
        <w:rPr/>
        <w:t>The head is offered when it has arrived. A fast result behind a slow one waits at the head (owner ruling: following ops align with or after the earlier slower operation).</w:t>
      </w:r>
    </w:p>
    <w:p>
      <w:pPr>
        <w:pStyle w:val="Compact"/>
        <w:numPr>
          <w:ilvl w:val="0"/>
          <w:numId w:val="296"/>
        </w:numPr>
        <w:rPr/>
      </w:pPr>
      <w:r>
        <w:rPr>
          <w:rStyle w:val="VerbatimChar"/>
        </w:rPr>
        <w:t>ready</w:t>
      </w:r>
      <w:r>
        <w:rPr/>
        <w:t xml:space="preserve"> is high while the FIFO has a free entry, or when the head retires this cycle. A stalled consumer blocks issue only once </w:t>
      </w:r>
      <w:r>
        <w:rPr>
          <w:rStyle w:val="VerbatimChar"/>
        </w:rPr>
        <w:t>PIPE_DEPTH</w:t>
      </w:r>
      <w:r>
        <w:rPr/>
        <w:t xml:space="preserve"> invocations are in flight.</w:t>
      </w:r>
    </w:p>
    <w:p>
      <w:pPr>
        <w:pStyle w:val="FirstParagraph"/>
        <w:rPr/>
      </w:pPr>
      <w:r>
        <w:rPr>
          <w:b/>
          <w:bCs/>
          <w:sz w:val="20"/>
        </w:rPr>
        <w:t>Tag groups.</w:t>
      </w:r>
      <w:r>
        <w:rPr>
          <w:sz w:val="20"/>
        </w:rPr>
        <w:t xml:space="preserve"> The seam issues one </w:t>
      </w:r>
      <w:r>
        <w:rPr>
          <w:rStyle w:val="VerbatimChar"/>
          <w:sz w:val="20"/>
        </w:rPr>
        <w:t>func_sel</w:t>
      </w:r>
      <w:r>
        <w:rPr>
          <w:sz w:val="20"/>
        </w:rPr>
        <w:t xml:space="preserve"> per invocation, so a tag group is one op and the join waits for one arrival. A multi-op group needs a seam that issues several ops at once, which no document defines yet; the per-port tag compare is the mechanism that group would use.</w:t>
      </w:r>
    </w:p>
    <w:p>
      <w:pPr>
        <w:pStyle w:val="Normal"/>
        <w:rPr/>
      </w:pPr>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8" w:name="decode-and-result-ports"/>
      <w:bookmarkStart w:id="249" w:name="X8ef95be183fa039d8eaf02ec3c439fdf05d3000"/>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8"/>
      <w:bookmarkEnd w:id="249"/>
      <w:r>
        <w:br w:type="page"/>
      </w:r>
    </w:p>
    <w:p>
      <w:pPr>
        <w:pStyle w:val="Heading1"/>
        <w:shd w:val="clear" w:color="auto" w:fill="404040"/>
        <w:spacing w:before="360" w:after="120"/>
        <w:rPr/>
      </w:pPr>
      <w:bookmarkStart w:id="250" w:name="__RefHeading___Toc12311_211582255"/>
      <w:bookmarkStart w:id="251" w:name="the-pwl-lut-activation"/>
      <w:bookmarkEnd w:id="250"/>
      <w:r>
        <w:rPr>
          <w:rStyle w:val="SectionNumber"/>
          <w:b/>
          <w:color w:val="FFFFFF"/>
          <w:sz w:val="32"/>
        </w:rPr>
        <w:t>13</w:t>
      </w:r>
      <w:r>
        <w:rPr>
          <w:b/>
          <w:color w:val="FFFFFF"/>
          <w:sz w:val="32"/>
        </w:rPr>
        <w:tab/>
        <w:t>The PWL LUT Activation</w:t>
      </w:r>
    </w:p>
    <w:p>
      <w:pPr>
        <w:pStyle w:val="FirstParagraph"/>
        <w:rPr/>
      </w:pPr>
      <w:r>
        <w:rPr>
          <w:sz w:val="20"/>
        </w:rPr>
        <w:t>PRD roadmap item 2: a 256-entry lookup table with linear interpolation, covering sigmoid, tanh, gelu, silu and exp with one row and bounded error.</w:t>
      </w:r>
      <w:r>
        <w:br w:type="page"/>
      </w:r>
    </w:p>
    <w:p>
      <w:pPr>
        <w:pStyle w:val="Heading2"/>
        <w:pBdr>
          <w:bottom w:val="single" w:sz="12" w:space="0" w:color="228B22"/>
        </w:pBdr>
        <w:spacing w:before="280" w:after="80"/>
        <w:rPr/>
      </w:pPr>
      <w:bookmarkStart w:id="252" w:name="__RefHeading___Toc12313_211582255"/>
      <w:bookmarkStart w:id="253" w:name="segments"/>
      <w:bookmarkEnd w:id="252"/>
      <w:r>
        <w:rPr>
          <w:rStyle w:val="SectionNumber"/>
          <w:b/>
          <w:color w:val="228B22"/>
          <w:sz w:val="28"/>
        </w:rPr>
        <w:t>13.1</w:t>
      </w:r>
      <w:r>
        <w:rPr>
          <w:b/>
          <w:color w:val="228B22"/>
          <w:sz w:val="28"/>
        </w:rPr>
        <w:tab/>
        <w:t>Segments</w:t>
      </w:r>
    </w:p>
    <w:p>
      <w:pPr>
        <w:pStyle w:val="FirstParagraph"/>
        <w:rPr/>
      </w:pPr>
      <w:r>
        <w:rPr>
          <w:sz w:val="20"/>
        </w:rPr>
        <w:t xml:space="preserve">The segment index of a bf16 </w:t>
      </w:r>
      <w:r>
        <w:rPr>
          <w:rStyle w:val="VerbatimChar"/>
          <w:sz w:val="20"/>
        </w:rPr>
        <w:t>x</w:t>
      </w:r>
      <w:r>
        <w:rPr>
          <w:sz w:val="20"/>
        </w:rPr>
        <w:t xml:space="preserve"> is </w:t>
      </w:r>
      <w:r>
        <w:rPr>
          <w:rStyle w:val="VerbatimChar"/>
          <w:sz w:val="20"/>
        </w:rPr>
        <w:t>{sign, octave[3:0], mant[6:4]}</w:t>
      </w:r>
      <w:r>
        <w:rPr>
          <w:sz w:val="20"/>
        </w:rPr>
        <w:t xml:space="preserve">, where </w:t>
      </w:r>
      <w:r>
        <w:rPr>
          <w:rStyle w:val="VerbatimChar"/>
          <w:sz w:val="20"/>
        </w:rPr>
        <w:t>octave = exp − 120</w:t>
      </w:r>
      <w:r>
        <w:rPr>
          <w:sz w:val="20"/>
        </w:rPr>
        <w:t>, clamped to [0, 15]. Segments are log-spaced: |x| in [2^-7, 2^9) at eight segments per octave, both signs.</w:t>
      </w:r>
    </w:p>
    <w:p>
      <w:pPr>
        <w:pStyle w:val="Compact"/>
        <w:numPr>
          <w:ilvl w:val="0"/>
          <w:numId w:val="297"/>
        </w:numPr>
        <w:rPr/>
      </w:pPr>
      <w:r>
        <w:rPr/>
        <w:t xml:space="preserve">|x| &lt; 2^-7 uses segment </w:t>
      </w:r>
      <w:r>
        <w:rPr>
          <w:rStyle w:val="VerbatimChar"/>
        </w:rPr>
        <w:t>{sign, 0, 0}</w:t>
      </w:r>
      <w:r>
        <w:rPr/>
        <w:t>, whose fit covers [0, 2^-7·1.125).</w:t>
      </w:r>
    </w:p>
    <w:p>
      <w:pPr>
        <w:pStyle w:val="Compact"/>
        <w:numPr>
          <w:ilvl w:val="0"/>
          <w:numId w:val="298"/>
        </w:numPr>
        <w:rPr/>
      </w:pPr>
      <w:r>
        <w:rPr/>
        <w:t xml:space="preserve">|x| ≥ 2^9, inf and NaN use segment </w:t>
      </w:r>
      <w:r>
        <w:rPr>
          <w:rStyle w:val="VerbatimChar"/>
        </w:rPr>
        <w:t>{sign, 15, 7}</w:t>
      </w:r>
      <w:r>
        <w:rPr/>
        <w:t>, the saturating tail.</w:t>
      </w:r>
      <w:bookmarkEnd w:id="253"/>
      <w:r>
        <w:br w:type="page"/>
      </w:r>
    </w:p>
    <w:p>
      <w:pPr>
        <w:pStyle w:val="Heading2"/>
        <w:pBdr>
          <w:bottom w:val="single" w:sz="12" w:space="0" w:color="228B22"/>
        </w:pBdr>
        <w:spacing w:before="280" w:after="80"/>
        <w:rPr/>
      </w:pPr>
      <w:bookmarkStart w:id="254" w:name="__RefHeading___Toc12315_211582255"/>
      <w:bookmarkStart w:id="255" w:name="evaluation"/>
      <w:bookmarkEnd w:id="254"/>
      <w:r>
        <w:rPr>
          <w:rStyle w:val="SectionNumber"/>
          <w:b/>
          <w:color w:val="228B22"/>
          <w:sz w:val="28"/>
        </w:rPr>
        <w:t>13.2</w:t>
      </w:r>
      <w:r>
        <w:rPr>
          <w:b/>
          <w:color w:val="228B22"/>
          <w:sz w:val="28"/>
        </w:rPr>
        <w:tab/>
        <w:t>Evaluation</w:t>
      </w:r>
    </w:p>
    <w:p>
      <w:pPr>
        <w:pStyle w:val="FirstParagraph"/>
        <w:rPr/>
      </w:pPr>
      <w:r>
        <w:rPr>
          <w:sz w:val="20"/>
        </w:rPr>
        <w:t xml:space="preserve">An entry is </w:t>
      </w:r>
      <w:r>
        <w:rPr>
          <w:rStyle w:val="VerbatimChar"/>
          <w:sz w:val="20"/>
        </w:rPr>
        <w:t>{slope bf16 [31:16], intercept bf16 [15:0]}</w:t>
      </w:r>
      <w:r>
        <w:rPr>
          <w:sz w:val="20"/>
        </w:rPr>
        <w:t xml:space="preserve">. Each lane computes </w:t>
      </w:r>
      <w:r>
        <w:rPr>
          <w:rStyle w:val="VerbatimChar"/>
          <w:sz w:val="20"/>
        </w:rPr>
        <w:t>bf16(math_bf16_fma(slope, x, {icpt, 16'h0}))</w:t>
      </w:r>
      <w:r>
        <w:rPr>
          <w:sz w:val="20"/>
        </w:rPr>
        <w:t xml:space="preserve">: one fp32 rounding, then RNE to bf16. An infinite </w:t>
      </w:r>
      <w:r>
        <w:rPr>
          <w:rStyle w:val="VerbatimChar"/>
          <w:sz w:val="20"/>
        </w:rPr>
        <w:t>x</w:t>
      </w:r>
      <w:r>
        <w:rPr>
          <w:sz w:val="20"/>
        </w:rPr>
        <w:t xml:space="preserve"> against a zero slope returns the intercept — the saturating value — instead of the </w:t>
      </w:r>
      <w:r>
        <w:rPr>
          <w:rStyle w:val="VerbatimChar"/>
          <w:sz w:val="20"/>
        </w:rPr>
        <w:t>0 × inf</w:t>
      </w:r>
      <w:r>
        <w:rPr>
          <w:sz w:val="20"/>
        </w:rPr>
        <w:t xml:space="preserve"> NaN. A NaN </w:t>
      </w:r>
      <w:r>
        <w:rPr>
          <w:rStyle w:val="VerbatimChar"/>
          <w:sz w:val="20"/>
        </w:rPr>
        <w:t>x</w:t>
      </w:r>
      <w:r>
        <w:rPr>
          <w:sz w:val="20"/>
        </w:rPr>
        <w:t xml:space="preserve"> returns NaN.</w:t>
      </w:r>
      <w:bookmarkEnd w:id="255"/>
      <w:r>
        <w:br w:type="page"/>
      </w:r>
    </w:p>
    <w:p>
      <w:pPr>
        <w:pStyle w:val="Heading2"/>
        <w:pBdr>
          <w:bottom w:val="single" w:sz="12" w:space="0" w:color="228B22"/>
        </w:pBdr>
        <w:spacing w:before="280" w:after="80"/>
        <w:rPr/>
      </w:pPr>
      <w:bookmarkStart w:id="256" w:name="__RefHeading___Toc12317_211582255"/>
      <w:bookmarkStart w:id="257" w:name="loading-in-band"/>
      <w:bookmarkEnd w:id="256"/>
      <w:r>
        <w:rPr>
          <w:rStyle w:val="SectionNumber"/>
          <w:b/>
          <w:color w:val="228B22"/>
          <w:sz w:val="28"/>
        </w:rPr>
        <w:t>13.3</w:t>
      </w:r>
      <w:r>
        <w:rPr>
          <w:b/>
          <w:color w:val="228B22"/>
          <w:sz w:val="28"/>
        </w:rPr>
        <w:tab/>
        <w:t>Loading In-Band</w:t>
      </w:r>
    </w:p>
    <w:p>
      <w:pPr>
        <w:pStyle w:val="FirstParagraph"/>
        <w:rPr/>
      </w:pPr>
      <w:r>
        <w:rPr>
          <w:sz w:val="20"/>
        </w:rPr>
        <w:t>The table is loaded through the seam itself, like everything else the tile receives:</w:t>
      </w:r>
    </w:p>
    <w:p>
      <w:pPr>
        <w:pStyle w:val="Compact"/>
        <w:numPr>
          <w:ilvl w:val="0"/>
          <w:numId w:val="299"/>
        </w:numPr>
        <w:rPr/>
      </w:pPr>
      <w:r>
        <w:rPr>
          <w:rStyle w:val="VerbatimChar"/>
        </w:rPr>
        <w:t>OP_PWL_LUT</w:t>
      </w:r>
      <w:r>
        <w:rPr/>
        <w:t xml:space="preserve">, </w:t>
      </w:r>
      <w:r>
        <w:rPr>
          <w:rStyle w:val="VerbatimChar"/>
        </w:rPr>
        <w:t>sub_op = 0</w:t>
      </w:r>
      <w:r>
        <w:rPr/>
        <w:t xml:space="preserve">: write entry </w:t>
      </w:r>
      <w:r>
        <w:rPr>
          <w:rStyle w:val="VerbatimChar"/>
        </w:rPr>
        <w:t>B[7:0]</w:t>
      </w:r>
      <w:r>
        <w:rPr/>
        <w:t xml:space="preserve"> with line A. It retires a zero line.</w:t>
      </w:r>
    </w:p>
    <w:p>
      <w:pPr>
        <w:pStyle w:val="Compact"/>
        <w:numPr>
          <w:ilvl w:val="0"/>
          <w:numId w:val="300"/>
        </w:numPr>
        <w:rPr/>
      </w:pPr>
      <w:r>
        <w:rPr>
          <w:rStyle w:val="VerbatimChar"/>
        </w:rPr>
        <w:t>OP_PWL_LUT</w:t>
      </w:r>
      <w:r>
        <w:rPr/>
        <w:t xml:space="preserve">, </w:t>
      </w:r>
      <w:r>
        <w:rPr>
          <w:rStyle w:val="VerbatimChar"/>
        </w:rPr>
        <w:t>sub_op = 1</w:t>
      </w:r>
      <w:r>
        <w:rPr/>
        <w:t xml:space="preserve">: read entry </w:t>
      </w:r>
      <w:r>
        <w:rPr>
          <w:rStyle w:val="VerbatimChar"/>
        </w:rPr>
        <w:t>B[7:0]</w:t>
      </w:r>
      <w:r>
        <w:rPr/>
        <w:t xml:space="preserve"> back as the result line.</w:t>
      </w:r>
    </w:p>
    <w:p>
      <w:pPr>
        <w:pStyle w:val="FirstParagraph"/>
        <w:rPr/>
      </w:pPr>
      <w:r>
        <w:rPr>
          <w:sz w:val="20"/>
        </w:rPr>
        <w:t xml:space="preserve">256 writes stream at one per clock, so a function switch costs 256 cycles. The table is a memory (distributed RAM, no reset); it must be loaded before the first </w:t>
      </w:r>
      <w:r>
        <w:rPr>
          <w:rStyle w:val="VerbatimChar"/>
          <w:sz w:val="20"/>
        </w:rPr>
        <w:t>OP_PWL</w:t>
      </w:r>
      <w:r>
        <w:rPr>
          <w:sz w:val="20"/>
        </w:rPr>
        <w:t>.</w:t>
      </w:r>
      <w:bookmarkEnd w:id="257"/>
      <w:r>
        <w:br w:type="page"/>
      </w:r>
    </w:p>
    <w:p>
      <w:pPr>
        <w:pStyle w:val="Heading2"/>
        <w:pBdr>
          <w:bottom w:val="single" w:sz="12" w:space="0" w:color="228B22"/>
        </w:pBdr>
        <w:spacing w:before="280" w:after="80"/>
        <w:rPr/>
      </w:pPr>
      <w:bookmarkStart w:id="258" w:name="__RefHeading___Toc12319_211582255"/>
      <w:bookmarkStart w:id="259" w:name="the-table-builder"/>
      <w:bookmarkEnd w:id="258"/>
      <w:r>
        <w:rPr>
          <w:rStyle w:val="SectionNumber"/>
          <w:b/>
          <w:color w:val="228B22"/>
          <w:sz w:val="28"/>
        </w:rPr>
        <w:t>13.4</w:t>
      </w:r>
      <w:r>
        <w:rPr>
          <w:b/>
          <w:color w:val="228B22"/>
          <w:sz w:val="28"/>
        </w:rPr>
        <w:tab/>
        <w:t>The Table Builder</w:t>
      </w:r>
    </w:p>
    <w:p>
      <w:pPr>
        <w:pStyle w:val="FirstParagraph"/>
        <w:rPr/>
      </w:pPr>
      <w:r>
        <w:rPr>
          <w:rStyle w:val="VerbatimChar"/>
          <w:sz w:val="20"/>
        </w:rPr>
        <w:t>alu-infer/bin/alu_infer_pwl.py</w:t>
      </w:r>
      <w:r>
        <w:rPr>
          <w:sz w:val="20"/>
        </w:rPr>
        <w:t xml:space="preserve"> fits each segment by least squares, rounds the slope to bf16, and refits the intercept against the rounded slope (the slope’s rounding error dominates otherwise). It writes 256 hex words (</w:t>
      </w:r>
      <w:r>
        <w:rPr>
          <w:rStyle w:val="VerbatimChar"/>
          <w:sz w:val="20"/>
        </w:rPr>
        <w:t>--hex</w:t>
      </w:r>
      <w:r>
        <w:rPr>
          <w:sz w:val="20"/>
        </w:rPr>
        <w:t>) and reports the modeled error (</w:t>
      </w:r>
      <w:r>
        <w:rPr>
          <w:rStyle w:val="VerbatimChar"/>
          <w:sz w:val="20"/>
        </w:rPr>
        <w:t>--report</w:t>
      </w:r>
      <w:r>
        <w:rPr>
          <w:sz w:val="20"/>
        </w:rPr>
        <w:t>). It also carries the row’s bit-level model, which the testbench checks the RTL against.</w:t>
      </w:r>
    </w:p>
    <w:p>
      <w:pPr>
        <w:pStyle w:val="TableCaption"/>
        <w:rPr/>
      </w:pPr>
      <w:bookmarkStart w:id="260" w:name="_Tab_10_Table_2_7__modeled_P"/>
      <w:r>
        <w:rPr/>
        <w:t>Table 2.7: modeled PWL accuracy (relative error only where |f| &gt; 2^-6)</w:t>
      </w:r>
      <w:bookmarkEnd w:id="2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abs error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rel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sigmoid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3.8e-3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2.3e-2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tanh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3.3e-3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4.0e-3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gelu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8.2e-3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1.6e-2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silu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1.6e-2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2.1e-2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2.9e-2</w:t>
            </w:r>
          </w:p>
        </w:tc>
      </w:tr>
    </w:tbl>
    <w:p>
      <w:pPr>
        <w:pStyle w:val="BodyText"/>
        <w:rPr/>
      </w:pPr>
      <w:r>
        <w:rPr>
          <w:sz w:val="20"/>
        </w:rPr>
        <w:t>The sigmoid and tanh errors are at bf16’s output resolution near 1 (2^-8 ≈ 3.9e-3). exp is reported where softmax uses it (x − max ≤ 0): an octave-wide segment is too coarse for exp at large |x|, and exp(−16) is already below anything softmax keeps.</w:t>
      </w:r>
    </w:p>
    <w:p>
      <w:pPr>
        <w:pStyle w:val="Normal"/>
        <w:rPr/>
      </w:pPr>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1" w:name="the-pwl-lut-activation"/>
      <w:bookmarkStart w:id="262" w:name="the-table-builder"/>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1"/>
      <w:bookmarkEnd w:id="262"/>
      <w:r>
        <w:br w:type="page"/>
      </w:r>
    </w:p>
    <w:p>
      <w:pPr>
        <w:pStyle w:val="Heading1"/>
        <w:shd w:val="clear" w:color="auto" w:fill="404040"/>
        <w:spacing w:before="360" w:after="120"/>
        <w:rPr/>
      </w:pPr>
      <w:bookmarkStart w:id="263" w:name="__RefHeading___Toc12321_211582255"/>
      <w:bookmarkStart w:id="264" w:name="format-conversions"/>
      <w:bookmarkEnd w:id="263"/>
      <w:r>
        <w:rPr>
          <w:rStyle w:val="SectionNumber"/>
          <w:b/>
          <w:color w:val="FFFFFF"/>
          <w:sz w:val="32"/>
        </w:rPr>
        <w:t>14</w:t>
      </w:r>
      <w:r>
        <w:rPr>
          <w:b/>
          <w:color w:val="FFFFFF"/>
          <w:sz w:val="32"/>
        </w:rPr>
        <w:tab/>
        <w:t>Format Conversions</w:t>
      </w:r>
    </w:p>
    <w:p>
      <w:pPr>
        <w:pStyle w:val="FirstParagraph"/>
        <w:rPr/>
      </w:pPr>
      <w:r>
        <w:rPr>
          <w:rStyle w:val="VerbatimChar"/>
          <w:sz w:val="20"/>
        </w:rPr>
        <w:t>OP_CVT</w:t>
      </w:r>
      <w:r>
        <w:rPr>
          <w:sz w:val="20"/>
        </w:rPr>
        <w:t xml:space="preserve"> converts from the format in </w:t>
      </w:r>
      <w:r>
        <w:rPr>
          <w:rStyle w:val="VerbatimChar"/>
          <w:sz w:val="20"/>
        </w:rPr>
        <w:t>func_sel[8:7]</w:t>
      </w:r>
      <w:r>
        <w:rPr>
          <w:sz w:val="20"/>
        </w:rPr>
        <w:t xml:space="preserve"> to the format in </w:t>
      </w:r>
      <w:r>
        <w:rPr>
          <w:rStyle w:val="VerbatimChar"/>
          <w:sz w:val="20"/>
        </w:rPr>
        <w:t>sub_op</w:t>
      </w:r>
      <w:r>
        <w:rPr>
          <w:sz w:val="20"/>
        </w:rPr>
        <w:t xml:space="preserve">. </w:t>
      </w:r>
      <w:r>
        <w:rPr>
          <w:rStyle w:val="VerbatimChar"/>
          <w:sz w:val="20"/>
        </w:rPr>
        <w:t>OP_ALTFMT</w:t>
      </w:r>
      <w:r>
        <w:rPr>
          <w:sz w:val="20"/>
        </w:rPr>
        <w:t xml:space="preserve"> covers the interchange formats that are not ALU element formats. Every conversion is an </w:t>
      </w:r>
      <w:r>
        <w:rPr>
          <w:rStyle w:val="VerbatimChar"/>
          <w:sz w:val="20"/>
        </w:rPr>
        <w:t>rtl/math</w:t>
      </w:r>
      <w:r>
        <w:rPr>
          <w:sz w:val="20"/>
        </w:rPr>
        <w:t xml:space="preserve"> converter; this is the PRD’s growth item “format conversions” plus the int8 drain.</w:t>
      </w:r>
      <w:r>
        <w:br w:type="page"/>
      </w:r>
    </w:p>
    <w:p>
      <w:pPr>
        <w:pStyle w:val="Heading2"/>
        <w:pBdr>
          <w:bottom w:val="single" w:sz="12" w:space="0" w:color="228B22"/>
        </w:pBdr>
        <w:spacing w:before="280" w:after="80"/>
        <w:rPr/>
      </w:pPr>
      <w:bookmarkStart w:id="265" w:name="__RefHeading___Toc12323_211582255"/>
      <w:bookmarkStart w:id="266" w:name="lane-packing"/>
      <w:bookmarkEnd w:id="265"/>
      <w:r>
        <w:rPr>
          <w:rStyle w:val="SectionNumber"/>
          <w:b/>
          <w:color w:val="228B22"/>
          <w:sz w:val="28"/>
        </w:rPr>
        <w:t>14.1</w:t>
      </w:r>
      <w:r>
        <w:rPr>
          <w:b/>
          <w:color w:val="228B22"/>
          <w:sz w:val="28"/>
        </w:rPr>
        <w:tab/>
        <w:t>Lane Packing</w:t>
      </w:r>
    </w:p>
    <w:p>
      <w:pPr>
        <w:pStyle w:val="Compact"/>
        <w:numPr>
          <w:ilvl w:val="0"/>
          <w:numId w:val="301"/>
        </w:numPr>
        <w:rPr/>
      </w:pPr>
      <w:r>
        <w:rPr>
          <w:b/>
          <w:bCs/>
        </w:rPr>
        <w:t>Narrowing</w:t>
      </w:r>
      <w:r>
        <w:rPr/>
        <w:t xml:space="preserve"> (narrower destination lanes): line A fills the low destination lanes and line B the next ones. Two source lines pack one result line — bf16 → int8 turns four bf16 values (two lines) into one line of four int8.</w:t>
      </w:r>
    </w:p>
    <w:p>
      <w:pPr>
        <w:pStyle w:val="Compact"/>
        <w:numPr>
          <w:ilvl w:val="0"/>
          <w:numId w:val="302"/>
        </w:numPr>
        <w:rPr/>
      </w:pPr>
      <w:r>
        <w:rPr>
          <w:b/>
          <w:bCs/>
        </w:rPr>
        <w:t>Widening</w:t>
      </w:r>
      <w:r>
        <w:rPr/>
        <w:t xml:space="preserve"> (wider destination lanes): one line A yields one part of its lanes. </w:t>
      </w:r>
      <w:r>
        <w:rPr>
          <w:rStyle w:val="VerbatimChar"/>
        </w:rPr>
        <w:t>B[0]</w:t>
      </w:r>
      <w:r>
        <w:rPr/>
        <w:t xml:space="preserve"> selects the half, or </w:t>
      </w:r>
      <w:r>
        <w:rPr>
          <w:rStyle w:val="VerbatimChar"/>
        </w:rPr>
        <w:t>B[1:0]</w:t>
      </w:r>
      <w:r>
        <w:rPr/>
        <w:t xml:space="preserve"> the quarter for fp8 → fp32.</w:t>
      </w:r>
    </w:p>
    <w:p>
      <w:pPr>
        <w:pStyle w:val="Compact"/>
        <w:numPr>
          <w:ilvl w:val="0"/>
          <w:numId w:val="303"/>
        </w:numPr>
        <w:rPr/>
      </w:pPr>
      <w:r>
        <w:rPr>
          <w:b/>
          <w:bCs/>
        </w:rPr>
        <w:t>Same format</w:t>
      </w:r>
      <w:r>
        <w:rPr/>
        <w:t>: a copy.</w:t>
      </w:r>
      <w:bookmarkEnd w:id="266"/>
      <w:r>
        <w:br w:type="page"/>
      </w:r>
    </w:p>
    <w:p>
      <w:pPr>
        <w:pStyle w:val="Heading2"/>
        <w:pBdr>
          <w:bottom w:val="single" w:sz="12" w:space="0" w:color="228B22"/>
        </w:pBdr>
        <w:spacing w:before="280" w:after="80"/>
        <w:rPr/>
      </w:pPr>
      <w:bookmarkStart w:id="267" w:name="__RefHeading___Toc12325_211582255"/>
      <w:bookmarkStart w:id="268" w:name="pairs"/>
      <w:bookmarkEnd w:id="267"/>
      <w:r>
        <w:rPr>
          <w:rStyle w:val="SectionNumber"/>
          <w:b/>
          <w:color w:val="228B22"/>
          <w:sz w:val="28"/>
        </w:rPr>
        <w:t>14.2</w:t>
      </w:r>
      <w:r>
        <w:rPr>
          <w:b/>
          <w:color w:val="228B22"/>
          <w:sz w:val="28"/>
        </w:rPr>
        <w:tab/>
        <w:t>Pairs</w:t>
      </w:r>
    </w:p>
    <w:p>
      <w:pPr>
        <w:pStyle w:val="TableCaption"/>
        <w:rPr/>
      </w:pPr>
      <w:bookmarkStart w:id="269" w:name="_Tab_11_Table_2_8__CVT_pairs"/>
      <w:r>
        <w:rPr/>
        <w:t>Table 2.8: CVT pairs</w:t>
      </w:r>
      <w:bookmarkEnd w:id="2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 dst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 int8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math_bf16_scale_to_int8</w:t>
            </w:r>
            <w:r>
              <w:rPr>
                <w:rFonts w:eastAsia="Cambria" w:cs=""/>
                <w:kern w:val="0"/>
                <w:sz w:val="24"/>
                <w:szCs w:val="24"/>
                <w:lang w:val="en-US" w:eastAsia="en-US" w:bidi="ar-SA"/>
              </w:rPr>
              <w:t xml:space="preserve">, scale = </w:t>
            </w:r>
            <w:r>
              <w:rPr>
                <w:rStyle w:val="VerbatimChar"/>
                <w:rFonts w:eastAsia="Cambria" w:cs=""/>
                <w:kern w:val="0"/>
                <w:szCs w:val="24"/>
                <w:lang w:val="en-US" w:eastAsia="en-US" w:bidi="ar-SA"/>
              </w:rPr>
              <w:t>threshold_imm</w:t>
            </w:r>
            <w:r>
              <w:rPr>
                <w:rFonts w:eastAsia="Cambria" w:cs=""/>
                <w:kern w:val="0"/>
                <w:sz w:val="24"/>
                <w:szCs w:val="24"/>
                <w:lang w:val="en-US" w:eastAsia="en-US" w:bidi="ar-SA"/>
              </w:rPr>
              <w:t xml:space="preserve"> (bf16)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 fp32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math_bf16_to_fp32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widen, half </w:t>
            </w:r>
            <w:r>
              <w:rPr>
                <w:rStyle w:val="VerbatimChar"/>
                <w:rFonts w:eastAsia="Cambria" w:cs=""/>
                <w:kern w:val="0"/>
                <w:szCs w:val="24"/>
                <w:lang w:val="en-US" w:eastAsia="en-US" w:bidi="ar-SA"/>
              </w:rPr>
              <w:t>B[0]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 fp8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math_bf16_to_fp8_e4m3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int8 → bf16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math_int_to_bf16</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INT_WIDTH = 8</w:t>
            </w:r>
            <w:r>
              <w:rPr>
                <w:rFonts w:eastAsia="Cambria" w:cs=""/>
                <w:kern w:val="0"/>
                <w:sz w:val="24"/>
                <w:szCs w:val="24"/>
                <w:lang w:val="en-US" w:eastAsia="en-US" w:bidi="ar-SA"/>
              </w:rPr>
              <w:t>), unscaled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widen, half </w:t>
            </w:r>
            <w:r>
              <w:rPr>
                <w:rStyle w:val="VerbatimChar"/>
                <w:rFonts w:eastAsia="Cambria" w:cs=""/>
                <w:kern w:val="0"/>
                <w:szCs w:val="24"/>
                <w:lang w:val="en-US" w:eastAsia="en-US" w:bidi="ar-SA"/>
              </w:rPr>
              <w:t>B[0]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fp32 → bf16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math_fp32_to_bf16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fp32 → fp8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math_fp32_to_fp8_e4m3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 ×2 (two of four lanes filled)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fp8 → bf16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math_fp8_e4m3_to_bf16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widen, half </w:t>
            </w:r>
            <w:r>
              <w:rPr>
                <w:rStyle w:val="VerbatimChar"/>
                <w:rFonts w:eastAsia="Cambria" w:cs=""/>
                <w:kern w:val="0"/>
                <w:szCs w:val="24"/>
                <w:lang w:val="en-US" w:eastAsia="en-US" w:bidi="ar-SA"/>
              </w:rPr>
              <w:t>B[0]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fp8 → fp32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math_fp8_e4m3_to_fp32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widen, quarter </w:t>
            </w:r>
            <w:r>
              <w:rPr>
                <w:rStyle w:val="VerbatimChar"/>
                <w:rFonts w:eastAsia="Cambria" w:cs=""/>
                <w:kern w:val="0"/>
                <w:szCs w:val="24"/>
                <w:lang w:val="en-US" w:eastAsia="en-US" w:bidi="ar-SA"/>
              </w:rPr>
              <w:t>B[1:0]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int8 ↔ fp32, int8 ↔ fp8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in the library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w:t>
            </w:r>
          </w:p>
        </w:tc>
      </w:tr>
    </w:tbl>
    <w:p>
      <w:pPr>
        <w:pStyle w:val="BodyText"/>
        <w:rPr/>
      </w:pPr>
      <w:r>
        <w:rPr>
          <w:sz w:val="20"/>
        </w:rPr>
        <w:t xml:space="preserve">bf16 → int8 is the </w:t>
      </w:r>
      <w:r>
        <w:rPr>
          <w:b/>
          <w:bCs/>
          <w:sz w:val="20"/>
        </w:rPr>
        <w:t>int8 drain</w:t>
      </w:r>
      <w:r>
        <w:rPr>
          <w:sz w:val="20"/>
        </w:rPr>
        <w:t xml:space="preserve"> (</w:t>
      </w:r>
      <w:r>
        <w:rPr>
          <w:rStyle w:val="VerbatimChar"/>
          <w:sz w:val="20"/>
        </w:rPr>
        <w:t>math_bf16_scale_to_int8</w:t>
      </w:r>
      <w:r>
        <w:rPr>
          <w:sz w:val="20"/>
        </w:rPr>
        <w:t xml:space="preserve">, growth list): it quantizes with the immediate as scale. int8 → bf16 is unscaled; the dequantize scale is a following </w:t>
      </w:r>
      <w:r>
        <w:rPr>
          <w:rStyle w:val="VerbatimChar"/>
          <w:sz w:val="20"/>
        </w:rPr>
        <w:t>OP_MUL</w:t>
      </w:r>
      <w:r>
        <w:rPr>
          <w:sz w:val="20"/>
        </w:rPr>
        <w:t>.</w:t>
      </w:r>
      <w:bookmarkEnd w:id="268"/>
      <w:r>
        <w:br w:type="page"/>
      </w:r>
    </w:p>
    <w:p>
      <w:pPr>
        <w:pStyle w:val="Heading2"/>
        <w:pBdr>
          <w:bottom w:val="single" w:sz="12" w:space="0" w:color="228B22"/>
        </w:pBdr>
        <w:spacing w:before="280" w:after="80"/>
        <w:rPr/>
      </w:pPr>
      <w:bookmarkStart w:id="270" w:name="__RefHeading___Toc12327_211582255"/>
      <w:bookmarkStart w:id="271" w:name="altfmt-bf16-only"/>
      <w:bookmarkEnd w:id="270"/>
      <w:r>
        <w:rPr>
          <w:rStyle w:val="SectionNumber"/>
          <w:b/>
          <w:color w:val="228B22"/>
          <w:sz w:val="28"/>
        </w:rPr>
        <w:t>14.3</w:t>
      </w:r>
      <w:r>
        <w:rPr>
          <w:b/>
          <w:color w:val="228B22"/>
          <w:sz w:val="28"/>
        </w:rPr>
        <w:tab/>
        <w:t>ALTFMT (bf16 only)</w:t>
      </w:r>
    </w:p>
    <w:p>
      <w:pPr>
        <w:pStyle w:val="TableCaption"/>
        <w:rPr/>
      </w:pPr>
      <w:bookmarkStart w:id="272" w:name="_Tab_12_Table_2_9__ALTFMT_su"/>
      <w:r>
        <w:rPr/>
        <w:t>Table 2.9: ALTFMT sub-ops</w:t>
      </w:r>
      <w:bookmarkEnd w:id="2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sub_op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 fp16 (</w:t>
            </w:r>
            <w:r>
              <w:rPr>
                <w:rStyle w:val="VerbatimChar"/>
                <w:rFonts w:eastAsia="Cambria" w:cs=""/>
                <w:kern w:val="0"/>
                <w:szCs w:val="24"/>
                <w:lang w:val="en-US" w:eastAsia="en-US" w:bidi="ar-SA"/>
              </w:rPr>
              <w:t>math_bf16_to_fp16</w:t>
            </w: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 for lane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fp16 → bf16 (</w:t>
            </w:r>
            <w:r>
              <w:rPr>
                <w:rStyle w:val="VerbatimChar"/>
                <w:rFonts w:eastAsia="Cambria" w:cs=""/>
                <w:kern w:val="0"/>
                <w:szCs w:val="24"/>
                <w:lang w:val="en-US" w:eastAsia="en-US" w:bidi="ar-SA"/>
              </w:rPr>
              <w:t>math_fp16_to_bf16</w:t>
            </w: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 for lane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 fp8 e5m2 (</w:t>
            </w:r>
            <w:r>
              <w:rPr>
                <w:rStyle w:val="VerbatimChar"/>
                <w:rFonts w:eastAsia="Cambria" w:cs=""/>
                <w:kern w:val="0"/>
                <w:szCs w:val="24"/>
                <w:lang w:val="en-US" w:eastAsia="en-US" w:bidi="ar-SA"/>
              </w:rPr>
              <w:t>math_bf16_to_fp8_e5m2</w:t>
            </w: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fp8 e5m2 → bf16 (</w:t>
            </w:r>
            <w:r>
              <w:rPr>
                <w:rStyle w:val="VerbatimChar"/>
                <w:rFonts w:eastAsia="Cambria" w:cs=""/>
                <w:kern w:val="0"/>
                <w:szCs w:val="24"/>
                <w:lang w:val="en-US" w:eastAsia="en-US" w:bidi="ar-SA"/>
              </w:rPr>
              <w:t>math_fp8_e5m2_to_bf16</w:t>
            </w: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widen, half </w:t>
            </w:r>
            <w:r>
              <w:rPr>
                <w:rStyle w:val="VerbatimChar"/>
                <w:rFonts w:eastAsia="Cambria" w:cs=""/>
                <w:kern w:val="0"/>
                <w:szCs w:val="24"/>
                <w:lang w:val="en-US" w:eastAsia="en-US" w:bidi="ar-SA"/>
              </w:rPr>
              <w:t>B[0]</w:t>
            </w:r>
          </w:p>
        </w:tc>
      </w:tr>
    </w:tbl>
    <w:p>
      <w:pPr>
        <w:pStyle w:val="Normal"/>
        <w:rPr/>
      </w:pPr>
      <w:r>
        <w:rPr/>
        <mc:AlternateContent>
          <mc:Choice Requires="wps">
            <w:drawing>
              <wp:inline distT="0" distB="0" distL="0" distR="0">
                <wp:extent cx="635"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3" w:name="format-conversions"/>
      <w:bookmarkStart w:id="274" w:name="altfmt-bf16-only"/>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r>
        <w:br w:type="page"/>
      </w:r>
    </w:p>
    <w:p>
      <w:pPr>
        <w:pStyle w:val="Heading1"/>
        <w:shd w:val="clear" w:color="auto" w:fill="404040"/>
        <w:spacing w:before="360" w:after="120"/>
        <w:rPr/>
      </w:pPr>
      <w:bookmarkStart w:id="275" w:name="__RefHeading___Toc12329_211582255"/>
      <w:bookmarkStart w:id="276" w:name="the-issue-seam"/>
      <w:bookmarkEnd w:id="275"/>
      <w:r>
        <w:rPr>
          <w:rStyle w:val="SectionNumber"/>
          <w:b/>
          <w:color w:val="FFFFFF"/>
          <w:sz w:val="32"/>
        </w:rPr>
        <w:t>15</w:t>
      </w:r>
      <w:r>
        <w:rPr>
          <w:b/>
          <w:color w:val="FFFFFF"/>
          <w:sz w:val="32"/>
        </w:rPr>
        <w:tab/>
        <w:t>The Issue Seam</w:t>
      </w:r>
    </w:p>
    <w:p>
      <w:pPr>
        <w:pStyle w:val="FirstParagraph"/>
        <w:rPr/>
      </w:pPr>
      <w:r>
        <w:rPr>
          <w:sz w:val="20"/>
        </w:rPr>
        <w:t xml:space="preserve">The seam between the issuer and this block is the ALU’s whole external surface, plus one status output. The issuer is the tetrad’s </w:t>
      </w:r>
      <w:r>
        <w:rPr>
          <w:b/>
          <w:bCs/>
          <w:sz w:val="20"/>
        </w:rPr>
        <w:t>gatling</w:t>
      </w:r>
      <w:r>
        <w:rPr>
          <w:sz w:val="20"/>
        </w:rPr>
        <w:t xml:space="preserve"> core (owner ruling 2026-10-19): a context’s program presents an invocation’s operands and function, and takes the result line back. Which Xcell instructions and cell glue drive these signals is gatling-MAS scope. This chapter fixes what the ALU sees.</w:t>
      </w:r>
      <w:r>
        <w:br w:type="page"/>
      </w:r>
    </w:p>
    <w:p>
      <w:pPr>
        <w:pStyle w:val="Heading2"/>
        <w:pBdr>
          <w:bottom w:val="single" w:sz="12" w:space="0" w:color="228B22"/>
        </w:pBdr>
        <w:spacing w:before="280" w:after="80"/>
        <w:rPr/>
      </w:pPr>
      <w:bookmarkStart w:id="277" w:name="__RefHeading___Toc12331_211582255"/>
      <w:bookmarkStart w:id="278" w:name="signal-contract"/>
      <w:bookmarkEnd w:id="277"/>
      <w:r>
        <w:rPr>
          <w:rStyle w:val="SectionNumber"/>
          <w:b/>
          <w:color w:val="228B22"/>
          <w:sz w:val="28"/>
        </w:rPr>
        <w:t>15.1</w:t>
      </w:r>
      <w:r>
        <w:rPr>
          <w:b/>
          <w:color w:val="228B22"/>
          <w:sz w:val="28"/>
        </w:rPr>
        <w:tab/>
        <w:t>Signal Contract</w:t>
      </w:r>
    </w:p>
    <w:p>
      <w:pPr>
        <w:pStyle w:val="TableCaption"/>
        <w:rPr/>
      </w:pPr>
      <w:bookmarkStart w:id="279" w:name="_Tab_13_Table_3_1__issue_sea"/>
      <w:r>
        <w:rPr/>
        <w:t>Table 3.1: issue-seam signals</w:t>
      </w:r>
      <w:bookmarkEnd w:id="2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2"/>
        <w:gridCol w:w="3566"/>
        <w:gridCol w:w="1560"/>
        <w:gridCol w:w="2451"/>
      </w:tblGrid>
      <w:tr>
        <w:trPr>
          <w:tblHeader w:val="true"/>
        </w:trPr>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 (ALU view)</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4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Semantics</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op_line_a</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LINE_W</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operand line A; captured at the issue edge together with B (owner ruling 2026-10-17: two ops scheduled in the same clock finish at the same time)</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op_line_b</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LINE_W</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operand line B (unused by unary rows; the PWL index, conversion part select)</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threshold_imm</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compare threshold, const value, quantize scale, int8 requantize shift (</w:t>
            </w:r>
            <w:r>
              <w:rPr>
                <w:rStyle w:val="VerbatimChar"/>
                <w:rFonts w:eastAsia="Cambria" w:cs=""/>
                <w:kern w:val="0"/>
                <w:szCs w:val="24"/>
                <w:lang w:val="en-US" w:eastAsia="en-US" w:bidi="ar-SA"/>
              </w:rPr>
              <w:t>[4:0]</w:t>
            </w:r>
            <w:r>
              <w:rPr>
                <w:rFonts w:eastAsia="Cambria" w:cs=""/>
                <w:kern w:val="0"/>
                <w:sz w:val="24"/>
                <w:szCs w:val="24"/>
                <w:lang w:val="en-US" w:eastAsia="en-US" w:bidi="ar-SA"/>
              </w:rPr>
              <w:t>)</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func_sel</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{fmt[8:7], sub_op[6:5], opcode[4:0]}</w:t>
            </w:r>
            <w:r>
              <w:rPr>
                <w:rFonts w:eastAsia="Cambria" w:cs=""/>
                <w:kern w:val="0"/>
                <w:sz w:val="24"/>
                <w:szCs w:val="24"/>
                <w:lang w:val="en-US" w:eastAsia="en-US" w:bidi="ar-SA"/>
              </w:rPr>
              <w:t xml:space="preserve"> — sampled at issue</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acc_ctrl</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accumulator action for MAC and REDUCE (Table 2.5); ignored by other rows</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issuer presents an invocation; all inputs stable while </w:t>
            </w:r>
            <w:r>
              <w:rPr>
                <w:rStyle w:val="VerbatimChar"/>
                <w:rFonts w:eastAsia="Cambria" w:cs=""/>
                <w:kern w:val="0"/>
                <w:szCs w:val="24"/>
                <w:lang w:val="en-US" w:eastAsia="en-US" w:bidi="ar-SA"/>
              </w:rPr>
              <w:t>valid &amp;&amp; !ready</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tag FIFO has room (or the head retires this cycle)</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result_valid</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head result is offered; held with stable data until consumed</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result_ready</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issuer consumes the offered result</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result_line</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LINE_W</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result, one per invocation, in issue order</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result_flags</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LINE_W</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mask, one bit per lane packed low (M5); zero otherwise</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err_opcode</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pulses on the issue edge of an illegal </w:t>
            </w:r>
            <w:r>
              <w:rPr>
                <w:rStyle w:val="VerbatimChar"/>
                <w:rFonts w:eastAsia="Cambria" w:cs=""/>
                <w:kern w:val="0"/>
                <w:szCs w:val="24"/>
                <w:lang w:val="en-US" w:eastAsia="en-US" w:bidi="ar-SA"/>
              </w:rPr>
              <w:t>func_sel</w:t>
            </w:r>
            <w:r>
              <w:rPr>
                <w:rFonts w:eastAsia="Cambria" w:cs=""/>
                <w:kern w:val="0"/>
                <w:sz w:val="24"/>
                <w:szCs w:val="24"/>
                <w:lang w:val="en-US" w:eastAsia="en-US" w:bidi="ar-SA"/>
              </w:rPr>
              <w:t xml:space="preserve"> (status, not flow control)</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asynchronous active-low reset</w:t>
            </w:r>
          </w:p>
        </w:tc>
      </w:tr>
    </w:tbl>
    <w:p>
      <w:pPr>
        <w:pStyle w:val="BodyText"/>
        <w:rPr/>
      </w:pPr>
      <w:r>
        <w:rPr>
          <w:sz w:val="20"/>
        </w:rPr>
        <w:t xml:space="preserve">An </w:t>
      </w:r>
      <w:r>
        <w:rPr>
          <w:b/>
          <w:bCs/>
          <w:sz w:val="20"/>
        </w:rPr>
        <w:t>issue</w:t>
      </w:r>
      <w:r>
        <w:rPr>
          <w:sz w:val="20"/>
        </w:rPr>
        <w:t xml:space="preserve"> is a rising edge with </w:t>
      </w:r>
      <w:r>
        <w:rPr>
          <w:rStyle w:val="VerbatimChar"/>
          <w:sz w:val="20"/>
        </w:rPr>
        <w:t>valid &amp;&amp; ready</w:t>
      </w:r>
      <w:r>
        <w:rPr>
          <w:sz w:val="20"/>
        </w:rPr>
        <w:t xml:space="preserve">; a </w:t>
      </w:r>
      <w:r>
        <w:rPr>
          <w:b/>
          <w:bCs/>
          <w:sz w:val="20"/>
        </w:rPr>
        <w:t>retire</w:t>
      </w:r>
      <w:r>
        <w:rPr>
          <w:sz w:val="20"/>
        </w:rPr>
        <w:t xml:space="preserve"> is a rising edge with </w:t>
      </w:r>
      <w:r>
        <w:rPr>
          <w:rStyle w:val="VerbatimChar"/>
          <w:sz w:val="20"/>
        </w:rPr>
        <w:t>result_valid &amp;&amp; result_ready</w:t>
      </w:r>
      <w:r>
        <w:rPr>
          <w:sz w:val="20"/>
        </w:rPr>
        <w:t>.</w:t>
      </w:r>
      <w:bookmarkEnd w:id="278"/>
      <w:r>
        <w:br w:type="page"/>
      </w:r>
    </w:p>
    <w:p>
      <w:pPr>
        <w:pStyle w:val="Heading2"/>
        <w:pBdr>
          <w:bottom w:val="single" w:sz="12" w:space="0" w:color="228B22"/>
        </w:pBdr>
        <w:spacing w:before="280" w:after="80"/>
        <w:rPr/>
      </w:pPr>
      <w:bookmarkStart w:id="280" w:name="__RefHeading___Toc12333_211582255"/>
      <w:bookmarkStart w:id="281" w:name="handshake-rules"/>
      <w:bookmarkEnd w:id="280"/>
      <w:r>
        <w:rPr>
          <w:rStyle w:val="SectionNumber"/>
          <w:b/>
          <w:color w:val="228B22"/>
          <w:sz w:val="28"/>
        </w:rPr>
        <w:t>15.2</w:t>
      </w:r>
      <w:r>
        <w:rPr>
          <w:b/>
          <w:color w:val="228B22"/>
          <w:sz w:val="28"/>
        </w:rPr>
        <w:tab/>
        <w:t>Handshake Rules</w:t>
      </w:r>
    </w:p>
    <w:p>
      <w:pPr>
        <w:pStyle w:val="Compact"/>
        <w:numPr>
          <w:ilvl w:val="0"/>
          <w:numId w:val="304"/>
        </w:numPr>
        <w:rPr/>
      </w:pPr>
      <w:r>
        <w:rPr>
          <w:b/>
          <w:bCs/>
        </w:rPr>
        <w:t xml:space="preserve">Issue is </w:t>
      </w:r>
      <w:r>
        <w:rPr>
          <w:rStyle w:val="VerbatimChar"/>
          <w:b/>
          <w:bCs/>
        </w:rPr>
        <w:t>valid &amp;&amp; ready</w:t>
      </w:r>
      <w:r>
        <w:rPr>
          <w:b/>
          <w:bCs/>
        </w:rPr>
        <w:t>.</w:t>
      </w:r>
      <w:r>
        <w:rPr/>
        <w:t xml:space="preserve"> </w:t>
      </w:r>
      <w:r>
        <w:rPr>
          <w:rStyle w:val="VerbatimChar"/>
        </w:rPr>
        <w:t>ready</w:t>
      </w:r>
      <w:r>
        <w:rPr/>
        <w:t xml:space="preserve"> is high whenever the FIFO has room, so the issuer may present a new invocation </w:t>
      </w:r>
      <w:r>
        <w:rPr>
          <w:b/>
          <w:bCs/>
        </w:rPr>
        <w:t>every clock</w:t>
      </w:r>
      <w:r>
        <w:rPr/>
        <w:t xml:space="preserve"> (II=1). It falls only once </w:t>
      </w:r>
      <w:r>
        <w:rPr>
          <w:rStyle w:val="VerbatimChar"/>
        </w:rPr>
        <w:t>PIPE_DEPTH</w:t>
      </w:r>
      <w:r>
        <w:rPr/>
        <w:t xml:space="preserve"> invocations are in flight behind a stalled consumer.</w:t>
      </w:r>
    </w:p>
    <w:p>
      <w:pPr>
        <w:pStyle w:val="Compact"/>
        <w:numPr>
          <w:ilvl w:val="0"/>
          <w:numId w:val="305"/>
        </w:numPr>
        <w:rPr/>
      </w:pPr>
      <w:r>
        <w:rPr>
          <w:b/>
          <w:bCs/>
        </w:rPr>
        <w:t xml:space="preserve">Retire is </w:t>
      </w:r>
      <w:r>
        <w:rPr>
          <w:rStyle w:val="VerbatimChar"/>
          <w:b/>
          <w:bCs/>
        </w:rPr>
        <w:t>result_valid &amp;&amp; result_ready</w:t>
      </w:r>
      <w:r>
        <w:rPr>
          <w:b/>
          <w:bCs/>
        </w:rPr>
        <w:t>, strictly in issue order.</w:t>
      </w:r>
      <w:r>
        <w:rPr/>
        <w:t xml:space="preserve"> Each result is offered at its port’s natural latency (Table 2.6) and never before every earlier invocation has retired. A stalled consumer holds </w:t>
      </w:r>
      <w:r>
        <w:rPr>
          <w:rStyle w:val="VerbatimChar"/>
        </w:rPr>
        <w:t>result_valid</w:t>
      </w:r>
      <w:r>
        <w:rPr/>
        <w:t xml:space="preserve"> with stable data; results behind it wait in their own entries.</w:t>
      </w:r>
    </w:p>
    <w:p>
      <w:pPr>
        <w:pStyle w:val="Compact"/>
        <w:numPr>
          <w:ilvl w:val="0"/>
          <w:numId w:val="306"/>
        </w:numPr>
        <w:rPr/>
      </w:pPr>
      <w:r>
        <w:rPr>
          <w:b/>
          <w:bCs/>
        </w:rPr>
        <w:t>Elastic end to end.</w:t>
      </w:r>
      <w:r>
        <w:rPr/>
        <w:t xml:space="preserve"> There is no alignment state to freeze: entries hold their arrivals indefinitely, and when </w:t>
      </w:r>
      <w:r>
        <w:rPr>
          <w:rStyle w:val="VerbatimChar"/>
        </w:rPr>
        <w:t>result_ready</w:t>
      </w:r>
      <w:r>
        <w:rPr/>
        <w:t xml:space="preserve"> returns, the head retires and the rest drain one per cycle.</w:t>
      </w:r>
    </w:p>
    <w:p>
      <w:pPr>
        <w:pStyle w:val="Compact"/>
        <w:numPr>
          <w:ilvl w:val="0"/>
          <w:numId w:val="307"/>
        </w:numPr>
        <w:rPr/>
      </w:pPr>
      <w:r>
        <w:rPr>
          <w:b/>
          <w:bCs/>
        </w:rPr>
        <w:t>In order by construction.</w:t>
      </w:r>
      <w:r>
        <w:rPr/>
        <w:t xml:space="preserve"> The issuer pairs result N with invocation N by counting. The 8-bit tags are internal and never on the seam (owner ruling 2026-10-18).</w:t>
      </w:r>
    </w:p>
    <w:p>
      <w:pPr>
        <w:pStyle w:val="Compact"/>
        <w:numPr>
          <w:ilvl w:val="0"/>
          <w:numId w:val="308"/>
        </w:numPr>
        <w:rPr/>
      </w:pPr>
      <w:r>
        <w:rPr>
          <w:b/>
          <w:bCs/>
        </w:rPr>
        <w:t>Config sampled at issue.</w:t>
      </w:r>
      <w:r>
        <w:rPr/>
        <w:t xml:space="preserve"> </w:t>
      </w:r>
      <w:r>
        <w:rPr>
          <w:rStyle w:val="VerbatimChar"/>
        </w:rPr>
        <w:t>func_sel</w:t>
      </w:r>
      <w:r>
        <w:rPr/>
        <w:t xml:space="preserve">, </w:t>
      </w:r>
      <w:r>
        <w:rPr>
          <w:rStyle w:val="VerbatimChar"/>
        </w:rPr>
        <w:t>acc_ctrl</w:t>
      </w:r>
      <w:r>
        <w:rPr/>
        <w:t xml:space="preserve"> and the immediate travel with the invocation, so the issuer may change them for the next issue at once.</w:t>
      </w:r>
    </w:p>
    <w:p>
      <w:pPr>
        <w:pStyle w:val="Compact"/>
        <w:numPr>
          <w:ilvl w:val="0"/>
          <w:numId w:val="309"/>
        </w:numPr>
        <w:rPr/>
      </w:pPr>
      <w:r>
        <w:rPr>
          <w:b/>
          <w:bCs/>
        </w:rPr>
        <w:t>Every issue retires.</w:t>
      </w:r>
      <w:r>
        <w:rPr/>
        <w:t xml:space="preserve"> Illegal invocations, CLEAR, and PWL table writes all retire one line (zero for the illegal and the writes).</w:t>
      </w:r>
    </w:p>
    <w:p>
      <w:pPr>
        <w:pStyle w:val="Compact"/>
        <w:numPr>
          <w:ilvl w:val="0"/>
          <w:numId w:val="310"/>
        </w:numPr>
        <w:rPr/>
      </w:pPr>
      <w:r>
        <w:rPr>
          <w:b/>
          <w:bCs/>
        </w:rPr>
        <w:t>Scheduler-paced feedback</w:t>
      </w:r>
      <w:r>
        <w:rPr/>
        <w:t xml:space="preserve"> (owner ruling 2026-10-17). Where results feed back — the accumulator chain, a program re-presenting a result as an operand — the issuer owns the pace. The ALU makes no autonomous pacing decisions. Because the accumulate loop is one cycle, a dependent MAC or REDUCE chain may be issued every clock.</w:t>
      </w:r>
    </w:p>
    <w:p>
      <w:pPr>
        <w:pStyle w:val="Heading3"/>
        <w:spacing w:before="200" w:after="80"/>
        <w:rPr/>
      </w:pPr>
      <w:bookmarkStart w:id="282" w:name="__RefHeading___Toc12335_211582255"/>
      <w:bookmarkStart w:id="283" w:name="X93d626645a0aa98552496d50df25ff19a43a413"/>
      <w:bookmarkStart w:id="284" w:name="_Wave_3_1_Elastic_handshake___"/>
      <w:bookmarkEnd w:id="282"/>
      <w:r>
        <w:rPr>
          <w:rStyle w:val="SectionNumber"/>
          <w:b/>
          <w:color w:val="404040"/>
          <w:sz w:val="24"/>
        </w:rPr>
        <w:t>15.2.1</w:t>
      </w:r>
      <w:r>
        <w:rPr>
          <w:b/>
          <w:color w:val="404040"/>
          <w:sz w:val="24"/>
        </w:rPr>
        <w:tab/>
        <w:t>Waveform 3.1: Elastic handshake — natural latency, output stall, ready stays high</w:t>
      </w:r>
      <w:bookmarkEnd w:id="284"/>
    </w:p>
    <w:p>
      <w:pPr>
        <w:pStyle w:val="CaptionedFigure"/>
        <w:rPr/>
      </w:pPr>
      <w:r>
        <w:rPr/>
        <w:drawing>
          <wp:inline distT="0" distB="0" distL="0" distR="0">
            <wp:extent cx="5334000" cy="2044700"/>
            <wp:effectExtent l="0" t="0" r="0" b="0"/>
            <wp:docPr id="59" name="Image6" descr="Waveform 3.1: elastic handsh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6" descr="Waveform 3.1: elastic handshake"/>
                    <pic:cNvPicPr>
                      <a:picLocks noChangeAspect="1" noChangeArrowheads="1"/>
                    </pic:cNvPicPr>
                  </pic:nvPicPr>
                  <pic:blipFill>
                    <a:blip r:embed="rId89"/>
                    <a:stretch>
                      <a:fillRect/>
                    </a:stretch>
                  </pic:blipFill>
                  <pic:spPr bwMode="auto">
                    <a:xfrm>
                      <a:off x="0" y="0"/>
                      <a:ext cx="5334000" cy="2044700"/>
                    </a:xfrm>
                    <a:prstGeom prst="rect">
                      <a:avLst/>
                    </a:prstGeom>
                  </pic:spPr>
                </pic:pic>
              </a:graphicData>
            </a:graphic>
          </wp:inline>
        </w:drawing>
      </w:r>
    </w:p>
    <w:p>
      <w:pPr>
        <w:pStyle w:val="ImageCaption"/>
        <w:rPr/>
      </w:pPr>
      <w:r>
        <w:rPr/>
        <w:t>Waveform 3.1: elastic handshake</w:t>
      </w:r>
    </w:p>
    <w:p>
      <w:pPr>
        <w:pStyle w:val="BodyText"/>
        <w:rPr/>
      </w:pPr>
      <w:r>
        <w:rPr>
          <w:sz w:val="20"/>
        </w:rPr>
        <w:t xml:space="preserve">Two combinational invocations (MUL at </w:t>
      </w:r>
      <w:r>
        <w:rPr>
          <w:rStyle w:val="VerbatimChar"/>
          <w:sz w:val="20"/>
        </w:rPr>
        <w:t>MUL_LATENCY = 0</w:t>
      </w:r>
      <w:r>
        <w:rPr>
          <w:sz w:val="20"/>
        </w:rPr>
        <w:t xml:space="preserve">, then RELU). The MUL issued at n is offered at n+1 and the RELU lands behind it. The consumer stalls from n+2 to n+4: the head holds </w:t>
      </w:r>
      <w:r>
        <w:rPr>
          <w:rStyle w:val="VerbatimChar"/>
          <w:sz w:val="20"/>
        </w:rPr>
        <w:t>r(MUL)</w:t>
      </w:r>
      <w:r>
        <w:rPr>
          <w:sz w:val="20"/>
        </w:rPr>
        <w:t xml:space="preserve"> with stable data and </w:t>
      </w:r>
      <w:r>
        <w:rPr>
          <w:rStyle w:val="VerbatimChar"/>
          <w:b/>
          <w:bCs/>
          <w:sz w:val="20"/>
        </w:rPr>
        <w:t>ready</w:t>
      </w:r>
      <w:r>
        <w:rPr>
          <w:b/>
          <w:bCs/>
          <w:sz w:val="20"/>
        </w:rPr>
        <w:t xml:space="preserve"> stays high</w:t>
      </w:r>
      <w:r>
        <w:rPr>
          <w:sz w:val="20"/>
        </w:rPr>
        <w:t xml:space="preserve">, because a two-entry backup is nowhere near </w:t>
      </w:r>
      <w:r>
        <w:rPr>
          <w:rStyle w:val="VerbatimChar"/>
          <w:sz w:val="20"/>
        </w:rPr>
        <w:t>PIPE_DEPTH</w:t>
      </w:r>
      <w:r>
        <w:rPr>
          <w:sz w:val="20"/>
        </w:rPr>
        <w:t>. The consumer accepts at n+5 and n+6.</w:t>
      </w:r>
      <w:bookmarkEnd w:id="283"/>
    </w:p>
    <w:p>
      <w:pPr>
        <w:pStyle w:val="Heading3"/>
        <w:spacing w:before="200" w:after="80"/>
        <w:rPr/>
      </w:pPr>
      <w:bookmarkStart w:id="285" w:name="__RefHeading___Toc12337_211582255"/>
      <w:bookmarkStart w:id="286" w:name="Xdf3fa67464c88afcd0b7006d88dd2cef36a02f6"/>
      <w:bookmarkStart w:id="287" w:name="_Wave_3_2_Back_to_back_issue__"/>
      <w:bookmarkEnd w:id="285"/>
      <w:r>
        <w:rPr>
          <w:rStyle w:val="SectionNumber"/>
          <w:b/>
          <w:color w:val="404040"/>
          <w:sz w:val="24"/>
        </w:rPr>
        <w:t>15.2.2</w:t>
      </w:r>
      <w:r>
        <w:rPr>
          <w:b/>
          <w:color w:val="404040"/>
          <w:sz w:val="24"/>
        </w:rPr>
        <w:tab/>
        <w:t>Waveform 3.2: Back-to-back issue — mixed latencies, in-order results</w:t>
      </w:r>
      <w:bookmarkEnd w:id="287"/>
    </w:p>
    <w:p>
      <w:pPr>
        <w:pStyle w:val="CaptionedFigure"/>
        <w:rPr/>
      </w:pPr>
      <w:r>
        <w:rPr/>
        <w:drawing>
          <wp:inline distT="0" distB="0" distL="0" distR="0">
            <wp:extent cx="5334000" cy="1550670"/>
            <wp:effectExtent l="0" t="0" r="0" b="0"/>
            <wp:docPr id="60" name="Image7" descr="Waveform 3.2: back-to-back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7" descr="Waveform 3.2: back-to-back issue"/>
                    <pic:cNvPicPr>
                      <a:picLocks noChangeAspect="1" noChangeArrowheads="1"/>
                    </pic:cNvPicPr>
                  </pic:nvPicPr>
                  <pic:blipFill>
                    <a:blip r:embed="rId90"/>
                    <a:stretch>
                      <a:fillRect/>
                    </a:stretch>
                  </pic:blipFill>
                  <pic:spPr bwMode="auto">
                    <a:xfrm>
                      <a:off x="0" y="0"/>
                      <a:ext cx="5334000" cy="1550670"/>
                    </a:xfrm>
                    <a:prstGeom prst="rect">
                      <a:avLst/>
                    </a:prstGeom>
                  </pic:spPr>
                </pic:pic>
              </a:graphicData>
            </a:graphic>
          </wp:inline>
        </w:drawing>
      </w:r>
    </w:p>
    <w:p>
      <w:pPr>
        <w:pStyle w:val="ImageCaption"/>
        <w:rPr/>
      </w:pPr>
      <w:r>
        <w:rPr/>
        <w:t>Waveform 3.2: back-to-back issue</w:t>
      </w:r>
    </w:p>
    <w:p>
      <w:pPr>
        <w:pStyle w:val="BodyText"/>
        <w:rPr/>
      </w:pPr>
      <w:r>
        <w:rPr>
          <w:sz w:val="20"/>
        </w:rPr>
        <w:t>MUL, ADD and RELU on consecutive clocks with the output draining. The MUL retires at n+1. The head then belongs to the ADD, whose adder port lands at n+5 (</w:t>
      </w:r>
      <w:r>
        <w:rPr>
          <w:rStyle w:val="VerbatimChar"/>
          <w:sz w:val="20"/>
        </w:rPr>
        <w:t>ADDER_LATENCY = 3</w:t>
      </w:r>
      <w:r>
        <w:rPr>
          <w:sz w:val="20"/>
        </w:rPr>
        <w:t xml:space="preserve">); </w:t>
      </w:r>
      <w:r>
        <w:rPr>
          <w:rStyle w:val="VerbatimChar"/>
          <w:sz w:val="20"/>
        </w:rPr>
        <w:t>result_valid</w:t>
      </w:r>
      <w:r>
        <w:rPr>
          <w:sz w:val="20"/>
        </w:rPr>
        <w:t xml:space="preserve"> dips while the RELU, computed long before, waits behind it. ADD retires at n+5 and RELU right after. No row carries padded stages.</w:t>
      </w:r>
      <w:bookmarkEnd w:id="281"/>
      <w:bookmarkEnd w:id="286"/>
      <w:r>
        <w:br w:type="page"/>
      </w:r>
    </w:p>
    <w:p>
      <w:pPr>
        <w:pStyle w:val="Heading2"/>
        <w:pBdr>
          <w:bottom w:val="single" w:sz="12" w:space="0" w:color="228B22"/>
        </w:pBdr>
        <w:spacing w:before="280" w:after="80"/>
        <w:rPr/>
      </w:pPr>
      <w:bookmarkStart w:id="288" w:name="__RefHeading___Toc12339_211582255"/>
      <w:bookmarkStart w:id="289" w:name="boundary-notes"/>
      <w:bookmarkEnd w:id="288"/>
      <w:r>
        <w:rPr>
          <w:rStyle w:val="SectionNumber"/>
          <w:b/>
          <w:color w:val="228B22"/>
          <w:sz w:val="28"/>
        </w:rPr>
        <w:t>15.3</w:t>
      </w:r>
      <w:r>
        <w:rPr>
          <w:b/>
          <w:color w:val="228B22"/>
          <w:sz w:val="28"/>
        </w:rPr>
        <w:tab/>
        <w:t>Boundary Notes</w:t>
      </w:r>
    </w:p>
    <w:p>
      <w:pPr>
        <w:pStyle w:val="Compact"/>
        <w:numPr>
          <w:ilvl w:val="0"/>
          <w:numId w:val="311"/>
        </w:numPr>
        <w:rPr/>
      </w:pPr>
      <w:r>
        <w:rPr>
          <w:b/>
          <w:bCs/>
        </w:rPr>
        <w:t>Configuration.</w:t>
      </w:r>
      <w:r>
        <w:rPr/>
        <w:t xml:space="preserve"> Cell configuration arrives in-band on delta and gatling never originates config traffic (gatling PRD §1). The ALU sees configuration only as the per-invocation </w:t>
      </w:r>
      <w:r>
        <w:rPr>
          <w:rStyle w:val="VerbatimChar"/>
        </w:rPr>
        <w:t>func_sel</w:t>
      </w:r>
      <w:r>
        <w:rPr/>
        <w:t xml:space="preserve"> / </w:t>
      </w:r>
      <w:r>
        <w:rPr>
          <w:rStyle w:val="VerbatimChar"/>
        </w:rPr>
        <w:t>acc_ctrl</w:t>
      </w:r>
      <w:r>
        <w:rPr/>
        <w:t xml:space="preserve"> / immediate. The PWL table is loaded through the seam (Chapter 2.5).</w:t>
      </w:r>
    </w:p>
    <w:p>
      <w:pPr>
        <w:pStyle w:val="Compact"/>
        <w:numPr>
          <w:ilvl w:val="0"/>
          <w:numId w:val="312"/>
        </w:numPr>
        <w:rPr/>
      </w:pPr>
      <w:r>
        <w:rPr>
          <w:b/>
          <w:bCs/>
        </w:rPr>
        <w:t>Observability.</w:t>
      </w:r>
      <w:r>
        <w:rPr/>
        <w:t xml:space="preserve"> Ocelus owns it; the ALU has no monitor taps. The accumulator is readable through DRAIN and the PWL table through </w:t>
      </w:r>
      <w:r>
        <w:rPr>
          <w:rStyle w:val="VerbatimChar"/>
        </w:rPr>
        <w:t>OP_PWL_LUT</w:t>
      </w:r>
      <w:r>
        <w:rPr/>
        <w:t xml:space="preserve"> read, so no debug port is needed.</w:t>
      </w:r>
    </w:p>
    <w:p>
      <w:pPr>
        <w:pStyle w:val="Normal"/>
        <w:rPr/>
      </w:pPr>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0" w:name="the-issue-seam"/>
      <w:bookmarkStart w:id="291" w:name="boundary-notes"/>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bookmarkEnd w:id="291"/>
      <w:r>
        <w:br w:type="page"/>
      </w:r>
    </w:p>
    <w:p>
      <w:pPr>
        <w:pStyle w:val="Heading1"/>
        <w:shd w:val="clear" w:color="auto" w:fill="404040"/>
        <w:spacing w:before="360" w:after="120"/>
        <w:rPr/>
      </w:pPr>
      <w:bookmarkStart w:id="292" w:name="__RefHeading___Toc12341_211582255"/>
      <w:bookmarkStart w:id="293" w:name="the-compute-cycle-per-opcode-class"/>
      <w:bookmarkEnd w:id="292"/>
      <w:r>
        <w:rPr>
          <w:rStyle w:val="SectionNumber"/>
          <w:b/>
          <w:color w:val="FFFFFF"/>
          <w:sz w:val="32"/>
        </w:rPr>
        <w:t>16</w:t>
      </w:r>
      <w:r>
        <w:rPr>
          <w:b/>
          <w:color w:val="FFFFFF"/>
          <w:sz w:val="32"/>
        </w:rPr>
        <w:tab/>
        <w:t>The Compute Cycle, per Opcode Class</w:t>
      </w:r>
    </w:p>
    <w:p>
      <w:pPr>
        <w:pStyle w:val="FirstParagraph"/>
        <w:rPr/>
      </w:pPr>
      <w:r>
        <w:rPr>
          <w:sz w:val="20"/>
        </w:rPr>
        <w:t xml:space="preserve">Every invocation is the same three beats — </w:t>
      </w:r>
      <w:r>
        <w:rPr>
          <w:b/>
          <w:bCs/>
          <w:sz w:val="20"/>
        </w:rPr>
        <w:t>present, compute, retire</w:t>
      </w:r>
      <w:r>
        <w:rPr>
          <w:sz w:val="20"/>
        </w:rPr>
        <w:t xml:space="preserve"> — but under the elastic handshake (Chapter 3) the beats of consecutive invocations overlap: while one computes, the next is presented and the previous retires. This chapter walks each class as if it were alone; the overlap rules at the end apply to all of them together.</w:t>
      </w:r>
      <w:r>
        <w:br w:type="page"/>
      </w:r>
    </w:p>
    <w:p>
      <w:pPr>
        <w:pStyle w:val="Heading2"/>
        <w:pBdr>
          <w:bottom w:val="single" w:sz="12" w:space="0" w:color="228B22"/>
        </w:pBdr>
        <w:spacing w:before="280" w:after="80"/>
        <w:rPr/>
      </w:pPr>
      <w:bookmarkStart w:id="294" w:name="__RefHeading___Toc12343_211582255"/>
      <w:bookmarkStart w:id="295" w:name="Xdaf2a42d63a9ffd34e50def9a4b11d0585c2385"/>
      <w:bookmarkEnd w:id="294"/>
      <w:r>
        <w:rPr>
          <w:rStyle w:val="SectionNumber"/>
          <w:b/>
          <w:color w:val="228B22"/>
          <w:sz w:val="28"/>
        </w:rPr>
        <w:t>16.1</w:t>
      </w:r>
      <w:r>
        <w:rPr>
          <w:b/>
          <w:color w:val="228B22"/>
          <w:sz w:val="28"/>
        </w:rPr>
        <w:tab/>
        <w:t>Unary Rows (copy, relu, activations, PWL, const)</w:t>
      </w:r>
    </w:p>
    <w:p>
      <w:pPr>
        <w:pStyle w:val="FirstParagraph"/>
        <w:rPr/>
      </w:pPr>
      <w:bookmarkStart w:id="296" w:name="Xdaf2a42d63a9ffd34e50def9a4b11d0585c2385"/>
      <w:r>
        <w:rPr>
          <w:sz w:val="20"/>
        </w:rPr>
        <w:t>The issuer presents line A (const uses only the immediate). Every lane is computed in parallel and the result lands on the combinational port at the issue edge, so it is offered the next cycle.</w:t>
      </w:r>
      <w:bookmarkEnd w:id="296"/>
      <w:r>
        <w:br w:type="page"/>
      </w:r>
    </w:p>
    <w:p>
      <w:pPr>
        <w:pStyle w:val="Heading2"/>
        <w:pBdr>
          <w:bottom w:val="single" w:sz="12" w:space="0" w:color="228B22"/>
        </w:pBdr>
        <w:spacing w:before="280" w:after="80"/>
        <w:rPr/>
      </w:pPr>
      <w:bookmarkStart w:id="297" w:name="__RefHeading___Toc12345_211582255"/>
      <w:bookmarkStart w:id="298" w:name="binary-rows-add-sub-mul-minmax-compare"/>
      <w:bookmarkEnd w:id="297"/>
      <w:r>
        <w:rPr>
          <w:rStyle w:val="SectionNumber"/>
          <w:b/>
          <w:color w:val="228B22"/>
          <w:sz w:val="28"/>
        </w:rPr>
        <w:t>16.2</w:t>
      </w:r>
      <w:r>
        <w:rPr>
          <w:b/>
          <w:color w:val="228B22"/>
          <w:sz w:val="28"/>
        </w:rPr>
        <w:tab/>
        <w:t>Binary Rows (add, sub, mul, min/max, compare)</w:t>
      </w:r>
    </w:p>
    <w:p>
      <w:pPr>
        <w:pStyle w:val="FirstParagraph"/>
        <w:rPr/>
      </w:pPr>
      <w:r>
        <w:rPr>
          <w:sz w:val="20"/>
        </w:rPr>
        <w:t xml:space="preserve">Lines A and B arrive in the same clock (owner ruling 2026-10-17), and the row pairs lane </w:t>
      </w:r>
      <w:r>
        <w:rPr>
          <w:rStyle w:val="VerbatimChar"/>
          <w:sz w:val="20"/>
        </w:rPr>
        <w:t>i</w:t>
      </w:r>
      <w:r>
        <w:rPr>
          <w:sz w:val="20"/>
        </w:rPr>
        <w:t xml:space="preserve"> of A with lane </w:t>
      </w:r>
      <w:r>
        <w:rPr>
          <w:rStyle w:val="VerbatimChar"/>
          <w:sz w:val="20"/>
        </w:rPr>
        <w:t>i</w:t>
      </w:r>
      <w:r>
        <w:rPr>
          <w:sz w:val="20"/>
        </w:rPr>
        <w:t xml:space="preserve"> of B. bf16 and fp32 add/sub land </w:t>
      </w:r>
      <w:r>
        <w:rPr>
          <w:rStyle w:val="VerbatimChar"/>
          <w:sz w:val="20"/>
        </w:rPr>
        <w:t>ADDER_LATENCY</w:t>
      </w:r>
      <w:r>
        <w:rPr>
          <w:sz w:val="20"/>
        </w:rPr>
        <w:t xml:space="preserve"> cycles later, bf16 and fp32 mul </w:t>
      </w:r>
      <w:r>
        <w:rPr>
          <w:rStyle w:val="VerbatimChar"/>
          <w:sz w:val="20"/>
        </w:rPr>
        <w:t>MUL_LATENCY</w:t>
      </w:r>
      <w:r>
        <w:rPr>
          <w:sz w:val="20"/>
        </w:rPr>
        <w:t xml:space="preserve"> cycles later, and everything else at the issue edge. Compare packs its mask into </w:t>
      </w:r>
      <w:r>
        <w:rPr>
          <w:rStyle w:val="VerbatimChar"/>
          <w:sz w:val="20"/>
        </w:rPr>
        <w:t>result_flags</w:t>
      </w:r>
      <w:r>
        <w:rPr>
          <w:sz w:val="20"/>
        </w:rPr>
        <w:t xml:space="preserve"> and returns a zero </w:t>
      </w:r>
      <w:r>
        <w:rPr>
          <w:rStyle w:val="VerbatimChar"/>
          <w:sz w:val="20"/>
        </w:rPr>
        <w:t>result_line</w:t>
      </w:r>
      <w:r>
        <w:rPr>
          <w:sz w:val="20"/>
        </w:rPr>
        <w:t>.</w:t>
      </w:r>
      <w:bookmarkEnd w:id="298"/>
      <w:r>
        <w:br w:type="page"/>
      </w:r>
    </w:p>
    <w:p>
      <w:pPr>
        <w:pStyle w:val="Heading2"/>
        <w:pBdr>
          <w:bottom w:val="single" w:sz="12" w:space="0" w:color="228B22"/>
        </w:pBdr>
        <w:spacing w:before="280" w:after="80"/>
        <w:rPr/>
      </w:pPr>
      <w:bookmarkStart w:id="299" w:name="__RefHeading___Toc12347_211582255"/>
      <w:bookmarkStart w:id="300" w:name="conversions"/>
      <w:bookmarkEnd w:id="299"/>
      <w:r>
        <w:rPr>
          <w:rStyle w:val="SectionNumber"/>
          <w:b/>
          <w:color w:val="228B22"/>
          <w:sz w:val="28"/>
        </w:rPr>
        <w:t>16.3</w:t>
      </w:r>
      <w:r>
        <w:rPr>
          <w:b/>
          <w:color w:val="228B22"/>
          <w:sz w:val="28"/>
        </w:rPr>
        <w:tab/>
        <w:t>Conversions</w:t>
      </w:r>
    </w:p>
    <w:p>
      <w:pPr>
        <w:pStyle w:val="FirstParagraph"/>
        <w:rPr/>
      </w:pPr>
      <w:r>
        <w:rPr>
          <w:sz w:val="20"/>
        </w:rPr>
        <w:t xml:space="preserve">Narrowing conversions consume both lines and pack them into one result; widening conversions consume one line and select the part with </w:t>
      </w:r>
      <w:r>
        <w:rPr>
          <w:rStyle w:val="VerbatimChar"/>
          <w:sz w:val="20"/>
        </w:rPr>
        <w:t>B[1:0]</w:t>
      </w:r>
      <w:r>
        <w:rPr>
          <w:sz w:val="20"/>
        </w:rPr>
        <w:t xml:space="preserve"> (Chapter 2.6). All land at the issue edge.</w:t>
      </w:r>
      <w:bookmarkEnd w:id="300"/>
      <w:r>
        <w:br w:type="page"/>
      </w:r>
    </w:p>
    <w:p>
      <w:pPr>
        <w:pStyle w:val="Heading2"/>
        <w:pBdr>
          <w:bottom w:val="single" w:sz="12" w:space="0" w:color="228B22"/>
        </w:pBdr>
        <w:spacing w:before="280" w:after="80"/>
        <w:rPr/>
      </w:pPr>
      <w:bookmarkStart w:id="301" w:name="__RefHeading___Toc12349_211582255"/>
      <w:bookmarkStart w:id="302" w:name="mac-and-reduce-the-chains-that-matter"/>
      <w:bookmarkEnd w:id="301"/>
      <w:r>
        <w:rPr>
          <w:rStyle w:val="SectionNumber"/>
          <w:b/>
          <w:color w:val="228B22"/>
          <w:sz w:val="28"/>
        </w:rPr>
        <w:t>16.4</w:t>
      </w:r>
      <w:r>
        <w:rPr>
          <w:b/>
          <w:color w:val="228B22"/>
          <w:sz w:val="28"/>
        </w:rPr>
        <w:tab/>
        <w:t>MAC and REDUCE (the chains that matter)</w:t>
      </w:r>
    </w:p>
    <w:p>
      <w:pPr>
        <w:pStyle w:val="FirstParagraph"/>
        <w:rPr/>
      </w:pPr>
      <w:r>
        <w:rPr>
          <w:sz w:val="20"/>
        </w:rPr>
        <w:t xml:space="preserve">An accumulator invocation enters the operand pipeline and reaches the accumulate stage </w:t>
      </w:r>
      <w:r>
        <w:rPr>
          <w:rStyle w:val="VerbatimChar"/>
          <w:sz w:val="20"/>
        </w:rPr>
        <w:t>MAC_LATENCY</w:t>
      </w:r>
      <w:r>
        <w:rPr>
          <w:sz w:val="20"/>
        </w:rPr>
        <w:t xml:space="preserve"> cycles later, where </w:t>
      </w:r>
      <w:r>
        <w:rPr>
          <w:rStyle w:val="VerbatimChar"/>
          <w:sz w:val="20"/>
        </w:rPr>
        <w:t>acc_ctrl</w:t>
      </w:r>
      <w:r>
        <w:rPr>
          <w:sz w:val="20"/>
        </w:rPr>
        <w:t xml:space="preserve"> chooses the action:</w:t>
      </w:r>
    </w:p>
    <w:p>
      <w:pPr>
        <w:pStyle w:val="Compact"/>
        <w:numPr>
          <w:ilvl w:val="0"/>
          <w:numId w:val="313"/>
        </w:numPr>
        <w:rPr/>
      </w:pPr>
      <w:r>
        <w:rPr>
          <w:b/>
          <w:bCs/>
        </w:rPr>
        <w:t>CLEAR</w:t>
      </w:r>
      <w:r>
        <w:rPr/>
        <w:t xml:space="preserve"> starts a layer or span: the bank takes the operation’s identity (+0, or −inf for max). The invocation flows through like any other and retires the cleared view, so count pairing holds.</w:t>
      </w:r>
    </w:p>
    <w:p>
      <w:pPr>
        <w:pStyle w:val="Compact"/>
        <w:numPr>
          <w:ilvl w:val="0"/>
          <w:numId w:val="314"/>
        </w:numPr>
        <w:rPr/>
      </w:pPr>
      <w:r>
        <w:rPr>
          <w:b/>
          <w:bCs/>
        </w:rPr>
        <w:t>ACCUMULATE</w:t>
      </w:r>
      <w:r>
        <w:rPr/>
        <w:t xml:space="preserve"> per step: MAC adds </w:t>
      </w:r>
      <w:r>
        <w:rPr>
          <w:rStyle w:val="VerbatimChar"/>
        </w:rPr>
        <w:t>a × b</w:t>
      </w:r>
      <w:r>
        <w:rPr/>
        <w:t xml:space="preserve"> (fused, one rounding), REDUCE adds </w:t>
      </w:r>
      <w:r>
        <w:rPr>
          <w:rStyle w:val="VerbatimChar"/>
        </w:rPr>
        <w:t>a</w:t>
      </w:r>
      <w:r>
        <w:rPr/>
        <w:t xml:space="preserve"> or keeps the maximum. The result line is the post-update bank in the element format (M7).</w:t>
      </w:r>
    </w:p>
    <w:p>
      <w:pPr>
        <w:pStyle w:val="Compact"/>
        <w:numPr>
          <w:ilvl w:val="0"/>
          <w:numId w:val="315"/>
        </w:numPr>
        <w:rPr/>
      </w:pPr>
      <w:r>
        <w:rPr>
          <w:b/>
          <w:bCs/>
        </w:rPr>
        <w:t>DRAIN</w:t>
      </w:r>
      <w:r>
        <w:rPr/>
        <w:t xml:space="preserve"> reads out the final values without changing the bank. With REDUCE’s </w:t>
      </w:r>
      <w:r>
        <w:rPr>
          <w:rStyle w:val="VerbatimChar"/>
        </w:rPr>
        <w:t>sub_op[1]</w:t>
      </w:r>
      <w:r>
        <w:rPr/>
        <w:t xml:space="preserve"> it presents the cross-lane fold instead.</w:t>
      </w:r>
    </w:p>
    <w:p>
      <w:pPr>
        <w:pStyle w:val="Heading3"/>
        <w:spacing w:before="200" w:after="80"/>
        <w:rPr/>
      </w:pPr>
      <w:bookmarkStart w:id="303" w:name="__RefHeading___Toc12351_211582255"/>
      <w:bookmarkStart w:id="304" w:name="Xc335d1762d0dbe236cf95ccc20b6842bc85e401"/>
      <w:bookmarkStart w:id="305" w:name="_Wave_4_1_MAC_chain___clear__t"/>
      <w:bookmarkEnd w:id="303"/>
      <w:r>
        <w:rPr>
          <w:rStyle w:val="SectionNumber"/>
          <w:b/>
          <w:color w:val="404040"/>
          <w:sz w:val="24"/>
        </w:rPr>
        <w:t>16.4.1</w:t>
      </w:r>
      <w:r>
        <w:rPr>
          <w:b/>
          <w:color w:val="404040"/>
          <w:sz w:val="24"/>
        </w:rPr>
        <w:tab/>
        <w:t>Waveform 4.1: MAC chain — clear, three accumulates, drain</w:t>
      </w:r>
      <w:bookmarkEnd w:id="305"/>
    </w:p>
    <w:p>
      <w:pPr>
        <w:pStyle w:val="CaptionedFigure"/>
        <w:rPr/>
      </w:pPr>
      <w:r>
        <w:rPr/>
        <w:drawing>
          <wp:inline distT="0" distB="0" distL="0" distR="0">
            <wp:extent cx="5334000" cy="1749425"/>
            <wp:effectExtent l="0" t="0" r="0" b="0"/>
            <wp:docPr id="65" name="Image8" descr="Waveform 4.1: MAC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8" descr="Waveform 4.1: MAC chain"/>
                    <pic:cNvPicPr>
                      <a:picLocks noChangeAspect="1" noChangeArrowheads="1"/>
                    </pic:cNvPicPr>
                  </pic:nvPicPr>
                  <pic:blipFill>
                    <a:blip r:embed="rId91"/>
                    <a:stretch>
                      <a:fillRect/>
                    </a:stretch>
                  </pic:blipFill>
                  <pic:spPr bwMode="auto">
                    <a:xfrm>
                      <a:off x="0" y="0"/>
                      <a:ext cx="5334000" cy="1749425"/>
                    </a:xfrm>
                    <a:prstGeom prst="rect">
                      <a:avLst/>
                    </a:prstGeom>
                  </pic:spPr>
                </pic:pic>
              </a:graphicData>
            </a:graphic>
          </wp:inline>
        </w:drawing>
      </w:r>
    </w:p>
    <w:p>
      <w:pPr>
        <w:pStyle w:val="ImageCaption"/>
        <w:rPr/>
      </w:pPr>
      <w:r>
        <w:rPr/>
        <w:t>Waveform 4.1: MAC chain</w:t>
      </w:r>
    </w:p>
    <w:p>
      <w:pPr>
        <w:pStyle w:val="BodyText"/>
        <w:rPr/>
      </w:pPr>
      <w:r>
        <w:rPr>
          <w:sz w:val="20"/>
        </w:rPr>
        <w:t xml:space="preserve">At </w:t>
      </w:r>
      <w:r>
        <w:rPr>
          <w:rStyle w:val="VerbatimChar"/>
          <w:sz w:val="20"/>
        </w:rPr>
        <w:t>MAC_LATENCY = 0</w:t>
      </w:r>
      <w:r>
        <w:rPr>
          <w:sz w:val="20"/>
        </w:rPr>
        <w:t xml:space="preserve"> each step is offered the cycle after its issue. A deeper </w:t>
      </w:r>
      <w:r>
        <w:rPr>
          <w:rStyle w:val="VerbatimChar"/>
          <w:sz w:val="20"/>
        </w:rPr>
        <w:t>MAC_LATENCY</w:t>
      </w:r>
      <w:r>
        <w:rPr>
          <w:sz w:val="20"/>
        </w:rPr>
        <w:t xml:space="preserve"> delays every view by the same amount and keeps one step per clock, because the loop is the accumulate stage alone. The testbench proves both at </w:t>
      </w:r>
      <w:r>
        <w:rPr>
          <w:rStyle w:val="VerbatimChar"/>
          <w:sz w:val="20"/>
        </w:rPr>
        <w:t>MAC_LATENCY</w:t>
      </w:r>
      <w:r>
        <w:rPr>
          <w:sz w:val="20"/>
        </w:rPr>
        <w:t xml:space="preserve"> 0 and 2 on a 104-to-512-step chain (Chapter 5).</w:t>
      </w:r>
      <w:bookmarkEnd w:id="302"/>
      <w:bookmarkEnd w:id="304"/>
      <w:r>
        <w:br w:type="page"/>
      </w:r>
    </w:p>
    <w:p>
      <w:pPr>
        <w:pStyle w:val="Heading2"/>
        <w:pBdr>
          <w:bottom w:val="single" w:sz="12" w:space="0" w:color="228B22"/>
        </w:pBdr>
        <w:spacing w:before="280" w:after="80"/>
        <w:rPr/>
      </w:pPr>
      <w:bookmarkStart w:id="306" w:name="__RefHeading___Toc12353_211582255"/>
      <w:bookmarkStart w:id="307" w:name="overlapping-invocations"/>
      <w:bookmarkEnd w:id="306"/>
      <w:r>
        <w:rPr>
          <w:rStyle w:val="SectionNumber"/>
          <w:b/>
          <w:color w:val="228B22"/>
          <w:sz w:val="28"/>
        </w:rPr>
        <w:t>16.5</w:t>
      </w:r>
      <w:r>
        <w:rPr>
          <w:b/>
          <w:color w:val="228B22"/>
          <w:sz w:val="28"/>
        </w:rPr>
        <w:tab/>
        <w:t>Overlapping Invocations</w:t>
      </w:r>
    </w:p>
    <w:p>
      <w:pPr>
        <w:pStyle w:val="FirstParagraph"/>
        <w:rPr/>
      </w:pPr>
      <w:r>
        <w:rPr>
          <w:sz w:val="20"/>
        </w:rPr>
        <w:t>The pipeline never inserts a stall of its own. A MUL, a REDUCE and a PWL may issue on consecutive clocks, all in flight together, retiring in issue order as each one’s port lands. Three consequences:</w:t>
      </w:r>
    </w:p>
    <w:p>
      <w:pPr>
        <w:pStyle w:val="Compact"/>
        <w:numPr>
          <w:ilvl w:val="0"/>
          <w:numId w:val="316"/>
        </w:numPr>
        <w:rPr/>
      </w:pPr>
      <w:r>
        <w:rPr>
          <w:b/>
          <w:bCs/>
        </w:rPr>
        <w:t>No drain logic.</w:t>
      </w:r>
      <w:r>
        <w:rPr/>
        <w:t xml:space="preserve"> Switching opcode or format mid-stream costs nothing: retirement is in issue order regardless of port latency.</w:t>
      </w:r>
    </w:p>
    <w:p>
      <w:pPr>
        <w:pStyle w:val="Compact"/>
        <w:numPr>
          <w:ilvl w:val="0"/>
          <w:numId w:val="317"/>
        </w:numPr>
        <w:rPr/>
      </w:pPr>
      <w:r>
        <w:rPr>
          <w:b/>
          <w:bCs/>
        </w:rPr>
        <w:t>The issuer pairs results by counting.</w:t>
      </w:r>
      <w:r>
        <w:rPr/>
        <w:t xml:space="preserve"> No tags on the seam.</w:t>
      </w:r>
    </w:p>
    <w:p>
      <w:pPr>
        <w:pStyle w:val="Compact"/>
        <w:numPr>
          <w:ilvl w:val="0"/>
          <w:numId w:val="318"/>
        </w:numPr>
        <w:rPr/>
      </w:pPr>
      <w:r>
        <w:rPr>
          <w:b/>
          <w:bCs/>
        </w:rPr>
        <w:t>Idle is a hold.</w:t>
      </w:r>
      <w:r>
        <w:rPr/>
        <w:t xml:space="preserve"> When </w:t>
      </w:r>
      <w:r>
        <w:rPr>
          <w:rStyle w:val="VerbatimChar"/>
        </w:rPr>
        <w:t>valid</w:t>
      </w:r>
      <w:r>
        <w:rPr/>
        <w:t xml:space="preserve"> drops, in-flight invocations drain, the last result holds until consumed, and the bank holds.</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8" w:name="the-compute-cycle-per-opcode-class"/>
      <w:bookmarkStart w:id="309" w:name="overlapping-invocation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
      <w:bookmarkEnd w:id="309"/>
      <w:r>
        <w:br w:type="page"/>
      </w:r>
    </w:p>
    <w:p>
      <w:pPr>
        <w:pStyle w:val="Heading1"/>
        <w:shd w:val="clear" w:color="auto" w:fill="404040"/>
        <w:spacing w:before="360" w:after="120"/>
        <w:rPr/>
      </w:pPr>
      <w:bookmarkStart w:id="310" w:name="__RefHeading___Toc12355_211582255"/>
      <w:bookmarkStart w:id="311" w:name="verification-hooks-and-observability"/>
      <w:bookmarkEnd w:id="310"/>
      <w:r>
        <w:rPr>
          <w:rStyle w:val="SectionNumber"/>
          <w:b/>
          <w:color w:val="FFFFFF"/>
          <w:sz w:val="32"/>
        </w:rPr>
        <w:t>17</w:t>
      </w:r>
      <w:r>
        <w:rPr>
          <w:b/>
          <w:color w:val="FFFFFF"/>
          <w:sz w:val="32"/>
        </w:rPr>
        <w:tab/>
        <w:t>Verification Hooks and Observability</w:t>
      </w:r>
    </w:p>
    <w:p>
      <w:pPr>
        <w:pStyle w:val="FirstParagraph"/>
        <w:rPr/>
      </w:pPr>
      <w:r>
        <w:rPr>
          <w:sz w:val="20"/>
        </w:rPr>
        <w:t xml:space="preserve">The tests live in </w:t>
      </w:r>
      <w:r>
        <w:rPr>
          <w:rStyle w:val="VerbatimChar"/>
          <w:sz w:val="20"/>
        </w:rPr>
        <w:t>alu-infer/dv/</w:t>
      </w:r>
      <w:r>
        <w:rPr>
          <w:sz w:val="20"/>
        </w:rPr>
        <w:t xml:space="preserve">. </w:t>
      </w:r>
      <w:r>
        <w:rPr>
          <w:rStyle w:val="VerbatimChar"/>
          <w:sz w:val="20"/>
        </w:rPr>
        <w:t>tbclasses/alu_infer_tb.py</w:t>
      </w:r>
      <w:r>
        <w:rPr>
          <w:sz w:val="20"/>
        </w:rPr>
        <w:t xml:space="preserve"> is the testbench (</w:t>
      </w:r>
      <w:r>
        <w:rPr>
          <w:rStyle w:val="VerbatimChar"/>
          <w:sz w:val="20"/>
        </w:rPr>
        <w:t>AluInferTB</w:t>
      </w:r>
      <w:r>
        <w:rPr>
          <w:sz w:val="20"/>
        </w:rPr>
        <w:t xml:space="preserve"> on the repo’s </w:t>
      </w:r>
      <w:r>
        <w:rPr>
          <w:rStyle w:val="VerbatimChar"/>
          <w:sz w:val="20"/>
        </w:rPr>
        <w:t>TBBase</w:t>
      </w:r>
      <w:r>
        <w:rPr>
          <w:sz w:val="20"/>
        </w:rPr>
        <w:t xml:space="preserve">), with the extended scenarios mixed in from </w:t>
      </w:r>
      <w:r>
        <w:rPr>
          <w:rStyle w:val="VerbatimChar"/>
          <w:sz w:val="20"/>
        </w:rPr>
        <w:t>alu_infer_ext_tests.py</w:t>
      </w:r>
      <w:r>
        <w:rPr>
          <w:sz w:val="20"/>
        </w:rPr>
        <w:t xml:space="preserve">. </w:t>
      </w:r>
      <w:r>
        <w:rPr>
          <w:rStyle w:val="VerbatimChar"/>
          <w:sz w:val="20"/>
        </w:rPr>
        <w:t>alu_infer_golden.py</w:t>
      </w:r>
      <w:r>
        <w:rPr>
          <w:sz w:val="20"/>
        </w:rPr>
        <w:t xml:space="preserve"> holds the golden models, and </w:t>
      </w:r>
      <w:r>
        <w:rPr>
          <w:rStyle w:val="VerbatimChar"/>
          <w:sz w:val="20"/>
        </w:rPr>
        <w:t>tests/test_alu_infer.py</w:t>
      </w:r>
      <w:r>
        <w:rPr>
          <w:sz w:val="20"/>
        </w:rPr>
        <w:t xml:space="preserve"> is a thin </w:t>
      </w:r>
      <w:r>
        <w:rPr>
          <w:rStyle w:val="VerbatimChar"/>
          <w:sz w:val="20"/>
        </w:rPr>
        <w:t>TEST_TYPE</w:t>
      </w:r>
      <w:r>
        <w:rPr>
          <w:sz w:val="20"/>
        </w:rPr>
        <w:t xml:space="preserve"> dispatcher (the stream-area standard pattern).</w:t>
      </w:r>
    </w:p>
    <w:p>
      <w:pPr>
        <w:pStyle w:val="BodyText"/>
        <w:rPr/>
      </w:pPr>
      <w:r>
        <w:rPr>
          <w:sz w:val="20"/>
        </w:rPr>
        <w:t xml:space="preserve">Both valid/ready interfaces are owned by RDS-DV GAXI BFMs: a </w:t>
      </w:r>
      <w:r>
        <w:rPr>
          <w:rStyle w:val="VerbatimChar"/>
          <w:sz w:val="20"/>
        </w:rPr>
        <w:t>GAXIMaster</w:t>
      </w:r>
      <w:r>
        <w:rPr>
          <w:sz w:val="20"/>
        </w:rPr>
        <w:t xml:space="preserve"> drives issue, a </w:t>
      </w:r>
      <w:r>
        <w:rPr>
          <w:rStyle w:val="VerbatimChar"/>
          <w:sz w:val="20"/>
        </w:rPr>
        <w:t>GAXISlave</w:t>
      </w:r>
      <w:r>
        <w:rPr>
          <w:sz w:val="20"/>
        </w:rPr>
        <w:t xml:space="preserve"> receives results, and passive </w:t>
      </w:r>
      <w:r>
        <w:rPr>
          <w:rStyle w:val="VerbatimChar"/>
          <w:sz w:val="20"/>
        </w:rPr>
        <w:t>GAXIMonitor</w:t>
      </w:r>
      <w:r>
        <w:rPr>
          <w:sz w:val="20"/>
        </w:rPr>
        <w:t>s record both. Timing checks use the BFMs’ packet timestamps. The extended scenarios issue invocations as bursts, so the elastic pipeline streams while every retired line is checked.</w:t>
      </w:r>
      <w:r>
        <w:br w:type="page"/>
      </w:r>
    </w:p>
    <w:p>
      <w:pPr>
        <w:pStyle w:val="Heading2"/>
        <w:pBdr>
          <w:bottom w:val="single" w:sz="12" w:space="0" w:color="228B22"/>
        </w:pBdr>
        <w:spacing w:before="280" w:after="80"/>
        <w:rPr/>
      </w:pPr>
      <w:bookmarkStart w:id="312" w:name="__RefHeading___Toc12357_211582255"/>
      <w:bookmarkStart w:id="313" w:name="the-golden-models-the-librarys-own"/>
      <w:bookmarkEnd w:id="312"/>
      <w:r>
        <w:rPr>
          <w:rStyle w:val="SectionNumber"/>
          <w:b/>
          <w:color w:val="228B22"/>
          <w:sz w:val="28"/>
        </w:rPr>
        <w:t>17.1</w:t>
      </w:r>
      <w:r>
        <w:rPr>
          <w:b/>
          <w:color w:val="228B22"/>
          <w:sz w:val="28"/>
        </w:rPr>
        <w:tab/>
        <w:t>The Golden Models: the Library’s Own</w:t>
      </w:r>
    </w:p>
    <w:p>
      <w:pPr>
        <w:pStyle w:val="FirstParagraph"/>
        <w:rPr/>
      </w:pPr>
      <w:r>
        <w:rPr>
          <w:sz w:val="20"/>
        </w:rPr>
        <w:t xml:space="preserve">Every floating-point row instantiates an </w:t>
      </w:r>
      <w:r>
        <w:rPr>
          <w:rStyle w:val="VerbatimChar"/>
          <w:sz w:val="20"/>
        </w:rPr>
        <w:t>rtl/math</w:t>
      </w:r>
      <w:r>
        <w:rPr>
          <w:sz w:val="20"/>
        </w:rPr>
        <w:t xml:space="preserve"> block, so its expected value comes from </w:t>
      </w:r>
      <w:r>
        <w:rPr>
          <w:b/>
          <w:bCs/>
          <w:sz w:val="20"/>
        </w:rPr>
        <w:t>the same reference model that block’s unit test uses</w:t>
      </w:r>
      <w:r>
        <w:rPr>
          <w:sz w:val="20"/>
        </w:rPr>
        <w:t xml:space="preserve"> (</w:t>
      </w:r>
      <w:r>
        <w:rPr>
          <w:rStyle w:val="VerbatimChar"/>
          <w:sz w:val="20"/>
        </w:rPr>
        <w:t>bin/TBClasses/common/fp_testing.py</w:t>
      </w:r>
      <w:r>
        <w:rPr>
          <w:sz w:val="20"/>
        </w:rPr>
        <w:t xml:space="preserve">, </w:t>
      </w:r>
      <w:r>
        <w:rPr>
          <w:rStyle w:val="VerbatimChar"/>
          <w:sz w:val="20"/>
        </w:rPr>
        <w:t>bf16_testing.py</w:t>
      </w:r>
      <w:r>
        <w:rPr>
          <w:sz w:val="20"/>
        </w:rPr>
        <w:t>), at that test’s tolerance. Exact rows (copy, const, min/max, relu) must match exactly; arithmetic rows within 1 ULP; reciprocal 2, exp2 and log2 16 (log2 200 near zero), as their library tests allow. This is the MAS’s built-in cross-check made literal: an ALU/library divergence is a wiring bug in exactly one of them.</w:t>
      </w:r>
    </w:p>
    <w:p>
      <w:pPr>
        <w:pStyle w:val="BodyText"/>
        <w:rPr/>
      </w:pPr>
      <w:r>
        <w:rPr>
          <w:sz w:val="20"/>
        </w:rPr>
        <w:t xml:space="preserve">It has already paid off. The exp2 row’s check exposed </w:t>
      </w:r>
      <w:r>
        <w:rPr>
          <w:b/>
          <w:bCs/>
          <w:sz w:val="20"/>
        </w:rPr>
        <w:t>math BUG-009</w:t>
      </w:r>
      <w:r>
        <w:rPr>
          <w:sz w:val="20"/>
        </w:rPr>
        <w:t xml:space="preserve">: </w:t>
      </w:r>
      <w:r>
        <w:rPr>
          <w:rStyle w:val="VerbatimChar"/>
          <w:sz w:val="20"/>
        </w:rPr>
        <w:t>math_bf16_exp2</w:t>
      </w:r>
      <w:r>
        <w:rPr>
          <w:sz w:val="20"/>
        </w:rPr>
        <w:t xml:space="preserve"> returned 0 for every x ≥ 256, because a 9-bit signed “+256” saturate wrapped to −256. It was fixed in </w:t>
      </w:r>
      <w:r>
        <w:rPr>
          <w:rStyle w:val="VerbatimChar"/>
          <w:sz w:val="20"/>
        </w:rPr>
        <w:t>rtl/math</w:t>
      </w:r>
      <w:r>
        <w:rPr>
          <w:sz w:val="20"/>
        </w:rPr>
        <w:t>, and the library’s own test gained the cases that failed.</w:t>
      </w:r>
    </w:p>
    <w:p>
      <w:pPr>
        <w:pStyle w:val="Compact"/>
        <w:numPr>
          <w:ilvl w:val="0"/>
          <w:numId w:val="319"/>
        </w:numPr>
        <w:rPr/>
      </w:pPr>
      <w:r>
        <w:rPr>
          <w:b/>
          <w:bCs/>
        </w:rPr>
        <w:t>int8</w:t>
      </w:r>
      <w:r>
        <w:rPr/>
        <w:t>: the exact saturating model (no library family).</w:t>
      </w:r>
    </w:p>
    <w:p>
      <w:pPr>
        <w:pStyle w:val="Compact"/>
        <w:numPr>
          <w:ilvl w:val="0"/>
          <w:numId w:val="320"/>
        </w:numPr>
        <w:rPr/>
      </w:pPr>
      <w:r>
        <w:rPr>
          <w:b/>
          <w:bCs/>
        </w:rPr>
        <w:t>Accumulators</w:t>
      </w:r>
      <w:r>
        <w:rPr/>
        <w:t xml:space="preserve">: the bank is modeled bit-exactly for bf16, fp8 and int8 (the </w:t>
      </w:r>
      <w:r>
        <w:rPr>
          <w:rStyle w:val="VerbatimChar"/>
        </w:rPr>
        <w:t>math_bf16_fma</w:t>
      </w:r>
      <w:r>
        <w:rPr/>
        <w:t xml:space="preserve"> contract, including its FTZ of an underflowing product). The fp32 bank is checked against the library FMA reference at its tolerance and then re-synced from the DUT, which presents the fp32 bank exactly.</w:t>
      </w:r>
    </w:p>
    <w:p>
      <w:pPr>
        <w:pStyle w:val="Compact"/>
        <w:numPr>
          <w:ilvl w:val="0"/>
          <w:numId w:val="321"/>
        </w:numPr>
        <w:rPr/>
      </w:pPr>
      <w:r>
        <w:rPr>
          <w:b/>
          <w:bCs/>
        </w:rPr>
        <w:t>PWL</w:t>
      </w:r>
      <w:r>
        <w:rPr/>
        <w:t xml:space="preserve">: bit-exact against the row model in </w:t>
      </w:r>
      <w:r>
        <w:rPr>
          <w:rStyle w:val="VerbatimChar"/>
        </w:rPr>
        <w:t>bin/alu_infer_pwl.py</w:t>
      </w:r>
      <w:r>
        <w:rPr/>
        <w:t>, plus an approximation bound per function (Table 2.7, with margin).</w:t>
      </w:r>
      <w:bookmarkEnd w:id="313"/>
      <w:r>
        <w:br w:type="page"/>
      </w:r>
    </w:p>
    <w:p>
      <w:pPr>
        <w:pStyle w:val="Heading2"/>
        <w:pBdr>
          <w:bottom w:val="single" w:sz="12" w:space="0" w:color="228B22"/>
        </w:pBdr>
        <w:spacing w:before="280" w:after="80"/>
        <w:rPr/>
      </w:pPr>
      <w:bookmarkStart w:id="314" w:name="__RefHeading___Toc12359_211582255"/>
      <w:bookmarkEnd w:id="314"/>
      <w:r>
        <w:rPr>
          <w:rStyle w:val="SectionNumber"/>
          <w:b/>
          <w:color w:val="228B22"/>
          <w:sz w:val="28"/>
        </w:rPr>
        <w:t>17.2</w:t>
      </w:r>
      <w:r>
        <w:rPr>
          <w:b/>
          <w:color w:val="228B22"/>
          <w:sz w:val="28"/>
        </w:rPr>
        <w:tab/>
        <w:t>Scenarios</w:t>
      </w:r>
    </w:p>
    <w:p>
      <w:pPr>
        <w:pStyle w:val="TableCaption"/>
        <w:rPr/>
      </w:pPr>
      <w:bookmarkStart w:id="315" w:name="_Tab_14_Table_5_1__test_scen"/>
      <w:r>
        <w:rPr/>
        <w:t>Table 5.1: test scenarios</w:t>
      </w:r>
      <w:bookmarkEnd w:id="3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TEST_TYPE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Proves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copy_timing, tag_join, backpressure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natural latency, II=1, the tag join, the elastic hold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add_sub, mul, minmax, compare, relu, special_grid, sub_ulp_corner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v1 bf16 rows, special-value grid, the adder’s 1-ULP corner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 mac_chain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bf16 CLEAR/ACC/DRAIN/HOLD; a 104–512-step dependent chain at II=1, every step exact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fmt_int8, fmt_fp32, fmt_fp8</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elementwise row per format, specials and random values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const, act, cvt, pwl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const in every format; activations; every CVT pair and ALTFMT; PWL load, read-back, evaluation and accuracy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mac_formats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sum/max with identity CLEAR and fold, every format; MAC in int8/fp32/fp8</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port at its parameterized latency, every format that uses it; in-order retirement behind the slowest port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error_opcode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every illegal class retires a zero line in order and pulses </w:t>
            </w:r>
            <w:r>
              <w:rPr>
                <w:rStyle w:val="VerbatimChar"/>
                <w:rFonts w:eastAsia="Cambria" w:cs=""/>
                <w:kern w:val="0"/>
                <w:szCs w:val="24"/>
                <w:lang w:val="en-US" w:eastAsia="en-US" w:bidi="ar-SA"/>
              </w:rPr>
              <w:t>err_opcode</w:t>
            </w:r>
            <w:r>
              <w:rPr>
                <w:rFonts w:eastAsia="Cambria" w:cs=""/>
                <w:kern w:val="0"/>
                <w:sz w:val="24"/>
                <w:szCs w:val="24"/>
                <w:lang w:val="en-US" w:eastAsia="en-US" w:bidi="ar-SA"/>
              </w:rPr>
              <w:t xml:space="preserve"> exactly once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mixed_soak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mixed opcodes under the GAXI delay profiles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softmax</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roadmap rows composed as a program would: REDUCE max + fold, SUB, PWL exp, REDUCE sum + fold, RECIP, MUL, each step fed by the last; within 2e-2 of float softmax (measured 1.6e-3)</w:t>
            </w:r>
            <w:bookmarkStart w:id="316" w:name="scenarios"/>
            <w:bookmarkEnd w:id="316"/>
          </w:p>
        </w:tc>
      </w:tr>
    </w:tbl>
    <w:p>
      <w:pPr>
        <w:pStyle w:val="Heading2"/>
        <w:pBdr>
          <w:bottom w:val="single" w:sz="12" w:space="0" w:color="228B22"/>
        </w:pBdr>
        <w:spacing w:before="280" w:after="80"/>
        <w:rPr/>
      </w:pPr>
      <w:r>
        <w:br w:type="page"/>
      </w:r>
      <w:bookmarkStart w:id="317" w:name="__RefHeading___Toc12361_211582255"/>
      <w:bookmarkEnd w:id="317"/>
      <w:r>
        <w:rPr>
          <w:rStyle w:val="SectionNumber"/>
          <w:b/>
          <w:color w:val="228B22"/>
          <w:sz w:val="28"/>
        </w:rPr>
        <w:t>17.3</w:t>
      </w:r>
      <w:r>
        <w:rPr>
          <w:b/>
          <w:color w:val="228B22"/>
          <w:sz w:val="28"/>
        </w:rPr>
        <w:tab/>
        <w:t>Build Configurations</w:t>
      </w:r>
    </w:p>
    <w:p>
      <w:pPr>
        <w:pStyle w:val="TableCaption"/>
        <w:rPr/>
      </w:pPr>
      <w:bookmarkStart w:id="318" w:name="_Tab_15_Table_5_2__build_con"/>
      <w:r>
        <w:rPr/>
        <w:t>Table 5.2: build configurations</w:t>
      </w:r>
      <w:bookmarkEnd w:id="3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defaults (</w:t>
            </w:r>
            <w:r>
              <w:rPr>
                <w:rStyle w:val="VerbatimChar"/>
                <w:rFonts w:eastAsia="Cambria" w:cs=""/>
                <w:kern w:val="0"/>
                <w:szCs w:val="24"/>
                <w:lang w:val="en-US" w:eastAsia="en-US" w:bidi="ar-SA"/>
              </w:rPr>
              <w:t>ADDER_LATENCY</w:t>
            </w:r>
            <w:r>
              <w:rPr>
                <w:rFonts w:eastAsia="Cambria" w:cs=""/>
                <w:kern w:val="0"/>
                <w:sz w:val="24"/>
                <w:szCs w:val="24"/>
                <w:lang w:val="en-US" w:eastAsia="en-US" w:bidi="ar-SA"/>
              </w:rPr>
              <w:t xml:space="preserve"> 3, </w:t>
            </w:r>
            <w:r>
              <w:rPr>
                <w:rStyle w:val="VerbatimChar"/>
                <w:rFonts w:eastAsia="Cambria" w:cs=""/>
                <w:kern w:val="0"/>
                <w:szCs w:val="24"/>
                <w:lang w:val="en-US" w:eastAsia="en-US" w:bidi="ar-SA"/>
              </w:rPr>
              <w:t>MUL_LATENCY</w:t>
            </w:r>
            <w:r>
              <w:rPr>
                <w:rFonts w:eastAsia="Cambria" w:cs=""/>
                <w:kern w:val="0"/>
                <w:sz w:val="24"/>
                <w:szCs w:val="24"/>
                <w:lang w:val="en-US" w:eastAsia="en-US" w:bidi="ar-SA"/>
              </w:rPr>
              <w:t xml:space="preserve"> 0, </w:t>
            </w:r>
            <w:r>
              <w:rPr>
                <w:rStyle w:val="VerbatimChar"/>
                <w:rFonts w:eastAsia="Cambria" w:cs=""/>
                <w:kern w:val="0"/>
                <w:szCs w:val="24"/>
                <w:lang w:val="en-US" w:eastAsia="en-US" w:bidi="ar-SA"/>
              </w:rPr>
              <w:t>MAC_LATENCY</w:t>
            </w:r>
            <w:r>
              <w:rPr>
                <w:rFonts w:eastAsia="Cambria" w:cs=""/>
                <w:kern w:val="0"/>
                <w:sz w:val="24"/>
                <w:szCs w:val="24"/>
                <w:lang w:val="en-US" w:eastAsia="en-US" w:bidi="ar-SA"/>
              </w:rPr>
              <w:t xml:space="preserve">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every scenario at </w:t>
            </w:r>
            <w:r>
              <w:rPr>
                <w:rStyle w:val="VerbatimChar"/>
                <w:rFonts w:eastAsia="Cambria" w:cs=""/>
                <w:kern w:val="0"/>
                <w:szCs w:val="24"/>
                <w:lang w:val="en-US" w:eastAsia="en-US" w:bidi="ar-SA"/>
              </w:rPr>
              <w:t>PIPE_DEPTH</w:t>
            </w:r>
            <w:r>
              <w:rPr>
                <w:rFonts w:eastAsia="Cambria" w:cs=""/>
                <w:kern w:val="0"/>
                <w:sz w:val="24"/>
                <w:szCs w:val="24"/>
                <w:lang w:val="en-US" w:eastAsia="en-US" w:bidi="ar-SA"/>
              </w:rPr>
              <w:t xml:space="preserve"> 4 and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ADDER_LATENCY</w:t>
            </w:r>
            <w:r>
              <w:rPr>
                <w:rFonts w:eastAsia="Cambria" w:cs=""/>
                <w:kern w:val="0"/>
                <w:sz w:val="24"/>
                <w:szCs w:val="24"/>
                <w:lang w:val="en-US" w:eastAsia="en-US" w:bidi="ar-SA"/>
              </w:rPr>
              <w:t xml:space="preserve"> 4, </w:t>
            </w:r>
            <w:r>
              <w:rPr>
                <w:rStyle w:val="VerbatimChar"/>
                <w:rFonts w:eastAsia="Cambria" w:cs=""/>
                <w:kern w:val="0"/>
                <w:szCs w:val="24"/>
                <w:lang w:val="en-US" w:eastAsia="en-US" w:bidi="ar-SA"/>
              </w:rPr>
              <w:t>MUL_LATENCY</w:t>
            </w:r>
            <w:r>
              <w:rPr>
                <w:rFonts w:eastAsia="Cambria" w:cs=""/>
                <w:kern w:val="0"/>
                <w:sz w:val="24"/>
                <w:szCs w:val="24"/>
                <w:lang w:val="en-US" w:eastAsia="en-US" w:bidi="ar-SA"/>
              </w:rPr>
              <w:t xml:space="preserve"> 2, </w:t>
            </w:r>
            <w:r>
              <w:rPr>
                <w:rStyle w:val="VerbatimChar"/>
                <w:rFonts w:eastAsia="Cambria" w:cs=""/>
                <w:kern w:val="0"/>
                <w:szCs w:val="24"/>
                <w:lang w:val="en-US" w:eastAsia="en-US" w:bidi="ar-SA"/>
              </w:rPr>
              <w:t>MAC_LATENCY</w:t>
            </w:r>
            <w:r>
              <w:rPr>
                <w:rFonts w:eastAsia="Cambria" w:cs=""/>
                <w:kern w:val="0"/>
                <w:sz w:val="24"/>
                <w:szCs w:val="24"/>
                <w:lang w:val="en-US" w:eastAsia="en-US" w:bidi="ar-SA"/>
              </w:rPr>
              <w:t xml:space="preserve"> 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timing and accumulator scenarios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latency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timing and accumulator scenarios (exercises the latency-0 tag bypass)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every </w:t>
            </w:r>
            <w:r>
              <w:rPr>
                <w:rStyle w:val="VerbatimChar"/>
                <w:rFonts w:eastAsia="Cambria" w:cs=""/>
                <w:kern w:val="0"/>
                <w:szCs w:val="24"/>
                <w:lang w:val="en-US" w:eastAsia="en-US" w:bidi="ar-SA"/>
              </w:rPr>
              <w:t>EN_*</w:t>
            </w:r>
            <w:r>
              <w:rPr>
                <w:rFonts w:eastAsia="Cambria" w:cs=""/>
                <w:kern w:val="0"/>
                <w:sz w:val="24"/>
                <w:szCs w:val="24"/>
                <w:lang w:val="en-US" w:eastAsia="en-US" w:bidi="ar-SA"/>
              </w:rPr>
              <w:t xml:space="preserve">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v1 suite, and every built-out family must decode illegal</w:t>
            </w:r>
          </w:p>
        </w:tc>
      </w:tr>
    </w:tbl>
    <w:p>
      <w:pPr>
        <w:pStyle w:val="BodyText"/>
        <w:rPr/>
      </w:pPr>
      <w:r>
        <w:rPr>
          <w:sz w:val="20"/>
        </w:rPr>
        <w:t>The house gate/func/full grid applies: gate runs every cell lightly, and func and full deepen the value sets and chains and sweep the mixed soak across the standard GAXI delay profiles.</w:t>
      </w:r>
      <w:r>
        <w:br w:type="page"/>
      </w:r>
    </w:p>
    <w:p>
      <w:pPr>
        <w:pStyle w:val="Heading2"/>
        <w:pBdr>
          <w:bottom w:val="single" w:sz="12" w:space="0" w:color="228B22"/>
        </w:pBdr>
        <w:spacing w:before="280" w:after="80"/>
        <w:rPr/>
      </w:pPr>
      <w:bookmarkStart w:id="319" w:name="__RefHeading___Toc12363_211582255"/>
      <w:bookmarkStart w:id="320" w:name="coverage-matrix"/>
      <w:bookmarkEnd w:id="319"/>
      <w:r>
        <w:rPr>
          <w:rStyle w:val="SectionNumber"/>
          <w:b/>
          <w:color w:val="228B22"/>
          <w:sz w:val="28"/>
        </w:rPr>
        <w:t>17.4</w:t>
      </w:r>
      <w:r>
        <w:rPr>
          <w:b/>
          <w:color w:val="228B22"/>
          <w:sz w:val="28"/>
        </w:rPr>
        <w:tab/>
        <w:t>Coverage Matrix</w:t>
      </w:r>
    </w:p>
    <w:p>
      <w:pPr>
        <w:pStyle w:val="TableCaption"/>
        <w:rPr/>
      </w:pPr>
      <w:bookmarkStart w:id="321" w:name="_Tab_16_Table_5_3__coverage_"/>
      <w:r>
        <w:rPr/>
        <w:t>Table 5.3: coverage matrix</w:t>
      </w:r>
      <w:bookmarkEnd w:id="3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 format</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legal pair of Table 2.2; every illegal class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Special-value class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±inf (fp8: ±max-normal), NaN, ±min-subnormal, ±1, per format (</w:t>
            </w:r>
            <w:r>
              <w:rPr>
                <w:rStyle w:val="VerbatimChar"/>
                <w:rFonts w:eastAsia="Cambria" w:cs=""/>
                <w:kern w:val="0"/>
                <w:szCs w:val="24"/>
                <w:lang w:val="en-US" w:eastAsia="en-US" w:bidi="ar-SA"/>
              </w:rPr>
              <w:t>special_value_grid</w:t>
            </w:r>
            <w:r>
              <w:rPr>
                <w:rFonts w:eastAsia="Cambria" w:cs=""/>
                <w:kern w:val="0"/>
                <w:sz w:val="24"/>
                <w:szCs w:val="24"/>
                <w:lang w:val="en-US" w:eastAsia="en-US" w:bidi="ar-SA"/>
              </w:rPr>
              <w: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 position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lane of every format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Accumulator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CLEAR/ACC/DRAIN/HOLD; chains over 100 steps; REDUCE fold sum and max</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the defaults, and deep for each port</w:t>
            </w:r>
          </w:p>
        </w:tc>
      </w:tr>
    </w:tbl>
    <w:p>
      <w:pPr>
        <w:pStyle w:val="BodyText"/>
        <w:rPr/>
      </w:pPr>
      <w:r>
        <w:rPr>
          <w:rStyle w:val="VerbatimChar"/>
          <w:sz w:val="20"/>
        </w:rPr>
        <w:t>dv/testplans/alu_infer_top_testplan.yaml</w:t>
      </w:r>
      <w:r>
        <w:rPr>
          <w:sz w:val="20"/>
        </w:rPr>
        <w:t xml:space="preserve"> maps each scenario to the RTL lines its own merged coverage data covers (generated, never hand-edited), and </w:t>
      </w:r>
      <w:r>
        <w:rPr>
          <w:rStyle w:val="VerbatimChar"/>
          <w:sz w:val="20"/>
        </w:rPr>
        <w:t>bin/cov_utils/verify_testplan_coverage.py --strict</w:t>
      </w:r>
      <w:r>
        <w:rPr>
          <w:sz w:val="20"/>
        </w:rPr>
        <w:t xml:space="preserve"> re-checks it.</w:t>
      </w:r>
      <w:bookmarkEnd w:id="320"/>
      <w:r>
        <w:br w:type="page"/>
      </w:r>
    </w:p>
    <w:p>
      <w:pPr>
        <w:pStyle w:val="Heading2"/>
        <w:pBdr>
          <w:bottom w:val="single" w:sz="12" w:space="0" w:color="228B22"/>
        </w:pBdr>
        <w:spacing w:before="280" w:after="80"/>
        <w:rPr/>
      </w:pPr>
      <w:bookmarkStart w:id="322" w:name="__RefHeading___Toc12365_211582255"/>
      <w:bookmarkStart w:id="323" w:name="observability"/>
      <w:bookmarkEnd w:id="322"/>
      <w:r>
        <w:rPr>
          <w:rStyle w:val="SectionNumber"/>
          <w:b/>
          <w:color w:val="228B22"/>
          <w:sz w:val="28"/>
        </w:rPr>
        <w:t>17.5</w:t>
      </w:r>
      <w:r>
        <w:rPr>
          <w:b/>
          <w:color w:val="228B22"/>
          <w:sz w:val="28"/>
        </w:rPr>
        <w:tab/>
        <w:t>Observability</w:t>
      </w:r>
    </w:p>
    <w:p>
      <w:pPr>
        <w:pStyle w:val="Compact"/>
        <w:numPr>
          <w:ilvl w:val="0"/>
          <w:numId w:val="322"/>
        </w:numPr>
        <w:rPr/>
      </w:pPr>
      <w:r>
        <w:rPr>
          <w:b/>
          <w:bCs/>
        </w:rPr>
        <w:t>No internal monitor taps.</w:t>
      </w:r>
      <w:r>
        <w:rPr/>
        <w:t xml:space="preserve"> Observability is the Ocelus MonBus plane’s job.</w:t>
      </w:r>
    </w:p>
    <w:p>
      <w:pPr>
        <w:pStyle w:val="Compact"/>
        <w:numPr>
          <w:ilvl w:val="0"/>
          <w:numId w:val="323"/>
        </w:numPr>
        <w:rPr/>
      </w:pPr>
      <w:r>
        <w:rPr>
          <w:b/>
          <w:bCs/>
        </w:rPr>
        <w:t>State is readable through the seam</w:t>
      </w:r>
      <w:r>
        <w:rPr/>
        <w:t xml:space="preserve">: the accumulator by DRAIN and the PWL table by </w:t>
      </w:r>
      <w:r>
        <w:rPr>
          <w:rStyle w:val="VerbatimChar"/>
        </w:rPr>
        <w:t>OP_PWL_LUT</w:t>
      </w:r>
      <w:r>
        <w:rPr/>
        <w:t xml:space="preserve"> read.</w:t>
      </w:r>
    </w:p>
    <w:p>
      <w:pPr>
        <w:pStyle w:val="Compact"/>
        <w:numPr>
          <w:ilvl w:val="0"/>
          <w:numId w:val="324"/>
        </w:numPr>
        <w:rPr/>
      </w:pPr>
      <w:r>
        <w:rPr>
          <w:b/>
          <w:bCs/>
        </w:rPr>
        <w:t>M2</w:t>
      </w:r>
      <w:r>
        <w:rPr/>
        <w:t xml:space="preserve"> (whether the library blocks’ IEEE exception outputs should reach </w:t>
      </w:r>
      <w:r>
        <w:rPr>
          <w:rStyle w:val="VerbatimChar"/>
        </w:rPr>
        <w:t>result_flags</w:t>
      </w:r>
      <w:r>
        <w:rPr/>
        <w:t xml:space="preserve">) stays open; </w:t>
      </w:r>
      <w:r>
        <w:rPr>
          <w:rStyle w:val="VerbatimChar"/>
        </w:rPr>
        <w:t>err_opcode</w:t>
      </w:r>
      <w:r>
        <w:rPr/>
        <w:t xml:space="preserve"> covers illegal invocations only.</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4" w:name="verification-hooks-and-observability"/>
      <w:bookmarkStart w:id="325" w:name="observability"/>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r>
        <w:br w:type="page"/>
      </w:r>
    </w:p>
    <w:p>
      <w:pPr>
        <w:pStyle w:val="Heading1"/>
        <w:shd w:val="clear" w:color="auto" w:fill="404040"/>
        <w:spacing w:before="360" w:after="120"/>
        <w:rPr/>
      </w:pPr>
      <w:bookmarkStart w:id="326" w:name="__RefHeading___Toc12367_211582255"/>
      <w:bookmarkStart w:id="327" w:name="parameters-encodings-and-open-items"/>
      <w:bookmarkEnd w:id="326"/>
      <w:r>
        <w:rPr>
          <w:rStyle w:val="SectionNumber"/>
          <w:b/>
          <w:color w:val="FFFFFF"/>
          <w:sz w:val="32"/>
        </w:rPr>
        <w:t>18</w:t>
      </w:r>
      <w:r>
        <w:rPr>
          <w:b/>
          <w:color w:val="FFFFFF"/>
          <w:sz w:val="32"/>
        </w:rPr>
        <w:tab/>
        <w:t>Parameters, Encodings, and Open Items</w:t>
      </w:r>
    </w:p>
    <w:p>
      <w:pPr>
        <w:pStyle w:val="Heading2"/>
        <w:pageBreakBefore w:val="false"/>
        <w:pBdr>
          <w:bottom w:val="single" w:sz="12" w:space="0" w:color="228B22"/>
        </w:pBdr>
        <w:spacing w:before="280" w:after="80"/>
        <w:rPr/>
      </w:pPr>
      <w:bookmarkStart w:id="328" w:name="__RefHeading___Toc12369_211582255"/>
      <w:bookmarkStart w:id="329" w:name="parameters-1"/>
      <w:bookmarkEnd w:id="328"/>
      <w:r>
        <w:rPr>
          <w:rStyle w:val="SectionNumber"/>
          <w:b/>
          <w:color w:val="228B22"/>
          <w:sz w:val="28"/>
        </w:rPr>
        <w:t>18.1</w:t>
      </w:r>
      <w:r>
        <w:rPr>
          <w:b/>
          <w:color w:val="228B22"/>
          <w:sz w:val="28"/>
        </w:rPr>
        <w:tab/>
        <w:t>Parameters</w:t>
      </w:r>
    </w:p>
    <w:p>
      <w:pPr>
        <w:pStyle w:val="FirstParagraph"/>
        <w:rPr/>
      </w:pPr>
      <w:r>
        <w:rPr>
          <w:sz w:val="20"/>
        </w:rPr>
        <w:t>See Table 2.1. Two kinds:</w:t>
      </w:r>
    </w:p>
    <w:p>
      <w:pPr>
        <w:pStyle w:val="Compact"/>
        <w:numPr>
          <w:ilvl w:val="0"/>
          <w:numId w:val="325"/>
        </w:numPr>
        <w:rPr/>
      </w:pPr>
      <w:r>
        <w:rPr>
          <w:b/>
          <w:bCs/>
        </w:rPr>
        <w:t>Latency knobs</w:t>
      </w:r>
      <w:r>
        <w:rPr/>
        <w:t xml:space="preserve"> (</w:t>
      </w:r>
      <w:r>
        <w:rPr>
          <w:rStyle w:val="VerbatimChar"/>
        </w:rPr>
        <w:t>ADDER_LATENCY</w:t>
      </w:r>
      <w:r>
        <w:rPr/>
        <w:t xml:space="preserve">, </w:t>
      </w:r>
      <w:r>
        <w:rPr>
          <w:rStyle w:val="VerbatimChar"/>
        </w:rPr>
        <w:t>MUL_LATENCY</w:t>
      </w:r>
      <w:r>
        <w:rPr/>
        <w:t xml:space="preserve">, </w:t>
      </w:r>
      <w:r>
        <w:rPr>
          <w:rStyle w:val="VerbatimChar"/>
        </w:rPr>
        <w:t>MAC_LATENCY</w:t>
      </w:r>
      <w:r>
        <w:rPr/>
        <w:t xml:space="preserve">, </w:t>
      </w:r>
      <w:r>
        <w:rPr>
          <w:rStyle w:val="VerbatimChar"/>
        </w:rPr>
        <w:t>PIPE_DEPTH</w:t>
      </w:r>
      <w:r>
        <w:rPr/>
        <w:t>): none of them changes behavior seen at the seam, only when results are offered. The tag join absorbs any combination.</w:t>
      </w:r>
    </w:p>
    <w:p>
      <w:pPr>
        <w:pStyle w:val="Compact"/>
        <w:numPr>
          <w:ilvl w:val="0"/>
          <w:numId w:val="326"/>
        </w:numPr>
        <w:rPr/>
      </w:pPr>
      <w:r>
        <w:rPr>
          <w:b/>
          <w:bCs/>
        </w:rPr>
        <w:t>Build-out switches</w:t>
      </w:r>
      <w:r>
        <w:rPr/>
        <w:t xml:space="preserve"> (</w:t>
      </w:r>
      <w:r>
        <w:rPr>
          <w:rStyle w:val="VerbatimChar"/>
        </w:rPr>
        <w:t>EN_*</w:t>
      </w:r>
      <w:r>
        <w:rPr/>
        <w:t>): a family built out decodes as illegal. The lean build (all off) is the v1 bf16 ALU.</w:t>
      </w:r>
      <w:bookmarkEnd w:id="329"/>
      <w:r>
        <w:br w:type="page"/>
      </w:r>
    </w:p>
    <w:p>
      <w:pPr>
        <w:pStyle w:val="Heading2"/>
        <w:pBdr>
          <w:bottom w:val="single" w:sz="12" w:space="0" w:color="228B22"/>
        </w:pBdr>
        <w:spacing w:before="280" w:after="80"/>
        <w:rPr/>
      </w:pPr>
      <w:bookmarkStart w:id="330" w:name="__RefHeading___Toc12371_211582255"/>
      <w:bookmarkEnd w:id="330"/>
      <w:r>
        <w:rPr>
          <w:rStyle w:val="SectionNumber"/>
          <w:b/>
          <w:color w:val="228B22"/>
          <w:sz w:val="28"/>
        </w:rPr>
        <w:t>18.2</w:t>
      </w:r>
      <w:r>
        <w:rPr>
          <w:b/>
          <w:color w:val="228B22"/>
          <w:sz w:val="28"/>
        </w:rPr>
        <w:tab/>
      </w:r>
      <w:r>
        <w:rPr>
          <w:rStyle w:val="VerbatimChar"/>
          <w:b/>
          <w:color w:val="228B22"/>
          <w:sz w:val="28"/>
        </w:rPr>
        <w:t>func_sel</w:t>
      </w:r>
      <w:r>
        <w:rPr>
          <w:b/>
          <w:color w:val="228B22"/>
          <w:sz w:val="28"/>
        </w:rPr>
        <w:t xml:space="preserve"> Encoding</w:t>
      </w:r>
    </w:p>
    <w:p>
      <w:pPr>
        <w:pStyle w:val="TableCaption"/>
        <w:rPr/>
      </w:pPr>
      <w:bookmarkStart w:id="331" w:name="_Tab_17_Table_6_1__func_sel_"/>
      <w:r>
        <w:rPr/>
        <w:t xml:space="preserve">Table 6.1: </w:t>
      </w:r>
      <w:r>
        <w:rPr>
          <w:rStyle w:val="VerbatimChar"/>
        </w:rPr>
        <w:t>func_sel</w:t>
      </w:r>
      <w:r>
        <w:rPr/>
        <w:t xml:space="preserve"> fields</w:t>
      </w:r>
      <w:bookmarkEnd w:id="3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42"/>
        <w:gridCol w:w="2848"/>
        <w:gridCol w:w="4070"/>
      </w:tblGrid>
      <w:tr>
        <w:trPr>
          <w:tblHeader w:val="true"/>
        </w:trPr>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Table 2.2; 23–31 unassigned (illegal)</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sub_op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row-specific: min/max select, compare operand, reduce sum/max and fold, PWL write/read, CVT destination format, ALTFMT conversion</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[8:7]</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fmt</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element format: 0 bf16, 1 int8, 2 fp32, 3 fp8 e4m3</w:t>
            </w:r>
            <w:bookmarkStart w:id="332" w:name="func_sel-encoding"/>
            <w:bookmarkEnd w:id="332"/>
          </w:p>
        </w:tc>
      </w:tr>
    </w:tbl>
    <w:p>
      <w:pPr>
        <w:pStyle w:val="Heading2"/>
        <w:pBdr>
          <w:bottom w:val="single" w:sz="12" w:space="0" w:color="228B22"/>
        </w:pBdr>
        <w:spacing w:before="280" w:after="80"/>
        <w:rPr/>
      </w:pPr>
      <w:r>
        <w:br w:type="page"/>
      </w:r>
      <w:bookmarkStart w:id="333" w:name="__RefHeading___Toc12373_211582255"/>
      <w:bookmarkEnd w:id="333"/>
      <w:r>
        <w:rPr>
          <w:rStyle w:val="SectionNumber"/>
          <w:b/>
          <w:color w:val="228B22"/>
          <w:sz w:val="28"/>
        </w:rPr>
        <w:t>18.3</w:t>
      </w:r>
      <w:r>
        <w:rPr>
          <w:b/>
          <w:color w:val="228B22"/>
          <w:sz w:val="28"/>
        </w:rPr>
        <w:tab/>
      </w:r>
      <w:r>
        <w:rPr>
          <w:rStyle w:val="VerbatimChar"/>
          <w:b/>
          <w:color w:val="228B22"/>
          <w:sz w:val="28"/>
        </w:rPr>
        <w:t>acc_ctrl</w:t>
      </w:r>
      <w:r>
        <w:rPr>
          <w:b/>
          <w:color w:val="228B22"/>
          <w:sz w:val="28"/>
        </w:rPr>
        <w:t xml:space="preserve"> Encoding</w:t>
      </w:r>
    </w:p>
    <w:p>
      <w:pPr>
        <w:pStyle w:val="TableCaption"/>
        <w:rPr/>
      </w:pPr>
      <w:bookmarkStart w:id="334" w:name="_Tab_18_Table_6_2__acc_ctrl_"/>
      <w:r>
        <w:rPr/>
        <w:t xml:space="preserve">Table 6.2: </w:t>
      </w:r>
      <w:r>
        <w:rPr>
          <w:rStyle w:val="VerbatimChar"/>
        </w:rPr>
        <w:t>acc_ctrl</w:t>
      </w:r>
      <w:r>
        <w:rPr/>
        <w:t xml:space="preserve"> encoding (accepted 2026-10-17, “works for now”)</w:t>
      </w:r>
      <w:bookmarkEnd w:id="3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unchanged; present 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ACCUMULATE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 / REDUCE update per active lane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identity (+0; −inf or INT32_MIN for max)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unchanged; present it (or its fold)</w:t>
            </w:r>
          </w:p>
        </w:tc>
      </w:tr>
    </w:tbl>
    <w:p>
      <w:pPr>
        <w:pStyle w:val="Heading2"/>
        <w:pBdr>
          <w:bottom w:val="single" w:sz="12" w:space="0" w:color="228B22"/>
        </w:pBdr>
        <w:spacing w:before="280" w:after="80"/>
        <w:rPr/>
      </w:pPr>
      <w:r>
        <w:br w:type="page"/>
      </w:r>
      <w:bookmarkStart w:id="335" w:name="__RefHeading___Toc12375_211582255"/>
      <w:bookmarkEnd w:id="335"/>
      <w:r>
        <w:rPr>
          <w:rStyle w:val="SectionNumber"/>
          <w:b/>
          <w:color w:val="228B22"/>
          <w:sz w:val="28"/>
        </w:rPr>
        <w:t>18.4</w:t>
      </w:r>
      <w:r>
        <w:rPr>
          <w:b/>
          <w:color w:val="228B22"/>
          <w:sz w:val="28"/>
        </w:rPr>
        <w:tab/>
      </w:r>
      <w:r>
        <w:rPr>
          <w:rStyle w:val="VerbatimChar"/>
          <w:b/>
          <w:color w:val="228B22"/>
          <w:sz w:val="28"/>
        </w:rPr>
        <w:t>threshold_imm</w:t>
      </w:r>
      <w:r>
        <w:rPr>
          <w:b/>
          <w:color w:val="228B22"/>
          <w:sz w:val="28"/>
        </w:rPr>
        <w:t xml:space="preserve"> Uses</w:t>
      </w:r>
    </w:p>
    <w:p>
      <w:pPr>
        <w:pStyle w:val="TableCaption"/>
        <w:rPr/>
      </w:pPr>
      <w:bookmarkStart w:id="336" w:name="_Tab_19_Table_6_3__immediate"/>
      <w:r>
        <w:rPr/>
        <w:t>Table 6.3: immediate uses</w:t>
      </w:r>
      <w:bookmarkEnd w:id="3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w:t>
            </w:r>
            <w:r>
              <w:rPr>
                <w:rStyle w:val="VerbatimChar"/>
                <w:rFonts w:eastAsia="Cambria" w:cs=""/>
                <w:kern w:val="0"/>
                <w:szCs w:val="24"/>
                <w:lang w:val="en-US" w:eastAsia="en-US" w:bidi="ar-SA"/>
              </w:rPr>
              <w:t>sub_op[0]</w:t>
            </w:r>
            <w:r>
              <w:rPr>
                <w:rFonts w:eastAsia="Cambria" w:cs=""/>
                <w:kern w:val="0"/>
                <w:sz w:val="24"/>
                <w:szCs w:val="24"/>
                <w:lang w:val="en-US" w:eastAsia="en-US" w:bidi="ar-SA"/>
              </w:rPr>
              <w:t xml:space="preserve"> = 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as one lane of the format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value broadcast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int8 MAC / REDUCE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[4:0]</w:t>
            </w:r>
            <w:r>
              <w:rPr>
                <w:rFonts w:eastAsia="Cambria" w:cs=""/>
                <w:kern w:val="0"/>
                <w:sz w:val="24"/>
                <w:szCs w:val="24"/>
                <w:lang w:val="en-US" w:eastAsia="en-US" w:bidi="ar-SA"/>
              </w:rPr>
              <w:t xml:space="preserve"> = requantize right shift of the presented view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CVT bf16 → int8</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quantization scale (bf16)</w:t>
            </w:r>
          </w:p>
        </w:tc>
      </w:tr>
    </w:tbl>
    <w:p>
      <w:pPr>
        <w:pStyle w:val="Heading2"/>
        <w:pBdr>
          <w:bottom w:val="single" w:sz="12" w:space="0" w:color="228B22"/>
        </w:pBdr>
        <w:spacing w:before="280" w:after="80"/>
        <w:rPr/>
      </w:pPr>
      <w:r>
        <w:br w:type="page"/>
      </w:r>
      <w:bookmarkStart w:id="337" w:name="__RefHeading___Toc12377_211582255"/>
      <w:bookmarkEnd w:id="337"/>
      <w:r>
        <w:rPr>
          <w:rStyle w:val="SectionNumber"/>
          <w:b/>
          <w:color w:val="228B22"/>
          <w:sz w:val="28"/>
        </w:rPr>
        <w:t>18.5</w:t>
      </w:r>
      <w:r>
        <w:rPr>
          <w:b/>
          <w:color w:val="228B22"/>
          <w:sz w:val="28"/>
        </w:rPr>
        <w:tab/>
        <w:t>Filelists</w:t>
      </w:r>
    </w:p>
    <w:p>
      <w:pPr>
        <w:pStyle w:val="FirstParagraph"/>
        <w:rPr/>
      </w:pPr>
      <w:r>
        <w:rPr>
          <w:rStyle w:val="VerbatimChar"/>
          <w:sz w:val="20"/>
        </w:rPr>
        <w:t>alu-infer/rtl/filelists/alu_infer_top.f</w:t>
      </w:r>
      <w:r>
        <w:rPr>
          <w:sz w:val="20"/>
        </w:rPr>
        <w:t xml:space="preserve"> is the block’s compile closure: </w:t>
      </w:r>
      <w:r>
        <w:rPr>
          <w:rStyle w:val="VerbatimChar"/>
          <w:sz w:val="20"/>
        </w:rPr>
        <w:t>alu_infer_pkg</w:t>
      </w:r>
      <w:r>
        <w:rPr>
          <w:sz w:val="20"/>
        </w:rPr>
        <w:t xml:space="preserve">, the </w:t>
      </w:r>
      <w:r>
        <w:rPr>
          <w:rStyle w:val="VerbatimChar"/>
          <w:sz w:val="20"/>
        </w:rPr>
        <w:t>rtl/math</w:t>
      </w:r>
      <w:r>
        <w:rPr>
          <w:sz w:val="20"/>
        </w:rPr>
        <w:t xml:space="preserve"> filelists of every instantiated block, and the area’s sources. The unit testbench compiles it. </w:t>
      </w:r>
      <w:r>
        <w:rPr>
          <w:rStyle w:val="VerbatimChar"/>
          <w:sz w:val="20"/>
        </w:rPr>
        <w:t>filelists/alu-infer_all.f</w:t>
      </w:r>
      <w:r>
        <w:rPr>
          <w:sz w:val="20"/>
        </w:rPr>
        <w:t xml:space="preserve"> is the area lint master, the name </w:t>
      </w:r>
      <w:r>
        <w:rPr>
          <w:rStyle w:val="VerbatimChar"/>
          <w:sz w:val="20"/>
        </w:rPr>
        <w:t>rtl/make/area.mk</w:t>
      </w:r>
      <w:r>
        <w:rPr>
          <w:sz w:val="20"/>
        </w:rPr>
        <w:t xml:space="preserve"> derives from </w:t>
      </w:r>
      <w:r>
        <w:rPr>
          <w:rStyle w:val="VerbatimChar"/>
          <w:sz w:val="20"/>
        </w:rPr>
        <w:t>AREA := alu-infer</w:t>
      </w:r>
      <w:r>
        <w:rPr>
          <w:sz w:val="20"/>
        </w:rPr>
        <w:t>. The cell filelists include the block’s filelist for integration.</w:t>
      </w:r>
      <w:r>
        <w:br w:type="page"/>
      </w:r>
    </w:p>
    <w:p>
      <w:pPr>
        <w:pStyle w:val="Heading2"/>
        <w:pBdr>
          <w:bottom w:val="single" w:sz="12" w:space="0" w:color="228B22"/>
        </w:pBdr>
        <w:spacing w:before="280" w:after="80"/>
        <w:rPr/>
      </w:pPr>
      <w:bookmarkStart w:id="338" w:name="__RefHeading___Toc12379_211582255"/>
      <w:bookmarkStart w:id="339" w:name="open-items-register"/>
      <w:bookmarkEnd w:id="338"/>
      <w:r>
        <w:rPr>
          <w:rStyle w:val="SectionNumber"/>
          <w:b/>
          <w:color w:val="228B22"/>
          <w:sz w:val="28"/>
        </w:rPr>
        <w:t>18.6</w:t>
      </w:r>
      <w:r>
        <w:rPr>
          <w:b/>
          <w:color w:val="228B22"/>
          <w:sz w:val="28"/>
        </w:rPr>
        <w:tab/>
        <w:t>Open Items Register</w:t>
      </w:r>
    </w:p>
    <w:p>
      <w:pPr>
        <w:pStyle w:val="TableCaption"/>
        <w:rPr/>
      </w:pPr>
      <w:bookmarkStart w:id="340" w:name="_Tab_20_Table_6_4__open_item"/>
      <w:r>
        <w:rPr/>
        <w:t>Table 6.4: open items M1–M8</w:t>
      </w:r>
      <w:bookmarkEnd w:id="3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2"/>
        <w:gridCol w:w="3303"/>
        <w:gridCol w:w="3855"/>
      </w:tblGrid>
      <w:tr>
        <w:trPr>
          <w:tblHeader w:val="true"/>
        </w:trPr>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NaN/inf semantics in min/max and activations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Recorded as built</w:t>
            </w:r>
            <w:r>
              <w:rPr>
                <w:rFonts w:eastAsia="Cambria" w:cs=""/>
                <w:kern w:val="0"/>
                <w:sz w:val="24"/>
                <w:szCs w:val="24"/>
                <w:lang w:val="en-US" w:eastAsia="en-US" w:bidi="ar-SA"/>
              </w:rPr>
              <w:t>: each library block’s semantics (min/max return the non-NaN operand; relu and the activations pass NaN). Owner may override.</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M2</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Whether library IEEE exception outputs forward into </w:t>
            </w:r>
            <w:r>
              <w:rPr>
                <w:rStyle w:val="VerbatimChar"/>
                <w:rFonts w:eastAsia="Cambria" w:cs=""/>
                <w:kern w:val="0"/>
                <w:szCs w:val="24"/>
                <w:lang w:val="en-US" w:eastAsia="en-US" w:bidi="ar-SA"/>
              </w:rPr>
              <w:t>result_flags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(observability)</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M3</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Denormal/FTZ policy</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Recorded as built</w:t>
            </w:r>
            <w:r>
              <w:rPr>
                <w:rFonts w:eastAsia="Cambria" w:cs=""/>
                <w:kern w:val="0"/>
                <w:sz w:val="24"/>
                <w:szCs w:val="24"/>
                <w:lang w:val="en-US" w:eastAsia="en-US" w:bidi="ar-SA"/>
              </w:rPr>
              <w:t xml:space="preserve">: FTZ everywhere (every block’s default </w:t>
            </w:r>
            <w:r>
              <w:rPr>
                <w:rStyle w:val="VerbatimChar"/>
                <w:rFonts w:eastAsia="Cambria" w:cs=""/>
                <w:kern w:val="0"/>
                <w:szCs w:val="24"/>
                <w:lang w:val="en-US" w:eastAsia="en-US" w:bidi="ar-SA"/>
              </w:rPr>
              <w:t>SUBNORMAL_SUPPORT = 0</w:t>
            </w:r>
            <w:r>
              <w:rPr>
                <w:rFonts w:eastAsia="Cambria" w:cs=""/>
                <w:kern w:val="0"/>
                <w:sz w:val="24"/>
                <w:szCs w:val="24"/>
                <w:lang w:val="en-US" w:eastAsia="en-US" w:bidi="ar-SA"/>
              </w:rPr>
              <w:t>). Owner may override.</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M4</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threshold_imm</w:t>
            </w:r>
            <w:r>
              <w:rPr>
                <w:rFonts w:eastAsia="Cambria" w:cs=""/>
                <w:kern w:val="0"/>
                <w:sz w:val="24"/>
                <w:szCs w:val="24"/>
                <w:lang w:val="en-US" w:eastAsia="en-US" w:bidi="ar-SA"/>
              </w:rPr>
              <w:t xml:space="preserve"> encoding</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Recorded as built</w:t>
            </w:r>
            <w:r>
              <w:rPr>
                <w:rFonts w:eastAsia="Cambria" w:cs=""/>
                <w:kern w:val="0"/>
                <w:sz w:val="24"/>
                <w:szCs w:val="24"/>
                <w:lang w:val="en-US" w:eastAsia="en-US" w:bidi="ar-SA"/>
              </w:rPr>
              <w:t>: the raw element pattern of the format (Table 6.3)</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M5</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result_flags</w:t>
            </w:r>
            <w:r>
              <w:rPr>
                <w:rFonts w:eastAsia="Cambria" w:cs=""/>
                <w:kern w:val="0"/>
                <w:sz w:val="24"/>
                <w:szCs w:val="24"/>
                <w:lang w:val="en-US" w:eastAsia="en-US" w:bidi="ar-SA"/>
              </w:rPr>
              <w:t xml:space="preserve"> format</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Closed 2026-10-17: one mask bit per lane, packed low</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M6</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func_sel[8:7]</w:t>
            </w:r>
            <w:r>
              <w:rPr>
                <w:rFonts w:eastAsia="Cambria" w:cs=""/>
                <w:kern w:val="0"/>
                <w:sz w:val="24"/>
                <w:szCs w:val="24"/>
                <w:lang w:val="en-US" w:eastAsia="en-US" w:bidi="ar-SA"/>
              </w:rPr>
              <w:t xml:space="preserve"> disposition</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Closed by implementation 2026-10-20</w:t>
            </w:r>
            <w:r>
              <w:rPr>
                <w:rFonts w:eastAsia="Cambria" w:cs=""/>
                <w:kern w:val="0"/>
                <w:sz w:val="24"/>
                <w:szCs w:val="24"/>
                <w:lang w:val="en-US" w:eastAsia="en-US" w:bidi="ar-SA"/>
              </w:rPr>
              <w:t>: the element-format field, as the PRD roadmap planned</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M7</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 presents the post-update bank in the element format; DRAIN presents without updating</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2026-10-17; extended to REDUCE and every format</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M8</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Per-row latency values tuned on the FPGA</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(FPGA bring-up); the latency parameters are the knobs</w:t>
            </w:r>
          </w:p>
        </w:tc>
      </w:tr>
    </w:tbl>
    <w:p>
      <w:pPr>
        <w:pStyle w:val="Normal"/>
        <w:rPr/>
      </w:pPr>
      <w:r>
        <w:rPr/>
        <mc:AlternateContent>
          <mc:Choice Requires="wps">
            <w:drawing>
              <wp:inline distT="0" distB="0" distL="0" distR="0">
                <wp:extent cx="635"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2026-10-20</w:t>
      </w:r>
      <w:bookmarkEnd w:id="327"/>
      <w:bookmarkEnd w:id="339"/>
    </w:p>
    <w:sectPr>
      <w:footerReference w:type="even" r:id="rId92"/>
      <w:footerReference w:type="default" r:id="rId93"/>
      <w:footerReference w:type="first" r:id="rId9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ALU-INFER Micro-Architecture Specification 0.50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136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136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ALU-INFER Micro-Architecture Specification 0.50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136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136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decimal"/>
      <w:lvlText w:val="%1)"/>
      <w:lvlJc w:val="left"/>
      <w:pPr>
        <w:tabs>
          <w:tab w:val="num" w:pos="0"/>
        </w:tabs>
        <w:ind w:left="720" w:hanging="480"/>
      </w:pPr>
      <w:rPr/>
    </w:lvl>
    <w:lvl w:ilvl="1">
      <w:start w:val="0"/>
      <w:numFmt w:val="decimal"/>
      <w:lvlText w:val="%2)"/>
      <w:lvlJc w:val="left"/>
      <w:pPr>
        <w:tabs>
          <w:tab w:val="num" w:pos="0"/>
        </w:tabs>
        <w:ind w:left="1440" w:hanging="480"/>
      </w:pPr>
      <w:rPr/>
    </w:lvl>
    <w:lvl w:ilvl="2">
      <w:start w:val="0"/>
      <w:numFmt w:val="decimal"/>
      <w:lvlText w:val="%3)"/>
      <w:lvlJc w:val="left"/>
      <w:pPr>
        <w:tabs>
          <w:tab w:val="num" w:pos="0"/>
        </w:tabs>
        <w:ind w:left="2160" w:hanging="480"/>
      </w:pPr>
      <w:rPr/>
    </w:lvl>
    <w:lvl w:ilvl="3">
      <w:start w:val="0"/>
      <w:numFmt w:val="decimal"/>
      <w:lvlText w:val="%4)"/>
      <w:lvlJc w:val="left"/>
      <w:pPr>
        <w:tabs>
          <w:tab w:val="num" w:pos="0"/>
        </w:tabs>
        <w:ind w:left="2880" w:hanging="480"/>
      </w:pPr>
      <w:rPr/>
    </w:lvl>
    <w:lvl w:ilvl="4">
      <w:start w:val="0"/>
      <w:numFmt w:val="decimal"/>
      <w:lvlText w:val="%5)"/>
      <w:lvlJc w:val="left"/>
      <w:pPr>
        <w:tabs>
          <w:tab w:val="num" w:pos="0"/>
        </w:tabs>
        <w:ind w:left="3600" w:hanging="480"/>
      </w:pPr>
      <w:rPr/>
    </w:lvl>
    <w:lvl w:ilvl="5">
      <w:start w:val="0"/>
      <w:numFmt w:val="decimal"/>
      <w:lvlText w:val="%6)"/>
      <w:lvlJc w:val="left"/>
      <w:pPr>
        <w:tabs>
          <w:tab w:val="num" w:pos="0"/>
        </w:tabs>
        <w:ind w:left="4320" w:hanging="480"/>
      </w:pPr>
      <w:rPr/>
    </w:lvl>
    <w:lvl w:ilvl="6">
      <w:start w:val="0"/>
      <w:numFmt w:val="decimal"/>
      <w:lvlText w:val="%7)"/>
      <w:lvlJc w:val="left"/>
      <w:pPr>
        <w:tabs>
          <w:tab w:val="num" w:pos="0"/>
        </w:tabs>
        <w:ind w:left="5040" w:hanging="480"/>
      </w:pPr>
      <w:rPr/>
    </w:lvl>
    <w:lvl w:ilvl="7">
      <w:start w:val="0"/>
      <w:numFmt w:val="decimal"/>
      <w:lvlText w:val="%8)"/>
      <w:lvlJc w:val="left"/>
      <w:pPr>
        <w:tabs>
          <w:tab w:val="num" w:pos="0"/>
        </w:tabs>
        <w:ind w:left="5760" w:hanging="480"/>
      </w:pPr>
      <w:rPr/>
    </w:lvl>
    <w:lvl w:ilvl="8">
      <w:start w:val="0"/>
      <w:numFmt w:val="decimal"/>
      <w:lvlText w:val="%9)"/>
      <w:lvlJc w:val="left"/>
      <w:pPr>
        <w:tabs>
          <w:tab w:val="num" w:pos="0"/>
        </w:tabs>
        <w:ind w:left="6480" w:hanging="480"/>
      </w:pPr>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1"/>
    <w:lvlOverride w:ilvl="0">
      <w:startOverride w:val="1"/>
    </w:lvlOverride>
  </w:num>
  <w:num w:numId="82">
    <w:abstractNumId w:val="1"/>
    <w:lvlOverride w:ilvl="0">
      <w:startOverride w:val="1"/>
    </w:lvlOverride>
  </w:num>
  <w:num w:numId="83">
    <w:abstractNumId w:val="1"/>
  </w:num>
  <w:num w:numId="84">
    <w:abstractNumId w:val="1"/>
  </w:num>
  <w:num w:numId="85">
    <w:abstractNumId w:val="1"/>
  </w:num>
  <w:num w:numId="86">
    <w:abstractNumId w:val="3"/>
  </w:num>
  <w:num w:numId="87">
    <w:abstractNumId w:val="3"/>
  </w:num>
  <w:num w:numId="88">
    <w:abstractNumId w:val="3"/>
  </w:num>
  <w:num w:numId="89">
    <w:abstractNumId w:val="3"/>
  </w:num>
  <w:num w:numId="90">
    <w:abstractNumId w:val="3"/>
  </w:num>
  <w:num w:numId="91">
    <w:abstractNumId w:val="3"/>
  </w:num>
  <w:num w:numId="92">
    <w:abstractNumId w:val="3"/>
  </w:num>
  <w:num w:numId="93">
    <w:abstractNumId w:val="3"/>
  </w:num>
  <w:num w:numId="94">
    <w:abstractNumId w:val="3"/>
  </w:num>
  <w:num w:numId="95">
    <w:abstractNumId w:val="3"/>
  </w:num>
  <w:num w:numId="96">
    <w:abstractNumId w:val="3"/>
  </w:num>
  <w:num w:numId="97">
    <w:abstractNumId w:val="3"/>
  </w:num>
  <w:num w:numId="98">
    <w:abstractNumId w:val="3"/>
  </w:num>
  <w:num w:numId="99">
    <w:abstractNumId w:val="3"/>
  </w:num>
  <w:num w:numId="100">
    <w:abstractNumId w:val="3"/>
  </w:num>
  <w:num w:numId="101">
    <w:abstractNumId w:val="3"/>
  </w:num>
  <w:num w:numId="102">
    <w:abstractNumId w:val="3"/>
  </w:num>
  <w:num w:numId="103">
    <w:abstractNumId w:val="3"/>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3"/>
  </w:num>
  <w:num w:numId="120">
    <w:abstractNumId w:val="3"/>
  </w:num>
  <w:num w:numId="121">
    <w:abstractNumId w:val="3"/>
  </w:num>
  <w:num w:numId="122">
    <w:abstractNumId w:val="3"/>
  </w:num>
  <w:num w:numId="123">
    <w:abstractNumId w:val="3"/>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3"/>
  </w:num>
  <w:num w:numId="131">
    <w:abstractNumId w:val="3"/>
  </w:num>
  <w:num w:numId="132">
    <w:abstractNumId w:val="3"/>
  </w:num>
  <w:num w:numId="133">
    <w:abstractNumId w:val="1"/>
    <w:lvlOverride w:ilvl="0">
      <w:startOverride w:val="1"/>
    </w:lvlOverride>
  </w:num>
  <w:num w:numId="134">
    <w:abstractNumId w:val="3"/>
  </w:num>
  <w:num w:numId="135">
    <w:abstractNumId w:val="1"/>
  </w:num>
  <w:num w:numId="136">
    <w:abstractNumId w:val="1"/>
  </w:num>
  <w:num w:numId="137">
    <w:abstractNumId w:val="1"/>
  </w:num>
  <w:num w:numId="138">
    <w:abstractNumId w:val="1"/>
  </w:num>
  <w:num w:numId="139">
    <w:abstractNumId w:val="1"/>
    <w:lvlOverride w:ilvl="0">
      <w:startOverride w:val="1"/>
    </w:lvlOverride>
  </w:num>
  <w:num w:numId="140">
    <w:abstractNumId w:val="1"/>
  </w:num>
  <w:num w:numId="141">
    <w:abstractNumId w:val="1"/>
  </w:num>
  <w:num w:numId="142">
    <w:abstractNumId w:val="1"/>
  </w:num>
  <w:num w:numId="143">
    <w:abstractNumId w:val="1"/>
  </w:num>
  <w:num w:numId="144">
    <w:abstractNumId w:val="3"/>
  </w:num>
  <w:num w:numId="145">
    <w:abstractNumId w:val="3"/>
  </w:num>
  <w:num w:numId="146">
    <w:abstractNumId w:val="1"/>
    <w:lvlOverride w:ilvl="0">
      <w:startOverride w:val="1"/>
    </w:lvlOverride>
  </w:num>
  <w:num w:numId="147">
    <w:abstractNumId w:val="1"/>
  </w:num>
  <w:num w:numId="148">
    <w:abstractNumId w:val="1"/>
  </w:num>
  <w:num w:numId="149">
    <w:abstractNumId w:val="1"/>
  </w:num>
  <w:num w:numId="150">
    <w:abstractNumId w:val="1"/>
  </w:num>
  <w:num w:numId="151">
    <w:abstractNumId w:val="3"/>
  </w:num>
  <w:num w:numId="152">
    <w:abstractNumId w:val="3"/>
  </w:num>
  <w:num w:numId="153">
    <w:abstractNumId w:val="3"/>
  </w:num>
  <w:num w:numId="154">
    <w:abstractNumId w:val="1"/>
    <w:lvlOverride w:ilvl="0">
      <w:startOverride w:val="1"/>
    </w:lvlOverride>
  </w:num>
  <w:num w:numId="155">
    <w:abstractNumId w:val="1"/>
  </w:num>
  <w:num w:numId="156">
    <w:abstractNumId w:val="1"/>
  </w:num>
  <w:num w:numId="157">
    <w:abstractNumId w:val="1"/>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3"/>
  </w:num>
  <w:num w:numId="169">
    <w:abstractNumId w:val="3"/>
  </w:num>
  <w:num w:numId="170">
    <w:abstractNumId w:val="3"/>
  </w:num>
  <w:num w:numId="171">
    <w:abstractNumId w:val="3"/>
  </w:num>
  <w:num w:numId="172">
    <w:abstractNumId w:val="3"/>
  </w:num>
  <w:num w:numId="173">
    <w:abstractNumId w:val="3"/>
  </w:num>
  <w:num w:numId="174">
    <w:abstractNumId w:val="3"/>
  </w:num>
  <w:num w:numId="175">
    <w:abstractNumId w:val="3"/>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3"/>
  </w:num>
  <w:num w:numId="191">
    <w:abstractNumId w:val="3"/>
  </w:num>
  <w:num w:numId="192">
    <w:abstractNumId w:val="3"/>
  </w:num>
  <w:num w:numId="193">
    <w:abstractNumId w:val="3"/>
  </w:num>
  <w:num w:numId="194">
    <w:abstractNumId w:val="3"/>
  </w:num>
  <w:num w:numId="195">
    <w:abstractNumId w:val="3"/>
  </w:num>
  <w:num w:numId="196">
    <w:abstractNumId w:val="3"/>
  </w:num>
  <w:num w:numId="197">
    <w:abstractNumId w:val="3"/>
  </w:num>
  <w:num w:numId="198">
    <w:abstractNumId w:val="3"/>
  </w:num>
  <w:num w:numId="199">
    <w:abstractNumId w:val="3"/>
  </w:num>
  <w:num w:numId="200">
    <w:abstractNumId w:val="3"/>
  </w:num>
  <w:num w:numId="201">
    <w:abstractNumId w:val="3"/>
  </w:num>
  <w:num w:numId="202">
    <w:abstractNumId w:val="3"/>
  </w:num>
  <w:num w:numId="203">
    <w:abstractNumId w:val="3"/>
  </w:num>
  <w:num w:numId="204">
    <w:abstractNumId w:val="3"/>
  </w:num>
  <w:num w:numId="205">
    <w:abstractNumId w:val="3"/>
  </w:num>
  <w:num w:numId="206">
    <w:abstractNumId w:val="3"/>
  </w:num>
  <w:num w:numId="207">
    <w:abstractNumId w:val="3"/>
  </w:num>
  <w:num w:numId="208">
    <w:abstractNumId w:val="3"/>
  </w:num>
  <w:num w:numId="209">
    <w:abstractNumId w:val="3"/>
  </w:num>
  <w:num w:numId="210">
    <w:abstractNumId w:val="3"/>
  </w:num>
  <w:num w:numId="211">
    <w:abstractNumId w:val="3"/>
  </w:num>
  <w:num w:numId="212">
    <w:abstractNumId w:val="3"/>
  </w:num>
  <w:num w:numId="213">
    <w:abstractNumId w:val="3"/>
  </w:num>
  <w:num w:numId="214">
    <w:abstractNumId w:val="3"/>
  </w:num>
  <w:num w:numId="215">
    <w:abstractNumId w:val="3"/>
  </w:num>
  <w:num w:numId="216">
    <w:abstractNumId w:val="3"/>
  </w:num>
  <w:num w:numId="217">
    <w:abstractNumId w:val="3"/>
  </w:num>
  <w:num w:numId="218">
    <w:abstractNumId w:val="3"/>
  </w:num>
  <w:num w:numId="219">
    <w:abstractNumId w:val="3"/>
  </w:num>
  <w:num w:numId="220">
    <w:abstractNumId w:val="3"/>
  </w:num>
  <w:num w:numId="221">
    <w:abstractNumId w:val="3"/>
  </w:num>
  <w:num w:numId="222">
    <w:abstractNumId w:val="3"/>
  </w:num>
  <w:num w:numId="223">
    <w:abstractNumId w:val="3"/>
  </w:num>
  <w:num w:numId="224">
    <w:abstractNumId w:val="3"/>
  </w:num>
  <w:num w:numId="225">
    <w:abstractNumId w:val="3"/>
  </w:num>
  <w:num w:numId="226">
    <w:abstractNumId w:val="3"/>
  </w:num>
  <w:num w:numId="227">
    <w:abstractNumId w:val="3"/>
  </w:num>
  <w:num w:numId="228">
    <w:abstractNumId w:val="3"/>
  </w:num>
  <w:num w:numId="229">
    <w:abstractNumId w:val="3"/>
  </w:num>
  <w:num w:numId="230">
    <w:abstractNumId w:val="3"/>
  </w:num>
  <w:num w:numId="231">
    <w:abstractNumId w:val="3"/>
  </w:num>
  <w:num w:numId="232">
    <w:abstractNumId w:val="3"/>
  </w:num>
  <w:num w:numId="233">
    <w:abstractNumId w:val="3"/>
  </w:num>
  <w:num w:numId="234">
    <w:abstractNumId w:val="3"/>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 w:numId="245">
    <w:abstractNumId w:val="3"/>
  </w:num>
  <w:num w:numId="246">
    <w:abstractNumId w:val="3"/>
  </w:num>
  <w:num w:numId="247">
    <w:abstractNumId w:val="3"/>
  </w:num>
  <w:num w:numId="248">
    <w:abstractNumId w:val="3"/>
  </w:num>
  <w:num w:numId="249">
    <w:abstractNumId w:val="3"/>
  </w:num>
  <w:num w:numId="250">
    <w:abstractNumId w:val="3"/>
  </w:num>
  <w:num w:numId="251">
    <w:abstractNumId w:val="3"/>
  </w:num>
  <w:num w:numId="252">
    <w:abstractNumId w:val="3"/>
  </w:num>
  <w:num w:numId="253">
    <w:abstractNumId w:val="3"/>
  </w:num>
  <w:num w:numId="254">
    <w:abstractNumId w:val="3"/>
  </w:num>
  <w:num w:numId="255">
    <w:abstractNumId w:val="3"/>
  </w:num>
  <w:num w:numId="256">
    <w:abstractNumId w:val="3"/>
  </w:num>
  <w:num w:numId="257">
    <w:abstractNumId w:val="3"/>
  </w:num>
  <w:num w:numId="258">
    <w:abstractNumId w:val="3"/>
  </w:num>
  <w:num w:numId="259">
    <w:abstractNumId w:val="3"/>
  </w:num>
  <w:num w:numId="260">
    <w:abstractNumId w:val="3"/>
  </w:num>
  <w:num w:numId="261">
    <w:abstractNumId w:val="3"/>
  </w:num>
  <w:num w:numId="262">
    <w:abstractNumId w:val="3"/>
  </w:num>
  <w:num w:numId="263">
    <w:abstractNumId w:val="3"/>
  </w:num>
  <w:num w:numId="264">
    <w:abstractNumId w:val="3"/>
  </w:num>
  <w:num w:numId="265">
    <w:abstractNumId w:val="3"/>
  </w:num>
  <w:num w:numId="266">
    <w:abstractNumId w:val="3"/>
  </w:num>
  <w:num w:numId="267">
    <w:abstractNumId w:val="3"/>
  </w:num>
  <w:num w:numId="268">
    <w:abstractNumId w:val="3"/>
  </w:num>
  <w:num w:numId="269">
    <w:abstractNumId w:val="3"/>
  </w:num>
  <w:num w:numId="270">
    <w:abstractNumId w:val="3"/>
  </w:num>
  <w:num w:numId="271">
    <w:abstractNumId w:val="3"/>
  </w:num>
  <w:num w:numId="272">
    <w:abstractNumId w:val="3"/>
  </w:num>
  <w:num w:numId="273">
    <w:abstractNumId w:val="3"/>
  </w:num>
  <w:num w:numId="274">
    <w:abstractNumId w:val="3"/>
  </w:num>
  <w:num w:numId="275">
    <w:abstractNumId w:val="3"/>
  </w:num>
  <w:num w:numId="276">
    <w:abstractNumId w:val="3"/>
  </w:num>
  <w:num w:numId="277">
    <w:abstractNumId w:val="3"/>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69"/>
    <w:lvlOverride w:ilvl="0">
      <w:startOverride w:val="0"/>
    </w:lvlOverride>
    <w:lvlOverride w:ilvl="1">
      <w:startOverride w:val="0"/>
    </w:lvlOverride>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3"/>
  </w:num>
  <w:num w:numId="304">
    <w:abstractNumId w:val="1"/>
    <w:lvlOverride w:ilvl="0">
      <w:startOverride w:val="1"/>
    </w:lvlOverride>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3"/>
  </w:num>
  <w:num w:numId="312">
    <w:abstractNumId w:val="3"/>
  </w:num>
  <w:num w:numId="313">
    <w:abstractNumId w:val="1"/>
    <w:lvlOverride w:ilvl="0">
      <w:startOverride w:val="1"/>
    </w:lvlOverride>
  </w:num>
  <w:num w:numId="314">
    <w:abstractNumId w:val="1"/>
  </w:num>
  <w:num w:numId="315">
    <w:abstractNumId w:val="1"/>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README.md" TargetMode="External"/><Relationship Id="rId4" Type="http://schemas.openxmlformats.org/officeDocument/2006/relationships/hyperlink" Target="../cell/docs/PRD.md" TargetMode="External"/><Relationship Id="rId5" Type="http://schemas.openxmlformats.org/officeDocument/2006/relationships/hyperlink" Target="../../../../rtl/math/" TargetMode="External"/><Relationship Id="rId6" Type="http://schemas.openxmlformats.org/officeDocument/2006/relationships/hyperlink" Target="../cell/README.md" TargetMode="External"/><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riscv-ip/gatling-rv32itetrad/PRD.md" TargetMode="External"/><Relationship Id="rId10" Type="http://schemas.openxmlformats.org/officeDocument/2006/relationships/hyperlink" Target="../cell/docs/PRD.md" TargetMode="External"/><Relationship Id="rId11" Type="http://schemas.openxmlformats.org/officeDocument/2006/relationships/hyperlink" Target="../../riscv-ip/gatling-rv32itetrad/PRD.md" TargetMode="External"/><Relationship Id="rId12" Type="http://schemas.openxmlformats.org/officeDocument/2006/relationships/hyperlink" Target="../tile/docs/TILE_SPEC.md" TargetMode="External"/><Relationship Id="rId13" Type="http://schemas.openxmlformats.org/officeDocument/2006/relationships/hyperlink" Target="../../../../rtl/math/references/README.md" TargetMode="External"/><Relationship Id="rId14" Type="http://schemas.openxmlformats.org/officeDocument/2006/relationships/hyperlink" Target="../cell/docs/PRD.md" TargetMode="External"/><Relationship Id="rId15" Type="http://schemas.openxmlformats.org/officeDocument/2006/relationships/hyperlink" Target="../../riscv-ip/gatling-rv32itetrad/PRD.md" TargetMode="External"/><Relationship Id="rId16" Type="http://schemas.openxmlformats.org/officeDocument/2006/relationships/hyperlink" Target="../../../../rtl/math/references/README.md" TargetMode="External"/><Relationship Id="rId17" Type="http://schemas.openxmlformats.org/officeDocument/2006/relationships/hyperlink" Target="../../../../rtl/math/references/ReLU__Nair2010.pdf" TargetMode="External"/><Relationship Id="rId18" Type="http://schemas.openxmlformats.org/officeDocument/2006/relationships/hyperlink" Target="../../../../rtl/math/references/GELU__Hendrycks2016.pdf" TargetMode="External"/><Relationship Id="rId19" Type="http://schemas.openxmlformats.org/officeDocument/2006/relationships/hyperlink" Target="../../../../rtl/math/references/SiLU__Elfwing2018.pdf" TargetMode="External"/><Relationship Id="rId20" Type="http://schemas.openxmlformats.org/officeDocument/2006/relationships/hyperlink" Target="../../../../rtl/math/references/Swish__Ramachandran2017.pdf" TargetMode="External"/><Relationship Id="rId21" Type="http://schemas.openxmlformats.org/officeDocument/2006/relationships/hyperlink" Target="../../../../rtl/math/references/Int8Quantization__Jacob2018.pdf" TargetMode="External"/><Relationship Id="rId22" Type="http://schemas.openxmlformats.org/officeDocument/2006/relationships/hyperlink" Target="../../../../rtl/math/references/README.md" TargetMode="External"/><Relationship Id="rId23" Type="http://schemas.openxmlformats.org/officeDocument/2006/relationships/hyperlink" Target="../README.md" TargetMode="External"/><Relationship Id="rId24" Type="http://schemas.openxmlformats.org/officeDocument/2006/relationships/hyperlink" Target="../../tile/docs/TILE_SPEC.md" TargetMode="External"/><Relationship Id="rId25" Type="http://schemas.openxmlformats.org/officeDocument/2006/relationships/hyperlink" Target="../README.md" TargetMode="External"/><Relationship Id="rId26" Type="http://schemas.openxmlformats.org/officeDocument/2006/relationships/hyperlink" Target="axon_spec.md" TargetMode="External"/><Relationship Id="rId27" Type="http://schemas.openxmlformats.org/officeDocument/2006/relationships/hyperlink" Target="../PRD.md" TargetMode="External"/><Relationship Id="rId28" Type="http://schemas.openxmlformats.org/officeDocument/2006/relationships/hyperlink" Target="../../../riscv-ip/gatling-rv32itetrad/PRD.md" TargetMode="External"/><Relationship Id="rId29" Type="http://schemas.openxmlformats.org/officeDocument/2006/relationships/image" Target="media/image4.png"/><Relationship Id="rId30" Type="http://schemas.openxmlformats.org/officeDocument/2006/relationships/hyperlink" Target="../PRD.md" TargetMode="External"/><Relationship Id="rId31" Type="http://schemas.openxmlformats.org/officeDocument/2006/relationships/hyperlink" Target="../PRD.md" TargetMode="External"/><Relationship Id="rId32" Type="http://schemas.openxmlformats.org/officeDocument/2006/relationships/hyperlink" Target="../../../riscv-ip/gatling-rv32itetrad/PRD.md" TargetMode="External"/><Relationship Id="rId33" Type="http://schemas.openxmlformats.org/officeDocument/2006/relationships/hyperlink" Target="../PRD.md" TargetMode="External"/><Relationship Id="rId34" Type="http://schemas.openxmlformats.org/officeDocument/2006/relationships/hyperlink" Target="../../tile/docs/TILE_SPEC.md" TargetMode="External"/><Relationship Id="rId35" Type="http://schemas.openxmlformats.org/officeDocument/2006/relationships/hyperlink" Target="../../../fabric-gen-ip/delta/docs/delta_has/ch07_mesh_network/" TargetMode="External"/><Relationship Id="rId36" Type="http://schemas.openxmlformats.org/officeDocument/2006/relationships/hyperlink" Target="../../../riscv-ip/gatling-rv32itetrad/PRD.md" TargetMode="External"/><Relationship Id="rId37" Type="http://schemas.openxmlformats.org/officeDocument/2006/relationships/hyperlink" Target="axon_spec.md" TargetMode="External"/><Relationship Id="rId38" Type="http://schemas.openxmlformats.org/officeDocument/2006/relationships/hyperlink" Target="../../../../../docs/superpowers/specs/2026-10-13-delta-mesh-design.md" TargetMode="External"/><Relationship Id="rId39" Type="http://schemas.openxmlformats.org/officeDocument/2006/relationships/hyperlink" Target="PRD.md" TargetMode="External"/><Relationship Id="rId40" Type="http://schemas.openxmlformats.org/officeDocument/2006/relationships/hyperlink" Target="docs/alu_infer_mas/alu_infer_mas_index.md" TargetMode="External"/><Relationship Id="rId41" Type="http://schemas.openxmlformats.org/officeDocument/2006/relationships/hyperlink" Target="docs/ALUINFER_MAS_v0.50.pdf" TargetMode="External"/><Relationship Id="rId42" Type="http://schemas.openxmlformats.org/officeDocument/2006/relationships/hyperlink" Target="rtl/" TargetMode="External"/><Relationship Id="rId43" Type="http://schemas.openxmlformats.org/officeDocument/2006/relationships/hyperlink" Target="bin/alu_infer_pwl.py" TargetMode="External"/><Relationship Id="rId44" Type="http://schemas.openxmlformats.org/officeDocument/2006/relationships/hyperlink" Target="dv/tests/" TargetMode="External"/><Relationship Id="rId45" Type="http://schemas.openxmlformats.org/officeDocument/2006/relationships/hyperlink" Target="../../riscv-ip/gatling-rv32itetrad/PRD.md" TargetMode="External"/><Relationship Id="rId46" Type="http://schemas.openxmlformats.org/officeDocument/2006/relationships/hyperlink" Target="../cell/README.md" TargetMode="External"/><Relationship Id="rId47" Type="http://schemas.openxmlformats.org/officeDocument/2006/relationships/hyperlink" Target="../../../../rtl/math/" TargetMode="External"/><Relationship Id="rId48" Type="http://schemas.openxmlformats.org/officeDocument/2006/relationships/hyperlink" Target="../README.md" TargetMode="External"/><Relationship Id="rId49" Type="http://schemas.openxmlformats.org/officeDocument/2006/relationships/hyperlink" Target="../rtl-common/index.md" TargetMode="External"/><Relationship Id="rId50" Type="http://schemas.openxmlformats.org/officeDocument/2006/relationships/hyperlink" Target="math_library.md" TargetMode="External"/><Relationship Id="rId51" Type="http://schemas.openxmlformats.org/officeDocument/2006/relationships/hyperlink" Target="math_adder_basic.md" TargetMode="External"/><Relationship Id="rId52" Type="http://schemas.openxmlformats.org/officeDocument/2006/relationships/hyperlink" Target="math_adder_full.md" TargetMode="External"/><Relationship Id="rId53" Type="http://schemas.openxmlformats.org/officeDocument/2006/relationships/hyperlink" Target="math_adder_ripple_carry.md" TargetMode="External"/><Relationship Id="rId54" Type="http://schemas.openxmlformats.org/officeDocument/2006/relationships/hyperlink" Target="math_adder_pg_chain.md" TargetMode="External"/><Relationship Id="rId55" Type="http://schemas.openxmlformats.org/officeDocument/2006/relationships/hyperlink" Target="math_adder_carry_save.md" TargetMode="External"/><Relationship Id="rId56" Type="http://schemas.openxmlformats.org/officeDocument/2006/relationships/hyperlink" Target="math_adder_brent_kung.md" TargetMode="External"/><Relationship Id="rId57" Type="http://schemas.openxmlformats.org/officeDocument/2006/relationships/hyperlink" Target="math_adder_han_carlson.md" TargetMode="External"/><Relationship Id="rId58" Type="http://schemas.openxmlformats.org/officeDocument/2006/relationships/hyperlink" Target="math_adder_hybrid_ripple_prefix.md" TargetMode="External"/><Relationship Id="rId59" Type="http://schemas.openxmlformats.org/officeDocument/2006/relationships/hyperlink" Target="math_addsub.md" TargetMode="External"/><Relationship Id="rId60" Type="http://schemas.openxmlformats.org/officeDocument/2006/relationships/hyperlink" Target="math_dividers.md" TargetMode="External"/><Relationship Id="rId61" Type="http://schemas.openxmlformats.org/officeDocument/2006/relationships/hyperlink" Target="math_subtractor.md" TargetMode="External"/><Relationship Id="rId62" Type="http://schemas.openxmlformats.org/officeDocument/2006/relationships/hyperlink" Target="math_multiplier_wallace_tree.md" TargetMode="External"/><Relationship Id="rId63" Type="http://schemas.openxmlformats.org/officeDocument/2006/relationships/hyperlink" Target="math_multiplier_dadda_tree.md" TargetMode="External"/><Relationship Id="rId64" Type="http://schemas.openxmlformats.org/officeDocument/2006/relationships/hyperlink" Target="math_multiplier_dadda_4to2.md" TargetMode="External"/><Relationship Id="rId65" Type="http://schemas.openxmlformats.org/officeDocument/2006/relationships/hyperlink" Target="math_multiplier_basic.md" TargetMode="External"/><Relationship Id="rId66" Type="http://schemas.openxmlformats.org/officeDocument/2006/relationships/hyperlink" Target="math_bf16_adder.md" TargetMode="External"/><Relationship Id="rId67" Type="http://schemas.openxmlformats.org/officeDocument/2006/relationships/hyperlink" Target="math_bf16_multiplier.md" TargetMode="External"/><Relationship Id="rId68" Type="http://schemas.openxmlformats.org/officeDocument/2006/relationships/hyperlink" Target="math_bf16_mantissa_mult.md" TargetMode="External"/><Relationship Id="rId69" Type="http://schemas.openxmlformats.org/officeDocument/2006/relationships/hyperlink" Target="math_bf16_exponent_adder.md" TargetMode="External"/><Relationship Id="rId70" Type="http://schemas.openxmlformats.org/officeDocument/2006/relationships/hyperlink" Target="math_bf16_fma.md" TargetMode="External"/><Relationship Id="rId71" Type="http://schemas.openxmlformats.org/officeDocument/2006/relationships/hyperlink" Target="math_bf16_extended.md" TargetMode="External"/><Relationship Id="rId72" Type="http://schemas.openxmlformats.org/officeDocument/2006/relationships/hyperlink" Target="math_fp16_modules.md" TargetMode="External"/><Relationship Id="rId73" Type="http://schemas.openxmlformats.org/officeDocument/2006/relationships/hyperlink" Target="math_fp32_modules.md" TargetMode="External"/><Relationship Id="rId74" Type="http://schemas.openxmlformats.org/officeDocument/2006/relationships/hyperlink" Target="math_fp8_modules.md" TargetMode="External"/><Relationship Id="rId75" Type="http://schemas.openxmlformats.org/officeDocument/2006/relationships/hyperlink" Target="math_ieee754_modules.md" TargetMode="External"/><Relationship Id="rId76" Type="http://schemas.openxmlformats.org/officeDocument/2006/relationships/hyperlink" Target="math_compressor_4to2.md" TargetMode="External"/><Relationship Id="rId77" Type="http://schemas.openxmlformats.org/officeDocument/2006/relationships/hyperlink" Target="math_mod_3_compress.md" TargetMode="External"/><Relationship Id="rId78" Type="http://schemas.openxmlformats.org/officeDocument/2006/relationships/hyperlink" Target="math_prefix_cell.md" TargetMode="External"/><Relationship Id="rId79" Type="http://schemas.openxmlformats.org/officeDocument/2006/relationships/hyperlink" Target="math_prefix_cell_gray.md" TargetMode="External"/><Relationship Id="rId80" Type="http://schemas.openxmlformats.org/officeDocument/2006/relationships/hyperlink" Target="../rtl-common/index.md" TargetMode="External"/><Relationship Id="rId81" Type="http://schemas.openxmlformats.org/officeDocument/2006/relationships/hyperlink" Target="../../DOCUMENTATION_INDEX.md" TargetMode="External"/><Relationship Id="rId82" Type="http://schemas.openxmlformats.org/officeDocument/2006/relationships/hyperlink" Target="../../../PRD.md" TargetMode="External"/><Relationship Id="rId83" Type="http://schemas.openxmlformats.org/officeDocument/2006/relationships/hyperlink" Target="../../../../../riscv-ip/gatling-rv32itetrad/PRD.md" TargetMode="External"/><Relationship Id="rId84" Type="http://schemas.openxmlformats.org/officeDocument/2006/relationships/hyperlink" Target="../../../../cell/docs/PRD.md" TargetMode="External"/><Relationship Id="rId85" Type="http://schemas.openxmlformats.org/officeDocument/2006/relationships/hyperlink" Target="../../../../../../../docs/markdown/rtl-math/index.md" TargetMode="External"/><Relationship Id="rId86" Type="http://schemas.openxmlformats.org/officeDocument/2006/relationships/hyperlink" Target="../../../../../../../rtl/math/references/README.md" TargetMode="External"/><Relationship Id="rId87" Type="http://schemas.openxmlformats.org/officeDocument/2006/relationships/image" Target="media/image2.png"/><Relationship Id="rId88" Type="http://schemas.openxmlformats.org/officeDocument/2006/relationships/image" Target="media/image3.png"/><Relationship Id="rId89" Type="http://schemas.openxmlformats.org/officeDocument/2006/relationships/image" Target="media/image5.png"/><Relationship Id="rId90" Type="http://schemas.openxmlformats.org/officeDocument/2006/relationships/image" Target="media/image6.png"/><Relationship Id="rId91" Type="http://schemas.openxmlformats.org/officeDocument/2006/relationships/image" Target="media/image7.png"/><Relationship Id="rId92" Type="http://schemas.openxmlformats.org/officeDocument/2006/relationships/footer" Target="footer1.xml"/><Relationship Id="rId93" Type="http://schemas.openxmlformats.org/officeDocument/2006/relationships/footer" Target="footer2.xml"/><Relationship Id="rId94" Type="http://schemas.openxmlformats.org/officeDocument/2006/relationships/footer" Target="footer3.xml"/><Relationship Id="rId95" Type="http://schemas.openxmlformats.org/officeDocument/2006/relationships/numbering" Target="numbering.xml"/><Relationship Id="rId96" Type="http://schemas.openxmlformats.org/officeDocument/2006/relationships/fontTable" Target="fontTable.xml"/><Relationship Id="rId97" Type="http://schemas.openxmlformats.org/officeDocument/2006/relationships/settings" Target="settings.xml"/><Relationship Id="rId9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130</Pages>
  <Words>16387</Words>
  <Characters>92583</Characters>
  <CharactersWithSpaces>108176</CharactersWithSpaces>
  <Paragraphs>1441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2026-10-20T19:48:33Z</dcterms:created>
  <dc:creator/>
  <dc:description/>
  <dc:language>en-US</dc:language>
  <cp:lastModifiedBy/>
  <dcterms:modified xsi:type="dcterms:W3CDTF">2026-10-20T12:48:40Z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