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Reed-Solomon UART Harness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82_1073424382">
            <w:r>
              <w:rPr>
                <w:webHidden/>
                <w:rStyle w:val="IndexLink"/>
              </w:rPr>
              <w:t>1 Document Information</w:t>
              <w:tab/>
              <w:t>7</w:t>
            </w:r>
          </w:hyperlink>
        </w:p>
        <w:p>
          <w:pPr>
            <w:pStyle w:val="TOC2"/>
            <w:tabs>
              <w:tab w:val="clear" w:pos="9077"/>
              <w:tab w:val="right" w:pos="9359" w:leader="dot"/>
            </w:tabs>
            <w:rPr/>
          </w:pPr>
          <w:hyperlink w:anchor="__RefHeading___Toc1584_1073424382">
            <w:r>
              <w:rPr>
                <w:webHidden/>
                <w:rStyle w:val="IndexLink"/>
              </w:rPr>
              <w:t>1.1 Revision History</w:t>
              <w:tab/>
              <w:t>7</w:t>
            </w:r>
          </w:hyperlink>
        </w:p>
        <w:p>
          <w:pPr>
            <w:pStyle w:val="TOC2"/>
            <w:tabs>
              <w:tab w:val="clear" w:pos="9077"/>
              <w:tab w:val="right" w:pos="9359" w:leader="dot"/>
            </w:tabs>
            <w:rPr/>
          </w:pPr>
          <w:hyperlink w:anchor="__RefHeading___Toc1586_1073424382">
            <w:r>
              <w:rPr>
                <w:webHidden/>
                <w:rStyle w:val="IndexLink"/>
              </w:rPr>
              <w:t>1.2 Scope</w:t>
              <w:tab/>
              <w:t>8</w:t>
            </w:r>
          </w:hyperlink>
        </w:p>
        <w:p>
          <w:pPr>
            <w:pStyle w:val="TOC2"/>
            <w:tabs>
              <w:tab w:val="clear" w:pos="9077"/>
              <w:tab w:val="right" w:pos="9359" w:leader="dot"/>
            </w:tabs>
            <w:rPr/>
          </w:pPr>
          <w:hyperlink w:anchor="__RefHeading___Toc1588_1073424382">
            <w:r>
              <w:rPr>
                <w:webHidden/>
                <w:rStyle w:val="IndexLink"/>
              </w:rPr>
              <w:t>1.3 Provenance</w:t>
              <w:tab/>
              <w:t>9</w:t>
            </w:r>
          </w:hyperlink>
        </w:p>
        <w:p>
          <w:pPr>
            <w:pStyle w:val="TOC1"/>
            <w:tabs>
              <w:tab w:val="clear" w:pos="9360"/>
              <w:tab w:val="right" w:pos="9359" w:leader="dot"/>
            </w:tabs>
            <w:rPr/>
          </w:pPr>
          <w:hyperlink w:anchor="__RefHeading___Toc1590_1073424382">
            <w:r>
              <w:rPr>
                <w:webHidden/>
                <w:rStyle w:val="IndexLink"/>
              </w:rPr>
              <w:t>2 Purpose and Geometry</w:t>
              <w:tab/>
              <w:t>10</w:t>
            </w:r>
          </w:hyperlink>
        </w:p>
        <w:p>
          <w:pPr>
            <w:pStyle w:val="TOC1"/>
            <w:tabs>
              <w:tab w:val="clear" w:pos="9360"/>
              <w:tab w:val="right" w:pos="9359" w:leader="dot"/>
            </w:tabs>
            <w:rPr/>
          </w:pPr>
          <w:hyperlink w:anchor="__RefHeading___Toc1592_1073424382">
            <w:r>
              <w:rPr>
                <w:webHidden/>
                <w:rStyle w:val="IndexLink"/>
              </w:rPr>
              <w:t>3 What Is In It</w:t>
              <w:tab/>
              <w:t>11</w:t>
            </w:r>
          </w:hyperlink>
        </w:p>
        <w:p>
          <w:pPr>
            <w:pStyle w:val="TOC2"/>
            <w:tabs>
              <w:tab w:val="clear" w:pos="9077"/>
              <w:tab w:val="right" w:pos="9359" w:leader="dot"/>
            </w:tabs>
            <w:rPr/>
          </w:pPr>
          <w:hyperlink w:anchor="__RefHeading___Toc1594_1073424382">
            <w:r>
              <w:rPr>
                <w:webHidden/>
                <w:rStyle w:val="IndexLink"/>
              </w:rPr>
              <w:t>3.1 RTL blocks</w:t>
              <w:tab/>
              <w:t>11</w:t>
            </w:r>
          </w:hyperlink>
        </w:p>
        <w:p>
          <w:pPr>
            <w:pStyle w:val="TOC2"/>
            <w:tabs>
              <w:tab w:val="clear" w:pos="9077"/>
              <w:tab w:val="right" w:pos="9359" w:leader="dot"/>
            </w:tabs>
            <w:rPr/>
          </w:pPr>
          <w:hyperlink w:anchor="__RefHeading___Toc1596_1073424382">
            <w:r>
              <w:rPr>
                <w:webHidden/>
                <w:rStyle w:val="IndexLink"/>
              </w:rPr>
              <w:t>3.2 Host scripts</w:t>
              <w:tab/>
              <w:t>13</w:t>
            </w:r>
          </w:hyperlink>
        </w:p>
        <w:p>
          <w:pPr>
            <w:pStyle w:val="TOC2"/>
            <w:tabs>
              <w:tab w:val="clear" w:pos="9077"/>
              <w:tab w:val="right" w:pos="9359" w:leader="dot"/>
            </w:tabs>
            <w:rPr/>
          </w:pPr>
          <w:hyperlink w:anchor="__RefHeading___Toc1598_1073424382">
            <w:r>
              <w:rPr>
                <w:webHidden/>
                <w:rStyle w:val="IndexLink"/>
              </w:rPr>
              <w:t>3.3 Build and validation flow</w:t>
              <w:tab/>
              <w:t>15</w:t>
            </w:r>
          </w:hyperlink>
        </w:p>
        <w:p>
          <w:pPr>
            <w:pStyle w:val="TOC1"/>
            <w:tabs>
              <w:tab w:val="clear" w:pos="9360"/>
              <w:tab w:val="right" w:pos="9359" w:leader="dot"/>
            </w:tabs>
            <w:rPr/>
          </w:pPr>
          <w:hyperlink w:anchor="__RefHeading___Toc1600_1073424382">
            <w:r>
              <w:rPr>
                <w:webHidden/>
                <w:rStyle w:val="IndexLink"/>
              </w:rPr>
              <w:t>4 How The Pieces Connect</w:t>
              <w:tab/>
              <w:t>16</w:t>
            </w:r>
          </w:hyperlink>
        </w:p>
        <w:p>
          <w:pPr>
            <w:pStyle w:val="TOC2"/>
            <w:tabs>
              <w:tab w:val="clear" w:pos="9077"/>
              <w:tab w:val="right" w:pos="9359" w:leader="dot"/>
            </w:tabs>
            <w:rPr/>
          </w:pPr>
          <w:hyperlink w:anchor="__RefHeading___Toc1602_1073424382">
            <w:r>
              <w:rPr>
                <w:webHidden/>
                <w:rStyle w:val="IndexLink"/>
              </w:rPr>
              <w:t>4.1 Register path and datapath</w:t>
              <w:tab/>
              <w:t>16</w:t>
            </w:r>
          </w:hyperlink>
        </w:p>
        <w:p>
          <w:pPr>
            <w:pStyle w:val="TOC2"/>
            <w:tabs>
              <w:tab w:val="clear" w:pos="9077"/>
              <w:tab w:val="right" w:pos="9359" w:leader="dot"/>
            </w:tabs>
            <w:rPr/>
          </w:pPr>
          <w:hyperlink w:anchor="__RefHeading___Toc1604_1073424382">
            <w:r>
              <w:rPr>
                <w:webHidden/>
                <w:rStyle w:val="IndexLink"/>
              </w:rPr>
              <w:t>4.2 Clock and reset</w:t>
              <w:tab/>
              <w:t>17</w:t>
            </w:r>
          </w:hyperlink>
        </w:p>
        <w:p>
          <w:pPr>
            <w:pStyle w:val="TOC1"/>
            <w:tabs>
              <w:tab w:val="clear" w:pos="9360"/>
              <w:tab w:val="right" w:pos="9359" w:leader="dot"/>
            </w:tabs>
            <w:rPr/>
          </w:pPr>
          <w:hyperlink w:anchor="__RefHeading___Toc1606_1073424382">
            <w:r>
              <w:rPr>
                <w:webHidden/>
                <w:rStyle w:val="IndexLink"/>
              </w:rPr>
              <w:t>5 The FPGA-Testing Choices, And Why</w:t>
              <w:tab/>
              <w:t>18</w:t>
            </w:r>
          </w:hyperlink>
        </w:p>
        <w:p>
          <w:pPr>
            <w:pStyle w:val="TOC2"/>
            <w:tabs>
              <w:tab w:val="clear" w:pos="9077"/>
              <w:tab w:val="right" w:pos="9359" w:leader="dot"/>
            </w:tabs>
            <w:rPr/>
          </w:pPr>
          <w:hyperlink w:anchor="__RefHeading___Toc1608_1073424382">
            <w:r>
              <w:rPr>
                <w:webHidden/>
                <w:rStyle w:val="IndexLink"/>
              </w:rPr>
              <w:t>5.1 The dual-solver loop as mutual oracle</w:t>
              <w:tab/>
              <w:t>18</w:t>
            </w:r>
          </w:hyperlink>
        </w:p>
        <w:p>
          <w:pPr>
            <w:pStyle w:val="TOC2"/>
            <w:tabs>
              <w:tab w:val="clear" w:pos="9077"/>
              <w:tab w:val="right" w:pos="9359" w:leader="dot"/>
            </w:tabs>
            <w:rPr/>
          </w:pPr>
          <w:hyperlink w:anchor="__RefHeading___Toc1610_1073424382">
            <w:r>
              <w:rPr>
                <w:webHidden/>
                <w:rStyle w:val="IndexLink"/>
              </w:rPr>
              <w:t>5.2 Determinism makes the riBM and Euclid images cross-oracles</w:t>
              <w:tab/>
              <w:t>19</w:t>
            </w:r>
          </w:hyperlink>
        </w:p>
        <w:p>
          <w:pPr>
            <w:pStyle w:val="TOC2"/>
            <w:tabs>
              <w:tab w:val="clear" w:pos="9077"/>
              <w:tab w:val="right" w:pos="9359" w:leader="dot"/>
            </w:tabs>
            <w:rPr/>
          </w:pPr>
          <w:hyperlink w:anchor="__RefHeading___Toc1612_1073424382">
            <w:r>
              <w:rPr>
                <w:webHidden/>
                <w:rStyle w:val="IndexLink"/>
              </w:rPr>
              <w:t>5.3 Injector modes map to real failure mechanisms</w:t>
              <w:tab/>
              <w:t>20</w:t>
            </w:r>
          </w:hyperlink>
        </w:p>
        <w:p>
          <w:pPr>
            <w:pStyle w:val="TOC2"/>
            <w:tabs>
              <w:tab w:val="clear" w:pos="9077"/>
              <w:tab w:val="right" w:pos="9359" w:leader="dot"/>
            </w:tabs>
            <w:rPr/>
          </w:pPr>
          <w:hyperlink w:anchor="__RefHeading___Toc1614_1073424382">
            <w:r>
              <w:rPr>
                <w:webHidden/>
                <w:rStyle w:val="IndexLink"/>
              </w:rPr>
              <w:t>5.4 Post-encoder injection protects parity symbols</w:t>
              <w:tab/>
              <w:t>21</w:t>
            </w:r>
          </w:hyperlink>
        </w:p>
        <w:p>
          <w:pPr>
            <w:pStyle w:val="TOC2"/>
            <w:tabs>
              <w:tab w:val="clear" w:pos="9077"/>
              <w:tab w:val="right" w:pos="9359" w:leader="dot"/>
            </w:tabs>
            <w:rPr/>
          </w:pPr>
          <w:hyperlink w:anchor="__RefHeading___Toc1616_1073424382">
            <w:r>
              <w:rPr>
                <w:webHidden/>
                <w:rStyle w:val="IndexLink"/>
              </w:rPr>
              <w:t>5.5 UART over a debug core, with a lock/readback safety pair</w:t>
              <w:tab/>
              <w:t>22</w:t>
            </w:r>
          </w:hyperlink>
        </w:p>
        <w:p>
          <w:pPr>
            <w:pStyle w:val="TOC2"/>
            <w:tabs>
              <w:tab w:val="clear" w:pos="9077"/>
              <w:tab w:val="right" w:pos="9359" w:leader="dot"/>
            </w:tabs>
            <w:rPr/>
          </w:pPr>
          <w:hyperlink w:anchor="__RefHeading___Toc1618_1073424382">
            <w:r>
              <w:rPr>
                <w:webHidden/>
                <w:rStyle w:val="IndexLink"/>
              </w:rPr>
              <w:t>5.6 Genesys 2 over Nexys A7</w:t>
              <w:tab/>
              <w:t>23</w:t>
            </w:r>
          </w:hyperlink>
        </w:p>
        <w:p>
          <w:pPr>
            <w:pStyle w:val="TOC2"/>
            <w:tabs>
              <w:tab w:val="clear" w:pos="9077"/>
              <w:tab w:val="right" w:pos="9359" w:leader="dot"/>
            </w:tabs>
            <w:rPr/>
          </w:pPr>
          <w:hyperlink w:anchor="__RefHeading___Toc1620_1073424382">
            <w:r>
              <w:rPr>
                <w:webHidden/>
                <w:rStyle w:val="IndexLink"/>
              </w:rPr>
              <w:t>5.7 AXIS and AXI4 flavors cover both integration styles</w:t>
              <w:tab/>
              <w:t>24</w:t>
            </w:r>
          </w:hyperlink>
        </w:p>
        <w:p>
          <w:pPr>
            <w:pStyle w:val="TOC1"/>
            <w:tabs>
              <w:tab w:val="clear" w:pos="9360"/>
              <w:tab w:val="right" w:pos="9359" w:leader="dot"/>
            </w:tabs>
            <w:rPr/>
          </w:pPr>
          <w:hyperlink w:anchor="__RefHeading___Toc1622_1073424382">
            <w:r>
              <w:rPr>
                <w:webHidden/>
                <w:rStyle w:val="IndexLink"/>
              </w:rPr>
              <w:t>6 Operating It</w:t>
              <w:tab/>
              <w:t>25</w:t>
            </w:r>
          </w:hyperlink>
        </w:p>
        <w:p>
          <w:pPr>
            <w:pStyle w:val="TOC1"/>
            <w:tabs>
              <w:tab w:val="clear" w:pos="9360"/>
              <w:tab w:val="right" w:pos="9359" w:leader="dot"/>
            </w:tabs>
            <w:rPr/>
          </w:pPr>
          <w:hyperlink w:anchor="__RefHeading___Toc1624_1073424382">
            <w:r>
              <w:rPr>
                <w:webHidden/>
                <w:rStyle w:val="IndexLink"/>
              </w:rPr>
              <w:t>7 What Is Deliberately Not Board-Tested</w:t>
              <w:tab/>
              <w:t>26</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7</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1582_1073424382"/>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1584_1073424382"/>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harness guide for the Reed-Solomon Genesys 2 UART loop.</w:t>
            </w:r>
            <w:bookmarkStart w:id="4" w:name="revision-history"/>
            <w:bookmarkEnd w:id="4"/>
          </w:p>
        </w:tc>
      </w:tr>
    </w:tbl>
    <w:p>
      <w:pPr>
        <w:pStyle w:val="Heading2"/>
        <w:pBdr>
          <w:bottom w:val="single" w:sz="12" w:space="0" w:color="228B22"/>
        </w:pBdr>
        <w:spacing w:before="280" w:after="80"/>
        <w:rPr/>
      </w:pPr>
      <w:r>
        <w:br w:type="page"/>
      </w:r>
      <w:bookmarkStart w:id="5" w:name="__RefHeading___Toc1586_1073424382"/>
      <w:bookmarkEnd w:id="5"/>
      <w:r>
        <w:rPr>
          <w:rStyle w:val="SectionNumber"/>
          <w:b/>
          <w:color w:val="228B22"/>
          <w:sz w:val="28"/>
        </w:rPr>
        <w:t>1.2</w:t>
      </w:r>
      <w:r>
        <w:rPr>
          <w:b/>
          <w:color w:val="228B22"/>
          <w:sz w:val="28"/>
        </w:rPr>
        <w:tab/>
        <w:t>Scope</w:t>
      </w:r>
    </w:p>
    <w:p>
      <w:pPr>
        <w:pStyle w:val="FirstParagraph"/>
        <w:rPr/>
      </w:pPr>
      <w:r>
        <w:rPr>
          <w:sz w:val="20"/>
        </w:rPr>
        <w:t>This book describes the RS(252,236) t=8 UART harness on the Digilent Genesys 2: its contents, connectivity, and the motivations behind the FPGA testing choices. It is the harness guide that pairs with the Reed-Solomon Board Validation Report, which carries the run evidence.</w:t>
      </w:r>
      <w:r>
        <w:br w:type="page"/>
      </w:r>
    </w:p>
    <w:p>
      <w:pPr>
        <w:pStyle w:val="Heading2"/>
        <w:pBdr>
          <w:bottom w:val="single" w:sz="12" w:space="0" w:color="228B22"/>
        </w:pBdr>
        <w:spacing w:before="280" w:after="80"/>
        <w:rPr/>
      </w:pPr>
      <w:bookmarkStart w:id="6" w:name="__RefHeading___Toc1588_1073424382"/>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The harness description comes from </w:t>
      </w:r>
      <w:r>
        <w:rPr>
          <w:rStyle w:val="VerbatimChar"/>
          <w:sz w:val="20"/>
        </w:rPr>
        <w:t>docs/UART_HARNESS.md</w:t>
      </w:r>
      <w:r>
        <w:rPr>
          <w:sz w:val="20"/>
        </w:rPr>
        <w:t xml:space="preserve">, the living markdown copy in the harness directory. Build facts come from </w:t>
      </w:r>
      <w:r>
        <w:rPr>
          <w:rStyle w:val="VerbatimChar"/>
          <w:sz w:val="20"/>
        </w:rPr>
        <w:t>stable/MANIFEST.md</w:t>
      </w:r>
      <w:r>
        <w:rPr>
          <w:sz w:val="20"/>
        </w:rPr>
        <w:t xml:space="preserve"> and </w:t>
      </w:r>
      <w:r>
        <w:rPr>
          <w:rStyle w:val="VerbatimChar"/>
          <w:sz w:val="20"/>
        </w:rPr>
        <w:t>stable/reports/</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1590_1073424382"/>
      <w:bookmarkStart w:id="9" w:name="purpose-and-geometry"/>
      <w:bookmarkEnd w:id="8"/>
      <w:r>
        <w:rPr>
          <w:rStyle w:val="SectionNumber"/>
          <w:b/>
          <w:color w:val="FFFFFF"/>
          <w:sz w:val="32"/>
        </w:rPr>
        <w:t>2</w:t>
      </w:r>
      <w:r>
        <w:rPr>
          <w:b/>
          <w:color w:val="FFFFFF"/>
          <w:sz w:val="32"/>
        </w:rPr>
        <w:tab/>
        <w:t>Purpose and Geometry</w:t>
      </w:r>
    </w:p>
    <w:p>
      <w:pPr>
        <w:pStyle w:val="FirstParagraph"/>
        <w:rPr/>
      </w:pPr>
      <w:r>
        <w:rPr>
          <w:sz w:val="20"/>
        </w:rPr>
        <w:t>This is the Genesys 2 board harness for the RS(252,236) t=8 Reed-Solomon codec. The same loop subjects both key-equation solvers — riBM and Euclid — to a regenerated LFSR pattern that never saw the injected errors, so a corrected block is proven against a reference rather than against the other decoder. You drive the whole thing from a laptop over a 115200-baud UART, and it reports per-block verdicts, bandwidth meters, and a beat-by-beat comparator when both solvers are present.</w:t>
      </w:r>
    </w:p>
    <w:p>
      <w:pPr>
        <w:pStyle w:val="BodyText"/>
        <w:rPr/>
      </w:pPr>
      <w:r>
        <w:rPr>
          <w:sz w:val="20"/>
        </w:rPr>
        <w:t xml:space="preserve">The geometry is frozen in </w:t>
      </w:r>
      <w:r>
        <w:rPr>
          <w:rStyle w:val="VerbatimChar"/>
          <w:sz w:val="20"/>
        </w:rPr>
        <w:t>build-loop/rtl/rs_loop_cfg_pkg.sv</w:t>
      </w:r>
      <w:r>
        <w:rPr>
          <w:sz w:val="20"/>
        </w:rPr>
        <w:t>: RS(252,236), 4 symbols/beat, shortened so n and k are multiples of the beat. That package is the single source of the geometry, the UART baud, and the build identity, so the clock constant and the register map cannot drift apart.</w:t>
      </w:r>
    </w:p>
    <w:p>
      <w:pPr>
        <w:pStyle w:val="BodyText"/>
        <w:rPr/>
      </w:pPr>
      <w:r>
        <w:rPr>
          <w:sz w:val="20"/>
        </w:rPr>
        <w:t xml:space="preserve">The harness directory moved from </w:t>
      </w:r>
      <w:r>
        <w:rPr>
          <w:rStyle w:val="VerbatimChar"/>
          <w:sz w:val="20"/>
        </w:rPr>
        <w:t>projects/fpga-systems/NexysA7/reed-solomon/</w:t>
      </w:r>
      <w:r>
        <w:rPr>
          <w:sz w:val="20"/>
        </w:rPr>
        <w:t xml:space="preserve"> to </w:t>
      </w:r>
      <w:r>
        <w:rPr>
          <w:rStyle w:val="VerbatimChar"/>
          <w:sz w:val="20"/>
        </w:rPr>
        <w:t>projects/fpga-systems/Genesys2/reed-solomon/</w:t>
      </w:r>
      <w:r>
        <w:rPr>
          <w:sz w:val="20"/>
        </w:rPr>
        <w:t xml:space="preserve"> on 2026-10-05. Set </w:t>
      </w:r>
      <w:r>
        <w:rPr>
          <w:rStyle w:val="VerbatimChar"/>
          <w:sz w:val="20"/>
        </w:rPr>
        <w:t>RS_TARGET=genesys2</w:t>
      </w:r>
      <w:r>
        <w:rPr>
          <w:sz w:val="20"/>
        </w:rPr>
        <w:t xml:space="preserve"> to build for the Kintex-7 XC7K325T-2; the default </w:t>
      </w:r>
      <w:r>
        <w:rPr>
          <w:rStyle w:val="VerbatimChar"/>
          <w:sz w:val="20"/>
        </w:rPr>
        <w:t>nexys_a7_100t</w:t>
      </w:r>
      <w:r>
        <w:rPr>
          <w:sz w:val="20"/>
        </w:rPr>
        <w:t xml:space="preserve"> keeps the original names and report layout byte-identical. The Genesys 2 image matrix is four bitstreams: </w:t>
      </w:r>
      <w:r>
        <w:rPr>
          <w:rStyle w:val="VerbatimChar"/>
          <w:sz w:val="20"/>
        </w:rPr>
        <w:t>rs_loop_genesys2_{axis_ribm,axis_euclid,axi4_ribm,axi4_euclid}.bit</w:t>
      </w:r>
      <w:r>
        <w:rPr>
          <w:sz w:val="20"/>
        </w:rPr>
        <w:t xml:space="preserve"> — two integration flavours times two solvers, one solver per bitstream.</w:t>
      </w:r>
      <w:bookmarkEnd w:id="9"/>
      <w:r>
        <w:br w:type="page"/>
      </w:r>
    </w:p>
    <w:p>
      <w:pPr>
        <w:pStyle w:val="Heading1"/>
        <w:shd w:val="clear" w:color="auto" w:fill="404040"/>
        <w:spacing w:before="360" w:after="120"/>
        <w:rPr/>
      </w:pPr>
      <w:bookmarkStart w:id="10" w:name="__RefHeading___Toc1592_1073424382"/>
      <w:bookmarkEnd w:id="10"/>
      <w:r>
        <w:rPr>
          <w:rStyle w:val="SectionNumber"/>
          <w:b/>
          <w:color w:val="FFFFFF"/>
          <w:sz w:val="32"/>
        </w:rPr>
        <w:t>3</w:t>
      </w:r>
      <w:r>
        <w:rPr>
          <w:b/>
          <w:color w:val="FFFFFF"/>
          <w:sz w:val="32"/>
        </w:rPr>
        <w:tab/>
        <w:t>What Is In It</w:t>
      </w:r>
    </w:p>
    <w:p>
      <w:pPr>
        <w:pStyle w:val="Heading2"/>
        <w:pageBreakBefore w:val="false"/>
        <w:pBdr>
          <w:bottom w:val="single" w:sz="12" w:space="0" w:color="228B22"/>
        </w:pBdr>
        <w:spacing w:before="280" w:after="80"/>
        <w:rPr/>
      </w:pPr>
      <w:bookmarkStart w:id="11" w:name="__RefHeading___Toc1594_1073424382"/>
      <w:bookmarkEnd w:id="11"/>
      <w:r>
        <w:rPr>
          <w:rStyle w:val="SectionNumber"/>
          <w:b/>
          <w:color w:val="228B22"/>
          <w:sz w:val="28"/>
        </w:rPr>
        <w:t>3.1</w:t>
      </w:r>
      <w:r>
        <w:rPr>
          <w:b/>
          <w:color w:val="228B22"/>
          <w:sz w:val="28"/>
        </w:rPr>
        <w:tab/>
        <w:t>RTL blocks</w:t>
      </w:r>
    </w:p>
    <w:p>
      <w:pPr>
        <w:pStyle w:val="FirstParagraph"/>
        <w:rPr/>
      </w:pPr>
      <w:r>
        <w:rPr>
          <w:sz w:val="20"/>
        </w:rPr>
        <w:t xml:space="preserve">Every path is relative to </w:t>
      </w:r>
      <w:r>
        <w:rPr>
          <w:rStyle w:val="VerbatimChar"/>
          <w:sz w:val="20"/>
        </w:rPr>
        <w:t>projects/fpga-systems/Genesys2/reed-solomon/</w:t>
      </w:r>
      <w:r>
        <w:rPr>
          <w:sz w:val="20"/>
        </w:rPr>
        <w:t xml:space="preserve"> unless it lives in a shared area.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115200 8N1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bridge_rs_loop_axil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rtl/bridges/generated/bridge_rs_loop_axil/bridge_rs_loop_axil.sv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1-master x 3-slave AXI4-Lite/APB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build-loop/rtl/rs_loop_genesys2_top.sv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build-loop/rtl/rs_loop_top.sv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 Genesys 2 MMCM wrapper, or Nexys A7 100 MHz direct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Codec loop, register decode, bandwidth meters, observers, verdict tallies.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of geometry: RS(252,236), 4 symbols/beat, shortened so n and k are multiples of the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from </w:t>
            </w:r>
            <w:r>
              <w:rPr>
                <w:rStyle w:val="VerbatimChar"/>
                <w:rFonts w:eastAsia="Cambria" w:cs=""/>
                <w:kern w:val="0"/>
                <w:szCs w:val="24"/>
                <w:lang w:val="en-US" w:eastAsia="en-US" w:bidi="ar-SA"/>
              </w:rPr>
              <w:t>build-loop/rtl/rs_loop_regs.rdl</w:t>
            </w:r>
            <w:r>
              <w:rPr>
                <w:rFonts w:eastAsia="Cambria" w:cs=""/>
                <w:kern w:val="0"/>
                <w:sz w:val="24"/>
                <w:szCs w:val="24"/>
                <w:lang w:val="en-US" w:eastAsia="en-US" w:bidi="ar-SA"/>
              </w:rPr>
              <w:t xml:space="preserve"> via the shared </w:t>
            </w:r>
            <w:r>
              <w:rPr>
                <w:rStyle w:val="VerbatimChar"/>
                <w:rFonts w:eastAsia="Cambria" w:cs=""/>
                <w:kern w:val="0"/>
                <w:szCs w:val="24"/>
                <w:lang w:val="en-US" w:eastAsia="en-US" w:bidi="ar-SA"/>
              </w:rPr>
              <w:t>apb4_to_peakrdl</w:t>
            </w:r>
            <w:r>
              <w:rPr>
                <w:rFonts w:eastAsia="Cambria" w:cs=""/>
                <w:kern w:val="0"/>
                <w:sz w:val="24"/>
                <w:szCs w:val="24"/>
                <w:lang w:val="en-US" w:eastAsia="en-US" w:bidi="ar-SA"/>
              </w:rPr>
              <w:t xml:space="preserve"> shim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Host-visible register block: BUILD_ID RSLP, SCRATCH, PROFILE, TOPOLOGY, INJ_CFG, INJ_SEED, etc.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axis4_master_pattern_gen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rtl/amba/shared/axis4_master_pattern_gen.sv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plus expected CRC-32, one packet per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Regenerates the same LFSR pattern and compares beats per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projects/components/ecc-ip/reed-solomon/rtl/macro/rs_encoder_core.sv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RS(252,236)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Post-encoder corruption: modes 0 none, 1 exact count, 2 burst, 3 rate, 4 clusters, 5 localized, 6 badblock, 7 debug.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projects/components/ecc-ip/reed-solomon/rtl/macro/rs_decoder_core.sv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with selectable KES_ALGO and erasure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projects/components/ecc-ip/reed-solomon/rtl/fub/rs_erasure_unit.sv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locator / transform used when ERASURE_SUPPORT=1.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 chain for the AXI4 flavor.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projects/components/utility-ip/misc/rtl/axis4_intf_observer.sv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AXIS seam observer on window 0x20000.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projects/components/utility-ip/misc/rtl/axi4_intf_master_observer.sv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codec AXI4 master-port observer on window 0x10000.</w:t>
            </w:r>
            <w:bookmarkStart w:id="12" w:name="rtl-blocks"/>
            <w:bookmarkEnd w:id="12"/>
          </w:p>
        </w:tc>
      </w:tr>
    </w:tbl>
    <w:p>
      <w:pPr>
        <w:pStyle w:val="Heading2"/>
        <w:pBdr>
          <w:bottom w:val="single" w:sz="12" w:space="0" w:color="228B22"/>
        </w:pBdr>
        <w:spacing w:before="280" w:after="80"/>
        <w:rPr/>
      </w:pPr>
      <w:r>
        <w:br w:type="page"/>
      </w:r>
      <w:bookmarkStart w:id="13" w:name="__RefHeading___Toc1596_1073424382"/>
      <w:bookmarkEnd w:id="13"/>
      <w:r>
        <w:rPr>
          <w:rStyle w:val="SectionNumber"/>
          <w:b/>
          <w:color w:val="228B22"/>
          <w:sz w:val="28"/>
        </w:rPr>
        <w:t>3.2</w:t>
      </w:r>
      <w:r>
        <w:rPr>
          <w:b/>
          <w:color w:val="228B22"/>
          <w:sz w:val="28"/>
        </w:rPr>
        <w:tab/>
        <w:t>Host scripts</w:t>
      </w:r>
    </w:p>
    <w:p>
      <w:pPr>
        <w:pStyle w:val="FirstParagraph"/>
        <w:rPr/>
      </w:pPr>
      <w:r>
        <w:rPr>
          <w:sz w:val="20"/>
        </w:rPr>
        <w:t>The host side is layered so the same programs run in cocotb simulation and on the board.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bin/rs_env.py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place this area learns the repo root and puts shared </w:t>
            </w:r>
            <w:r>
              <w:rPr>
                <w:rStyle w:val="VerbatimChar"/>
                <w:rFonts w:eastAsia="Cambria" w:cs=""/>
                <w:kern w:val="0"/>
                <w:szCs w:val="24"/>
                <w:lang w:val="en-US" w:eastAsia="en-US" w:bidi="ar-SA"/>
              </w:rPr>
              <w:t>projects/fpga-systems/bin</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build-loop/host</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sys.path</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Campaign runner: resolves sequences, opens the UART, and runs them through </w:t>
            </w:r>
            <w:r>
              <w:rPr>
                <w:rStyle w:val="VerbatimChar"/>
                <w:rFonts w:eastAsia="Cambria" w:cs=""/>
                <w:kern w:val="0"/>
                <w:szCs w:val="24"/>
                <w:lang w:val="en-US" w:eastAsia="en-US" w:bidi="ar-SA"/>
              </w:rPr>
              <w:t>SequenceRunner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bin/seq_init.py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Proves the link and bitstream: BUILD_ID, SCRATCH round-trip, PROFILE, TOPOLOGY.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 clean run, e = t, e = t + 1, deterministic debug walk.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bin/seq_sweep.py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Exact-count table for e = 0 .. 2t + 2.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bin/seq_random.py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Fresh data/error seeds, mixed modes and counts. Also hosts the </w:t>
            </w:r>
            <w:r>
              <w:rPr>
                <w:rStyle w:val="VerbatimChar"/>
                <w:rFonts w:eastAsia="Cambria" w:cs=""/>
                <w:kern w:val="0"/>
                <w:szCs w:val="24"/>
                <w:lang w:val="en-US" w:eastAsia="en-US" w:bidi="ar-SA"/>
              </w:rPr>
              <w:t>clusters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localized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badblock</w:t>
            </w:r>
            <w:r>
              <w:rPr>
                <w:rFonts w:eastAsia="Cambria" w:cs=""/>
                <w:kern w:val="0"/>
                <w:sz w:val="24"/>
                <w:szCs w:val="24"/>
                <w:lang w:val="en-US" w:eastAsia="en-US" w:bidi="ar-SA"/>
              </w:rPr>
              <w:t xml:space="preserve"> campaign classes.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bin/seq_soak.py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Million-block random soak, run by run, with replayable seeds.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bin/seq_erasure.py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Marked runs at f = t, 2t, 2t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RsLoopDriver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status, bandwidth meters, observer readout.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authored-once programs shared by sim and board: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bypass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verdict</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 smoke, bypass, run, sweep, random, bw, obs, soak, erasure.</w:t>
            </w:r>
          </w:p>
        </w:tc>
      </w:tr>
    </w:tbl>
    <w:p>
      <w:pPr>
        <w:pStyle w:val="Heading2"/>
        <w:pBdr>
          <w:bottom w:val="single" w:sz="12" w:space="0" w:color="228B22"/>
        </w:pBdr>
        <w:spacing w:before="280" w:after="80"/>
        <w:rPr/>
      </w:pPr>
      <w:r>
        <w:br w:type="page"/>
      </w:r>
      <w:bookmarkStart w:id="14" w:name="__RefHeading___Toc1598_1073424382"/>
      <w:bookmarkEnd w:id="14"/>
      <w:r>
        <w:rPr>
          <w:rStyle w:val="SectionNumber"/>
          <w:b/>
          <w:color w:val="228B22"/>
          <w:sz w:val="28"/>
        </w:rPr>
        <w:t>3.3</w:t>
      </w:r>
      <w:r>
        <w:rPr>
          <w:b/>
          <w:color w:val="228B22"/>
          <w:sz w:val="28"/>
        </w:rPr>
        <w:tab/>
        <w:t>Build and validation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 artifact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dispatcher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Delegates to </w:t>
            </w:r>
            <w:r>
              <w:rPr>
                <w:rStyle w:val="VerbatimChar"/>
                <w:rFonts w:eastAsia="Cambria" w:cs=""/>
                <w:kern w:val="0"/>
                <w:szCs w:val="24"/>
                <w:lang w:val="en-US" w:eastAsia="en-US" w:bidi="ar-SA"/>
              </w:rPr>
              <w:t>build-loop/Makefile</w:t>
            </w:r>
            <w:r>
              <w:rPr>
                <w:rFonts w:eastAsia="Cambria" w:cs=""/>
                <w:kern w:val="0"/>
                <w:sz w:val="24"/>
                <w:szCs w:val="24"/>
                <w:lang w:val="en-US" w:eastAsia="en-US" w:bidi="ar-SA"/>
              </w:rPr>
              <w:t xml:space="preserve"> for </w:t>
            </w:r>
            <w:r>
              <w:rPr>
                <w:rStyle w:val="VerbatimChar"/>
                <w:rFonts w:eastAsia="Cambria" w:cs=""/>
                <w:kern w:val="0"/>
                <w:szCs w:val="24"/>
                <w:lang w:val="en-US" w:eastAsia="en-US" w:bidi="ar-SA"/>
              </w:rPr>
              <w:t>bitstream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sim</w:t>
            </w:r>
            <w:r>
              <w:rPr>
                <w:rFonts w:eastAsia="Cambria" w:cs=""/>
                <w:kern w:val="0"/>
                <w:sz w:val="24"/>
                <w:szCs w:val="24"/>
                <w:lang w:val="en-US" w:eastAsia="en-US" w:bidi="ar-SA"/>
              </w:rPr>
              <w:t xml:space="preserve">, etc.; </w:t>
            </w:r>
            <w:r>
              <w:rPr>
                <w:rStyle w:val="VerbatimChar"/>
                <w:rFonts w:eastAsia="Cambria" w:cs=""/>
                <w:kern w:val="0"/>
                <w:szCs w:val="24"/>
                <w:lang w:val="en-US" w:eastAsia="en-US" w:bidi="ar-SA"/>
              </w:rPr>
              <w:t>make regmap</w:t>
            </w:r>
            <w:r>
              <w:rPr>
                <w:rFonts w:eastAsia="Cambria" w:cs=""/>
                <w:kern w:val="0"/>
                <w:sz w:val="24"/>
                <w:szCs w:val="24"/>
                <w:lang w:val="en-US" w:eastAsia="en-US" w:bidi="ar-SA"/>
              </w:rPr>
              <w:t xml:space="preserve"> regenerates CSRs.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Per-build 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project, constraints, and report handling; consumes </w:t>
            </w:r>
            <w:r>
              <w:rPr>
                <w:rStyle w:val="VerbatimChar"/>
                <w:rFonts w:eastAsia="Cambria" w:cs=""/>
                <w:kern w:val="0"/>
                <w:szCs w:val="24"/>
                <w:lang w:val="en-US" w:eastAsia="en-US" w:bidi="ar-SA"/>
              </w:rPr>
              <w:t>make/fpga_flow.mk</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Four-image matrix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w:t>
            </w:r>
            <w:r>
              <w:rPr>
                <w:rStyle w:val="VerbatimChar"/>
                <w:rFonts w:eastAsia="Cambria" w:cs=""/>
                <w:kern w:val="0"/>
                <w:szCs w:val="24"/>
                <w:lang w:val="en-US" w:eastAsia="en-US" w:bidi="ar-SA"/>
              </w:rPr>
              <w:t>{axis,axi4}</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{riBM,Euclid}</w:t>
            </w:r>
            <w:r>
              <w:rPr>
                <w:rFonts w:eastAsia="Cambria" w:cs=""/>
                <w:kern w:val="0"/>
                <w:sz w:val="24"/>
                <w:szCs w:val="24"/>
                <w:lang w:val="en-US" w:eastAsia="en-US" w:bidi="ar-SA"/>
              </w:rPr>
              <w:t xml:space="preserve"> with one solver per bitstream.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matrix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bin/measure_image_matrix.sh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Programs and measures each image in turn.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constraints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build-loop/fpga/constraints/rs_loop_genesys2.xdc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 LVDS input, MMCM, UART pins, LEDs.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record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stable/MANIFEST.md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slack, board campaigns, and known issues for the kept images.</w:t>
            </w:r>
            <w:bookmarkStart w:id="15" w:name="what-is-in-it"/>
            <w:bookmarkEnd w:id="15"/>
          </w:p>
        </w:tc>
      </w:tr>
    </w:tbl>
    <w:p>
      <w:pPr>
        <w:pStyle w:val="Heading1"/>
        <w:shd w:val="clear" w:color="auto" w:fill="404040"/>
        <w:spacing w:before="360" w:after="120"/>
        <w:rPr/>
      </w:pPr>
      <w:r>
        <w:br w:type="page"/>
      </w:r>
      <w:bookmarkStart w:id="16" w:name="__RefHeading___Toc1600_1073424382"/>
      <w:bookmarkEnd w:id="16"/>
      <w:r>
        <w:rPr>
          <w:rStyle w:val="SectionNumber"/>
          <w:b/>
          <w:color w:val="FFFFFF"/>
          <w:sz w:val="32"/>
        </w:rPr>
        <w:t>4</w:t>
      </w:r>
      <w:r>
        <w:rPr>
          <w:b/>
          <w:color w:val="FFFFFF"/>
          <w:sz w:val="32"/>
        </w:rPr>
        <w:tab/>
        <w:t>How The Pieces Connect</w:t>
      </w:r>
    </w:p>
    <w:p>
      <w:pPr>
        <w:pStyle w:val="Heading2"/>
        <w:pageBreakBefore w:val="false"/>
        <w:pBdr>
          <w:bottom w:val="single" w:sz="12" w:space="0" w:color="228B22"/>
        </w:pBdr>
        <w:spacing w:before="280" w:after="80"/>
        <w:rPr/>
      </w:pPr>
      <w:bookmarkStart w:id="17" w:name="__RefHeading___Toc1602_1073424382"/>
      <w:bookmarkStart w:id="18" w:name="register-path-and-datapath"/>
      <w:bookmarkEnd w:id="17"/>
      <w:r>
        <w:rPr>
          <w:rStyle w:val="SectionNumber"/>
          <w:b/>
          <w:color w:val="228B22"/>
          <w:sz w:val="28"/>
        </w:rPr>
        <w:t>4.1</w:t>
      </w:r>
      <w:r>
        <w:rPr>
          <w:b/>
          <w:color w:val="228B22"/>
          <w:sz w:val="28"/>
        </w:rPr>
        <w:tab/>
        <w:t>Register path and datapath</w:t>
      </w:r>
    </w:p>
    <w:p>
      <w:pPr>
        <w:pStyle w:val="FirstParagraph"/>
        <w:rPr/>
      </w:pPr>
      <w:r>
        <w:rPr>
          <w:sz w:val="20"/>
        </w:rPr>
        <w:t xml:space="preserve">The host register path is: Python over pyserial to the UART, into </w:t>
      </w:r>
      <w:r>
        <w:rPr>
          <w:rStyle w:val="VerbatimChar"/>
          <w:sz w:val="20"/>
        </w:rPr>
        <w:t>uart_axil_bridge</w:t>
      </w:r>
      <w:r>
        <w:rPr>
          <w:sz w:val="20"/>
        </w:rPr>
        <w:t xml:space="preserve">, through the generated </w:t>
      </w:r>
      <w:r>
        <w:rPr>
          <w:rStyle w:val="VerbatimChar"/>
          <w:sz w:val="20"/>
        </w:rPr>
        <w:t>bridge_rs_loop_axil</w:t>
      </w:r>
      <w:r>
        <w:rPr>
          <w:sz w:val="20"/>
        </w:rPr>
        <w:t xml:space="preserve"> 1x3 fabric, and out as three APB windows.</w:t>
      </w:r>
    </w:p>
    <w:p>
      <w:pPr>
        <w:pStyle w:val="CaptionedFigure"/>
        <w:rPr/>
      </w:pPr>
      <w:r>
        <w:rPr/>
        <w:drawing>
          <wp:inline distT="0" distB="0" distL="0" distR="0">
            <wp:extent cx="5334000" cy="836930"/>
            <wp:effectExtent l="0" t="0" r="0" b="0"/>
            <wp:docPr id="4" name="Picture"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Diagram 1"/>
                    <pic:cNvPicPr>
                      <a:picLocks noChangeAspect="1" noChangeArrowheads="1"/>
                    </pic:cNvPicPr>
                  </pic:nvPicPr>
                  <pic:blipFill>
                    <a:blip r:embed="rId3"/>
                    <a:stretch>
                      <a:fillRect/>
                    </a:stretch>
                  </pic:blipFill>
                  <pic:spPr bwMode="auto">
                    <a:xfrm>
                      <a:off x="0" y="0"/>
                      <a:ext cx="5334000" cy="836930"/>
                    </a:xfrm>
                    <a:prstGeom prst="rect">
                      <a:avLst/>
                    </a:prstGeom>
                  </pic:spPr>
                </pic:pic>
              </a:graphicData>
            </a:graphic>
          </wp:inline>
        </w:drawing>
      </w:r>
    </w:p>
    <w:p>
      <w:pPr>
        <w:pStyle w:val="ImageCaption"/>
        <w:rPr/>
      </w:pPr>
      <w:r>
        <w:rPr/>
        <w:t>Diagram 1</w:t>
      </w:r>
    </w:p>
    <w:p>
      <w:pPr>
        <w:pStyle w:val="BodyText"/>
        <w:rPr/>
      </w:pPr>
      <w:r>
        <w:rPr>
          <w:sz w:val="20"/>
        </w:rPr>
        <w:t xml:space="preserve">Window 0 at </w:t>
      </w:r>
      <w:r>
        <w:rPr>
          <w:rStyle w:val="VerbatimChar"/>
          <w:sz w:val="20"/>
        </w:rPr>
        <w:t>0x00000000</w:t>
      </w:r>
      <w:r>
        <w:rPr>
          <w:sz w:val="20"/>
        </w:rPr>
        <w:t xml:space="preserve"> is </w:t>
      </w:r>
      <w:r>
        <w:rPr>
          <w:rStyle w:val="VerbatimChar"/>
          <w:sz w:val="20"/>
        </w:rPr>
        <w:t>rs_loop_apb</w:t>
      </w:r>
      <w:r>
        <w:rPr>
          <w:sz w:val="20"/>
        </w:rPr>
        <w:t xml:space="preserve">, which feeds the shared </w:t>
      </w:r>
      <w:r>
        <w:rPr>
          <w:rStyle w:val="VerbatimChar"/>
          <w:sz w:val="20"/>
        </w:rPr>
        <w:t>apb4_to_peakrdl</w:t>
      </w:r>
      <w:r>
        <w:rPr>
          <w:sz w:val="20"/>
        </w:rPr>
        <w:t xml:space="preserve"> shim and then the generated </w:t>
      </w:r>
      <w:r>
        <w:rPr>
          <w:rStyle w:val="VerbatimChar"/>
          <w:sz w:val="20"/>
        </w:rPr>
        <w:t>rs_loop_regs</w:t>
      </w:r>
      <w:r>
        <w:rPr>
          <w:sz w:val="20"/>
        </w:rPr>
        <w:t xml:space="preserve"> block — that is where BUILD_ID, SCRATCH, PROFILE, TOPOLOGY, INJ_CFG, and the status/counter registers live. Window 1 at </w:t>
      </w:r>
      <w:r>
        <w:rPr>
          <w:rStyle w:val="VerbatimChar"/>
          <w:sz w:val="20"/>
        </w:rPr>
        <w:t>0x00010000</w:t>
      </w:r>
      <w:r>
        <w:rPr>
          <w:sz w:val="20"/>
        </w:rPr>
        <w:t xml:space="preserve"> is </w:t>
      </w:r>
      <w:r>
        <w:rPr>
          <w:rStyle w:val="VerbatimChar"/>
          <w:sz w:val="20"/>
        </w:rPr>
        <w:t>rs_regs_apb</w:t>
      </w:r>
      <w:r>
        <w:rPr>
          <w:sz w:val="20"/>
        </w:rPr>
        <w:t xml:space="preserve">; on the AXI4 flavor it hosts the </w:t>
      </w:r>
      <w:r>
        <w:rPr>
          <w:rStyle w:val="VerbatimChar"/>
          <w:sz w:val="20"/>
        </w:rPr>
        <w:t>axi4_intf_master_observer</w:t>
      </w:r>
      <w:r>
        <w:rPr>
          <w:sz w:val="20"/>
        </w:rPr>
        <w:t xml:space="preserve"> watching the codec’s four AXI4 master ports, while on AXIS flavors it is a read-zero stub so the host bus never hangs. Window 2 at </w:t>
      </w:r>
      <w:r>
        <w:rPr>
          <w:rStyle w:val="VerbatimChar"/>
          <w:sz w:val="20"/>
        </w:rPr>
        <w:t>0x00020000</w:t>
      </w:r>
      <w:r>
        <w:rPr>
          <w:sz w:val="20"/>
        </w:rPr>
        <w:t xml:space="preserve"> is </w:t>
      </w:r>
      <w:r>
        <w:rPr>
          <w:rStyle w:val="VerbatimChar"/>
          <w:sz w:val="20"/>
        </w:rPr>
        <w:t>obs_apb</w:t>
      </w:r>
      <w:r>
        <w:rPr>
          <w:sz w:val="20"/>
        </w:rPr>
        <w:t xml:space="preserve">, always live, where an </w:t>
      </w:r>
      <w:r>
        <w:rPr>
          <w:rStyle w:val="VerbatimChar"/>
          <w:sz w:val="20"/>
        </w:rPr>
        <w:t>axis4_intf_observer</w:t>
      </w:r>
      <w:r>
        <w:rPr>
          <w:sz w:val="20"/>
        </w:rPr>
        <w:t xml:space="preserve"> watches the four AXIS seams in codeword order: message-in, codeword-out, codeword-in, message-out. The fabric definition is frozen in </w:t>
      </w:r>
      <w:r>
        <w:rPr>
          <w:rStyle w:val="VerbatimChar"/>
          <w:sz w:val="20"/>
        </w:rPr>
        <w:t>rtl/bridges/generated/bridge_rs_loop_axil/bridge_rs_loop_axil.toml</w:t>
      </w:r>
      <w:r>
        <w:rPr>
          <w:sz w:val="20"/>
        </w:rPr>
        <w:t>, so adding a new window is a bridge regeneration rather than a harness rewrite.</w:t>
      </w:r>
      <w:bookmarkEnd w:id="18"/>
      <w:r>
        <w:br w:type="page"/>
      </w:r>
    </w:p>
    <w:p>
      <w:pPr>
        <w:pStyle w:val="Heading2"/>
        <w:pBdr>
          <w:bottom w:val="single" w:sz="12" w:space="0" w:color="228B22"/>
        </w:pBdr>
        <w:spacing w:before="280" w:after="80"/>
        <w:rPr/>
      </w:pPr>
      <w:bookmarkStart w:id="19" w:name="__RefHeading___Toc1604_1073424382"/>
      <w:bookmarkStart w:id="20" w:name="clock-and-reset"/>
      <w:bookmarkEnd w:id="19"/>
      <w:r>
        <w:rPr>
          <w:rStyle w:val="SectionNumber"/>
          <w:b/>
          <w:color w:val="228B22"/>
          <w:sz w:val="28"/>
        </w:rPr>
        <w:t>4.2</w:t>
      </w:r>
      <w:r>
        <w:rPr>
          <w:b/>
          <w:color w:val="228B22"/>
          <w:sz w:val="28"/>
        </w:rPr>
        <w:tab/>
        <w:t>Clock and reset</w:t>
      </w:r>
    </w:p>
    <w:p>
      <w:pPr>
        <w:pStyle w:val="FirstParagraph"/>
        <w:rPr/>
      </w:pPr>
      <w:r>
        <w:rPr>
          <w:sz w:val="20"/>
        </w:rPr>
        <w:t xml:space="preserve">Clock and reset differ only at the board top. On the Genesys 2 the 200 MHz LVDS system clock passes through </w:t>
      </w:r>
      <w:r>
        <w:rPr>
          <w:rStyle w:val="VerbatimChar"/>
          <w:sz w:val="20"/>
        </w:rPr>
        <w:t>IBUFDS</w:t>
      </w:r>
      <w:r>
        <w:rPr>
          <w:sz w:val="20"/>
        </w:rPr>
        <w:t xml:space="preserve"> into an </w:t>
      </w:r>
      <w:r>
        <w:rPr>
          <w:rStyle w:val="VerbatimChar"/>
          <w:sz w:val="20"/>
        </w:rPr>
        <w:t>MMCME2_BASE</w:t>
      </w:r>
      <w:r>
        <w:rPr>
          <w:sz w:val="20"/>
        </w:rPr>
        <w:t xml:space="preserve"> with VCO = 1200 MHz and </w:t>
      </w:r>
      <w:r>
        <w:rPr>
          <w:rStyle w:val="VerbatimChar"/>
          <w:sz w:val="20"/>
        </w:rPr>
        <w:t>CLKOUT0_DIVIDE_F = 12</w:t>
      </w:r>
      <w:r>
        <w:rPr>
          <w:sz w:val="20"/>
        </w:rPr>
        <w:t>, producing the 100 MHz harness clock (</w:t>
      </w:r>
      <w:r>
        <w:rPr>
          <w:rStyle w:val="VerbatimChar"/>
          <w:sz w:val="20"/>
        </w:rPr>
        <w:t>build-loop/rtl/rs_loop_genesys2_top.sv</w:t>
      </w:r>
      <w:r>
        <w:rPr>
          <w:sz w:val="20"/>
        </w:rPr>
        <w:t>). The Nexys A7 top uses the on-board 100 MHz clock directly (</w:t>
      </w:r>
      <w:r>
        <w:rPr>
          <w:rStyle w:val="VerbatimChar"/>
          <w:sz w:val="20"/>
        </w:rPr>
        <w:t>build-loop/rtl/rs_loop_top.sv</w:t>
      </w:r>
      <w:r>
        <w:rPr>
          <w:sz w:val="20"/>
        </w:rPr>
        <w:t xml:space="preserve">). Both synchronize the active-low pushbutton reset into the 100 MHz domain before it reaches </w:t>
      </w:r>
      <w:r>
        <w:rPr>
          <w:rStyle w:val="VerbatimChar"/>
          <w:sz w:val="20"/>
        </w:rPr>
        <w:t>rs_loop_harness</w:t>
      </w:r>
      <w:r>
        <w:rPr>
          <w:sz w:val="20"/>
        </w:rPr>
        <w:t xml:space="preserve">. All of the downstream geometry — including the UART divisor — comes from </w:t>
      </w:r>
      <w:r>
        <w:rPr>
          <w:rStyle w:val="VerbatimChar"/>
          <w:sz w:val="20"/>
        </w:rPr>
        <w:t>rs_loop_cfg_pkg.sv</w:t>
      </w:r>
      <w:r>
        <w:rPr>
          <w:sz w:val="20"/>
        </w:rPr>
        <w:t>, so the clock constant and the MMCM output cannot drift apart.</w:t>
      </w:r>
      <w:bookmarkEnd w:id="20"/>
      <w:r>
        <w:br w:type="page"/>
      </w:r>
    </w:p>
    <w:p>
      <w:pPr>
        <w:pStyle w:val="Heading1"/>
        <w:shd w:val="clear" w:color="auto" w:fill="404040"/>
        <w:spacing w:before="360" w:after="120"/>
        <w:rPr/>
      </w:pPr>
      <w:bookmarkStart w:id="21" w:name="__RefHeading___Toc1606_1073424382"/>
      <w:bookmarkStart w:id="22" w:name="the-fpga-testing-choices-and-why"/>
      <w:bookmarkEnd w:id="21"/>
      <w:r>
        <w:rPr>
          <w:rStyle w:val="SectionNumber"/>
          <w:b/>
          <w:color w:val="FFFFFF"/>
          <w:sz w:val="32"/>
        </w:rPr>
        <w:t>5</w:t>
      </w:r>
      <w:r>
        <w:rPr>
          <w:b/>
          <w:color w:val="FFFFFF"/>
          <w:sz w:val="32"/>
        </w:rPr>
        <w:tab/>
        <w:t>The FPGA-Testing Choices, And Why</w:t>
      </w:r>
    </w:p>
    <w:p>
      <w:pPr>
        <w:pStyle w:val="Heading2"/>
        <w:pageBreakBefore w:val="false"/>
        <w:pBdr>
          <w:bottom w:val="single" w:sz="12" w:space="0" w:color="228B22"/>
        </w:pBdr>
        <w:spacing w:before="280" w:after="80"/>
        <w:rPr/>
      </w:pPr>
      <w:bookmarkStart w:id="23" w:name="__RefHeading___Toc1608_1073424382"/>
      <w:bookmarkStart w:id="24" w:name="the-dual-solver-loop-as-mutual-oracle"/>
      <w:bookmarkEnd w:id="23"/>
      <w:r>
        <w:rPr>
          <w:rStyle w:val="SectionNumber"/>
          <w:b/>
          <w:color w:val="228B22"/>
          <w:sz w:val="28"/>
        </w:rPr>
        <w:t>5.1</w:t>
      </w:r>
      <w:r>
        <w:rPr>
          <w:b/>
          <w:color w:val="228B22"/>
          <w:sz w:val="28"/>
        </w:rPr>
        <w:tab/>
        <w:t>The dual-solver loop as mutual oracle</w:t>
      </w:r>
    </w:p>
    <w:p>
      <w:pPr>
        <w:pStyle w:val="FirstParagraph"/>
        <w:rPr/>
      </w:pPr>
      <w:r>
        <w:rPr>
          <w:sz w:val="20"/>
        </w:rPr>
        <w:t xml:space="preserve">The AXIS datapath feeds the same corrupted blocks to two </w:t>
      </w:r>
      <w:r>
        <w:rPr>
          <w:rStyle w:val="VerbatimChar"/>
          <w:sz w:val="20"/>
        </w:rPr>
        <w:t>rs_decoder_core</w:t>
      </w:r>
      <w:r>
        <w:rPr>
          <w:sz w:val="20"/>
        </w:rPr>
        <w:t xml:space="preserve"> instances, one with </w:t>
      </w:r>
      <w:r>
        <w:rPr>
          <w:rStyle w:val="VerbatimChar"/>
          <w:sz w:val="20"/>
        </w:rPr>
        <w:t>KES_ALGO=RIBM</w:t>
      </w:r>
      <w:r>
        <w:rPr>
          <w:sz w:val="20"/>
        </w:rPr>
        <w:t xml:space="preserve"> and one with </w:t>
      </w:r>
      <w:r>
        <w:rPr>
          <w:rStyle w:val="VerbatimChar"/>
          <w:sz w:val="20"/>
        </w:rPr>
        <w:t>KES_ALGO=EUCLID</w:t>
      </w:r>
      <w:r>
        <w:rPr>
          <w:sz w:val="20"/>
        </w:rPr>
        <w:t xml:space="preserve">. Each decoder’s output is compared beat-by-beat against the generator’s regenerated LFSR pattern in its own </w:t>
      </w:r>
      <w:r>
        <w:rPr>
          <w:rStyle w:val="VerbatimChar"/>
          <w:sz w:val="20"/>
        </w:rPr>
        <w:t>axis4_slave_pattern_check</w:t>
      </w:r>
      <w:r>
        <w:rPr>
          <w:sz w:val="20"/>
        </w:rPr>
        <w:t>, so a correction is judged by a reference that never saw the errors — not by the other decoder. A separate comparator then requires the two decoders to agree on every beat and on every block’s verdict. That makes a solver bug visible as a disagreement even when both decoders “correct.” On the board images this comparator is present only in simulation (</w:t>
      </w:r>
      <w:r>
        <w:rPr>
          <w:rStyle w:val="VerbatimChar"/>
          <w:sz w:val="20"/>
        </w:rPr>
        <w:t>ENABLE_COMPARE=1</w:t>
      </w:r>
      <w:r>
        <w:rPr>
          <w:sz w:val="20"/>
        </w:rPr>
        <w:t>); the production board matrix carries one solver per bitstream to save area and keep the handshake clean for the bandwidth meters. The cross-solver check then happens by running the identical deterministic campaign on the riBM and Euclid images and requiring matching numbers.</w:t>
      </w:r>
      <w:bookmarkEnd w:id="24"/>
      <w:r>
        <w:br w:type="page"/>
      </w:r>
    </w:p>
    <w:p>
      <w:pPr>
        <w:pStyle w:val="Heading2"/>
        <w:pBdr>
          <w:bottom w:val="single" w:sz="12" w:space="0" w:color="228B22"/>
        </w:pBdr>
        <w:spacing w:before="280" w:after="80"/>
        <w:rPr/>
      </w:pPr>
      <w:bookmarkStart w:id="25" w:name="__RefHeading___Toc1610_1073424382"/>
      <w:bookmarkStart w:id="26" w:name="X8986edd381f90783fdfc23b2deca2118a794320"/>
      <w:bookmarkEnd w:id="25"/>
      <w:r>
        <w:rPr>
          <w:rStyle w:val="SectionNumber"/>
          <w:b/>
          <w:color w:val="228B22"/>
          <w:sz w:val="28"/>
        </w:rPr>
        <w:t>5.2</w:t>
      </w:r>
      <w:r>
        <w:rPr>
          <w:b/>
          <w:color w:val="228B22"/>
          <w:sz w:val="28"/>
        </w:rPr>
        <w:tab/>
        <w:t>Determinism makes the riBM and Euclid images cross-oracles</w:t>
      </w:r>
    </w:p>
    <w:p>
      <w:pPr>
        <w:pStyle w:val="FirstParagraph"/>
        <w:rPr/>
      </w:pPr>
      <w:bookmarkStart w:id="27" w:name="X8986edd381f90783fdfc23b2deca2118a794320"/>
      <w:r>
        <w:rPr>
          <w:sz w:val="20"/>
        </w:rPr>
        <w:t>The host-side RNG seed defaults to 1. With that default, the random, soak, clusters, localized, and badblock campaigns are fully deterministic: the riBM and Euclid images run bit-identical workloads. On the 2026-10-05 Genesys 2 battery all four single-decoder images passed 7/7 campaigns, and the matching verdict counts between riBM and Euclid are themselves the cross-check. You do not need the on-chip comparator to know the two solvers agree — the campaigns prove it.</w:t>
      </w:r>
      <w:bookmarkEnd w:id="27"/>
      <w:r>
        <w:br w:type="page"/>
      </w:r>
    </w:p>
    <w:p>
      <w:pPr>
        <w:pStyle w:val="Heading2"/>
        <w:pBdr>
          <w:bottom w:val="single" w:sz="12" w:space="0" w:color="228B22"/>
        </w:pBdr>
        <w:spacing w:before="280" w:after="80"/>
        <w:rPr/>
      </w:pPr>
      <w:bookmarkStart w:id="28" w:name="__RefHeading___Toc1612_1073424382"/>
      <w:bookmarkStart w:id="29" w:name="Xba59fedd44ef670cc4f627318a2c6a8ba6eb2fd"/>
      <w:bookmarkEnd w:id="28"/>
      <w:r>
        <w:rPr>
          <w:rStyle w:val="SectionNumber"/>
          <w:b/>
          <w:color w:val="228B22"/>
          <w:sz w:val="28"/>
        </w:rPr>
        <w:t>5.3</w:t>
      </w:r>
      <w:r>
        <w:rPr>
          <w:b/>
          <w:color w:val="228B22"/>
          <w:sz w:val="28"/>
        </w:rPr>
        <w:tab/>
        <w:t>Injector modes map to real failure mechanisms</w:t>
      </w:r>
    </w:p>
    <w:p>
      <w:pPr>
        <w:pStyle w:val="FirstParagraph"/>
        <w:rPr/>
      </w:pPr>
      <w:r>
        <w:rPr>
          <w:sz w:val="20"/>
        </w:rPr>
        <w:t xml:space="preserve">The shared </w:t>
      </w:r>
      <w:r>
        <w:rPr>
          <w:rStyle w:val="VerbatimChar"/>
          <w:sz w:val="20"/>
        </w:rPr>
        <w:t>error_injector</w:t>
      </w:r>
      <w:r>
        <w:rPr>
          <w:sz w:val="20"/>
        </w:rPr>
        <w:t xml:space="preserve"> operates on 8-bit symbols, because that is RS’s natural unit. Mode 1 exact-count places exactly e errors per block at uniformly random distinct positions, which is what makes the e = t / e = t + 1 boundary sharp. Mode 2 burst and mode 3 rate model raw channel bit-error behavior. Modes 4 clusters and 5 localized model spatially correlated faults — a bad DRAM row, a disturbed NAND page, or a failed symbol column. Mode 6 badblock models the tail of NAND retention: most blocks clean, a hard minority very bad. Mode 7 debug is the deterministic bring-up walk. When </w:t>
      </w:r>
      <w:r>
        <w:rPr>
          <w:rStyle w:val="VerbatimChar"/>
          <w:sz w:val="20"/>
        </w:rPr>
        <w:t>INJ_CFG.mark</w:t>
      </w:r>
      <w:r>
        <w:rPr>
          <w:sz w:val="20"/>
        </w:rPr>
        <w:t xml:space="preserve"> is set, the injector’s hit mask rides the decoder </w:t>
      </w:r>
      <w:r>
        <w:rPr>
          <w:rStyle w:val="VerbatimChar"/>
          <w:sz w:val="20"/>
        </w:rPr>
        <w:t>in_erasure</w:t>
      </w:r>
      <w:r>
        <w:rPr>
          <w:sz w:val="20"/>
        </w:rPr>
        <w:t xml:space="preserve"> sideband, turning any of these placement modes into an erasure run where the decoder is told which symbols were corrupted.</w:t>
      </w:r>
      <w:bookmarkEnd w:id="29"/>
      <w:r>
        <w:br w:type="page"/>
      </w:r>
    </w:p>
    <w:p>
      <w:pPr>
        <w:pStyle w:val="Heading2"/>
        <w:pBdr>
          <w:bottom w:val="single" w:sz="12" w:space="0" w:color="228B22"/>
        </w:pBdr>
        <w:spacing w:before="280" w:after="80"/>
        <w:rPr/>
      </w:pPr>
      <w:bookmarkStart w:id="30" w:name="__RefHeading___Toc1614_1073424382"/>
      <w:bookmarkStart w:id="31" w:name="X39b5670bd0cc349c34063d439e0ead0eedf07cb"/>
      <w:bookmarkEnd w:id="30"/>
      <w:r>
        <w:rPr>
          <w:rStyle w:val="SectionNumber"/>
          <w:b/>
          <w:color w:val="228B22"/>
          <w:sz w:val="28"/>
        </w:rPr>
        <w:t>5.4</w:t>
      </w:r>
      <w:r>
        <w:rPr>
          <w:b/>
          <w:color w:val="228B22"/>
          <w:sz w:val="28"/>
        </w:rPr>
        <w:tab/>
        <w:t>Post-encoder injection protects parity symbols</w:t>
      </w:r>
    </w:p>
    <w:p>
      <w:pPr>
        <w:pStyle w:val="FirstParagraph"/>
        <w:rPr/>
      </w:pPr>
      <w:bookmarkStart w:id="32" w:name="X39b5670bd0cc349c34063d439e0ead0eedf07cb"/>
      <w:r>
        <w:rPr>
          <w:sz w:val="20"/>
        </w:rPr>
        <w:t>Errors are injected after the encoder, not in the generator. An error in the generator’s data would be encoded faithfully and would be invisible to the code. Placing the injector on the coded stream means parity symbols are corrupted too, which is the workload the decoder actually has to handle. That is why the generator has no error-injection mode and the injector is a separate block.</w:t>
      </w:r>
      <w:bookmarkEnd w:id="32"/>
      <w:r>
        <w:br w:type="page"/>
      </w:r>
    </w:p>
    <w:p>
      <w:pPr>
        <w:pStyle w:val="Heading2"/>
        <w:pBdr>
          <w:bottom w:val="single" w:sz="12" w:space="0" w:color="228B22"/>
        </w:pBdr>
        <w:spacing w:before="280" w:after="80"/>
        <w:rPr/>
      </w:pPr>
      <w:bookmarkStart w:id="33" w:name="__RefHeading___Toc1616_1073424382"/>
      <w:bookmarkStart w:id="34" w:name="Xc47722c6f7c2cead4a36a5b928930d6e3c9b991"/>
      <w:bookmarkEnd w:id="33"/>
      <w:r>
        <w:rPr>
          <w:rStyle w:val="SectionNumber"/>
          <w:b/>
          <w:color w:val="228B22"/>
          <w:sz w:val="28"/>
        </w:rPr>
        <w:t>5.5</w:t>
      </w:r>
      <w:r>
        <w:rPr>
          <w:b/>
          <w:color w:val="228B22"/>
          <w:sz w:val="28"/>
        </w:rPr>
        <w:tab/>
        <w:t>UART over a debug core, with a lock/readback safety pair</w:t>
      </w:r>
    </w:p>
    <w:p>
      <w:pPr>
        <w:pStyle w:val="FirstParagraph"/>
        <w:rPr/>
      </w:pPr>
      <w:r>
        <w:rPr>
          <w:sz w:val="20"/>
        </w:rPr>
        <w:t xml:space="preserve">The harness uses a plain UART instead of a proprietary debug core, so the host side is just pyserial and Python scripts. Board safety is a pair: </w:t>
      </w:r>
      <w:r>
        <w:rPr>
          <w:rStyle w:val="VerbatimChar"/>
          <w:sz w:val="20"/>
        </w:rPr>
        <w:t>board_lock.sh</w:t>
      </w:r>
      <w:r>
        <w:rPr>
          <w:sz w:val="20"/>
        </w:rPr>
        <w:t xml:space="preserve"> serializes programming flows by the board’s JTAG serial, and </w:t>
      </w:r>
      <w:r>
        <w:rPr>
          <w:rStyle w:val="VerbatimChar"/>
          <w:sz w:val="20"/>
        </w:rPr>
        <w:t>fpga_board.py</w:t>
      </w:r>
      <w:r>
        <w:rPr>
          <w:sz w:val="20"/>
        </w:rPr>
        <w:t xml:space="preserve"> reads the JTAG chain through </w:t>
      </w:r>
      <w:r>
        <w:rPr>
          <w:rStyle w:val="VerbatimChar"/>
          <w:sz w:val="20"/>
        </w:rPr>
        <w:t>jtag_readback.tcl</w:t>
      </w:r>
      <w:r>
        <w:rPr>
          <w:sz w:val="20"/>
        </w:rPr>
        <w:t xml:space="preserve"> before programming to confirm the expected Genesys 2 serial (</w:t>
      </w:r>
      <w:r>
        <w:rPr>
          <w:rStyle w:val="VerbatimChar"/>
          <w:sz w:val="20"/>
        </w:rPr>
        <w:t>200300B818A0</w:t>
      </w:r>
      <w:r>
        <w:rPr>
          <w:sz w:val="20"/>
        </w:rPr>
        <w:t>) is present with a device behind it. A lock prevents collisions; a readback detects misattribution. When the hw_server deviceless-enumeration race refused about half of programming attempts, the readback path was changed to bounce hw_server and retry, bounded at five. The verdict is recorded beside the bitstream sha256 so a result file cannot be mistaken for verified if the identity check was inconclusive.</w:t>
      </w:r>
      <w:bookmarkEnd w:id="34"/>
      <w:r>
        <w:br w:type="page"/>
      </w:r>
    </w:p>
    <w:p>
      <w:pPr>
        <w:pStyle w:val="Heading2"/>
        <w:pBdr>
          <w:bottom w:val="single" w:sz="12" w:space="0" w:color="228B22"/>
        </w:pBdr>
        <w:spacing w:before="280" w:after="80"/>
        <w:rPr/>
      </w:pPr>
      <w:bookmarkStart w:id="35" w:name="__RefHeading___Toc1618_1073424382"/>
      <w:bookmarkStart w:id="36" w:name="genesys-2-over-nexys-a7"/>
      <w:bookmarkEnd w:id="35"/>
      <w:r>
        <w:rPr>
          <w:rStyle w:val="SectionNumber"/>
          <w:b/>
          <w:color w:val="228B22"/>
          <w:sz w:val="28"/>
        </w:rPr>
        <w:t>5.6</w:t>
      </w:r>
      <w:r>
        <w:rPr>
          <w:b/>
          <w:color w:val="228B22"/>
          <w:sz w:val="28"/>
        </w:rPr>
        <w:tab/>
        <w:t>Genesys 2 over Nexys A7</w:t>
      </w:r>
    </w:p>
    <w:p>
      <w:pPr>
        <w:pStyle w:val="FirstParagraph"/>
        <w:rPr/>
      </w:pPr>
      <w:r>
        <w:rPr>
          <w:sz w:val="20"/>
        </w:rPr>
        <w:t>The Kintex-7 XC7K325T-2 was chosen because it has room for the full harness plus observers and still closes timing with positive slack. The four Genesys 2 images routed with WNS from +0.875 ns to +1.822 ns. The Nexys A7-100T flow is kept as a target option (</w:t>
      </w:r>
      <w:r>
        <w:rPr>
          <w:rStyle w:val="VerbatimChar"/>
          <w:sz w:val="20"/>
        </w:rPr>
        <w:t>RS_TARGET=nexys_a7_100t</w:t>
      </w:r>
      <w:r>
        <w:rPr>
          <w:sz w:val="20"/>
        </w:rPr>
        <w:t>) and the original image names and report layout stay byte-identical, but the Genesys 2 is the primary target for harness-class work.</w:t>
      </w:r>
      <w:bookmarkEnd w:id="36"/>
      <w:r>
        <w:br w:type="page"/>
      </w:r>
    </w:p>
    <w:p>
      <w:pPr>
        <w:pStyle w:val="Heading2"/>
        <w:pBdr>
          <w:bottom w:val="single" w:sz="12" w:space="0" w:color="228B22"/>
        </w:pBdr>
        <w:spacing w:before="280" w:after="80"/>
        <w:rPr/>
      </w:pPr>
      <w:bookmarkStart w:id="37" w:name="__RefHeading___Toc1620_1073424382"/>
      <w:bookmarkStart w:id="38" w:name="X795ba1d5d597264028343fd225a136bc41bb7e4"/>
      <w:bookmarkEnd w:id="37"/>
      <w:r>
        <w:rPr>
          <w:rStyle w:val="SectionNumber"/>
          <w:b/>
          <w:color w:val="228B22"/>
          <w:sz w:val="28"/>
        </w:rPr>
        <w:t>5.7</w:t>
      </w:r>
      <w:r>
        <w:rPr>
          <w:b/>
          <w:color w:val="228B22"/>
          <w:sz w:val="28"/>
        </w:rPr>
        <w:tab/>
        <w:t>AXIS and AXI4 flavors cover both integration styles</w:t>
      </w:r>
    </w:p>
    <w:p>
      <w:pPr>
        <w:pStyle w:val="FirstParagraph"/>
        <w:rPr/>
      </w:pPr>
      <w:r>
        <w:rPr>
          <w:sz w:val="20"/>
        </w:rPr>
        <w:t xml:space="preserve">The AXIS flavor is a single streaming pipe: generator, encoder, injector, decoder, checker. The AXI4 flavor replaces the middle with </w:t>
      </w:r>
      <w:r>
        <w:rPr>
          <w:rStyle w:val="VerbatimChar"/>
          <w:sz w:val="20"/>
        </w:rPr>
        <w:t>rs_axi4_pipeline</w:t>
      </w:r>
      <w:r>
        <w:rPr>
          <w:sz w:val="20"/>
        </w:rPr>
        <w:t xml:space="preserve">, a memory-to-memory job chain over block RAM. Both use the same generator, checker, CSRs, and verdict logic, so a run reports itself identically whichever middle is built. The AXI4 flavor refuses a </w:t>
      </w:r>
      <w:r>
        <w:rPr>
          <w:rStyle w:val="VerbatimChar"/>
          <w:sz w:val="20"/>
        </w:rPr>
        <w:t>GEN_BLOCKS</w:t>
      </w:r>
      <w:r>
        <w:rPr>
          <w:sz w:val="20"/>
        </w:rPr>
        <w:t xml:space="preserve"> value that would exceed the job memories — it declines rather than clamps, because clamping would answer a question the host did not ask. Running the same deterministic campaign on both flavors is a free sanity check: at e = 8 the AXI4 flavor takes 381.0 cycles/block against 199.2 on AXIS. The two numbers must be consistent for the same workload, and they are. The million-block soak ran on </w:t>
      </w:r>
      <w:r>
        <w:rPr>
          <w:rStyle w:val="VerbatimChar"/>
          <w:sz w:val="20"/>
        </w:rPr>
        <w:t>axi4_ribm</w:t>
      </w:r>
      <w:r>
        <w:rPr>
          <w:sz w:val="20"/>
        </w:rPr>
        <w:t>; an earlier plan to prefer AXIS for soaks proved unnecessary.</w:t>
      </w:r>
      <w:bookmarkEnd w:id="22"/>
      <w:bookmarkEnd w:id="38"/>
      <w:r>
        <w:br w:type="page"/>
      </w:r>
    </w:p>
    <w:p>
      <w:pPr>
        <w:pStyle w:val="Heading1"/>
        <w:shd w:val="clear" w:color="auto" w:fill="404040"/>
        <w:spacing w:before="360" w:after="120"/>
        <w:rPr/>
      </w:pPr>
      <w:bookmarkStart w:id="39" w:name="__RefHeading___Toc1622_1073424382"/>
      <w:bookmarkStart w:id="40" w:name="operating-it"/>
      <w:bookmarkEnd w:id="39"/>
      <w:r>
        <w:rPr>
          <w:rStyle w:val="SectionNumber"/>
          <w:b/>
          <w:color w:val="FFFFFF"/>
          <w:sz w:val="32"/>
        </w:rPr>
        <w:t>6</w:t>
      </w:r>
      <w:r>
        <w:rPr>
          <w:b/>
          <w:color w:val="FFFFFF"/>
          <w:sz w:val="32"/>
        </w:rPr>
        <w:tab/>
        <w:t>Operating It</w:t>
      </w:r>
    </w:p>
    <w:p>
      <w:pPr>
        <w:pStyle w:val="FirstParagraph"/>
        <w:rPr/>
      </w:pPr>
      <w:r>
        <w:rPr>
          <w:sz w:val="20"/>
        </w:rPr>
        <w:t>To run on the Genesys 2:</w:t>
      </w:r>
    </w:p>
    <w:p>
      <w:pPr>
        <w:pStyle w:val="SourceCode"/>
        <w:rPr/>
      </w:pPr>
      <w:r>
        <w:rPr>
          <w:rStyle w:val="BuiltInTok"/>
        </w:rPr>
        <w:t>cd</w:t>
      </w:r>
      <w:r>
        <w:rPr>
          <w:rStyle w:val="NormalTok"/>
        </w:rPr>
        <w:t xml:space="preserve"> projects/fpga-systems/Genesys2/reed-solomon</w:t>
      </w:r>
      <w:r>
        <w:rPr/>
        <w:br/>
      </w:r>
      <w:r>
        <w:rPr>
          <w:rStyle w:val="ExtensionTok"/>
        </w:rPr>
        <w:t>bin/run_smoke.py</w:t>
      </w:r>
      <w:r>
        <w:rPr>
          <w:rStyle w:val="NormalTok"/>
        </w:rPr>
        <w:t xml:space="preserve"> </w:t>
      </w:r>
      <w:r>
        <w:rPr>
          <w:rStyle w:val="AttributeTok"/>
        </w:rPr>
        <w:t>--board</w:t>
      </w:r>
      <w:r>
        <w:rPr>
          <w:rStyle w:val="NormalTok"/>
        </w:rPr>
        <w:t xml:space="preserve"> genesys2 </w:t>
      </w:r>
      <w:r>
        <w:rPr>
          <w:rStyle w:val="AttributeTok"/>
        </w:rPr>
        <w:t>--port</w:t>
      </w:r>
      <w:r>
        <w:rPr>
          <w:rStyle w:val="NormalTok"/>
        </w:rPr>
        <w:t xml:space="preserve"> /dev/ttyUSB0 </w:t>
      </w:r>
      <w:r>
        <w:rPr>
          <w:rStyle w:val="AttributeTok"/>
        </w:rPr>
        <w:t>--sequences</w:t>
      </w:r>
      <w:r>
        <w:rPr>
          <w:rStyle w:val="NormalTok"/>
        </w:rPr>
        <w:t xml:space="preserve"> init smoke sweep</w:t>
      </w:r>
    </w:p>
    <w:p>
      <w:pPr>
        <w:pStyle w:val="FirstParagraph"/>
        <w:rPr/>
      </w:pPr>
      <w:r>
        <w:rPr>
          <w:sz w:val="20"/>
        </w:rPr>
        <w:t xml:space="preserve">See </w:t>
      </w:r>
      <w:r>
        <w:rPr>
          <w:rStyle w:val="VerbatimChar"/>
          <w:sz w:val="20"/>
        </w:rPr>
        <w:t>README.md</w:t>
      </w:r>
      <w:r>
        <w:rPr>
          <w:sz w:val="20"/>
        </w:rPr>
        <w:t xml:space="preserve"> and </w:t>
      </w:r>
      <w:r>
        <w:rPr>
          <w:rStyle w:val="VerbatimChar"/>
          <w:sz w:val="20"/>
        </w:rPr>
        <w:t>Makefile</w:t>
      </w:r>
      <w:r>
        <w:rPr>
          <w:sz w:val="20"/>
        </w:rPr>
        <w:t xml:space="preserve"> for the full target list (bitstream, lint, sim, regmap) and </w:t>
      </w:r>
      <w:r>
        <w:rPr>
          <w:rStyle w:val="VerbatimChar"/>
          <w:sz w:val="20"/>
        </w:rPr>
        <w:t>build-loop/host/host_rs_loop.py</w:t>
      </w:r>
      <w:r>
        <w:rPr>
          <w:sz w:val="20"/>
        </w:rPr>
        <w:t xml:space="preserve"> for the lower-level CLI. Build evidence and the board-validation record live in </w:t>
      </w:r>
      <w:r>
        <w:rPr>
          <w:rStyle w:val="VerbatimChar"/>
          <w:sz w:val="20"/>
        </w:rPr>
        <w:t>stable/MANIFEST.md</w:t>
      </w:r>
      <w:r>
        <w:rPr>
          <w:sz w:val="20"/>
        </w:rPr>
        <w:t xml:space="preserve"> and the four </w:t>
      </w:r>
      <w:r>
        <w:rPr>
          <w:rStyle w:val="VerbatimChar"/>
          <w:sz w:val="20"/>
        </w:rPr>
        <w:t>stable/reports/genesys2_*</w:t>
      </w:r>
      <w:r>
        <w:rPr>
          <w:sz w:val="20"/>
        </w:rPr>
        <w:t xml:space="preserve"> directories. Campaign transcripts turn into reports with </w:t>
      </w:r>
      <w:r>
        <w:rPr>
          <w:rStyle w:val="VerbatimChar"/>
          <w:sz w:val="20"/>
        </w:rPr>
        <w:t>projects/fpga-systems/bin/report_battery.py</w:t>
      </w:r>
      <w:r>
        <w:rPr>
          <w:sz w:val="20"/>
        </w:rPr>
        <w:t xml:space="preserve"> (JSON artifacts, correction-boundary / decode-cost / soak-timeline figures, and a generated </w:t>
      </w:r>
      <w:r>
        <w:rPr>
          <w:rStyle w:val="VerbatimChar"/>
          <w:sz w:val="20"/>
        </w:rPr>
        <w:t>FINDINGS.md</w:t>
      </w:r>
      <w:r>
        <w:rPr>
          <w:sz w:val="20"/>
        </w:rPr>
        <w:t xml:space="preserve">); published runs live under </w:t>
      </w:r>
      <w:r>
        <w:rPr>
          <w:rStyle w:val="VerbatimChar"/>
          <w:sz w:val="20"/>
        </w:rPr>
        <w:t>stable/results/</w:t>
      </w:r>
      <w:r>
        <w:rPr>
          <w:sz w:val="20"/>
        </w:rPr>
        <w:t xml:space="preserve">. The run evidence — the 2026-10-05 four-image battery and the one-million-block soak — is rolled up in the companion </w:t>
      </w:r>
      <w:r>
        <w:rPr>
          <w:i/>
          <w:iCs/>
          <w:sz w:val="20"/>
        </w:rPr>
        <w:t>Reed-Solomon Board Validation Report</w:t>
      </w:r>
      <w:r>
        <w:rPr>
          <w:sz w:val="20"/>
        </w:rPr>
        <w:t xml:space="preserve"> (</w:t>
      </w:r>
      <w:r>
        <w:rPr>
          <w:rStyle w:val="VerbatimChar"/>
          <w:sz w:val="20"/>
        </w:rPr>
        <w:t>docs/Reed_Solomon_Board_Validation_v0.1.pdf</w:t>
      </w:r>
      <w:r>
        <w:rPr>
          <w:sz w:val="20"/>
        </w:rPr>
        <w:t xml:space="preserve">). The math behind the codec is in the component HAS chapter 7 at </w:t>
      </w:r>
      <w:r>
        <w:rPr>
          <w:rStyle w:val="VerbatimChar"/>
          <w:sz w:val="20"/>
        </w:rPr>
        <w:t>projects/components/ecc-ip/reed-solomon/docs/reed_solomon_has/ch07_understanding_the_math/</w:t>
      </w:r>
      <w:r>
        <w:rPr>
          <w:sz w:val="20"/>
        </w:rPr>
        <w:t xml:space="preserve">. The sister BCH harness has the matching guide at </w:t>
      </w:r>
      <w:r>
        <w:rPr>
          <w:rStyle w:val="VerbatimChar"/>
          <w:sz w:val="20"/>
        </w:rPr>
        <w:t>../../bch/docs/Binary_BCH_UART_Harness_v0.1.pdf</w:t>
      </w:r>
      <w:r>
        <w:rPr>
          <w:sz w:val="20"/>
        </w:rPr>
        <w:t>.</w:t>
      </w:r>
      <w:bookmarkEnd w:id="40"/>
      <w:r>
        <w:br w:type="page"/>
      </w:r>
    </w:p>
    <w:p>
      <w:pPr>
        <w:pStyle w:val="Heading1"/>
        <w:shd w:val="clear" w:color="auto" w:fill="404040"/>
        <w:spacing w:before="360" w:after="120"/>
        <w:rPr/>
      </w:pPr>
      <w:bookmarkStart w:id="41" w:name="__RefHeading___Toc1624_1073424382"/>
      <w:bookmarkStart w:id="42" w:name="what-is-deliberately-not-board-tested"/>
      <w:bookmarkEnd w:id="41"/>
      <w:r>
        <w:rPr>
          <w:rStyle w:val="SectionNumber"/>
          <w:b/>
          <w:color w:val="FFFFFF"/>
          <w:sz w:val="32"/>
        </w:rPr>
        <w:t>7</w:t>
      </w:r>
      <w:r>
        <w:rPr>
          <w:b/>
          <w:color w:val="FFFFFF"/>
          <w:sz w:val="32"/>
        </w:rPr>
        <w:tab/>
        <w:t>What Is Deliberately Not Board-Tested</w:t>
      </w:r>
    </w:p>
    <w:p>
      <w:pPr>
        <w:pStyle w:val="FirstParagraph"/>
        <w:rPr/>
      </w:pPr>
      <w:r>
        <w:rPr>
          <w:sz w:val="20"/>
        </w:rPr>
        <w:t>A few things are intentionally left in simulation or are still open:</w:t>
      </w:r>
    </w:p>
    <w:p>
      <w:pPr>
        <w:pStyle w:val="Compact"/>
        <w:numPr>
          <w:ilvl w:val="0"/>
          <w:numId w:val="1"/>
        </w:numPr>
        <w:rPr/>
      </w:pPr>
      <w:r>
        <w:rPr/>
        <w:t xml:space="preserve">The 2026-10-05 board battery ran the four single-decoder images. The dual-decoder comparator with </w:t>
      </w:r>
      <w:r>
        <w:rPr>
          <w:rStyle w:val="VerbatimChar"/>
        </w:rPr>
        <w:t>ENABLE_COMPARE=1</w:t>
      </w:r>
      <w:r>
        <w:rPr/>
        <w:t xml:space="preserve"> is the sim/DV domain; it caught real harness bugs (dropped/duplicated beats under skewed drains) without costing a bitstream.</w:t>
      </w:r>
    </w:p>
    <w:p>
      <w:pPr>
        <w:pStyle w:val="Compact"/>
        <w:numPr>
          <w:ilvl w:val="0"/>
          <w:numId w:val="1"/>
        </w:numPr>
        <w:rPr/>
      </w:pPr>
      <w:r>
        <w:rPr/>
        <w:t xml:space="preserve">The erasure </w:t>
      </w:r>
      <w:r>
        <w:rPr>
          <w:rStyle w:val="VerbatimChar"/>
        </w:rPr>
        <w:t>f = 2t</w:t>
      </w:r>
      <w:r>
        <w:rPr/>
        <w:t xml:space="preserve"> boundary is a known open bug, filed as </w:t>
      </w:r>
      <w:r>
        <w:rPr>
          <w:rStyle w:val="VerbatimChar"/>
        </w:rPr>
        <w:t>vault/Tasks/projects/components/ecc-ip/reed-solomon/task/open/TASK-005.md</w:t>
      </w:r>
      <w:r>
        <w:rPr/>
        <w:t xml:space="preserve">. </w:t>
      </w:r>
      <w:r>
        <w:rPr>
          <w:rStyle w:val="VerbatimChar"/>
        </w:rPr>
        <w:t>f = t</w:t>
      </w:r>
      <w:r>
        <w:rPr/>
        <w:t xml:space="preserve"> corrects and </w:t>
      </w:r>
      <w:r>
        <w:rPr>
          <w:rStyle w:val="VerbatimChar"/>
        </w:rPr>
        <w:t>f = 2t + 1</w:t>
      </w:r>
      <w:r>
        <w:rPr/>
        <w:t xml:space="preserve"> refuses on the board; </w:t>
      </w:r>
      <w:r>
        <w:rPr>
          <w:rStyle w:val="VerbatimChar"/>
        </w:rPr>
        <w:t>f = 2t</w:t>
      </w:r>
      <w:r>
        <w:rPr/>
        <w:t xml:space="preserve"> is flagged uncorrectable even though the design intent says it should correct.</w:t>
      </w:r>
    </w:p>
    <w:p>
      <w:pPr>
        <w:pStyle w:val="Compact"/>
        <w:numPr>
          <w:ilvl w:val="0"/>
          <w:numId w:val="1"/>
        </w:numPr>
        <w:rPr/>
      </w:pPr>
      <w:r>
        <w:rPr/>
        <w:t xml:space="preserve">The component DV matrix — 195 cells per </w:t>
      </w:r>
      <w:r>
        <w:rPr>
          <w:rStyle w:val="VerbatimChar"/>
        </w:rPr>
        <w:t>TASK-001.md</w:t>
      </w:r>
      <w:r>
        <w:rPr/>
        <w:t xml:space="preserve"> — exercises the codec in ways the board harness does not replicate.</w:t>
      </w:r>
    </w:p>
    <w:p>
      <w:pPr>
        <w:pStyle w:val="Compact"/>
        <w:numPr>
          <w:ilvl w:val="0"/>
          <w:numId w:val="1"/>
        </w:numPr>
        <w:rPr/>
      </w:pPr>
      <w:r>
        <w:rPr/>
        <w:t>The board validates only the RS(252,236) t=8, S=4 profile; other profiles are covered in simulation and component DV.</w:t>
      </w:r>
    </w:p>
    <w:p>
      <w:pPr>
        <w:pStyle w:val="Compact"/>
        <w:numPr>
          <w:ilvl w:val="0"/>
          <w:numId w:val="1"/>
        </w:numPr>
        <w:spacing w:before="36" w:after="36"/>
        <w:rPr/>
      </w:pPr>
      <w:bookmarkStart w:id="43" w:name="what-is-deliberately-not-board-tested"/>
      <w:r>
        <w:rPr/>
        <w:t>The 2026-10-05 million-block soak is statistical, not exhaustive; its counters, the 2-of-74,240 mis-decodes, and the bounded-rate pass criterion are reported in the Board Validation Report.</w:t>
      </w:r>
      <w:bookmarkEnd w:id="43"/>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UART Harness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2026-10-06T13:36:52Z</dcterms:created>
  <dc:creator/>
  <dc:description/>
  <dc:language>en-US</dc:language>
  <cp:lastModifiedBy/>
  <dcterms:modified xsi:type="dcterms:W3CDTF">2026-10-06T06:36:55Z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