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svgz" ContentType="image/svg+xml"/>
  <Override PartName="/word/media/rId57.svgz" ContentType="image/svg+xml"/>
  <Override PartName="/word/media/rId53.svgz" ContentType="image/svg+xml"/>
  <Override PartName="/word/media/rId49.svgz" ContentType="image/svg+xml"/>
  <Override PartName="/word/media/rId45.svgz" ContentType="image/svg+xml"/>
  <Override PartName="/word/media/rId61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ic-8259-index"/>
    <w:p>
      <w:pPr>
        <w:pStyle w:val="Heading1"/>
      </w:pPr>
      <w:r>
        <w:t xml:space="preserve">Pic 8259 Index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2025-12-07</w:t>
      </w:r>
    </w:p>
    <w:bookmarkEnd w:id="20"/>
    <w:bookmarkStart w:id="38" w:name="X1f317159714cfea728a2bc7151eb46c554e97d4"/>
    <w:p>
      <w:pPr>
        <w:pStyle w:val="Heading1"/>
      </w:pPr>
      <w:r>
        <w:t xml:space="preserve">APB PIC 8259 Specification - Table of Contents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APB 8259A-Compatible Programmable Interrupt Controller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2025-12-01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Start w:id="32" w:name="document-organization"/>
    <w:p>
      <w:pPr>
        <w:pStyle w:val="Heading2"/>
      </w:pPr>
      <w:r>
        <w:t xml:space="preserve">Document Organization</w:t>
      </w:r>
    </w:p>
    <w:bookmarkStart w:id="23" w:name="chapter-1-overview"/>
    <w:p>
      <w:pPr>
        <w:pStyle w:val="Heading3"/>
      </w:pPr>
      <w:r>
        <w:t xml:space="preserve">Chapter 1: Overview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01_overview.md</w:t>
        </w:r>
      </w:hyperlink>
      <w:r>
        <w:t xml:space="preserve"> </w:t>
      </w:r>
      <w:r>
        <w:t xml:space="preserve">- Component overview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02_architecture.md</w:t>
        </w:r>
      </w:hyperlink>
      <w:r>
        <w:t xml:space="preserve"> </w:t>
      </w:r>
      <w:r>
        <w:t xml:space="preserve">- Architecture</w:t>
      </w:r>
    </w:p>
    <w:bookmarkEnd w:id="23"/>
    <w:bookmarkStart w:id="25" w:name="chapter-2-blocks"/>
    <w:p>
      <w:pPr>
        <w:pStyle w:val="Heading3"/>
      </w:pPr>
      <w:r>
        <w:t xml:space="preserve">Chapter 2: Blocks</w:t>
      </w:r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Block hierarchy</w:t>
      </w:r>
    </w:p>
    <w:bookmarkEnd w:id="25"/>
    <w:bookmarkStart w:id="27" w:name="chapter-3-interfaces"/>
    <w:p>
      <w:pPr>
        <w:pStyle w:val="Heading3"/>
      </w:pPr>
      <w:r>
        <w:t xml:space="preserve">Chapter 3: Interfaces</w:t>
      </w:r>
    </w:p>
    <w:p>
      <w:pPr>
        <w:numPr>
          <w:ilvl w:val="0"/>
          <w:numId w:val="1003"/>
        </w:numPr>
        <w:pStyle w:val="Compact"/>
      </w:pPr>
      <w:hyperlink r:id="rId26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Interface summary</w:t>
      </w:r>
    </w:p>
    <w:bookmarkEnd w:id="27"/>
    <w:bookmarkStart w:id="29" w:name="chapter-4-programming-model"/>
    <w:p>
      <w:pPr>
        <w:pStyle w:val="Heading3"/>
      </w:pPr>
      <w:r>
        <w:t xml:space="preserve">Chapter 4: Programming Model</w:t>
      </w:r>
    </w:p>
    <w:p>
      <w:pPr>
        <w:numPr>
          <w:ilvl w:val="0"/>
          <w:numId w:val="1004"/>
        </w:numPr>
        <w:pStyle w:val="Compact"/>
      </w:pPr>
      <w:hyperlink r:id="rId28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Programming overview</w:t>
      </w:r>
    </w:p>
    <w:bookmarkEnd w:id="29"/>
    <w:bookmarkStart w:id="31" w:name="chapter-5-registers"/>
    <w:p>
      <w:pPr>
        <w:pStyle w:val="Heading3"/>
      </w:pPr>
      <w:r>
        <w:t xml:space="preserve">Chapter 5: Registers</w:t>
      </w:r>
    </w:p>
    <w:p>
      <w:pPr>
        <w:numPr>
          <w:ilvl w:val="0"/>
          <w:numId w:val="1005"/>
        </w:numPr>
        <w:pStyle w:val="Compact"/>
      </w:pPr>
      <w:hyperlink r:id="rId30">
        <w:r>
          <w:rPr>
            <w:rStyle w:val="Hyperlink"/>
          </w:rPr>
          <w:t xml:space="preserve">01_register_map.md</w:t>
        </w:r>
      </w:hyperlink>
      <w:r>
        <w:t xml:space="preserve"> </w:t>
      </w:r>
      <w:r>
        <w:t xml:space="preserve">- Register map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block-diagram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1287648"/>
            <wp:effectExtent b="0" l="0" r="0" t="0"/>
            <wp:docPr descr="PIC 8259 Block Diagram" title="" id="34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pic_8259_spec/assets/svg/pic_8259_top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7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PIC 8259 Block Diagram</w:t>
      </w:r>
    </w:p>
    <w:p>
      <w:r>
        <w:pict>
          <v:rect style="width:0;height:1.5pt" o:hralign="center" o:hrstd="t" o:hr="t"/>
        </w:pict>
      </w:r>
    </w:p>
    <w:bookmarkEnd w:id="36"/>
    <w:bookmarkStart w:id="37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Design Sherpa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specification</w:t>
            </w:r>
          </w:p>
        </w:tc>
      </w:tr>
    </w:tbl>
    <w:bookmarkEnd w:id="37"/>
    <w:bookmarkEnd w:id="38"/>
    <w:bookmarkStart w:id="70" w:name="apb-pic-8259---overview"/>
    <w:p>
      <w:pPr>
        <w:pStyle w:val="Heading1"/>
      </w:pPr>
      <w:r>
        <w:t xml:space="preserve">APB PIC 8259 - Overview</w:t>
      </w:r>
    </w:p>
    <w:bookmarkStart w:id="3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APB PIC 8259 is an 8259A-compatible Programmable Interrupt Controller with an APB interface. It provides interrupt management for legacy PC-compatible systems.</w:t>
      </w:r>
    </w:p>
    <w:bookmarkEnd w:id="39"/>
    <w:bookmarkStart w:id="40" w:name="key-features"/>
    <w:p>
      <w:pPr>
        <w:pStyle w:val="Heading2"/>
      </w:pPr>
      <w:r>
        <w:t xml:space="preserve">Key Features</w:t>
      </w:r>
    </w:p>
    <w:p>
      <w:pPr>
        <w:numPr>
          <w:ilvl w:val="0"/>
          <w:numId w:val="1006"/>
        </w:numPr>
        <w:pStyle w:val="Compact"/>
      </w:pPr>
      <w:r>
        <w:t xml:space="preserve">8 interrupt inputs per controller</w:t>
      </w:r>
    </w:p>
    <w:p>
      <w:pPr>
        <w:numPr>
          <w:ilvl w:val="0"/>
          <w:numId w:val="1006"/>
        </w:numPr>
        <w:pStyle w:val="Compact"/>
      </w:pPr>
      <w:r>
        <w:t xml:space="preserve">Master/Slave cascade support</w:t>
      </w:r>
    </w:p>
    <w:p>
      <w:pPr>
        <w:numPr>
          <w:ilvl w:val="0"/>
          <w:numId w:val="1006"/>
        </w:numPr>
        <w:pStyle w:val="Compact"/>
      </w:pPr>
      <w:r>
        <w:t xml:space="preserve">Programmable priority modes</w:t>
      </w:r>
    </w:p>
    <w:p>
      <w:pPr>
        <w:numPr>
          <w:ilvl w:val="0"/>
          <w:numId w:val="1006"/>
        </w:numPr>
        <w:pStyle w:val="Compact"/>
      </w:pPr>
      <w:r>
        <w:t xml:space="preserve">Edge or level triggering</w:t>
      </w:r>
    </w:p>
    <w:p>
      <w:pPr>
        <w:numPr>
          <w:ilvl w:val="0"/>
          <w:numId w:val="1006"/>
        </w:numPr>
        <w:pStyle w:val="Compact"/>
      </w:pPr>
      <w:r>
        <w:t xml:space="preserve">Automatic EOI option</w:t>
      </w:r>
    </w:p>
    <w:p>
      <w:pPr>
        <w:numPr>
          <w:ilvl w:val="0"/>
          <w:numId w:val="1006"/>
        </w:numPr>
        <w:pStyle w:val="Compact"/>
      </w:pPr>
      <w:r>
        <w:t xml:space="preserve">Interrupt masking</w:t>
      </w:r>
    </w:p>
    <w:p>
      <w:pPr>
        <w:numPr>
          <w:ilvl w:val="0"/>
          <w:numId w:val="1006"/>
        </w:numPr>
        <w:pStyle w:val="Compact"/>
      </w:pPr>
      <w:r>
        <w:t xml:space="preserve">Polling mode support</w:t>
      </w:r>
    </w:p>
    <w:p>
      <w:pPr>
        <w:numPr>
          <w:ilvl w:val="0"/>
          <w:numId w:val="1006"/>
        </w:numPr>
        <w:pStyle w:val="Compact"/>
      </w:pPr>
      <w:r>
        <w:t xml:space="preserve">Special fully nested mode</w:t>
      </w:r>
    </w:p>
    <w:bookmarkEnd w:id="40"/>
    <w:bookmarkStart w:id="41" w:name="applications"/>
    <w:p>
      <w:pPr>
        <w:pStyle w:val="Heading2"/>
      </w:pPr>
      <w:r>
        <w:t xml:space="preserve">Applications</w:t>
      </w:r>
    </w:p>
    <w:p>
      <w:pPr>
        <w:numPr>
          <w:ilvl w:val="0"/>
          <w:numId w:val="1007"/>
        </w:numPr>
        <w:pStyle w:val="Compact"/>
      </w:pPr>
      <w:r>
        <w:t xml:space="preserve">PC-compatible interrupt management</w:t>
      </w:r>
    </w:p>
    <w:p>
      <w:pPr>
        <w:numPr>
          <w:ilvl w:val="0"/>
          <w:numId w:val="1007"/>
        </w:numPr>
        <w:pStyle w:val="Compact"/>
      </w:pPr>
      <w:r>
        <w:t xml:space="preserve">Legacy device support</w:t>
      </w:r>
    </w:p>
    <w:p>
      <w:pPr>
        <w:numPr>
          <w:ilvl w:val="0"/>
          <w:numId w:val="1007"/>
        </w:numPr>
        <w:pStyle w:val="Compact"/>
      </w:pPr>
      <w:r>
        <w:t xml:space="preserve">x86 system integration</w:t>
      </w:r>
    </w:p>
    <w:bookmarkEnd w:id="41"/>
    <w:bookmarkStart w:id="44" w:name="block-diagram-1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1287648"/>
            <wp:effectExtent b="0" l="0" r="0" t="0"/>
            <wp:docPr descr="PIC 8259 Block Diagram" title="" id="42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pic_8259_spec/assets/svg/pic_8259_top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7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PIC 8259 Block Diagram</w:t>
      </w:r>
    </w:p>
    <w:bookmarkEnd w:id="44"/>
    <w:bookmarkStart w:id="65" w:name="timing-diagrams"/>
    <w:p>
      <w:pPr>
        <w:pStyle w:val="Heading2"/>
      </w:pPr>
      <w:r>
        <w:t xml:space="preserve">Timing Diagrams</w:t>
      </w:r>
    </w:p>
    <w:bookmarkStart w:id="48" w:name="interrupt-request"/>
    <w:p>
      <w:pPr>
        <w:pStyle w:val="Heading3"/>
      </w:pPr>
      <w:r>
        <w:t xml:space="preserve">Interrupt Request</w:t>
      </w:r>
    </w:p>
    <w:p>
      <w:pPr>
        <w:pStyle w:val="FirstParagraph"/>
      </w:pPr>
      <w:r>
        <w:t xml:space="preserve">Shows an IRQ input assertion triggering the interrupt process.</w:t>
      </w:r>
    </w:p>
    <w:p>
      <w:pPr>
        <w:pStyle w:val="CaptionedFigure"/>
      </w:pPr>
      <w:r>
        <w:drawing>
          <wp:inline>
            <wp:extent cx="5334000" cy="1144229"/>
            <wp:effectExtent b="0" l="0" r="0" t="0"/>
            <wp:docPr descr="PIC Interrupt Request" title="" id="46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pic_8259_spec/assets/wavedrom/timing/pic_interrupt_request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4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PIC Interrupt Request</w:t>
      </w:r>
    </w:p>
    <w:p>
      <w:pPr>
        <w:pStyle w:val="BodyText"/>
      </w:pPr>
      <w:r>
        <w:t xml:space="preserve">When an IR pin asserts, the corresponding IRR bit is set. The priority resolver selects the highest priority unmasked interrupt and asserts INT to the CPU.</w:t>
      </w:r>
    </w:p>
    <w:bookmarkEnd w:id="48"/>
    <w:bookmarkStart w:id="52" w:name="interrupt-acknowledge-sequence"/>
    <w:p>
      <w:pPr>
        <w:pStyle w:val="Heading3"/>
      </w:pPr>
      <w:r>
        <w:t xml:space="preserve">Interrupt Acknowledge Sequence</w:t>
      </w:r>
    </w:p>
    <w:p>
      <w:pPr>
        <w:pStyle w:val="FirstParagraph"/>
      </w:pPr>
      <w:r>
        <w:t xml:space="preserve">The two-pulse INTA sequence from CPU to PIC.</w:t>
      </w:r>
    </w:p>
    <w:p>
      <w:pPr>
        <w:pStyle w:val="CaptionedFigure"/>
      </w:pPr>
      <w:r>
        <w:drawing>
          <wp:inline>
            <wp:extent cx="5334000" cy="1153531"/>
            <wp:effectExtent b="0" l="0" r="0" t="0"/>
            <wp:docPr descr="PIC Interrupt Acknowledge" title="" id="50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pic_8259_spec/assets/wavedrom/timing/pic_interrupt_acknowledge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PIC Interrupt Acknowledge</w:t>
      </w:r>
    </w:p>
    <w:p>
      <w:pPr>
        <w:pStyle w:val="BodyText"/>
      </w:pPr>
      <w:r>
        <w:t xml:space="preserve">On the first INTA pulse, priority is frozen and IRR transfers to ISR. On the second INTA pulse, the PIC outputs the interrupt vector (base + IR number) on the data bus.</w:t>
      </w:r>
    </w:p>
    <w:bookmarkEnd w:id="52"/>
    <w:bookmarkStart w:id="56" w:name="end-of-interrupt-eoi"/>
    <w:p>
      <w:pPr>
        <w:pStyle w:val="Heading3"/>
      </w:pPr>
      <w:r>
        <w:t xml:space="preserve">End-of-Interrupt (EOI)</w:t>
      </w:r>
    </w:p>
    <w:p>
      <w:pPr>
        <w:pStyle w:val="FirstParagraph"/>
      </w:pPr>
      <w:r>
        <w:t xml:space="preserve">Software clears the in-service bit with an EOI command.</w:t>
      </w:r>
    </w:p>
    <w:p>
      <w:pPr>
        <w:pStyle w:val="CaptionedFigure"/>
      </w:pPr>
      <w:r>
        <w:drawing>
          <wp:inline>
            <wp:extent cx="5334000" cy="1327099"/>
            <wp:effectExtent b="0" l="0" r="0" t="0"/>
            <wp:docPr descr="PIC EOI" title="" id="54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pic_8259_spec/assets/wavedrom/timing/pic_eoi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7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PIC EOI</w:t>
      </w:r>
    </w:p>
    <w:p>
      <w:pPr>
        <w:pStyle w:val="BodyText"/>
      </w:pPr>
      <w:r>
        <w:t xml:space="preserve">Non-specific EOI (0x20) clears the highest priority ISR bit. Specific EOI (0x60-0x67) clears a designated IR.</w:t>
      </w:r>
    </w:p>
    <w:bookmarkEnd w:id="56"/>
    <w:bookmarkStart w:id="60" w:name="cascade-mode"/>
    <w:p>
      <w:pPr>
        <w:pStyle w:val="Heading3"/>
      </w:pPr>
      <w:r>
        <w:t xml:space="preserve">Cascade Mode</w:t>
      </w:r>
    </w:p>
    <w:p>
      <w:pPr>
        <w:pStyle w:val="FirstParagraph"/>
      </w:pPr>
      <w:r>
        <w:t xml:space="preserve">Master-slave configuration for 15 IRQ sources.</w:t>
      </w:r>
    </w:p>
    <w:p>
      <w:pPr>
        <w:pStyle w:val="CaptionedFigure"/>
      </w:pPr>
      <w:r>
        <w:drawing>
          <wp:inline>
            <wp:extent cx="5334000" cy="1199083"/>
            <wp:effectExtent b="0" l="0" r="0" t="0"/>
            <wp:docPr descr="PIC Cascade" title="" id="58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pic_8259_spec/assets/wavedrom/timing/pic_cascade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9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PIC Cascade</w:t>
      </w:r>
    </w:p>
    <w:p>
      <w:pPr>
        <w:pStyle w:val="BodyText"/>
      </w:pPr>
      <w:r>
        <w:t xml:space="preserve">Slave INT connects to master IR2. During INTA, master outputs cascade select (CAS) lines. Slave with matching ID provides the interrupt vector.</w:t>
      </w:r>
    </w:p>
    <w:bookmarkEnd w:id="60"/>
    <w:bookmarkStart w:id="64" w:name="priority-rotation"/>
    <w:p>
      <w:pPr>
        <w:pStyle w:val="Heading3"/>
      </w:pPr>
      <w:r>
        <w:t xml:space="preserve">Priority Rotation</w:t>
      </w:r>
    </w:p>
    <w:p>
      <w:pPr>
        <w:pStyle w:val="FirstParagraph"/>
      </w:pPr>
      <w:r>
        <w:t xml:space="preserve">Automatic priority rotation for equal-service scheduling.</w:t>
      </w:r>
    </w:p>
    <w:p>
      <w:pPr>
        <w:pStyle w:val="CaptionedFigure"/>
      </w:pPr>
      <w:r>
        <w:drawing>
          <wp:inline>
            <wp:extent cx="5334000" cy="1263091"/>
            <wp:effectExtent b="0" l="0" r="0" t="0"/>
            <wp:docPr descr="PIC Priority Rotation" title="" id="62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pic_8259_spec/assets/wavedrom/timing/pic_priority_rotation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3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PIC Priority Rotation</w:t>
      </w:r>
    </w:p>
    <w:p>
      <w:pPr>
        <w:pStyle w:val="BodyText"/>
      </w:pPr>
      <w:r>
        <w:t xml:space="preserve">Rotate-on-EOI (0xA0) makes the just-serviced IR the lowest priority, implementing round-robin scheduling among interrupt sources.</w:t>
      </w:r>
    </w:p>
    <w:bookmarkEnd w:id="64"/>
    <w:bookmarkEnd w:id="65"/>
    <w:bookmarkStart w:id="66" w:name="register-summary"/>
    <w:p>
      <w:pPr>
        <w:pStyle w:val="Heading2"/>
      </w:pPr>
      <w:r>
        <w:t xml:space="preserve">Register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IRR/ISR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ICW1/OCW2/OCW3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ICW2/ICW3/ICW4/OCW1</w:t>
            </w:r>
          </w:p>
        </w:tc>
      </w:tr>
    </w:tbl>
    <w:bookmarkEnd w:id="66"/>
    <w:bookmarkStart w:id="67" w:name="interrupt-priority"/>
    <w:p>
      <w:pPr>
        <w:pStyle w:val="Heading2"/>
      </w:pPr>
      <w:r>
        <w:t xml:space="preserve">Interrupt Priority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(cascade in master)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(7)</w:t>
            </w:r>
          </w:p>
        </w:tc>
      </w:tr>
    </w:tbl>
    <w:bookmarkEnd w:id="67"/>
    <w:bookmarkStart w:id="69" w:name="priority-modes"/>
    <w:p>
      <w:pPr>
        <w:pStyle w:val="Heading2"/>
      </w:pPr>
      <w:r>
        <w:t xml:space="preserve">Priority Modes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Fixed Priority</w:t>
      </w:r>
      <w:r>
        <w:t xml:space="preserve">: IR0 highest, IR7 lowest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Rotating Priority</w:t>
      </w:r>
      <w:r>
        <w:t xml:space="preserve">: Lowest priority rotates after EOI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Specific Priority</w:t>
      </w:r>
      <w:r>
        <w:t xml:space="preserve">: Programmable lowest priority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68">
        <w:r>
          <w:rPr>
            <w:rStyle w:val="Hyperlink"/>
          </w:rPr>
          <w:t xml:space="preserve">02_architecture.md</w:t>
        </w:r>
      </w:hyperlink>
    </w:p>
    <w:bookmarkEnd w:id="69"/>
    <w:bookmarkEnd w:id="70"/>
    <w:bookmarkStart w:id="86" w:name="apb-pic-8259---register-map"/>
    <w:p>
      <w:pPr>
        <w:pStyle w:val="Heading1"/>
      </w:pPr>
      <w:r>
        <w:t xml:space="preserve">APB PIC 8259 - Register Map</w:t>
      </w:r>
    </w:p>
    <w:bookmarkStart w:id="71" w:name="register-access"/>
    <w:p>
      <w:pPr>
        <w:pStyle w:val="Heading2"/>
      </w:pPr>
      <w:r>
        <w:t xml:space="preserve">Register Access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IRR/ISR (OCW3 select)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ICW1 / OCW2 / OCW3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ICW2 / ICW3 / ICW4 / OCW1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6" w:name="initialization-command-words-icw"/>
    <w:p>
      <w:pPr>
        <w:pStyle w:val="Heading2"/>
      </w:pPr>
      <w:r>
        <w:t xml:space="preserve">Initialization Command Words (ICW)</w:t>
      </w:r>
    </w:p>
    <w:bookmarkStart w:id="72" w:name="icw1-address-0x00-write"/>
    <w:p>
      <w:pPr>
        <w:pStyle w:val="Heading3"/>
      </w:pPr>
      <w:r>
        <w:t xml:space="preserve">ICW1 (Address 0x00, Write)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ICW4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mode (no cascade)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address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triggered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1 (identifies ICW1)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A7-A5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vector address (MCS-80)</w:t>
            </w:r>
          </w:p>
        </w:tc>
      </w:tr>
    </w:tbl>
    <w:bookmarkEnd w:id="72"/>
    <w:bookmarkStart w:id="73" w:name="icw2-address-0x04-write-after-icw1"/>
    <w:p>
      <w:pPr>
        <w:pStyle w:val="Heading3"/>
      </w:pPr>
      <w:r>
        <w:t xml:space="preserve">ICW2 (Address 0x04, Write after ICW1)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T7-T3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vector base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A10-A8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bits (MCS-80 only)</w:t>
            </w:r>
          </w:p>
        </w:tc>
      </w:tr>
    </w:tbl>
    <w:bookmarkEnd w:id="73"/>
    <w:bookmarkStart w:id="74" w:name="icw3-address-0x04-write-if-cascade"/>
    <w:p>
      <w:pPr>
        <w:pStyle w:val="Heading3"/>
      </w:pPr>
      <w:r>
        <w:t xml:space="preserve">ICW3 (Address 0x04, Write if cascade)</w:t>
      </w:r>
    </w:p>
    <w:p>
      <w:pPr>
        <w:pStyle w:val="FirstParagraph"/>
      </w:pPr>
      <w:r>
        <w:rPr>
          <w:bCs/>
          <w:b/>
        </w:rPr>
        <w:t xml:space="preserve">Master:</w:t>
      </w:r>
      <w:r>
        <w:t xml:space="preserve"> </w:t>
      </w:r>
      <w:r>
        <w:t xml:space="preserve">| Bits | Description |</w:t>
      </w:r>
      <w:r>
        <w:t xml:space="preserve"> </w:t>
      </w:r>
      <w:r>
        <w:t xml:space="preserve">|——|————-|</w:t>
      </w:r>
      <w:r>
        <w:t xml:space="preserve"> </w:t>
      </w:r>
      <w:r>
        <w:t xml:space="preserve">| 7:0 | S7-S0: 1=slave on IR[n] |</w:t>
      </w:r>
    </w:p>
    <w:p>
      <w:pPr>
        <w:pStyle w:val="BodyText"/>
      </w:pPr>
      <w:r>
        <w:rPr>
          <w:bCs/>
          <w:b/>
        </w:rPr>
        <w:t xml:space="preserve">Slave:</w:t>
      </w:r>
      <w:r>
        <w:t xml:space="preserve"> </w:t>
      </w:r>
      <w:r>
        <w:t xml:space="preserve">| Bits | Description |</w:t>
      </w:r>
      <w:r>
        <w:t xml:space="preserve"> </w:t>
      </w:r>
      <w:r>
        <w:t xml:space="preserve">|——|————-|</w:t>
      </w:r>
      <w:r>
        <w:t xml:space="preserve"> </w:t>
      </w:r>
      <w:r>
        <w:t xml:space="preserve">| 2:0 | Slave ID (0-7) |</w:t>
      </w:r>
    </w:p>
    <w:bookmarkEnd w:id="74"/>
    <w:bookmarkStart w:id="75" w:name="icw4-address-0x04-write-if-ic41"/>
    <w:p>
      <w:pPr>
        <w:pStyle w:val="Heading3"/>
      </w:pPr>
      <w:r>
        <w:t xml:space="preserve">ICW4 (Address 0x04, Write if IC4=1)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1=8086 mode, 0=MCS-80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EOI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Master(1)/Slave(0)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Buffered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fully nested mode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0" w:name="operation-command-words-ocw"/>
    <w:p>
      <w:pPr>
        <w:pStyle w:val="Heading2"/>
      </w:pPr>
      <w:r>
        <w:t xml:space="preserve">Operation Command Words (OCW)</w:t>
      </w:r>
    </w:p>
    <w:bookmarkStart w:id="77" w:name="ocw1---imr-address-0x04"/>
    <w:p>
      <w:pPr>
        <w:pStyle w:val="Heading3"/>
      </w:pPr>
      <w:r>
        <w:t xml:space="preserve">OCW1 - IMR (Address 0x04)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mask (1=masked)</w:t>
            </w:r>
          </w:p>
        </w:tc>
      </w:tr>
    </w:tbl>
    <w:bookmarkEnd w:id="77"/>
    <w:bookmarkStart w:id="78" w:name="ocw2-address-0x00"/>
    <w:p>
      <w:pPr>
        <w:pStyle w:val="Heading3"/>
      </w:pPr>
      <w:r>
        <w:t xml:space="preserve">OCW2 (Address 0x00)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L2-L0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level for specific EOI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OCW2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R,SL,EOI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EOI command type</w:t>
            </w:r>
          </w:p>
        </w:tc>
      </w:tr>
    </w:tbl>
    <w:p>
      <w:pPr>
        <w:pStyle w:val="BodyText"/>
      </w:pPr>
      <w:r>
        <w:rPr>
          <w:bCs/>
          <w:b/>
        </w:rPr>
        <w:t xml:space="preserve">EOI Commands:</w:t>
      </w:r>
      <w:r>
        <w:t xml:space="preserve"> </w:t>
      </w:r>
      <w:r>
        <w:t xml:space="preserve">| R | SL | EOI | Command |</w:t>
      </w:r>
      <w:r>
        <w:t xml:space="preserve"> </w:t>
      </w:r>
      <w:r>
        <w:t xml:space="preserve">|—|—-|—-|———|</w:t>
      </w:r>
      <w:r>
        <w:t xml:space="preserve"> </w:t>
      </w:r>
      <w:r>
        <w:t xml:space="preserve">| 0 | 0 | 1 | Non-specific EOI |</w:t>
      </w:r>
      <w:r>
        <w:t xml:space="preserve"> </w:t>
      </w:r>
      <w:r>
        <w:t xml:space="preserve">| 0 | 1 | 1 | Specific EOI |</w:t>
      </w:r>
      <w:r>
        <w:t xml:space="preserve"> </w:t>
      </w:r>
      <w:r>
        <w:t xml:space="preserve">| 1 | 0 | 1 | Rotate on non-specific EOI |</w:t>
      </w:r>
      <w:r>
        <w:t xml:space="preserve"> </w:t>
      </w:r>
      <w:r>
        <w:t xml:space="preserve">| 1 | 1 | 1 | Rotate on specific EOI |</w:t>
      </w:r>
      <w:r>
        <w:t xml:space="preserve"> </w:t>
      </w:r>
      <w:r>
        <w:t xml:space="preserve">| 1 | 0 | 0 | Set priority (L=lowest) |</w:t>
      </w:r>
      <w:r>
        <w:t xml:space="preserve"> </w:t>
      </w:r>
      <w:r>
        <w:t xml:space="preserve">| 1 | 1 | 0 | Rotate on auto EOI (set) |</w:t>
      </w:r>
      <w:r>
        <w:t xml:space="preserve"> </w:t>
      </w:r>
      <w:r>
        <w:t xml:space="preserve">| 0 | 0 | 0 | Rotate on auto EOI (clear) |</w:t>
      </w:r>
    </w:p>
    <w:bookmarkEnd w:id="78"/>
    <w:bookmarkStart w:id="79" w:name="ocw3-address-0x00"/>
    <w:p>
      <w:pPr>
        <w:pStyle w:val="Heading3"/>
      </w:pPr>
      <w:r>
        <w:t xml:space="preserve">OCW3 (Address 0x00)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RIS,RR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register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OCW3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ESMM,SMM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mask mode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5" w:name="internal-registers"/>
    <w:p>
      <w:pPr>
        <w:pStyle w:val="Heading2"/>
      </w:pPr>
      <w:r>
        <w:t xml:space="preserve">Internal Registers</w:t>
      </w:r>
    </w:p>
    <w:bookmarkStart w:id="81" w:name="irr-interrupt-request-register"/>
    <w:p>
      <w:pPr>
        <w:pStyle w:val="Heading3"/>
      </w:pPr>
      <w:r>
        <w:t xml:space="preserve">IRR (Interrupt Request Register)</w:t>
      </w:r>
    </w:p>
    <w:p>
      <w:pPr>
        <w:pStyle w:val="FirstParagraph"/>
      </w:pPr>
      <w:r>
        <w:t xml:space="preserve">Bits set when interrupt requested, cleared when acknowledged.</w:t>
      </w:r>
    </w:p>
    <w:bookmarkEnd w:id="81"/>
    <w:bookmarkStart w:id="82" w:name="isr-in-service-register"/>
    <w:p>
      <w:pPr>
        <w:pStyle w:val="Heading3"/>
      </w:pPr>
      <w:r>
        <w:t xml:space="preserve">ISR (In-Service Register)</w:t>
      </w:r>
    </w:p>
    <w:p>
      <w:pPr>
        <w:pStyle w:val="FirstParagraph"/>
      </w:pPr>
      <w:r>
        <w:t xml:space="preserve">Bits set when interrupt acknowledged, cleared by EOI.</w:t>
      </w:r>
    </w:p>
    <w:bookmarkEnd w:id="82"/>
    <w:bookmarkStart w:id="84" w:name="imr-interrupt-mask-register"/>
    <w:p>
      <w:pPr>
        <w:pStyle w:val="Heading3"/>
      </w:pPr>
      <w:r>
        <w:t xml:space="preserve">IMR (Interrupt Mask Register)</w:t>
      </w:r>
    </w:p>
    <w:p>
      <w:pPr>
        <w:pStyle w:val="FirstParagraph"/>
      </w:pPr>
      <w:r>
        <w:t xml:space="preserve">1 = Interrupt masked (disabled).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Back to:</w:t>
      </w:r>
      <w:r>
        <w:t xml:space="preserve"> </w:t>
      </w:r>
      <w:hyperlink r:id="rId83">
        <w:r>
          <w:rPr>
            <w:rStyle w:val="Hyperlink"/>
          </w:rPr>
          <w:t xml:space="preserve">PIC 8259 Specification Index</w:t>
        </w:r>
      </w:hyperlink>
    </w:p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svgz" /><Relationship Type="http://schemas.openxmlformats.org/officeDocument/2006/relationships/image" Id="rId57" Target="media/rId57.svgz" /><Relationship Type="http://schemas.openxmlformats.org/officeDocument/2006/relationships/image" Id="rId53" Target="media/rId53.svgz" /><Relationship Type="http://schemas.openxmlformats.org/officeDocument/2006/relationships/image" Id="rId49" Target="media/rId49.svgz" /><Relationship Type="http://schemas.openxmlformats.org/officeDocument/2006/relationships/image" Id="rId45" Target="media/rId45.svgz" /><Relationship Type="http://schemas.openxmlformats.org/officeDocument/2006/relationships/image" Id="rId61" Target="media/rId61.svgz" /><Relationship Type="http://schemas.openxmlformats.org/officeDocument/2006/relationships/hyperlink" Id="rId83" Target="../pic_8259_index.md" TargetMode="External" /><Relationship Type="http://schemas.openxmlformats.org/officeDocument/2006/relationships/hyperlink" Id="rId68" Target="02_architecture.md" TargetMode="External" /><Relationship Type="http://schemas.openxmlformats.org/officeDocument/2006/relationships/hyperlink" Id="rId21" Target="ch01_overview/01_overview.md" TargetMode="External" /><Relationship Type="http://schemas.openxmlformats.org/officeDocument/2006/relationships/hyperlink" Id="rId22" Target="ch01_overview/02_architecture.md" TargetMode="External" /><Relationship Type="http://schemas.openxmlformats.org/officeDocument/2006/relationships/hyperlink" Id="rId24" Target="ch02_blocks/00_overview.md" TargetMode="External" /><Relationship Type="http://schemas.openxmlformats.org/officeDocument/2006/relationships/hyperlink" Id="rId26" Target="ch03_interfaces/00_overview.md" TargetMode="External" /><Relationship Type="http://schemas.openxmlformats.org/officeDocument/2006/relationships/hyperlink" Id="rId28" Target="ch04_programming/00_overview.md" TargetMode="External" /><Relationship Type="http://schemas.openxmlformats.org/officeDocument/2006/relationships/hyperlink" Id="rId30" Target="ch05_registers/01_register_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../pic_8259_index.md" TargetMode="External" /><Relationship Type="http://schemas.openxmlformats.org/officeDocument/2006/relationships/hyperlink" Id="rId68" Target="02_architecture.md" TargetMode="External" /><Relationship Type="http://schemas.openxmlformats.org/officeDocument/2006/relationships/hyperlink" Id="rId21" Target="ch01_overview/01_overview.md" TargetMode="External" /><Relationship Type="http://schemas.openxmlformats.org/officeDocument/2006/relationships/hyperlink" Id="rId22" Target="ch01_overview/02_architecture.md" TargetMode="External" /><Relationship Type="http://schemas.openxmlformats.org/officeDocument/2006/relationships/hyperlink" Id="rId24" Target="ch02_blocks/00_overview.md" TargetMode="External" /><Relationship Type="http://schemas.openxmlformats.org/officeDocument/2006/relationships/hyperlink" Id="rId26" Target="ch03_interfaces/00_overview.md" TargetMode="External" /><Relationship Type="http://schemas.openxmlformats.org/officeDocument/2006/relationships/hyperlink" Id="rId28" Target="ch04_programming/00_overview.md" TargetMode="External" /><Relationship Type="http://schemas.openxmlformats.org/officeDocument/2006/relationships/hyperlink" Id="rId30" Target="ch05_registers/01_register_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2025-12-08T01:29:27Z</dcterms:created>
  <dcterms:modified xsi:type="dcterms:W3CDTF">2025-12-08T01:29:27Z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