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9"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amber — Blocking MESI Snoopy L1 Cache Hardware Architecture Specification 0.5</w:t>
      </w:r>
    </w:p>
    <w:p>
      <w:pPr>
        <w:pStyle w:val="Normal"/>
        <w:keepNext w:val="true"/>
        <w:spacing w:before="400" w:after="200"/>
        <w:jc w:val="center"/>
        <w:rPr/>
      </w:pPr>
      <w:r>
        <w:rPr>
          <w:rFonts w:ascii="Calibri" w:hAnsi="Calibri"/>
          <w:b/>
          <w:color w:val="000000"/>
          <w:sz w:val="20"/>
        </w:rPr>
        <w:t>October 6,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720_888288119">
            <w:r>
              <w:rPr>
                <w:webHidden/>
                <w:rStyle w:val="IndexLink"/>
              </w:rPr>
              <w:t>1 Amber Has Index</w:t>
              <w:tab/>
              <w:t>13</w:t>
            </w:r>
          </w:hyperlink>
        </w:p>
        <w:p>
          <w:pPr>
            <w:pStyle w:val="TOC1"/>
            <w:tabs>
              <w:tab w:val="clear" w:pos="9360"/>
              <w:tab w:val="right" w:pos="9359" w:leader="dot"/>
            </w:tabs>
            <w:rPr/>
          </w:pPr>
          <w:hyperlink w:anchor="__RefHeading___Toc14722_888288119">
            <w:r>
              <w:rPr>
                <w:webHidden/>
                <w:rStyle w:val="IndexLink"/>
              </w:rPr>
              <w:t>2 amber MAS Index</w:t>
              <w:tab/>
              <w:t>14</w:t>
            </w:r>
          </w:hyperlink>
        </w:p>
        <w:p>
          <w:pPr>
            <w:pStyle w:val="TOC2"/>
            <w:tabs>
              <w:tab w:val="clear" w:pos="9077"/>
              <w:tab w:val="right" w:pos="9359" w:leader="dot"/>
            </w:tabs>
            <w:rPr/>
          </w:pPr>
          <w:hyperlink w:anchor="__RefHeading___Toc14724_888288119">
            <w:r>
              <w:rPr>
                <w:webHidden/>
                <w:rStyle w:val="IndexLink"/>
              </w:rPr>
              <w:t>2.1 Document Organization</w:t>
              <w:tab/>
              <w:t>14</w:t>
            </w:r>
          </w:hyperlink>
        </w:p>
        <w:p>
          <w:pPr>
            <w:pStyle w:val="TOC3"/>
            <w:tabs>
              <w:tab w:val="clear" w:pos="8793"/>
              <w:tab w:val="right" w:pos="9359" w:leader="dot"/>
            </w:tabs>
            <w:rPr/>
          </w:pPr>
          <w:hyperlink w:anchor="__RefHeading___Toc14726_888288119">
            <w:r>
              <w:rPr>
                <w:webHidden/>
                <w:rStyle w:val="IndexLink"/>
              </w:rPr>
              <w:t>2.1.1 Front Matter</w:t>
              <w:tab/>
              <w:t>14</w:t>
            </w:r>
          </w:hyperlink>
        </w:p>
        <w:p>
          <w:pPr>
            <w:pStyle w:val="TOC3"/>
            <w:tabs>
              <w:tab w:val="clear" w:pos="8793"/>
              <w:tab w:val="right" w:pos="9359" w:leader="dot"/>
            </w:tabs>
            <w:rPr/>
          </w:pPr>
          <w:hyperlink w:anchor="__RefHeading___Toc14728_888288119">
            <w:r>
              <w:rPr>
                <w:webHidden/>
                <w:rStyle w:val="IndexLink"/>
              </w:rPr>
              <w:t>2.1.2 Chapter 1: Overview</w:t>
              <w:tab/>
              <w:t>14</w:t>
            </w:r>
          </w:hyperlink>
        </w:p>
        <w:p>
          <w:pPr>
            <w:pStyle w:val="TOC3"/>
            <w:tabs>
              <w:tab w:val="clear" w:pos="8793"/>
              <w:tab w:val="right" w:pos="9359" w:leader="dot"/>
            </w:tabs>
            <w:rPr/>
          </w:pPr>
          <w:hyperlink w:anchor="__RefHeading___Toc14730_888288119">
            <w:r>
              <w:rPr>
                <w:webHidden/>
                <w:rStyle w:val="IndexLink"/>
              </w:rPr>
              <w:t>2.1.3 Chapter 2: Functional Blocks</w:t>
              <w:tab/>
              <w:t>14</w:t>
            </w:r>
          </w:hyperlink>
        </w:p>
        <w:p>
          <w:pPr>
            <w:pStyle w:val="TOC3"/>
            <w:tabs>
              <w:tab w:val="clear" w:pos="8793"/>
              <w:tab w:val="right" w:pos="9359" w:leader="dot"/>
            </w:tabs>
            <w:rPr/>
          </w:pPr>
          <w:hyperlink w:anchor="__RefHeading___Toc14732_888288119">
            <w:r>
              <w:rPr>
                <w:webHidden/>
                <w:rStyle w:val="IndexLink"/>
              </w:rPr>
              <w:t>2.1.4 Chapter 3: Interfaces</w:t>
              <w:tab/>
              <w:t>14</w:t>
            </w:r>
          </w:hyperlink>
        </w:p>
        <w:p>
          <w:pPr>
            <w:pStyle w:val="TOC3"/>
            <w:tabs>
              <w:tab w:val="clear" w:pos="8793"/>
              <w:tab w:val="right" w:pos="9359" w:leader="dot"/>
            </w:tabs>
            <w:rPr/>
          </w:pPr>
          <w:hyperlink w:anchor="__RefHeading___Toc14734_888288119">
            <w:r>
              <w:rPr>
                <w:webHidden/>
                <w:rStyle w:val="IndexLink"/>
              </w:rPr>
              <w:t>2.1.5 Chapter 4: MonBus Observation Map</w:t>
              <w:tab/>
              <w:t>15</w:t>
            </w:r>
          </w:hyperlink>
        </w:p>
        <w:p>
          <w:pPr>
            <w:pStyle w:val="TOC3"/>
            <w:tabs>
              <w:tab w:val="clear" w:pos="8793"/>
              <w:tab w:val="right" w:pos="9359" w:leader="dot"/>
            </w:tabs>
            <w:rPr/>
          </w:pPr>
          <w:hyperlink w:anchor="__RefHeading___Toc14736_888288119">
            <w:r>
              <w:rPr>
                <w:webHidden/>
                <w:rStyle w:val="IndexLink"/>
              </w:rPr>
              <w:t>2.1.6 Chapter 5: Verification Bring-Up</w:t>
              <w:tab/>
              <w:t>15</w:t>
            </w:r>
          </w:hyperlink>
        </w:p>
        <w:p>
          <w:pPr>
            <w:pStyle w:val="TOC3"/>
            <w:tabs>
              <w:tab w:val="clear" w:pos="8793"/>
              <w:tab w:val="right" w:pos="9359" w:leader="dot"/>
            </w:tabs>
            <w:rPr/>
          </w:pPr>
          <w:hyperlink w:anchor="__RefHeading___Toc14738_888288119">
            <w:r>
              <w:rPr>
                <w:webHidden/>
                <w:rStyle w:val="IndexLink"/>
              </w:rPr>
              <w:t>2.1.7 Chapter 6: Configuration</w:t>
              <w:tab/>
              <w:t>15</w:t>
            </w:r>
          </w:hyperlink>
        </w:p>
        <w:p>
          <w:pPr>
            <w:pStyle w:val="TOC2"/>
            <w:tabs>
              <w:tab w:val="clear" w:pos="9077"/>
              <w:tab w:val="right" w:pos="9359" w:leader="dot"/>
            </w:tabs>
            <w:rPr/>
          </w:pPr>
          <w:hyperlink w:anchor="__RefHeading___Toc14740_888288119">
            <w:r>
              <w:rPr>
                <w:webHidden/>
                <w:rStyle w:val="IndexLink"/>
              </w:rPr>
              <w:t>2.2 Quick Reference</w:t>
              <w:tab/>
              <w:t>15</w:t>
            </w:r>
          </w:hyperlink>
        </w:p>
        <w:p>
          <w:pPr>
            <w:pStyle w:val="TOC3"/>
            <w:tabs>
              <w:tab w:val="clear" w:pos="8793"/>
              <w:tab w:val="right" w:pos="9359" w:leader="dot"/>
            </w:tabs>
            <w:rPr/>
          </w:pPr>
          <w:hyperlink w:anchor="__RefHeading___Toc14742_888288119">
            <w:r>
              <w:rPr>
                <w:webHidden/>
                <w:rStyle w:val="IndexLink"/>
              </w:rPr>
              <w:t>2.2.1 Core Blocks</w:t>
              <w:tab/>
              <w:t>15</w:t>
            </w:r>
          </w:hyperlink>
        </w:p>
        <w:p>
          <w:pPr>
            <w:pStyle w:val="TOC3"/>
            <w:tabs>
              <w:tab w:val="clear" w:pos="8793"/>
              <w:tab w:val="right" w:pos="9359" w:leader="dot"/>
            </w:tabs>
            <w:rPr/>
          </w:pPr>
          <w:hyperlink w:anchor="__RefHeading___Toc14744_888288119">
            <w:r>
              <w:rPr>
                <w:webHidden/>
                <w:rStyle w:val="IndexLink"/>
              </w:rPr>
              <w:t>2.2.2 Top Modules</w:t>
              <w:tab/>
              <w:t>16</w:t>
            </w:r>
          </w:hyperlink>
        </w:p>
        <w:p>
          <w:pPr>
            <w:pStyle w:val="TOC2"/>
            <w:tabs>
              <w:tab w:val="clear" w:pos="9077"/>
              <w:tab w:val="right" w:pos="9359" w:leader="dot"/>
            </w:tabs>
            <w:rPr/>
          </w:pPr>
          <w:hyperlink w:anchor="__RefHeading___Toc14746_888288119">
            <w:r>
              <w:rPr>
                <w:webHidden/>
                <w:rStyle w:val="IndexLink"/>
              </w:rPr>
              <w:t>2.3 Related Documentation</w:t>
              <w:tab/>
              <w:t>16</w:t>
            </w:r>
          </w:hyperlink>
        </w:p>
        <w:p>
          <w:pPr>
            <w:pStyle w:val="TOC1"/>
            <w:tabs>
              <w:tab w:val="clear" w:pos="9360"/>
              <w:tab w:val="right" w:pos="9359" w:leader="dot"/>
            </w:tabs>
            <w:rPr/>
          </w:pPr>
          <w:hyperlink w:anchor="__RefHeading___Toc14748_888288119">
            <w:r>
              <w:rPr>
                <w:webHidden/>
                <w:rStyle w:val="IndexLink"/>
              </w:rPr>
              <w:t>3 amber — Product Requirements (DRAFT)</w:t>
              <w:tab/>
              <w:t>18</w:t>
            </w:r>
          </w:hyperlink>
        </w:p>
        <w:p>
          <w:pPr>
            <w:pStyle w:val="TOC2"/>
            <w:tabs>
              <w:tab w:val="clear" w:pos="9077"/>
              <w:tab w:val="right" w:pos="9359" w:leader="dot"/>
            </w:tabs>
            <w:rPr/>
          </w:pPr>
          <w:hyperlink w:anchor="__RefHeading___Toc14750_888288119">
            <w:r>
              <w:rPr>
                <w:webHidden/>
                <w:rStyle w:val="IndexLink"/>
              </w:rPr>
              <w:t>3.1 1. Purpose</w:t>
              <w:tab/>
              <w:t>18</w:t>
            </w:r>
          </w:hyperlink>
        </w:p>
        <w:p>
          <w:pPr>
            <w:pStyle w:val="TOC2"/>
            <w:tabs>
              <w:tab w:val="clear" w:pos="9077"/>
              <w:tab w:val="right" w:pos="9359" w:leader="dot"/>
            </w:tabs>
            <w:rPr/>
          </w:pPr>
          <w:hyperlink w:anchor="__RefHeading___Toc14752_888288119">
            <w:r>
              <w:rPr>
                <w:webHidden/>
                <w:rStyle w:val="IndexLink"/>
              </w:rPr>
              <w:t>3.2 2. Background</w:t>
              <w:tab/>
              <w:t>18</w:t>
            </w:r>
          </w:hyperlink>
        </w:p>
        <w:p>
          <w:pPr>
            <w:pStyle w:val="TOC2"/>
            <w:tabs>
              <w:tab w:val="clear" w:pos="9077"/>
              <w:tab w:val="right" w:pos="9359" w:leader="dot"/>
            </w:tabs>
            <w:rPr/>
          </w:pPr>
          <w:hyperlink w:anchor="__RefHeading___Toc14754_888288119">
            <w:r>
              <w:rPr>
                <w:webHidden/>
                <w:rStyle w:val="IndexLink"/>
              </w:rPr>
              <w:t>3.3 3. Decisions that pick the design</w:t>
              <w:tab/>
              <w:t>19</w:t>
            </w:r>
          </w:hyperlink>
        </w:p>
        <w:p>
          <w:pPr>
            <w:pStyle w:val="TOC2"/>
            <w:tabs>
              <w:tab w:val="clear" w:pos="9077"/>
              <w:tab w:val="right" w:pos="9359" w:leader="dot"/>
            </w:tabs>
            <w:rPr/>
          </w:pPr>
          <w:hyperlink w:anchor="__RefHeading___Toc14756_888288119">
            <w:r>
              <w:rPr>
                <w:webHidden/>
                <w:rStyle w:val="IndexLink"/>
              </w:rPr>
              <w:t>3.4 4. Success criteria</w:t>
              <w:tab/>
              <w:t>28</w:t>
            </w:r>
          </w:hyperlink>
        </w:p>
        <w:p>
          <w:pPr>
            <w:pStyle w:val="TOC2"/>
            <w:tabs>
              <w:tab w:val="clear" w:pos="9077"/>
              <w:tab w:val="right" w:pos="9359" w:leader="dot"/>
            </w:tabs>
            <w:rPr/>
          </w:pPr>
          <w:hyperlink w:anchor="__RefHeading___Toc14758_888288119">
            <w:r>
              <w:rPr>
                <w:webHidden/>
                <w:rStyle w:val="IndexLink"/>
              </w:rPr>
              <w:t>3.5 5. Non-goals</w:t>
              <w:tab/>
              <w:t>28</w:t>
            </w:r>
          </w:hyperlink>
        </w:p>
        <w:p>
          <w:pPr>
            <w:pStyle w:val="TOC2"/>
            <w:tabs>
              <w:tab w:val="clear" w:pos="9077"/>
              <w:tab w:val="right" w:pos="9359" w:leader="dot"/>
            </w:tabs>
            <w:rPr/>
          </w:pPr>
          <w:hyperlink w:anchor="__RefHeading___Toc14760_888288119">
            <w:r>
              <w:rPr>
                <w:webHidden/>
                <w:rStyle w:val="IndexLink"/>
              </w:rPr>
              <w:t>3.6 6. Where the block sits</w:t>
              <w:tab/>
              <w:t>28</w:t>
            </w:r>
          </w:hyperlink>
        </w:p>
        <w:p>
          <w:pPr>
            <w:pStyle w:val="TOC1"/>
            <w:tabs>
              <w:tab w:val="clear" w:pos="9360"/>
              <w:tab w:val="right" w:pos="9359" w:leader="dot"/>
            </w:tabs>
            <w:rPr/>
          </w:pPr>
          <w:hyperlink w:anchor="__RefHeading___Toc14762_888288119">
            <w:r>
              <w:rPr>
                <w:webHidden/>
                <w:rStyle w:val="IndexLink"/>
              </w:rPr>
              <w:t>4 Global Hard Requirements for RTL Design Sherpa</w:t>
              <w:tab/>
              <w:t>29</w:t>
            </w:r>
          </w:hyperlink>
        </w:p>
        <w:p>
          <w:pPr>
            <w:pStyle w:val="TOC2"/>
            <w:tabs>
              <w:tab w:val="clear" w:pos="9077"/>
              <w:tab w:val="right" w:pos="9359" w:leader="dot"/>
            </w:tabs>
            <w:rPr/>
          </w:pPr>
          <w:hyperlink w:anchor="__RefHeading___Toc14764_888288119">
            <w:r>
              <w:rPr>
                <w:webHidden/>
                <w:rStyle w:val="IndexLink"/>
              </w:rPr>
              <w:t>4.1 Overview</w:t>
              <w:tab/>
              <w:t>29</w:t>
            </w:r>
          </w:hyperlink>
        </w:p>
        <w:p>
          <w:pPr>
            <w:pStyle w:val="TOC2"/>
            <w:tabs>
              <w:tab w:val="clear" w:pos="9077"/>
              <w:tab w:val="right" w:pos="9359" w:leader="dot"/>
            </w:tabs>
            <w:rPr/>
          </w:pPr>
          <w:hyperlink w:anchor="__RefHeading___Toc14766_888288119">
            <w:r>
              <w:rPr>
                <w:webHidden/>
                <w:rStyle w:val="IndexLink"/>
              </w:rPr>
              <w:t>4.2 Category 1: RTL Standards</w:t>
              <w:tab/>
              <w:t>29</w:t>
            </w:r>
          </w:hyperlink>
        </w:p>
        <w:p>
          <w:pPr>
            <w:pStyle w:val="TOC3"/>
            <w:tabs>
              <w:tab w:val="clear" w:pos="8793"/>
              <w:tab w:val="right" w:pos="9359" w:leader="dot"/>
            </w:tabs>
            <w:rPr/>
          </w:pPr>
          <w:hyperlink w:anchor="__RefHeading___Toc14768_888288119">
            <w:r>
              <w:rPr>
                <w:webHidden/>
                <w:rStyle w:val="IndexLink"/>
              </w:rPr>
              <w:t>4.2.1 1.1 Reset Handling (MANDATORY - NO EXCEPTIONS)</w:t>
              <w:tab/>
              <w:t>29</w:t>
            </w:r>
          </w:hyperlink>
        </w:p>
        <w:p>
          <w:pPr>
            <w:pStyle w:val="TOC3"/>
            <w:tabs>
              <w:tab w:val="clear" w:pos="8793"/>
              <w:tab w:val="right" w:pos="9359" w:leader="dot"/>
            </w:tabs>
            <w:rPr/>
          </w:pPr>
          <w:hyperlink w:anchor="__RefHeading___Toc14770_888288119">
            <w:r>
              <w:rPr>
                <w:webHidden/>
                <w:rStyle w:val="IndexLink"/>
              </w:rPr>
              <w:t>4.2.2 1.2 FPGA Synthesis Attributes (MANDATORY)</w:t>
              <w:tab/>
              <w:t>30</w:t>
            </w:r>
          </w:hyperlink>
        </w:p>
        <w:p>
          <w:pPr>
            <w:pStyle w:val="TOC3"/>
            <w:tabs>
              <w:tab w:val="clear" w:pos="8793"/>
              <w:tab w:val="right" w:pos="9359" w:leader="dot"/>
            </w:tabs>
            <w:rPr/>
          </w:pPr>
          <w:hyperlink w:anchor="__RefHeading___Toc14772_888288119">
            <w:r>
              <w:rPr>
                <w:webHidden/>
                <w:rStyle w:val="IndexLink"/>
              </w:rPr>
              <w:t>4.2.3 1.3 Array Syntax Standard (MANDATORY)</w:t>
              <w:tab/>
              <w:t>31</w:t>
            </w:r>
          </w:hyperlink>
        </w:p>
        <w:p>
          <w:pPr>
            <w:pStyle w:val="TOC3"/>
            <w:tabs>
              <w:tab w:val="clear" w:pos="8793"/>
              <w:tab w:val="right" w:pos="9359" w:leader="dot"/>
            </w:tabs>
            <w:rPr/>
          </w:pPr>
          <w:hyperlink w:anchor="__RefHeading___Toc14774_888288119">
            <w:r>
              <w:rPr>
                <w:webHidden/>
                <w:rStyle w:val="IndexLink"/>
              </w:rPr>
              <w:t>4.2.4 1.4 SRAM Module Standards (MANDATORY)</w:t>
              <w:tab/>
              <w:t>31</w:t>
            </w:r>
          </w:hyperlink>
        </w:p>
        <w:p>
          <w:pPr>
            <w:pStyle w:val="TOC3"/>
            <w:tabs>
              <w:tab w:val="clear" w:pos="8793"/>
              <w:tab w:val="right" w:pos="9359" w:leader="dot"/>
            </w:tabs>
            <w:rPr/>
          </w:pPr>
          <w:hyperlink w:anchor="__RefHeading___Toc14776_888288119">
            <w:r>
              <w:rPr>
                <w:webHidden/>
                <w:rStyle w:val="IndexLink"/>
              </w:rPr>
              <w:t>4.2.5 1.5 Reset Convention (STANDARD)</w:t>
              <w:tab/>
              <w:t>32</w:t>
            </w:r>
          </w:hyperlink>
        </w:p>
        <w:p>
          <w:pPr>
            <w:pStyle w:val="TOC2"/>
            <w:tabs>
              <w:tab w:val="clear" w:pos="9077"/>
              <w:tab w:val="right" w:pos="9359" w:leader="dot"/>
            </w:tabs>
            <w:rPr/>
          </w:pPr>
          <w:hyperlink w:anchor="__RefHeading___Toc14778_888288119">
            <w:r>
              <w:rPr>
                <w:webHidden/>
                <w:rStyle w:val="IndexLink"/>
              </w:rPr>
              <w:t>4.3 Category 2: Testbench Architecture</w:t>
              <w:tab/>
              <w:t>32</w:t>
            </w:r>
          </w:hyperlink>
        </w:p>
        <w:p>
          <w:pPr>
            <w:pStyle w:val="TOC3"/>
            <w:tabs>
              <w:tab w:val="clear" w:pos="8793"/>
              <w:tab w:val="right" w:pos="9359" w:leader="dot"/>
            </w:tabs>
            <w:rPr/>
          </w:pPr>
          <w:hyperlink w:anchor="__RefHeading___Toc14780_888288119">
            <w:r>
              <w:rPr>
                <w:webHidden/>
                <w:rStyle w:val="IndexLink"/>
              </w:rPr>
              <w:t>4.3.1 2.1 TB Location Requirements (MANDATORY)</w:t>
              <w:tab/>
              <w:t>32</w:t>
            </w:r>
          </w:hyperlink>
        </w:p>
        <w:p>
          <w:pPr>
            <w:pStyle w:val="TOC3"/>
            <w:tabs>
              <w:tab w:val="clear" w:pos="8793"/>
              <w:tab w:val="right" w:pos="9359" w:leader="dot"/>
            </w:tabs>
            <w:rPr/>
          </w:pPr>
          <w:hyperlink w:anchor="__RefHeading___Toc14782_888288119">
            <w:r>
              <w:rPr>
                <w:webHidden/>
                <w:rStyle w:val="IndexLink"/>
              </w:rPr>
              <w:t>4.3.2 2.2 Three Mandatory TB Methods (MANDATORY)</w:t>
              <w:tab/>
              <w:t>33</w:t>
            </w:r>
          </w:hyperlink>
        </w:p>
        <w:p>
          <w:pPr>
            <w:pStyle w:val="TOC3"/>
            <w:tabs>
              <w:tab w:val="clear" w:pos="8793"/>
              <w:tab w:val="right" w:pos="9359" w:leader="dot"/>
            </w:tabs>
            <w:rPr/>
          </w:pPr>
          <w:hyperlink w:anchor="__RefHeading___Toc14784_888288119">
            <w:r>
              <w:rPr>
                <w:webHidden/>
                <w:rStyle w:val="IndexLink"/>
              </w:rPr>
              <w:t>4.3.3 2.3 TBBase Inheritance (MANDATORY)</w:t>
              <w:tab/>
              <w:t>33</w:t>
            </w:r>
          </w:hyperlink>
        </w:p>
        <w:p>
          <w:pPr>
            <w:pStyle w:val="TOC3"/>
            <w:tabs>
              <w:tab w:val="clear" w:pos="8793"/>
              <w:tab w:val="right" w:pos="9359" w:leader="dot"/>
            </w:tabs>
            <w:rPr/>
          </w:pPr>
          <w:hyperlink w:anchor="__RefHeading___Toc14786_888288119">
            <w:r>
              <w:rPr>
                <w:webHidden/>
                <w:rStyle w:val="IndexLink"/>
              </w:rPr>
              <w:t>4.3.4 2.4 Three-Layer Architecture (MANDATORY)</w:t>
              <w:tab/>
              <w:t>34</w:t>
            </w:r>
          </w:hyperlink>
        </w:p>
        <w:p>
          <w:pPr>
            <w:pStyle w:val="TOC3"/>
            <w:tabs>
              <w:tab w:val="clear" w:pos="8793"/>
              <w:tab w:val="right" w:pos="9359" w:leader="dot"/>
            </w:tabs>
            <w:rPr/>
          </w:pPr>
          <w:hyperlink w:anchor="__RefHeading___Toc14788_888288119">
            <w:r>
              <w:rPr>
                <w:webHidden/>
                <w:rStyle w:val="IndexLink"/>
              </w:rPr>
              <w:t>4.3.5 2.5 Queue-Based Verification (PREFERRED)</w:t>
              <w:tab/>
              <w:t>35</w:t>
            </w:r>
          </w:hyperlink>
        </w:p>
        <w:p>
          <w:pPr>
            <w:pStyle w:val="TOC2"/>
            <w:tabs>
              <w:tab w:val="clear" w:pos="9077"/>
              <w:tab w:val="right" w:pos="9359" w:leader="dot"/>
            </w:tabs>
            <w:rPr/>
          </w:pPr>
          <w:hyperlink w:anchor="__RefHeading___Toc14790_888288119">
            <w:r>
              <w:rPr>
                <w:webHidden/>
                <w:rStyle w:val="IndexLink"/>
              </w:rPr>
              <w:t>4.4 Category 3: Test Standards</w:t>
              <w:tab/>
              <w:t>35</w:t>
            </w:r>
          </w:hyperlink>
        </w:p>
        <w:p>
          <w:pPr>
            <w:pStyle w:val="TOC3"/>
            <w:tabs>
              <w:tab w:val="clear" w:pos="8793"/>
              <w:tab w:val="right" w:pos="9359" w:leader="dot"/>
            </w:tabs>
            <w:rPr/>
          </w:pPr>
          <w:hyperlink w:anchor="__RefHeading___Toc14792_888288119">
            <w:r>
              <w:rPr>
                <w:webHidden/>
                <w:rStyle w:val="IndexLink"/>
              </w:rPr>
              <w:t>4.4.1 3.1 Test Naming Convention (MANDATORY)</w:t>
              <w:tab/>
              <w:t>35</w:t>
            </w:r>
          </w:hyperlink>
        </w:p>
        <w:p>
          <w:pPr>
            <w:pStyle w:val="TOC3"/>
            <w:tabs>
              <w:tab w:val="clear" w:pos="8793"/>
              <w:tab w:val="right" w:pos="9359" w:leader="dot"/>
            </w:tabs>
            <w:rPr/>
          </w:pPr>
          <w:hyperlink w:anchor="__RefHeading___Toc14794_888288119">
            <w:r>
              <w:rPr>
                <w:webHidden/>
                <w:rStyle w:val="IndexLink"/>
              </w:rPr>
              <w:t>4.4.2 3.2 Test Pattern - CocoTB + Pytest (MANDATORY for projects/components/)</w:t>
              <w:tab/>
              <w:t>36</w:t>
            </w:r>
          </w:hyperlink>
        </w:p>
        <w:p>
          <w:pPr>
            <w:pStyle w:val="TOC3"/>
            <w:tabs>
              <w:tab w:val="clear" w:pos="8793"/>
              <w:tab w:val="right" w:pos="9359" w:leader="dot"/>
            </w:tabs>
            <w:rPr/>
          </w:pPr>
          <w:hyperlink w:anchor="__RefHeading___Toc14796_888288119">
            <w:r>
              <w:rPr>
                <w:webHidden/>
                <w:rStyle w:val="IndexLink"/>
              </w:rPr>
              <w:t>4.4.3 3.3 100% Success Requirement (MANDATORY)</w:t>
              <w:tab/>
              <w:t>36</w:t>
            </w:r>
          </w:hyperlink>
        </w:p>
        <w:p>
          <w:pPr>
            <w:pStyle w:val="TOC3"/>
            <w:tabs>
              <w:tab w:val="clear" w:pos="8793"/>
              <w:tab w:val="right" w:pos="9359" w:leader="dot"/>
            </w:tabs>
            <w:rPr/>
          </w:pPr>
          <w:hyperlink w:anchor="__RefHeading___Toc14798_888288119">
            <w:r>
              <w:rPr>
                <w:webHidden/>
                <w:rStyle w:val="IndexLink"/>
              </w:rPr>
              <w:t>4.4.4 3.4 Simulation Timestamps in Logs (MANDATORY)</w:t>
              <w:tab/>
              <w:t>37</w:t>
            </w:r>
          </w:hyperlink>
        </w:p>
        <w:p>
          <w:pPr>
            <w:pStyle w:val="TOC2"/>
            <w:tabs>
              <w:tab w:val="clear" w:pos="9077"/>
              <w:tab w:val="right" w:pos="9359" w:leader="dot"/>
            </w:tabs>
            <w:rPr/>
          </w:pPr>
          <w:hyperlink w:anchor="__RefHeading___Toc14800_888288119">
            <w:r>
              <w:rPr>
                <w:webHidden/>
                <w:rStyle w:val="IndexLink"/>
              </w:rPr>
              <w:t>4.5 Category 4: Framework Usage</w:t>
              <w:tab/>
              <w:t>38</w:t>
            </w:r>
          </w:hyperlink>
        </w:p>
        <w:p>
          <w:pPr>
            <w:pStyle w:val="TOC3"/>
            <w:tabs>
              <w:tab w:val="clear" w:pos="8793"/>
              <w:tab w:val="right" w:pos="9359" w:leader="dot"/>
            </w:tabs>
            <w:rPr/>
          </w:pPr>
          <w:hyperlink w:anchor="__RefHeading___Toc14802_888288119">
            <w:r>
              <w:rPr>
                <w:webHidden/>
                <w:rStyle w:val="IndexLink"/>
              </w:rPr>
              <w:t>4.5.1 4.1 Search Before Creating (MANDATORY)</w:t>
              <w:tab/>
              <w:t>38</w:t>
            </w:r>
          </w:hyperlink>
        </w:p>
        <w:p>
          <w:pPr>
            <w:pStyle w:val="TOC3"/>
            <w:tabs>
              <w:tab w:val="clear" w:pos="8793"/>
              <w:tab w:val="right" w:pos="9359" w:leader="dot"/>
            </w:tabs>
            <w:rPr/>
          </w:pPr>
          <w:hyperlink w:anchor="__RefHeading___Toc14804_888288119">
            <w:r>
              <w:rPr>
                <w:webHidden/>
                <w:rStyle w:val="IndexLink"/>
              </w:rPr>
              <w:t>4.5.2 4.2 BFM Usage for Protocols (MANDATORY for RAPIDS)</w:t>
              <w:tab/>
              <w:t>38</w:t>
            </w:r>
          </w:hyperlink>
        </w:p>
        <w:p>
          <w:pPr>
            <w:pStyle w:val="TOC2"/>
            <w:tabs>
              <w:tab w:val="clear" w:pos="9077"/>
              <w:tab w:val="right" w:pos="9359" w:leader="dot"/>
            </w:tabs>
            <w:rPr/>
          </w:pPr>
          <w:hyperlink w:anchor="__RefHeading___Toc14806_888288119">
            <w:r>
              <w:rPr>
                <w:webHidden/>
                <w:rStyle w:val="IndexLink"/>
              </w:rPr>
              <w:t>4.6 Category 5: Documentation</w:t>
              <w:tab/>
              <w:t>39</w:t>
            </w:r>
          </w:hyperlink>
        </w:p>
        <w:p>
          <w:pPr>
            <w:pStyle w:val="TOC3"/>
            <w:tabs>
              <w:tab w:val="clear" w:pos="8793"/>
              <w:tab w:val="right" w:pos="9359" w:leader="dot"/>
            </w:tabs>
            <w:rPr/>
          </w:pPr>
          <w:hyperlink w:anchor="__RefHeading___Toc14808_888288119">
            <w:r>
              <w:rPr>
                <w:webHidden/>
                <w:rStyle w:val="IndexLink"/>
              </w:rPr>
              <w:t>4.6.1 5.1 No Emojis in Technical Docs (MANDATORY)</w:t>
              <w:tab/>
              <w:t>39</w:t>
            </w:r>
          </w:hyperlink>
        </w:p>
        <w:p>
          <w:pPr>
            <w:pStyle w:val="TOC2"/>
            <w:tabs>
              <w:tab w:val="clear" w:pos="9077"/>
              <w:tab w:val="right" w:pos="9359" w:leader="dot"/>
            </w:tabs>
            <w:rPr/>
          </w:pPr>
          <w:hyperlink w:anchor="__RefHeading___Toc14810_888288119">
            <w:r>
              <w:rPr>
                <w:webHidden/>
                <w:rStyle w:val="IndexLink"/>
              </w:rPr>
              <w:t>4.7 Category 6: Project-Specific Requirements</w:t>
              <w:tab/>
              <w:t>39</w:t>
            </w:r>
          </w:hyperlink>
        </w:p>
        <w:p>
          <w:pPr>
            <w:pStyle w:val="TOC3"/>
            <w:tabs>
              <w:tab w:val="clear" w:pos="8793"/>
              <w:tab w:val="right" w:pos="9359" w:leader="dot"/>
            </w:tabs>
            <w:rPr/>
          </w:pPr>
          <w:hyperlink w:anchor="__RefHeading___Toc14812_888288119">
            <w:r>
              <w:rPr>
                <w:webHidden/>
                <w:rStyle w:val="IndexLink"/>
              </w:rPr>
              <w:t>4.7.1 6.1 Commit Messages Carry No Attribution Trailer</w:t>
              <w:tab/>
              <w:t>39</w:t>
            </w:r>
          </w:hyperlink>
        </w:p>
        <w:p>
          <w:pPr>
            <w:pStyle w:val="TOC3"/>
            <w:tabs>
              <w:tab w:val="clear" w:pos="8793"/>
              <w:tab w:val="right" w:pos="9359" w:leader="dot"/>
            </w:tabs>
            <w:rPr/>
          </w:pPr>
          <w:hyperlink w:anchor="__RefHeading___Toc14814_888288119">
            <w:r>
              <w:rPr>
                <w:webHidden/>
                <w:rStyle w:val="IndexLink"/>
              </w:rPr>
              <w:t>4.7.2 6.2 STREAM Tutorial Focus</w:t>
              <w:tab/>
              <w:t>39</w:t>
            </w:r>
          </w:hyperlink>
        </w:p>
        <w:p>
          <w:pPr>
            <w:pStyle w:val="TOC2"/>
            <w:tabs>
              <w:tab w:val="clear" w:pos="9077"/>
              <w:tab w:val="right" w:pos="9359" w:leader="dot"/>
            </w:tabs>
            <w:rPr/>
          </w:pPr>
          <w:hyperlink w:anchor="__RefHeading___Toc14816_888288119">
            <w:r>
              <w:rPr>
                <w:webHidden/>
                <w:rStyle w:val="IndexLink"/>
              </w:rPr>
              <w:t>4.8 Summary by Priority</w:t>
              <w:tab/>
              <w:t>40</w:t>
            </w:r>
          </w:hyperlink>
        </w:p>
        <w:p>
          <w:pPr>
            <w:pStyle w:val="TOC3"/>
            <w:tabs>
              <w:tab w:val="clear" w:pos="8793"/>
              <w:tab w:val="right" w:pos="9359" w:leader="dot"/>
            </w:tabs>
            <w:rPr/>
          </w:pPr>
          <w:hyperlink w:anchor="__RefHeading___Toc14818_888288119">
            <w:r>
              <w:rPr>
                <w:webHidden/>
                <w:rStyle w:val="IndexLink"/>
              </w:rPr>
              <w:t>4.8.1 P0 - Critical (Enforcement Required)</w:t>
              <w:tab/>
              <w:t>40</w:t>
            </w:r>
          </w:hyperlink>
        </w:p>
        <w:p>
          <w:pPr>
            <w:pStyle w:val="TOC3"/>
            <w:tabs>
              <w:tab w:val="clear" w:pos="8793"/>
              <w:tab w:val="right" w:pos="9359" w:leader="dot"/>
            </w:tabs>
            <w:rPr/>
          </w:pPr>
          <w:hyperlink w:anchor="__RefHeading___Toc14820_888288119">
            <w:r>
              <w:rPr>
                <w:webHidden/>
                <w:rStyle w:val="IndexLink"/>
              </w:rPr>
              <w:t>4.8.2 P1 - High Priority (Strong Recommendation)</w:t>
              <w:tab/>
              <w:t>40</w:t>
            </w:r>
          </w:hyperlink>
        </w:p>
        <w:p>
          <w:pPr>
            <w:pStyle w:val="TOC3"/>
            <w:tabs>
              <w:tab w:val="clear" w:pos="8793"/>
              <w:tab w:val="right" w:pos="9359" w:leader="dot"/>
            </w:tabs>
            <w:rPr/>
          </w:pPr>
          <w:hyperlink w:anchor="__RefHeading___Toc14822_888288119">
            <w:r>
              <w:rPr>
                <w:webHidden/>
                <w:rStyle w:val="IndexLink"/>
              </w:rPr>
              <w:t>4.8.3 P2 - Standard Practice (Best Practices)</w:t>
              <w:tab/>
              <w:t>40</w:t>
            </w:r>
          </w:hyperlink>
        </w:p>
        <w:p>
          <w:pPr>
            <w:pStyle w:val="TOC3"/>
            <w:tabs>
              <w:tab w:val="clear" w:pos="8793"/>
              <w:tab w:val="right" w:pos="9359" w:leader="dot"/>
            </w:tabs>
            <w:rPr/>
          </w:pPr>
          <w:hyperlink w:anchor="__RefHeading___Toc14824_888288119">
            <w:r>
              <w:rPr>
                <w:webHidden/>
                <w:rStyle w:val="IndexLink"/>
              </w:rPr>
              <w:t>4.8.4 P3 - Project-Specific</w:t>
              <w:tab/>
              <w:t>40</w:t>
            </w:r>
          </w:hyperlink>
        </w:p>
        <w:p>
          <w:pPr>
            <w:pStyle w:val="TOC2"/>
            <w:tabs>
              <w:tab w:val="clear" w:pos="9077"/>
              <w:tab w:val="right" w:pos="9359" w:leader="dot"/>
            </w:tabs>
            <w:rPr/>
          </w:pPr>
          <w:hyperlink w:anchor="__RefHeading___Toc14826_888288119">
            <w:r>
              <w:rPr>
                <w:webHidden/>
                <w:rStyle w:val="IndexLink"/>
              </w:rPr>
              <w:t>4.9 Compliance Checklist</w:t>
              <w:tab/>
              <w:t>41</w:t>
            </w:r>
          </w:hyperlink>
        </w:p>
        <w:p>
          <w:pPr>
            <w:pStyle w:val="TOC2"/>
            <w:tabs>
              <w:tab w:val="clear" w:pos="9077"/>
              <w:tab w:val="right" w:pos="9359" w:leader="dot"/>
            </w:tabs>
            <w:rPr/>
          </w:pPr>
          <w:hyperlink w:anchor="__RefHeading___Toc14828_888288119">
            <w:r>
              <w:rPr>
                <w:webHidden/>
                <w:rStyle w:val="IndexLink"/>
              </w:rPr>
              <w:t>4.10 Enforcement</w:t>
              <w:tab/>
              <w:t>41</w:t>
            </w:r>
          </w:hyperlink>
        </w:p>
        <w:p>
          <w:pPr>
            <w:pStyle w:val="TOC2"/>
            <w:tabs>
              <w:tab w:val="clear" w:pos="9077"/>
              <w:tab w:val="right" w:pos="9359" w:leader="dot"/>
            </w:tabs>
            <w:rPr/>
          </w:pPr>
          <w:hyperlink w:anchor="__RefHeading___Toc14830_888288119">
            <w:r>
              <w:rPr>
                <w:webHidden/>
                <w:rStyle w:val="IndexLink"/>
              </w:rPr>
              <w:t>4.11 References</w:t>
              <w:tab/>
              <w:t>42</w:t>
            </w:r>
          </w:hyperlink>
        </w:p>
        <w:p>
          <w:pPr>
            <w:pStyle w:val="TOC1"/>
            <w:tabs>
              <w:tab w:val="clear" w:pos="9360"/>
              <w:tab w:val="right" w:pos="9359" w:leader="dot"/>
            </w:tabs>
            <w:rPr/>
          </w:pPr>
          <w:hyperlink w:anchor="__RefHeading___Toc14832_888288119">
            <w:r>
              <w:rPr>
                <w:webHidden/>
                <w:rStyle w:val="IndexLink"/>
              </w:rPr>
              <w:t>5 Document Information</w:t>
              <w:tab/>
              <w:t>43</w:t>
            </w:r>
          </w:hyperlink>
        </w:p>
        <w:p>
          <w:pPr>
            <w:pStyle w:val="TOC2"/>
            <w:tabs>
              <w:tab w:val="clear" w:pos="9077"/>
              <w:tab w:val="right" w:pos="9359" w:leader="dot"/>
            </w:tabs>
            <w:rPr/>
          </w:pPr>
          <w:hyperlink w:anchor="__RefHeading___Toc14834_888288119">
            <w:r>
              <w:rPr>
                <w:webHidden/>
                <w:rStyle w:val="IndexLink"/>
              </w:rPr>
              <w:t>5.1 Related documents</w:t>
              <w:tab/>
              <w:t>43</w:t>
            </w:r>
          </w:hyperlink>
        </w:p>
        <w:p>
          <w:pPr>
            <w:pStyle w:val="TOC2"/>
            <w:tabs>
              <w:tab w:val="clear" w:pos="9077"/>
              <w:tab w:val="right" w:pos="9359" w:leader="dot"/>
            </w:tabs>
            <w:rPr/>
          </w:pPr>
          <w:hyperlink w:anchor="__RefHeading___Toc14836_888288119">
            <w:r>
              <w:rPr>
                <w:webHidden/>
                <w:rStyle w:val="IndexLink"/>
              </w:rPr>
              <w:t>5.2 Terminology</w:t>
              <w:tab/>
              <w:t>44</w:t>
            </w:r>
          </w:hyperlink>
        </w:p>
        <w:p>
          <w:pPr>
            <w:pStyle w:val="TOC2"/>
            <w:tabs>
              <w:tab w:val="clear" w:pos="9077"/>
              <w:tab w:val="right" w:pos="9359" w:leader="dot"/>
            </w:tabs>
            <w:rPr/>
          </w:pPr>
          <w:hyperlink w:anchor="__RefHeading___Toc14838_888288119">
            <w:r>
              <w:rPr>
                <w:webHidden/>
                <w:rStyle w:val="IndexLink"/>
              </w:rPr>
              <w:t>5.3 Revision history</w:t>
              <w:tab/>
              <w:t>44</w:t>
            </w:r>
          </w:hyperlink>
        </w:p>
        <w:p>
          <w:pPr>
            <w:pStyle w:val="TOC2"/>
            <w:tabs>
              <w:tab w:val="clear" w:pos="9077"/>
              <w:tab w:val="right" w:pos="9359" w:leader="dot"/>
            </w:tabs>
            <w:rPr/>
          </w:pPr>
          <w:hyperlink w:anchor="__RefHeading___Toc14840_888288119">
            <w:r>
              <w:rPr>
                <w:webHidden/>
                <w:rStyle w:val="IndexLink"/>
              </w:rPr>
              <w:t>5.4 How to read this book</w:t>
              <w:tab/>
              <w:t>45</w:t>
            </w:r>
          </w:hyperlink>
        </w:p>
        <w:p>
          <w:pPr>
            <w:pStyle w:val="TOC1"/>
            <w:tabs>
              <w:tab w:val="clear" w:pos="9360"/>
              <w:tab w:val="right" w:pos="9359" w:leader="dot"/>
            </w:tabs>
            <w:rPr/>
          </w:pPr>
          <w:hyperlink w:anchor="__RefHeading___Toc14842_888288119">
            <w:r>
              <w:rPr>
                <w:webHidden/>
                <w:rStyle w:val="IndexLink"/>
              </w:rPr>
              <w:t>6 Purpose and Scope</w:t>
              <w:tab/>
              <w:t>46</w:t>
            </w:r>
          </w:hyperlink>
        </w:p>
        <w:p>
          <w:pPr>
            <w:pStyle w:val="TOC2"/>
            <w:tabs>
              <w:tab w:val="clear" w:pos="9077"/>
              <w:tab w:val="right" w:pos="9359" w:leader="dot"/>
            </w:tabs>
            <w:rPr/>
          </w:pPr>
          <w:hyperlink w:anchor="__RefHeading___Toc14844_888288119">
            <w:r>
              <w:rPr>
                <w:webHidden/>
                <w:rStyle w:val="IndexLink"/>
              </w:rPr>
              <w:t>6.1 Purpose</w:t>
              <w:tab/>
              <w:t>46</w:t>
            </w:r>
          </w:hyperlink>
        </w:p>
        <w:p>
          <w:pPr>
            <w:pStyle w:val="TOC2"/>
            <w:tabs>
              <w:tab w:val="clear" w:pos="9077"/>
              <w:tab w:val="right" w:pos="9359" w:leader="dot"/>
            </w:tabs>
            <w:rPr/>
          </w:pPr>
          <w:hyperlink w:anchor="__RefHeading___Toc14846_888288119">
            <w:r>
              <w:rPr>
                <w:webHidden/>
                <w:rStyle w:val="IndexLink"/>
              </w:rPr>
              <w:t>6.2 Scope</w:t>
              <w:tab/>
              <w:t>46</w:t>
            </w:r>
          </w:hyperlink>
        </w:p>
        <w:p>
          <w:pPr>
            <w:pStyle w:val="TOC2"/>
            <w:tabs>
              <w:tab w:val="clear" w:pos="9077"/>
              <w:tab w:val="right" w:pos="9359" w:leader="dot"/>
            </w:tabs>
            <w:rPr/>
          </w:pPr>
          <w:hyperlink w:anchor="__RefHeading___Toc14848_888288119">
            <w:r>
              <w:rPr>
                <w:webHidden/>
                <w:rStyle w:val="IndexLink"/>
              </w:rPr>
              <w:t>6.3 Why a blocking cache matters</w:t>
              <w:tab/>
              <w:t>46</w:t>
            </w:r>
          </w:hyperlink>
        </w:p>
        <w:p>
          <w:pPr>
            <w:pStyle w:val="TOC1"/>
            <w:tabs>
              <w:tab w:val="clear" w:pos="9360"/>
              <w:tab w:val="right" w:pos="9359" w:leader="dot"/>
            </w:tabs>
            <w:rPr/>
          </w:pPr>
          <w:hyperlink w:anchor="__RefHeading___Toc14850_888288119">
            <w:r>
              <w:rPr>
                <w:webHidden/>
                <w:rStyle w:val="IndexLink"/>
              </w:rPr>
              <w:t>7 Document Conventions</w:t>
              <w:tab/>
              <w:t>48</w:t>
            </w:r>
          </w:hyperlink>
        </w:p>
        <w:p>
          <w:pPr>
            <w:pStyle w:val="TOC2"/>
            <w:tabs>
              <w:tab w:val="clear" w:pos="9077"/>
              <w:tab w:val="right" w:pos="9359" w:leader="dot"/>
            </w:tabs>
            <w:rPr/>
          </w:pPr>
          <w:hyperlink w:anchor="__RefHeading___Toc14852_888288119">
            <w:r>
              <w:rPr>
                <w:webHidden/>
                <w:rStyle w:val="IndexLink"/>
              </w:rPr>
              <w:t>7.1 Signal naming</w:t>
              <w:tab/>
              <w:t>48</w:t>
            </w:r>
          </w:hyperlink>
        </w:p>
        <w:p>
          <w:pPr>
            <w:pStyle w:val="TOC2"/>
            <w:tabs>
              <w:tab w:val="clear" w:pos="9077"/>
              <w:tab w:val="right" w:pos="9359" w:leader="dot"/>
            </w:tabs>
            <w:rPr/>
          </w:pPr>
          <w:hyperlink w:anchor="__RefHeading___Toc14854_888288119">
            <w:r>
              <w:rPr>
                <w:webHidden/>
                <w:rStyle w:val="IndexLink"/>
              </w:rPr>
              <w:t>7.2 Numbering and bases</w:t>
              <w:tab/>
              <w:t>48</w:t>
            </w:r>
          </w:hyperlink>
        </w:p>
        <w:p>
          <w:pPr>
            <w:pStyle w:val="TOC2"/>
            <w:tabs>
              <w:tab w:val="clear" w:pos="9077"/>
              <w:tab w:val="right" w:pos="9359" w:leader="dot"/>
            </w:tabs>
            <w:rPr/>
          </w:pPr>
          <w:hyperlink w:anchor="__RefHeading___Toc14856_888288119">
            <w:r>
              <w:rPr>
                <w:webHidden/>
                <w:rStyle w:val="IndexLink"/>
              </w:rPr>
              <w:t>7.3 Citation discipline</w:t>
              <w:tab/>
              <w:t>48</w:t>
            </w:r>
          </w:hyperlink>
        </w:p>
        <w:p>
          <w:pPr>
            <w:pStyle w:val="TOC2"/>
            <w:tabs>
              <w:tab w:val="clear" w:pos="9077"/>
              <w:tab w:val="right" w:pos="9359" w:leader="dot"/>
            </w:tabs>
            <w:rPr/>
          </w:pPr>
          <w:hyperlink w:anchor="__RefHeading___Toc14858_888288119">
            <w:r>
              <w:rPr>
                <w:webHidden/>
                <w:rStyle w:val="IndexLink"/>
              </w:rPr>
              <w:t>7.4 Diagram conventions</w:t>
              <w:tab/>
              <w:t>48</w:t>
            </w:r>
          </w:hyperlink>
        </w:p>
        <w:p>
          <w:pPr>
            <w:pStyle w:val="TOC2"/>
            <w:tabs>
              <w:tab w:val="clear" w:pos="9077"/>
              <w:tab w:val="right" w:pos="9359" w:leader="dot"/>
            </w:tabs>
            <w:rPr/>
          </w:pPr>
          <w:hyperlink w:anchor="__RefHeading___Toc14860_888288119">
            <w:r>
              <w:rPr>
                <w:webHidden/>
                <w:rStyle w:val="IndexLink"/>
              </w:rPr>
              <w:t>7.5 Voice</w:t>
              <w:tab/>
              <w:t>49</w:t>
            </w:r>
          </w:hyperlink>
        </w:p>
        <w:p>
          <w:pPr>
            <w:pStyle w:val="TOC1"/>
            <w:tabs>
              <w:tab w:val="clear" w:pos="9360"/>
              <w:tab w:val="right" w:pos="9359" w:leader="dot"/>
            </w:tabs>
            <w:rPr/>
          </w:pPr>
          <w:hyperlink w:anchor="__RefHeading___Toc14862_888288119">
            <w:r>
              <w:rPr>
                <w:webHidden/>
                <w:rStyle w:val="IndexLink"/>
              </w:rPr>
              <w:t>8 Definitions and Acronyms</w:t>
              <w:tab/>
              <w:t>50</w:t>
            </w:r>
          </w:hyperlink>
        </w:p>
        <w:p>
          <w:pPr>
            <w:pStyle w:val="TOC1"/>
            <w:tabs>
              <w:tab w:val="clear" w:pos="9360"/>
              <w:tab w:val="right" w:pos="9359" w:leader="dot"/>
            </w:tabs>
            <w:rPr/>
          </w:pPr>
          <w:hyperlink w:anchor="__RefHeading___Toc14864_888288119">
            <w:r>
              <w:rPr>
                <w:webHidden/>
                <w:rStyle w:val="IndexLink"/>
              </w:rPr>
              <w:t>9 Use Cases</w:t>
              <w:tab/>
              <w:t>52</w:t>
            </w:r>
          </w:hyperlink>
        </w:p>
        <w:p>
          <w:pPr>
            <w:pStyle w:val="TOC2"/>
            <w:tabs>
              <w:tab w:val="clear" w:pos="9077"/>
              <w:tab w:val="right" w:pos="9359" w:leader="dot"/>
            </w:tabs>
            <w:rPr/>
          </w:pPr>
          <w:hyperlink w:anchor="__RefHeading___Toc14866_888288119">
            <w:r>
              <w:rPr>
                <w:webHidden/>
                <w:rStyle w:val="IndexLink"/>
              </w:rPr>
              <w:t>9.1 Primary use case: a correct, observable, provable L1 cache baseline</w:t>
              <w:tab/>
              <w:t>52</w:t>
            </w:r>
          </w:hyperlink>
        </w:p>
        <w:p>
          <w:pPr>
            <w:pStyle w:val="TOC2"/>
            <w:tabs>
              <w:tab w:val="clear" w:pos="9077"/>
              <w:tab w:val="right" w:pos="9359" w:leader="dot"/>
            </w:tabs>
            <w:rPr/>
          </w:pPr>
          <w:hyperlink w:anchor="__RefHeading___Toc14868_888288119">
            <w:r>
              <w:rPr>
                <w:webHidden/>
                <w:rStyle w:val="IndexLink"/>
              </w:rPr>
              <w:t>9.2 Secondary use cases</w:t>
              <w:tab/>
              <w:t>52</w:t>
            </w:r>
          </w:hyperlink>
        </w:p>
        <w:p>
          <w:pPr>
            <w:pStyle w:val="TOC2"/>
            <w:tabs>
              <w:tab w:val="clear" w:pos="9077"/>
              <w:tab w:val="right" w:pos="9359" w:leader="dot"/>
            </w:tabs>
            <w:rPr/>
          </w:pPr>
          <w:hyperlink w:anchor="__RefHeading___Toc14870_888288119">
            <w:r>
              <w:rPr>
                <w:webHidden/>
                <w:rStyle w:val="IndexLink"/>
              </w:rPr>
              <w:t>9.3 What amber is not designed for</w:t>
              <w:tab/>
              <w:t>52</w:t>
            </w:r>
          </w:hyperlink>
        </w:p>
        <w:p>
          <w:pPr>
            <w:pStyle w:val="TOC1"/>
            <w:tabs>
              <w:tab w:val="clear" w:pos="9360"/>
              <w:tab w:val="right" w:pos="9359" w:leader="dot"/>
            </w:tabs>
            <w:rPr/>
          </w:pPr>
          <w:hyperlink w:anchor="__RefHeading___Toc14872_888288119">
            <w:r>
              <w:rPr>
                <w:webHidden/>
                <w:rStyle w:val="IndexLink"/>
              </w:rPr>
              <w:t>10 Key Features</w:t>
              <w:tab/>
              <w:t>53</w:t>
            </w:r>
          </w:hyperlink>
        </w:p>
        <w:p>
          <w:pPr>
            <w:pStyle w:val="TOC1"/>
            <w:tabs>
              <w:tab w:val="clear" w:pos="9360"/>
              <w:tab w:val="right" w:pos="9359" w:leader="dot"/>
            </w:tabs>
            <w:rPr/>
          </w:pPr>
          <w:hyperlink w:anchor="__RefHeading___Toc14874_888288119">
            <w:r>
              <w:rPr>
                <w:webHidden/>
                <w:rStyle w:val="IndexLink"/>
              </w:rPr>
              <w:t>11 System Context</w:t>
              <w:tab/>
              <w:t>55</w:t>
            </w:r>
          </w:hyperlink>
        </w:p>
        <w:p>
          <w:pPr>
            <w:pStyle w:val="TOC2"/>
            <w:tabs>
              <w:tab w:val="clear" w:pos="9077"/>
              <w:tab w:val="right" w:pos="9359" w:leader="dot"/>
            </w:tabs>
            <w:rPr/>
          </w:pPr>
          <w:hyperlink w:anchor="__RefHeading___Toc14876_888288119">
            <w:r>
              <w:rPr>
                <w:webHidden/>
                <w:rStyle w:val="IndexLink"/>
              </w:rPr>
              <w:t>11.1 Where amber sits</w:t>
              <w:tab/>
              <w:t>55</w:t>
            </w:r>
          </w:hyperlink>
        </w:p>
        <w:p>
          <w:pPr>
            <w:pStyle w:val="TOC2"/>
            <w:tabs>
              <w:tab w:val="clear" w:pos="9077"/>
              <w:tab w:val="right" w:pos="9359" w:leader="dot"/>
            </w:tabs>
            <w:rPr/>
          </w:pPr>
          <w:hyperlink w:anchor="__RefHeading___Toc14878_888288119">
            <w:r>
              <w:rPr>
                <w:webHidden/>
                <w:rStyle w:val="IndexLink"/>
              </w:rPr>
              <w:t>11.2 Pair rig (amber top)</w:t>
              <w:tab/>
              <w:t>55</w:t>
            </w:r>
          </w:hyperlink>
        </w:p>
        <w:p>
          <w:pPr>
            <w:pStyle w:val="TOC2"/>
            <w:tabs>
              <w:tab w:val="clear" w:pos="9077"/>
              <w:tab w:val="right" w:pos="9359" w:leader="dot"/>
            </w:tabs>
            <w:rPr/>
          </w:pPr>
          <w:hyperlink w:anchor="__RefHeading___Toc14880_888288119">
            <w:r>
              <w:rPr>
                <w:webHidden/>
                <w:rStyle w:val="IndexLink"/>
              </w:rPr>
              <w:t>11.3 Onyx rig (amber_ace top)</w:t>
              <w:tab/>
              <w:t>55</w:t>
            </w:r>
          </w:hyperlink>
        </w:p>
        <w:p>
          <w:pPr>
            <w:pStyle w:val="TOC2"/>
            <w:tabs>
              <w:tab w:val="clear" w:pos="9077"/>
              <w:tab w:val="right" w:pos="9359" w:leader="dot"/>
            </w:tabs>
            <w:rPr/>
          </w:pPr>
          <w:hyperlink w:anchor="__RefHeading___Toc14882_888288119">
            <w:r>
              <w:rPr>
                <w:webHidden/>
                <w:rStyle w:val="IndexLink"/>
              </w:rPr>
              <w:t>11.4 Shared core, different tops</w:t>
              <w:tab/>
              <w:t>55</w:t>
            </w:r>
          </w:hyperlink>
        </w:p>
        <w:p>
          <w:pPr>
            <w:pStyle w:val="TOC1"/>
            <w:tabs>
              <w:tab w:val="clear" w:pos="9360"/>
              <w:tab w:val="right" w:pos="9359" w:leader="dot"/>
            </w:tabs>
            <w:rPr/>
          </w:pPr>
          <w:hyperlink w:anchor="__RefHeading___Toc14884_888288119">
            <w:r>
              <w:rPr>
                <w:webHidden/>
                <w:rStyle w:val="IndexLink"/>
              </w:rPr>
              <w:t>12 Block Diagram</w:t>
              <w:tab/>
              <w:t>56</w:t>
            </w:r>
          </w:hyperlink>
        </w:p>
        <w:p>
          <w:pPr>
            <w:pStyle w:val="TOC2"/>
            <w:tabs>
              <w:tab w:val="clear" w:pos="9077"/>
              <w:tab w:val="right" w:pos="9359" w:leader="dot"/>
            </w:tabs>
            <w:rPr/>
          </w:pPr>
          <w:hyperlink w:anchor="__RefHeading___Toc14886_888288119">
            <w:r>
              <w:rPr>
                <w:webHidden/>
                <w:rStyle w:val="IndexLink"/>
              </w:rPr>
              <w:t>12.1 Module roles</w:t>
              <w:tab/>
              <w:t>56</w:t>
            </w:r>
          </w:hyperlink>
        </w:p>
        <w:p>
          <w:pPr>
            <w:pStyle w:val="TOC1"/>
            <w:tabs>
              <w:tab w:val="clear" w:pos="9360"/>
              <w:tab w:val="right" w:pos="9359" w:leader="dot"/>
            </w:tabs>
            <w:rPr/>
          </w:pPr>
          <w:hyperlink w:anchor="__RefHeading___Toc14888_888288119">
            <w:r>
              <w:rPr>
                <w:webHidden/>
                <w:rStyle w:val="IndexLink"/>
              </w:rPr>
              <w:t>13 Top Structure and the Two Rigs</w:t>
              <w:tab/>
              <w:t>58</w:t>
            </w:r>
          </w:hyperlink>
        </w:p>
        <w:p>
          <w:pPr>
            <w:pStyle w:val="TOC2"/>
            <w:tabs>
              <w:tab w:val="clear" w:pos="9077"/>
              <w:tab w:val="right" w:pos="9359" w:leader="dot"/>
            </w:tabs>
            <w:rPr/>
          </w:pPr>
          <w:hyperlink w:anchor="__RefHeading___Toc14890_888288119">
            <w:r>
              <w:rPr>
                <w:webHidden/>
                <w:rStyle w:val="IndexLink"/>
              </w:rPr>
              <w:t>13.1 No rig parameter</w:t>
              <w:tab/>
              <w:t>58</w:t>
            </w:r>
          </w:hyperlink>
        </w:p>
        <w:p>
          <w:pPr>
            <w:pStyle w:val="TOC2"/>
            <w:tabs>
              <w:tab w:val="clear" w:pos="9077"/>
              <w:tab w:val="right" w:pos="9359" w:leader="dot"/>
            </w:tabs>
            <w:rPr/>
          </w:pPr>
          <w:hyperlink w:anchor="__RefHeading___Toc14892_888288119">
            <w:r>
              <w:rPr>
                <w:webHidden/>
                <w:rStyle w:val="IndexLink"/>
              </w:rPr>
              <w:t>13.2 amber — pair-rig top</w:t>
              <w:tab/>
              <w:t>58</w:t>
            </w:r>
          </w:hyperlink>
        </w:p>
        <w:p>
          <w:pPr>
            <w:pStyle w:val="TOC2"/>
            <w:tabs>
              <w:tab w:val="clear" w:pos="9077"/>
              <w:tab w:val="right" w:pos="9359" w:leader="dot"/>
            </w:tabs>
            <w:rPr/>
          </w:pPr>
          <w:hyperlink w:anchor="__RefHeading___Toc14894_888288119">
            <w:r>
              <w:rPr>
                <w:webHidden/>
                <w:rStyle w:val="IndexLink"/>
              </w:rPr>
              <w:t>13.3 amber_ace — onyx-rig top</w:t>
              <w:tab/>
              <w:t>58</w:t>
            </w:r>
          </w:hyperlink>
        </w:p>
        <w:p>
          <w:pPr>
            <w:pStyle w:val="TOC2"/>
            <w:tabs>
              <w:tab w:val="clear" w:pos="9077"/>
              <w:tab w:val="right" w:pos="9359" w:leader="dot"/>
            </w:tabs>
            <w:rPr/>
          </w:pPr>
          <w:hyperlink w:anchor="__RefHeading___Toc14896_888288119">
            <w:r>
              <w:rPr>
                <w:webHidden/>
                <w:rStyle w:val="IndexLink"/>
              </w:rPr>
              <w:t>13.4 What is inside amber_core</w:t>
              <w:tab/>
              <w:t>58</w:t>
            </w:r>
          </w:hyperlink>
        </w:p>
        <w:p>
          <w:pPr>
            <w:pStyle w:val="TOC1"/>
            <w:tabs>
              <w:tab w:val="clear" w:pos="9360"/>
              <w:tab w:val="right" w:pos="9359" w:leader="dot"/>
            </w:tabs>
            <w:rPr/>
          </w:pPr>
          <w:hyperlink w:anchor="__RefHeading___Toc14898_888288119">
            <w:r>
              <w:rPr>
                <w:webHidden/>
                <w:rStyle w:val="IndexLink"/>
              </w:rPr>
              <w:t>14 Data Flow: Hits, Misses, Fills, and Drains</w:t>
              <w:tab/>
              <w:t>60</w:t>
            </w:r>
          </w:hyperlink>
        </w:p>
        <w:p>
          <w:pPr>
            <w:pStyle w:val="TOC2"/>
            <w:tabs>
              <w:tab w:val="clear" w:pos="9077"/>
              <w:tab w:val="right" w:pos="9359" w:leader="dot"/>
            </w:tabs>
            <w:rPr/>
          </w:pPr>
          <w:hyperlink w:anchor="__RefHeading___Toc14900_888288119">
            <w:r>
              <w:rPr>
                <w:webHidden/>
                <w:rStyle w:val="IndexLink"/>
              </w:rPr>
              <w:t>14.1 Hit path</w:t>
              <w:tab/>
              <w:t>60</w:t>
            </w:r>
          </w:hyperlink>
        </w:p>
        <w:p>
          <w:pPr>
            <w:pStyle w:val="TOC2"/>
            <w:tabs>
              <w:tab w:val="clear" w:pos="9077"/>
              <w:tab w:val="right" w:pos="9359" w:leader="dot"/>
            </w:tabs>
            <w:rPr/>
          </w:pPr>
          <w:hyperlink w:anchor="__RefHeading___Toc14902_888288119">
            <w:r>
              <w:rPr>
                <w:webHidden/>
                <w:rStyle w:val="IndexLink"/>
              </w:rPr>
              <w:t>14.2 Miss path</w:t>
              <w:tab/>
              <w:t>60</w:t>
            </w:r>
          </w:hyperlink>
        </w:p>
        <w:p>
          <w:pPr>
            <w:pStyle w:val="TOC2"/>
            <w:tabs>
              <w:tab w:val="clear" w:pos="9077"/>
              <w:tab w:val="right" w:pos="9359" w:leader="dot"/>
            </w:tabs>
            <w:rPr/>
          </w:pPr>
          <w:hyperlink w:anchor="__RefHeading___Toc14904_888288119">
            <w:r>
              <w:rPr>
                <w:webHidden/>
                <w:rStyle w:val="IndexLink"/>
              </w:rPr>
              <w:t>14.3 Snoop path</w:t>
              <w:tab/>
              <w:t>60</w:t>
            </w:r>
          </w:hyperlink>
        </w:p>
        <w:p>
          <w:pPr>
            <w:pStyle w:val="TOC2"/>
            <w:tabs>
              <w:tab w:val="clear" w:pos="9077"/>
              <w:tab w:val="right" w:pos="9359" w:leader="dot"/>
            </w:tabs>
            <w:rPr/>
          </w:pPr>
          <w:hyperlink w:anchor="__RefHeading___Toc14906_888288119">
            <w:r>
              <w:rPr>
                <w:webHidden/>
                <w:rStyle w:val="IndexLink"/>
              </w:rPr>
              <w:t>14.4 Open shape: memory-side masters (D3)</w:t>
              <w:tab/>
              <w:t>61</w:t>
            </w:r>
          </w:hyperlink>
        </w:p>
        <w:p>
          <w:pPr>
            <w:pStyle w:val="TOC2"/>
            <w:tabs>
              <w:tab w:val="clear" w:pos="9077"/>
              <w:tab w:val="right" w:pos="9359" w:leader="dot"/>
            </w:tabs>
            <w:rPr/>
          </w:pPr>
          <w:hyperlink w:anchor="__RefHeading___Toc14908_888288119">
            <w:r>
              <w:rPr>
                <w:webHidden/>
                <w:rStyle w:val="IndexLink"/>
              </w:rPr>
              <w:t>14.5 Open shape: array construction (D11)</w:t>
              <w:tab/>
              <w:t>61</w:t>
            </w:r>
          </w:hyperlink>
        </w:p>
        <w:p>
          <w:pPr>
            <w:pStyle w:val="TOC1"/>
            <w:tabs>
              <w:tab w:val="clear" w:pos="9360"/>
              <w:tab w:val="right" w:pos="9359" w:leader="dot"/>
            </w:tabs>
            <w:rPr/>
          </w:pPr>
          <w:hyperlink w:anchor="__RefHeading___Toc14910_888288119">
            <w:r>
              <w:rPr>
                <w:webHidden/>
                <w:rStyle w:val="IndexLink"/>
              </w:rPr>
              <w:t>15 Control FSM: Blocking Pipeline and Pending-Fill Bypass</w:t>
              <w:tab/>
              <w:t>62</w:t>
            </w:r>
          </w:hyperlink>
        </w:p>
        <w:p>
          <w:pPr>
            <w:pStyle w:val="TOC2"/>
            <w:tabs>
              <w:tab w:val="clear" w:pos="9077"/>
              <w:tab w:val="right" w:pos="9359" w:leader="dot"/>
            </w:tabs>
            <w:rPr/>
          </w:pPr>
          <w:hyperlink w:anchor="__RefHeading___Toc14912_888288119">
            <w:r>
              <w:rPr>
                <w:webHidden/>
                <w:rStyle w:val="IndexLink"/>
              </w:rPr>
              <w:t>15.1 The blocking pipeline</w:t>
              <w:tab/>
              <w:t>62</w:t>
            </w:r>
          </w:hyperlink>
        </w:p>
        <w:p>
          <w:pPr>
            <w:pStyle w:val="TOC2"/>
            <w:tabs>
              <w:tab w:val="clear" w:pos="9077"/>
              <w:tab w:val="right" w:pos="9359" w:leader="dot"/>
            </w:tabs>
            <w:rPr/>
          </w:pPr>
          <w:hyperlink w:anchor="__RefHeading___Toc14914_888288119">
            <w:r>
              <w:rPr>
                <w:webHidden/>
                <w:rStyle w:val="IndexLink"/>
              </w:rPr>
              <w:t>15.2 Pending-fill bypass register</w:t>
              <w:tab/>
              <w:t>62</w:t>
            </w:r>
          </w:hyperlink>
        </w:p>
        <w:p>
          <w:pPr>
            <w:pStyle w:val="TOC2"/>
            <w:tabs>
              <w:tab w:val="clear" w:pos="9077"/>
              <w:tab w:val="right" w:pos="9359" w:leader="dot"/>
            </w:tabs>
            <w:rPr/>
          </w:pPr>
          <w:hyperlink w:anchor="__RefHeading___Toc14916_888288119">
            <w:r>
              <w:rPr>
                <w:webHidden/>
                <w:rStyle w:val="IndexLink"/>
              </w:rPr>
              <w:t>15.3 FSM oracle derivation</w:t>
              <w:tab/>
              <w:t>63</w:t>
            </w:r>
          </w:hyperlink>
        </w:p>
        <w:p>
          <w:pPr>
            <w:pStyle w:val="TOC1"/>
            <w:tabs>
              <w:tab w:val="clear" w:pos="9360"/>
              <w:tab w:val="right" w:pos="9359" w:leader="dot"/>
            </w:tabs>
            <w:rPr/>
          </w:pPr>
          <w:hyperlink w:anchor="__RefHeading___Toc14918_888288119">
            <w:r>
              <w:rPr>
                <w:webHidden/>
                <w:rStyle w:val="IndexLink"/>
              </w:rPr>
              <w:t>16 Coherence FSM and the Snoop Responder</w:t>
              <w:tab/>
              <w:t>64</w:t>
            </w:r>
          </w:hyperlink>
        </w:p>
        <w:p>
          <w:pPr>
            <w:pStyle w:val="TOC2"/>
            <w:tabs>
              <w:tab w:val="clear" w:pos="9077"/>
              <w:tab w:val="right" w:pos="9359" w:leader="dot"/>
            </w:tabs>
            <w:rPr/>
          </w:pPr>
          <w:hyperlink w:anchor="__RefHeading___Toc14920_888288119">
            <w:r>
              <w:rPr>
                <w:webHidden/>
                <w:rStyle w:val="IndexLink"/>
              </w:rPr>
              <w:t>16.1 MESI state handling</w:t>
              <w:tab/>
              <w:t>64</w:t>
            </w:r>
          </w:hyperlink>
        </w:p>
        <w:p>
          <w:pPr>
            <w:pStyle w:val="TOC2"/>
            <w:tabs>
              <w:tab w:val="clear" w:pos="9077"/>
              <w:tab w:val="right" w:pos="9359" w:leader="dot"/>
            </w:tabs>
            <w:rPr/>
          </w:pPr>
          <w:hyperlink w:anchor="__RefHeading___Toc14922_888288119">
            <w:r>
              <w:rPr>
                <w:webHidden/>
                <w:rStyle w:val="IndexLink"/>
              </w:rPr>
              <w:t>16.2 Snoop flow</w:t>
              <w:tab/>
              <w:t>66</w:t>
            </w:r>
          </w:hyperlink>
        </w:p>
        <w:p>
          <w:pPr>
            <w:pStyle w:val="TOC2"/>
            <w:tabs>
              <w:tab w:val="clear" w:pos="9077"/>
              <w:tab w:val="right" w:pos="9359" w:leader="dot"/>
            </w:tabs>
            <w:rPr/>
          </w:pPr>
          <w:hyperlink w:anchor="__RefHeading___Toc14924_888288119">
            <w:r>
              <w:rPr>
                <w:webHidden/>
                <w:rStyle w:val="IndexLink"/>
              </w:rPr>
              <w:t>16.3 Ordering convention</w:t>
              <w:tab/>
              <w:t>67</w:t>
            </w:r>
          </w:hyperlink>
        </w:p>
        <w:p>
          <w:pPr>
            <w:pStyle w:val="TOC1"/>
            <w:tabs>
              <w:tab w:val="clear" w:pos="9360"/>
              <w:tab w:val="right" w:pos="9359" w:leader="dot"/>
            </w:tabs>
            <w:rPr/>
          </w:pPr>
          <w:hyperlink w:anchor="__RefHeading___Toc14926_888288119">
            <w:r>
              <w:rPr>
                <w:webHidden/>
                <w:rStyle w:val="IndexLink"/>
              </w:rPr>
              <w:t>17 Arbitration and the Victim Bypass</w:t>
              <w:tab/>
              <w:t>68</w:t>
            </w:r>
          </w:hyperlink>
        </w:p>
        <w:p>
          <w:pPr>
            <w:pStyle w:val="TOC2"/>
            <w:tabs>
              <w:tab w:val="clear" w:pos="9077"/>
              <w:tab w:val="right" w:pos="9359" w:leader="dot"/>
            </w:tabs>
            <w:rPr/>
          </w:pPr>
          <w:hyperlink w:anchor="__RefHeading___Toc14928_888288119">
            <w:r>
              <w:rPr>
                <w:webHidden/>
                <w:rStyle w:val="IndexLink"/>
              </w:rPr>
              <w:t>17.1 Dual-port array arbitration</w:t>
              <w:tab/>
              <w:t>68</w:t>
            </w:r>
          </w:hyperlink>
        </w:p>
        <w:p>
          <w:pPr>
            <w:pStyle w:val="TOC2"/>
            <w:tabs>
              <w:tab w:val="clear" w:pos="9077"/>
              <w:tab w:val="right" w:pos="9359" w:leader="dot"/>
            </w:tabs>
            <w:rPr/>
          </w:pPr>
          <w:hyperlink w:anchor="__RefHeading___Toc14930_888288119">
            <w:r>
              <w:rPr>
                <w:webHidden/>
                <w:rStyle w:val="IndexLink"/>
              </w:rPr>
              <w:t>17.2 Victim bypass</w:t>
              <w:tab/>
              <w:t>68</w:t>
            </w:r>
          </w:hyperlink>
        </w:p>
        <w:p>
          <w:pPr>
            <w:pStyle w:val="TOC2"/>
            <w:tabs>
              <w:tab w:val="clear" w:pos="9077"/>
              <w:tab w:val="right" w:pos="9359" w:leader="dot"/>
            </w:tabs>
            <w:rPr/>
          </w:pPr>
          <w:hyperlink w:anchor="__RefHeading___Toc14932_888288119">
            <w:r>
              <w:rPr>
                <w:webHidden/>
                <w:rStyle w:val="IndexLink"/>
              </w:rPr>
              <w:t>17.3 Liveness target</w:t>
              <w:tab/>
              <w:t>68</w:t>
            </w:r>
          </w:hyperlink>
        </w:p>
        <w:p>
          <w:pPr>
            <w:pStyle w:val="TOC1"/>
            <w:tabs>
              <w:tab w:val="clear" w:pos="9360"/>
              <w:tab w:val="right" w:pos="9359" w:leader="dot"/>
            </w:tabs>
            <w:rPr/>
          </w:pPr>
          <w:hyperlink w:anchor="__RefHeading___Toc14934_888288119">
            <w:r>
              <w:rPr>
                <w:webHidden/>
                <w:rStyle w:val="IndexLink"/>
              </w:rPr>
              <w:t>18 CPU-Side GAXI Slave</w:t>
              <w:tab/>
              <w:t>69</w:t>
            </w:r>
          </w:hyperlink>
        </w:p>
        <w:p>
          <w:pPr>
            <w:pStyle w:val="TOC2"/>
            <w:tabs>
              <w:tab w:val="clear" w:pos="9077"/>
              <w:tab w:val="right" w:pos="9359" w:leader="dot"/>
            </w:tabs>
            <w:rPr/>
          </w:pPr>
          <w:hyperlink w:anchor="__RefHeading___Toc14936_888288119">
            <w:r>
              <w:rPr>
                <w:webHidden/>
                <w:rStyle w:val="IndexLink"/>
              </w:rPr>
              <w:t>18.1 Interface decision</w:t>
              <w:tab/>
              <w:t>69</w:t>
            </w:r>
          </w:hyperlink>
        </w:p>
        <w:p>
          <w:pPr>
            <w:pStyle w:val="TOC2"/>
            <w:tabs>
              <w:tab w:val="clear" w:pos="9077"/>
              <w:tab w:val="right" w:pos="9359" w:leader="dot"/>
            </w:tabs>
            <w:rPr/>
          </w:pPr>
          <w:hyperlink w:anchor="__RefHeading___Toc14938_888288119">
            <w:r>
              <w:rPr>
                <w:webHidden/>
                <w:rStyle w:val="IndexLink"/>
              </w:rPr>
              <w:t>18.2 Channel structure</w:t>
              <w:tab/>
              <w:t>69</w:t>
            </w:r>
          </w:hyperlink>
        </w:p>
        <w:p>
          <w:pPr>
            <w:pStyle w:val="TOC2"/>
            <w:tabs>
              <w:tab w:val="clear" w:pos="9077"/>
              <w:tab w:val="right" w:pos="9359" w:leader="dot"/>
            </w:tabs>
            <w:rPr/>
          </w:pPr>
          <w:hyperlink w:anchor="__RefHeading___Toc14940_888288119">
            <w:r>
              <w:rPr>
                <w:webHidden/>
                <w:rStyle w:val="IndexLink"/>
              </w:rPr>
              <w:t>18.3 No register block</w:t>
              <w:tab/>
              <w:t>70</w:t>
            </w:r>
          </w:hyperlink>
        </w:p>
        <w:p>
          <w:pPr>
            <w:pStyle w:val="TOC1"/>
            <w:tabs>
              <w:tab w:val="clear" w:pos="9360"/>
              <w:tab w:val="right" w:pos="9359" w:leader="dot"/>
            </w:tabs>
            <w:rPr/>
          </w:pPr>
          <w:hyperlink w:anchor="__RefHeading___Toc14942_888288119">
            <w:r>
              <w:rPr>
                <w:webHidden/>
                <w:rStyle w:val="IndexLink"/>
              </w:rPr>
              <w:t>19 Fabric-Side AXI4 Masters</w:t>
              <w:tab/>
              <w:t>71</w:t>
            </w:r>
          </w:hyperlink>
        </w:p>
        <w:p>
          <w:pPr>
            <w:pStyle w:val="TOC2"/>
            <w:tabs>
              <w:tab w:val="clear" w:pos="9077"/>
              <w:tab w:val="right" w:pos="9359" w:leader="dot"/>
            </w:tabs>
            <w:rPr/>
          </w:pPr>
          <w:hyperlink w:anchor="__RefHeading___Toc14944_888288119">
            <w:r>
              <w:rPr>
                <w:webHidden/>
                <w:rStyle w:val="IndexLink"/>
              </w:rPr>
              <w:t>19.1 Where they live</w:t>
              <w:tab/>
              <w:t>71</w:t>
            </w:r>
          </w:hyperlink>
        </w:p>
        <w:p>
          <w:pPr>
            <w:pStyle w:val="TOC2"/>
            <w:tabs>
              <w:tab w:val="clear" w:pos="9077"/>
              <w:tab w:val="right" w:pos="9359" w:leader="dot"/>
            </w:tabs>
            <w:rPr/>
          </w:pPr>
          <w:hyperlink w:anchor="__RefHeading___Toc14946_888288119">
            <w:r>
              <w:rPr>
                <w:webHidden/>
                <w:rStyle w:val="IndexLink"/>
              </w:rPr>
              <w:t>19.2 Burst behavior</w:t>
              <w:tab/>
              <w:t>71</w:t>
            </w:r>
          </w:hyperlink>
        </w:p>
        <w:p>
          <w:pPr>
            <w:pStyle w:val="TOC2"/>
            <w:tabs>
              <w:tab w:val="clear" w:pos="9077"/>
              <w:tab w:val="right" w:pos="9359" w:leader="dot"/>
            </w:tabs>
            <w:rPr/>
          </w:pPr>
          <w:hyperlink w:anchor="__RefHeading___Toc14948_888288119">
            <w:r>
              <w:rPr>
                <w:webHidden/>
                <w:rStyle w:val="IndexLink"/>
              </w:rPr>
              <w:t>19.3 Port summary</w:t>
              <w:tab/>
              <w:t>71</w:t>
            </w:r>
          </w:hyperlink>
        </w:p>
        <w:p>
          <w:pPr>
            <w:pStyle w:val="TOC2"/>
            <w:tabs>
              <w:tab w:val="clear" w:pos="9077"/>
              <w:tab w:val="right" w:pos="9359" w:leader="dot"/>
            </w:tabs>
            <w:rPr/>
          </w:pPr>
          <w:hyperlink w:anchor="__RefHeading___Toc14950_888288119">
            <w:r>
              <w:rPr>
                <w:webHidden/>
                <w:rStyle w:val="IndexLink"/>
              </w:rPr>
              <w:t>19.4 Open point: D3</w:t>
              <w:tab/>
              <w:t>71</w:t>
            </w:r>
          </w:hyperlink>
        </w:p>
        <w:p>
          <w:pPr>
            <w:pStyle w:val="TOC1"/>
            <w:tabs>
              <w:tab w:val="clear" w:pos="9360"/>
              <w:tab w:val="right" w:pos="9359" w:leader="dot"/>
            </w:tabs>
            <w:rPr/>
          </w:pPr>
          <w:hyperlink w:anchor="__RefHeading___Toc14952_888288119">
            <w:r>
              <w:rPr>
                <w:webHidden/>
                <w:rStyle w:val="IndexLink"/>
              </w:rPr>
              <w:t>20 Fabric-Side ACE Masters and Coherent Issue</w:t>
              <w:tab/>
              <w:t>73</w:t>
            </w:r>
          </w:hyperlink>
        </w:p>
        <w:p>
          <w:pPr>
            <w:pStyle w:val="TOC2"/>
            <w:tabs>
              <w:tab w:val="clear" w:pos="9077"/>
              <w:tab w:val="right" w:pos="9359" w:leader="dot"/>
            </w:tabs>
            <w:rPr/>
          </w:pPr>
          <w:hyperlink w:anchor="__RefHeading___Toc14954_888288119">
            <w:r>
              <w:rPr>
                <w:webHidden/>
                <w:rStyle w:val="IndexLink"/>
              </w:rPr>
              <w:t>20.1 Onyx-rig fabric</w:t>
              <w:tab/>
              <w:t>73</w:t>
            </w:r>
          </w:hyperlink>
        </w:p>
        <w:p>
          <w:pPr>
            <w:pStyle w:val="TOC2"/>
            <w:tabs>
              <w:tab w:val="clear" w:pos="9077"/>
              <w:tab w:val="right" w:pos="9359" w:leader="dot"/>
            </w:tabs>
            <w:rPr/>
          </w:pPr>
          <w:hyperlink w:anchor="__RefHeading___Toc14956_888288119">
            <w:r>
              <w:rPr>
                <w:webHidden/>
                <w:rStyle w:val="IndexLink"/>
              </w:rPr>
              <w:t>20.2 amber_ace_issue</w:t>
              <w:tab/>
              <w:t>73</w:t>
            </w:r>
          </w:hyperlink>
        </w:p>
        <w:p>
          <w:pPr>
            <w:pStyle w:val="TOC2"/>
            <w:tabs>
              <w:tab w:val="clear" w:pos="9077"/>
              <w:tab w:val="right" w:pos="9359" w:leader="dot"/>
            </w:tabs>
            <w:rPr/>
          </w:pPr>
          <w:hyperlink w:anchor="__RefHeading___Toc14958_888288119">
            <w:r>
              <w:rPr>
                <w:webHidden/>
                <w:rStyle w:val="IndexLink"/>
              </w:rPr>
              <w:t>20.3 Real ACE master read port (axi4ace_master_rd)</w:t>
              <w:tab/>
              <w:t>73</w:t>
            </w:r>
          </w:hyperlink>
        </w:p>
        <w:p>
          <w:pPr>
            <w:pStyle w:val="TOC2"/>
            <w:tabs>
              <w:tab w:val="clear" w:pos="9077"/>
              <w:tab w:val="right" w:pos="9359" w:leader="dot"/>
            </w:tabs>
            <w:rPr/>
          </w:pPr>
          <w:hyperlink w:anchor="__RefHeading___Toc14960_888288119">
            <w:r>
              <w:rPr>
                <w:webHidden/>
                <w:rStyle w:val="IndexLink"/>
              </w:rPr>
              <w:t>20.4 Real ACE master write port (axi4ace_master_wr)</w:t>
              <w:tab/>
              <w:t>75</w:t>
            </w:r>
          </w:hyperlink>
        </w:p>
        <w:p>
          <w:pPr>
            <w:pStyle w:val="TOC1"/>
            <w:tabs>
              <w:tab w:val="clear" w:pos="9360"/>
              <w:tab w:val="right" w:pos="9359" w:leader="dot"/>
            </w:tabs>
            <w:rPr/>
          </w:pPr>
          <w:hyperlink w:anchor="__RefHeading___Toc14962_888288119">
            <w:r>
              <w:rPr>
                <w:webHidden/>
                <w:rStyle w:val="IndexLink"/>
              </w:rPr>
              <w:t>21 Snoop Port: AC/CD/CR Adapter</w:t>
              <w:tab/>
              <w:t>77</w:t>
            </w:r>
          </w:hyperlink>
        </w:p>
        <w:p>
          <w:pPr>
            <w:pStyle w:val="TOC2"/>
            <w:tabs>
              <w:tab w:val="clear" w:pos="9077"/>
              <w:tab w:val="right" w:pos="9359" w:leader="dot"/>
            </w:tabs>
            <w:rPr/>
          </w:pPr>
          <w:hyperlink w:anchor="__RefHeading___Toc14964_888288119">
            <w:r>
              <w:rPr>
                <w:webHidden/>
                <w:rStyle w:val="IndexLink"/>
              </w:rPr>
              <w:t>21.1 Adapter purpose</w:t>
              <w:tab/>
              <w:t>77</w:t>
            </w:r>
          </w:hyperlink>
        </w:p>
        <w:p>
          <w:pPr>
            <w:pStyle w:val="TOC2"/>
            <w:tabs>
              <w:tab w:val="clear" w:pos="9077"/>
              <w:tab w:val="right" w:pos="9359" w:leader="dot"/>
            </w:tabs>
            <w:rPr/>
          </w:pPr>
          <w:hyperlink w:anchor="__RefHeading___Toc14966_888288119">
            <w:r>
              <w:rPr>
                <w:webHidden/>
                <w:rStyle w:val="IndexLink"/>
              </w:rPr>
              <w:t>21.2 Real snoop-slave port (axi4ace_snoop_slave)</w:t>
              <w:tab/>
              <w:t>77</w:t>
            </w:r>
          </w:hyperlink>
        </w:p>
        <w:p>
          <w:pPr>
            <w:pStyle w:val="TOC2"/>
            <w:tabs>
              <w:tab w:val="clear" w:pos="9077"/>
              <w:tab w:val="right" w:pos="9359" w:leader="dot"/>
            </w:tabs>
            <w:rPr/>
          </w:pPr>
          <w:hyperlink w:anchor="__RefHeading___Toc14968_888288119">
            <w:r>
              <w:rPr>
                <w:webHidden/>
                <w:rStyle w:val="IndexLink"/>
              </w:rPr>
              <w:t>21.3 Ordering and the family convention</w:t>
              <w:tab/>
              <w:t>78</w:t>
            </w:r>
          </w:hyperlink>
        </w:p>
        <w:p>
          <w:pPr>
            <w:pStyle w:val="TOC2"/>
            <w:tabs>
              <w:tab w:val="clear" w:pos="9077"/>
              <w:tab w:val="right" w:pos="9359" w:leader="dot"/>
            </w:tabs>
            <w:rPr/>
          </w:pPr>
          <w:hyperlink w:anchor="__RefHeading___Toc14970_888288119">
            <w:r>
              <w:rPr>
                <w:webHidden/>
                <w:rStyle w:val="IndexLink"/>
              </w:rPr>
              <w:t>21.4 Bus-agnostic core boundary</w:t>
              <w:tab/>
              <w:t>79</w:t>
            </w:r>
          </w:hyperlink>
        </w:p>
        <w:p>
          <w:pPr>
            <w:pStyle w:val="TOC1"/>
            <w:tabs>
              <w:tab w:val="clear" w:pos="9360"/>
              <w:tab w:val="right" w:pos="9359" w:leader="dot"/>
            </w:tabs>
            <w:rPr/>
          </w:pPr>
          <w:hyperlink w:anchor="__RefHeading___Toc14972_888288119">
            <w:r>
              <w:rPr>
                <w:webHidden/>
                <w:rStyle w:val="IndexLink"/>
              </w:rPr>
              <w:t>22 Observation: MonBus through amber_monlite</w:t>
              <w:tab/>
              <w:t>80</w:t>
            </w:r>
          </w:hyperlink>
        </w:p>
        <w:p>
          <w:pPr>
            <w:pStyle w:val="TOC2"/>
            <w:tabs>
              <w:tab w:val="clear" w:pos="9077"/>
              <w:tab w:val="right" w:pos="9359" w:leader="dot"/>
            </w:tabs>
            <w:rPr/>
          </w:pPr>
          <w:hyperlink w:anchor="__RefHeading___Toc14974_888288119">
            <w:r>
              <w:rPr>
                <w:webHidden/>
                <w:rStyle w:val="IndexLink"/>
              </w:rPr>
              <w:t>22.1 Observation decision</w:t>
              <w:tab/>
              <w:t>80</w:t>
            </w:r>
          </w:hyperlink>
        </w:p>
        <w:p>
          <w:pPr>
            <w:pStyle w:val="TOC2"/>
            <w:tabs>
              <w:tab w:val="clear" w:pos="9077"/>
              <w:tab w:val="right" w:pos="9359" w:leader="dot"/>
            </w:tabs>
            <w:rPr/>
          </w:pPr>
          <w:hyperlink w:anchor="__RefHeading___Toc14976_888288119">
            <w:r>
              <w:rPr>
                <w:webHidden/>
                <w:rStyle w:val="IndexLink"/>
              </w:rPr>
              <w:t>22.2 MonBus packet content</w:t>
              <w:tab/>
              <w:t>80</w:t>
            </w:r>
          </w:hyperlink>
        </w:p>
        <w:p>
          <w:pPr>
            <w:pStyle w:val="TOC2"/>
            <w:tabs>
              <w:tab w:val="clear" w:pos="9077"/>
              <w:tab w:val="right" w:pos="9359" w:leader="dot"/>
            </w:tabs>
            <w:rPr/>
          </w:pPr>
          <w:hyperlink w:anchor="__RefHeading___Toc14978_888288119">
            <w:r>
              <w:rPr>
                <w:webHidden/>
                <w:rStyle w:val="IndexLink"/>
              </w:rPr>
              <w:t>22.3 Observer cost</w:t>
              <w:tab/>
              <w:t>80</w:t>
            </w:r>
          </w:hyperlink>
        </w:p>
        <w:p>
          <w:pPr>
            <w:pStyle w:val="TOC1"/>
            <w:tabs>
              <w:tab w:val="clear" w:pos="9360"/>
              <w:tab w:val="right" w:pos="9359" w:leader="dot"/>
            </w:tabs>
            <w:rPr/>
          </w:pPr>
          <w:hyperlink w:anchor="__RefHeading___Toc14980_888288119">
            <w:r>
              <w:rPr>
                <w:webHidden/>
                <w:rStyle w:val="IndexLink"/>
              </w:rPr>
              <w:t>23 amber_pkg and Build-Time Geometry</w:t>
              <w:tab/>
              <w:t>82</w:t>
            </w:r>
          </w:hyperlink>
        </w:p>
        <w:p>
          <w:pPr>
            <w:pStyle w:val="TOC2"/>
            <w:tabs>
              <w:tab w:val="clear" w:pos="9077"/>
              <w:tab w:val="right" w:pos="9359" w:leader="dot"/>
            </w:tabs>
            <w:rPr/>
          </w:pPr>
          <w:hyperlink w:anchor="__RefHeading___Toc14982_888288119">
            <w:r>
              <w:rPr>
                <w:webHidden/>
                <w:rStyle w:val="IndexLink"/>
              </w:rPr>
              <w:t>23.1 Parameter philosophy</w:t>
              <w:tab/>
              <w:t>82</w:t>
            </w:r>
          </w:hyperlink>
        </w:p>
        <w:p>
          <w:pPr>
            <w:pStyle w:val="TOC2"/>
            <w:tabs>
              <w:tab w:val="clear" w:pos="9077"/>
              <w:tab w:val="right" w:pos="9359" w:leader="dot"/>
            </w:tabs>
            <w:rPr/>
          </w:pPr>
          <w:hyperlink w:anchor="__RefHeading___Toc14984_888288119">
            <w:r>
              <w:rPr>
                <w:webHidden/>
                <w:rStyle w:val="IndexLink"/>
              </w:rPr>
              <w:t>23.2 Core parameters</w:t>
              <w:tab/>
              <w:t>82</w:t>
            </w:r>
          </w:hyperlink>
        </w:p>
        <w:p>
          <w:pPr>
            <w:pStyle w:val="TOC2"/>
            <w:tabs>
              <w:tab w:val="clear" w:pos="9077"/>
              <w:tab w:val="right" w:pos="9359" w:leader="dot"/>
            </w:tabs>
            <w:rPr/>
          </w:pPr>
          <w:hyperlink w:anchor="__RefHeading___Toc14986_888288119">
            <w:r>
              <w:rPr>
                <w:webHidden/>
                <w:rStyle w:val="IndexLink"/>
              </w:rPr>
              <w:t>23.3 Derived quantities</w:t>
              <w:tab/>
              <w:t>82</w:t>
            </w:r>
          </w:hyperlink>
        </w:p>
        <w:p>
          <w:pPr>
            <w:pStyle w:val="TOC2"/>
            <w:tabs>
              <w:tab w:val="clear" w:pos="9077"/>
              <w:tab w:val="right" w:pos="9359" w:leader="dot"/>
            </w:tabs>
            <w:rPr/>
          </w:pPr>
          <w:hyperlink w:anchor="__RefHeading___Toc14988_888288119">
            <w:r>
              <w:rPr>
                <w:webHidden/>
                <w:rStyle w:val="IndexLink"/>
              </w:rPr>
              <w:t>23.4 Package contents</w:t>
              <w:tab/>
              <w:t>83</w:t>
            </w:r>
          </w:hyperlink>
        </w:p>
        <w:p>
          <w:pPr>
            <w:pStyle w:val="TOC2"/>
            <w:tabs>
              <w:tab w:val="clear" w:pos="9077"/>
              <w:tab w:val="right" w:pos="9359" w:leader="dot"/>
            </w:tabs>
            <w:rPr/>
          </w:pPr>
          <w:hyperlink w:anchor="__RefHeading___Toc14990_888288119">
            <w:r>
              <w:rPr>
                <w:webHidden/>
                <w:rStyle w:val="IndexLink"/>
              </w:rPr>
              <w:t>23.5 Rig is not a parameter</w:t>
              <w:tab/>
              <w:t>83</w:t>
            </w:r>
          </w:hyperlink>
        </w:p>
        <w:p>
          <w:pPr>
            <w:pStyle w:val="TOC1"/>
            <w:tabs>
              <w:tab w:val="clear" w:pos="9360"/>
              <w:tab w:val="right" w:pos="9359" w:leader="dot"/>
            </w:tabs>
            <w:rPr/>
          </w:pPr>
          <w:hyperlink w:anchor="__RefHeading___Toc14992_888288119">
            <w:r>
              <w:rPr>
                <w:webHidden/>
                <w:rStyle w:val="IndexLink"/>
              </w:rPr>
              <w:t>24 Clocking and Reset</w:t>
              <w:tab/>
              <w:t>84</w:t>
            </w:r>
          </w:hyperlink>
        </w:p>
        <w:p>
          <w:pPr>
            <w:pStyle w:val="TOC2"/>
            <w:tabs>
              <w:tab w:val="clear" w:pos="9077"/>
              <w:tab w:val="right" w:pos="9359" w:leader="dot"/>
            </w:tabs>
            <w:rPr/>
          </w:pPr>
          <w:hyperlink w:anchor="__RefHeading___Toc14994_888288119">
            <w:r>
              <w:rPr>
                <w:webHidden/>
                <w:rStyle w:val="IndexLink"/>
              </w:rPr>
              <w:t>24.1 Clock domain</w:t>
              <w:tab/>
              <w:t>84</w:t>
            </w:r>
          </w:hyperlink>
        </w:p>
        <w:p>
          <w:pPr>
            <w:pStyle w:val="TOC2"/>
            <w:tabs>
              <w:tab w:val="clear" w:pos="9077"/>
              <w:tab w:val="right" w:pos="9359" w:leader="dot"/>
            </w:tabs>
            <w:rPr/>
          </w:pPr>
          <w:hyperlink w:anchor="__RefHeading___Toc14996_888288119">
            <w:r>
              <w:rPr>
                <w:webHidden/>
                <w:rStyle w:val="IndexLink"/>
              </w:rPr>
              <w:t>24.2 Reset</w:t>
              <w:tab/>
              <w:t>84</w:t>
            </w:r>
          </w:hyperlink>
        </w:p>
        <w:p>
          <w:pPr>
            <w:pStyle w:val="TOC2"/>
            <w:tabs>
              <w:tab w:val="clear" w:pos="9077"/>
              <w:tab w:val="right" w:pos="9359" w:leader="dot"/>
            </w:tabs>
            <w:rPr/>
          </w:pPr>
          <w:hyperlink w:anchor="__RefHeading___Toc14998_888288119">
            <w:r>
              <w:rPr>
                <w:webHidden/>
                <w:rStyle w:val="IndexLink"/>
              </w:rPr>
              <w:t>24.3 Reset sequence</w:t>
              <w:tab/>
              <w:t>84</w:t>
            </w:r>
          </w:hyperlink>
        </w:p>
        <w:p>
          <w:pPr>
            <w:pStyle w:val="TOC2"/>
            <w:tabs>
              <w:tab w:val="clear" w:pos="9077"/>
              <w:tab w:val="right" w:pos="9359" w:leader="dot"/>
            </w:tabs>
            <w:rPr/>
          </w:pPr>
          <w:hyperlink w:anchor="__RefHeading___Toc15000_888288119">
            <w:r>
              <w:rPr>
                <w:webHidden/>
                <w:rStyle w:val="IndexLink"/>
              </w:rPr>
              <w:t>24.4 Clock gating</w:t>
              <w:tab/>
              <w:t>84</w:t>
            </w:r>
          </w:hyperlink>
        </w:p>
        <w:p>
          <w:pPr>
            <w:pStyle w:val="TOC1"/>
            <w:tabs>
              <w:tab w:val="clear" w:pos="9360"/>
              <w:tab w:val="right" w:pos="9359" w:leader="dot"/>
            </w:tabs>
            <w:rPr/>
          </w:pPr>
          <w:hyperlink w:anchor="__RefHeading___Toc15002_888288119">
            <w:r>
              <w:rPr>
                <w:webHidden/>
                <w:rStyle w:val="IndexLink"/>
              </w:rPr>
              <w:t>25 Verification Strategy</w:t>
              <w:tab/>
              <w:t>85</w:t>
            </w:r>
          </w:hyperlink>
        </w:p>
        <w:p>
          <w:pPr>
            <w:pStyle w:val="TOC2"/>
            <w:tabs>
              <w:tab w:val="clear" w:pos="9077"/>
              <w:tab w:val="right" w:pos="9359" w:leader="dot"/>
            </w:tabs>
            <w:rPr/>
          </w:pPr>
          <w:hyperlink w:anchor="__RefHeading___Toc15004_888288119">
            <w:r>
              <w:rPr>
                <w:webHidden/>
                <w:rStyle w:val="IndexLink"/>
              </w:rPr>
              <w:t>25.1 Pattern-B cocotb grids</w:t>
              <w:tab/>
              <w:t>85</w:t>
            </w:r>
          </w:hyperlink>
        </w:p>
        <w:p>
          <w:pPr>
            <w:pStyle w:val="TOC2"/>
            <w:tabs>
              <w:tab w:val="clear" w:pos="9077"/>
              <w:tab w:val="right" w:pos="9359" w:leader="dot"/>
            </w:tabs>
            <w:rPr/>
          </w:pPr>
          <w:hyperlink w:anchor="__RefHeading___Toc15006_888288119">
            <w:r>
              <w:rPr>
                <w:webHidden/>
                <w:rStyle w:val="IndexLink"/>
              </w:rPr>
              <w:t>25.2 Golden-model parity</w:t>
              <w:tab/>
              <w:t>85</w:t>
            </w:r>
          </w:hyperlink>
        </w:p>
        <w:p>
          <w:pPr>
            <w:pStyle w:val="TOC2"/>
            <w:tabs>
              <w:tab w:val="clear" w:pos="9077"/>
              <w:tab w:val="right" w:pos="9359" w:leader="dot"/>
            </w:tabs>
            <w:rPr/>
          </w:pPr>
          <w:hyperlink w:anchor="__RefHeading___Toc15008_888288119">
            <w:r>
              <w:rPr>
                <w:webHidden/>
                <w:rStyle w:val="IndexLink"/>
              </w:rPr>
              <w:t>25.3 Formal targets</w:t>
              <w:tab/>
              <w:t>85</w:t>
            </w:r>
          </w:hyperlink>
        </w:p>
        <w:p>
          <w:pPr>
            <w:pStyle w:val="TOC2"/>
            <w:tabs>
              <w:tab w:val="clear" w:pos="9077"/>
              <w:tab w:val="right" w:pos="9359" w:leader="dot"/>
            </w:tabs>
            <w:rPr/>
          </w:pPr>
          <w:hyperlink w:anchor="__RefHeading___Toc15010_888288119">
            <w:r>
              <w:rPr>
                <w:webHidden/>
                <w:rStyle w:val="IndexLink"/>
              </w:rPr>
              <w:t>25.4 Python reference model</w:t>
              <w:tab/>
              <w:t>85</w:t>
            </w:r>
          </w:hyperlink>
        </w:p>
        <w:p>
          <w:pPr>
            <w:pStyle w:val="TOC2"/>
            <w:tabs>
              <w:tab w:val="clear" w:pos="9077"/>
              <w:tab w:val="right" w:pos="9359" w:leader="dot"/>
            </w:tabs>
            <w:rPr/>
          </w:pPr>
          <w:hyperlink w:anchor="__RefHeading___Toc15012_888288119">
            <w:r>
              <w:rPr>
                <w:webHidden/>
                <w:rStyle w:val="IndexLink"/>
              </w:rPr>
              <w:t>25.5 MonBus coverage</w:t>
              <w:tab/>
              <w:t>85</w:t>
            </w:r>
          </w:hyperlink>
        </w:p>
        <w:p>
          <w:pPr>
            <w:pStyle w:val="TOC1"/>
            <w:tabs>
              <w:tab w:val="clear" w:pos="9360"/>
              <w:tab w:val="right" w:pos="9359" w:leader="dot"/>
            </w:tabs>
            <w:rPr/>
          </w:pPr>
          <w:hyperlink w:anchor="__RefHeading___Toc15014_888288119">
            <w:r>
              <w:rPr>
                <w:webHidden/>
                <w:rStyle w:val="IndexLink"/>
              </w:rPr>
              <w:t>26 Characterization</w:t>
              <w:tab/>
              <w:t>87</w:t>
            </w:r>
          </w:hyperlink>
        </w:p>
        <w:p>
          <w:pPr>
            <w:pStyle w:val="TOC2"/>
            <w:tabs>
              <w:tab w:val="clear" w:pos="9077"/>
              <w:tab w:val="right" w:pos="9359" w:leader="dot"/>
            </w:tabs>
            <w:rPr/>
          </w:pPr>
          <w:hyperlink w:anchor="__RefHeading___Toc15016_888288119">
            <w:r>
              <w:rPr>
                <w:webHidden/>
                <w:rStyle w:val="IndexLink"/>
              </w:rPr>
              <w:t>26.1 Board targets</w:t>
              <w:tab/>
              <w:t>87</w:t>
            </w:r>
          </w:hyperlink>
        </w:p>
        <w:p>
          <w:pPr>
            <w:pStyle w:val="TOC2"/>
            <w:tabs>
              <w:tab w:val="clear" w:pos="9077"/>
              <w:tab w:val="right" w:pos="9359" w:leader="dot"/>
            </w:tabs>
            <w:rPr/>
          </w:pPr>
          <w:hyperlink w:anchor="__RefHeading___Toc15018_888288119">
            <w:r>
              <w:rPr>
                <w:webHidden/>
                <w:rStyle w:val="IndexLink"/>
              </w:rPr>
              <w:t>26.2 Sweep dimensions</w:t>
              <w:tab/>
              <w:t>87</w:t>
            </w:r>
          </w:hyperlink>
        </w:p>
        <w:p>
          <w:pPr>
            <w:pStyle w:val="TOC2"/>
            <w:tabs>
              <w:tab w:val="clear" w:pos="9077"/>
              <w:tab w:val="right" w:pos="9359" w:leader="dot"/>
            </w:tabs>
            <w:rPr/>
          </w:pPr>
          <w:hyperlink w:anchor="__RefHeading___Toc15020_888288119">
            <w:r>
              <w:rPr>
                <w:webHidden/>
                <w:rStyle w:val="IndexLink"/>
              </w:rPr>
              <w:t>26.3 Reported metrics</w:t>
              <w:tab/>
              <w:t>87</w:t>
            </w:r>
          </w:hyperlink>
        </w:p>
        <w:p>
          <w:pPr>
            <w:pStyle w:val="TOC2"/>
            <w:tabs>
              <w:tab w:val="clear" w:pos="9077"/>
              <w:tab w:val="right" w:pos="9359" w:leader="dot"/>
            </w:tabs>
            <w:rPr/>
          </w:pPr>
          <w:hyperlink w:anchor="__RefHeading___Toc15022_888288119">
            <w:r>
              <w:rPr>
                <w:webHidden/>
                <w:rStyle w:val="IndexLink"/>
              </w:rPr>
              <w:t>26.4 Critical-path expectation</w:t>
              <w:tab/>
              <w:t>87</w:t>
            </w:r>
          </w:hyperlink>
        </w:p>
        <w:p>
          <w:pPr>
            <w:pStyle w:val="TOC1"/>
            <w:tabs>
              <w:tab w:val="clear" w:pos="9360"/>
              <w:tab w:val="right" w:pos="9359" w:leader="dot"/>
            </w:tabs>
            <w:rPr/>
          </w:pPr>
          <w:hyperlink w:anchor="__RefHeading___Toc15024_888288119">
            <w:r>
              <w:rPr>
                <w:webHidden/>
                <w:rStyle w:val="IndexLink"/>
              </w:rPr>
              <w:t>27 Future Hooks</w:t>
              <w:tab/>
              <w:t>89</w:t>
            </w:r>
          </w:hyperlink>
        </w:p>
        <w:p>
          <w:pPr>
            <w:pStyle w:val="TOC2"/>
            <w:tabs>
              <w:tab w:val="clear" w:pos="9077"/>
              <w:tab w:val="right" w:pos="9359" w:leader="dot"/>
            </w:tabs>
            <w:rPr/>
          </w:pPr>
          <w:hyperlink w:anchor="__RefHeading___Toc15026_888288119">
            <w:r>
              <w:rPr>
                <w:webHidden/>
                <w:rStyle w:val="IndexLink"/>
              </w:rPr>
              <w:t>27.1 Recorded future work, not blockers</w:t>
              <w:tab/>
              <w:t>89</w:t>
            </w:r>
          </w:hyperlink>
        </w:p>
        <w:p>
          <w:pPr>
            <w:pStyle w:val="TOC2"/>
            <w:tabs>
              <w:tab w:val="clear" w:pos="9077"/>
              <w:tab w:val="right" w:pos="9359" w:leader="dot"/>
            </w:tabs>
            <w:rPr/>
          </w:pPr>
          <w:hyperlink w:anchor="__RefHeading___Toc15028_888288119">
            <w:r>
              <w:rPr>
                <w:webHidden/>
                <w:rStyle w:val="IndexLink"/>
              </w:rPr>
              <w:t>27.2 Closing D3 and D11</w:t>
              <w:tab/>
              <w:t>90</w:t>
            </w:r>
          </w:hyperlink>
        </w:p>
        <w:p>
          <w:pPr>
            <w:pStyle w:val="TOC1"/>
            <w:tabs>
              <w:tab w:val="clear" w:pos="9360"/>
              <w:tab w:val="right" w:pos="9359" w:leader="dot"/>
            </w:tabs>
            <w:rPr/>
          </w:pPr>
          <w:hyperlink w:anchor="__RefHeading___Toc15030_888288119">
            <w:r>
              <w:rPr>
                <w:webHidden/>
                <w:rStyle w:val="IndexLink"/>
              </w:rPr>
              <w:t>28 amber — Pre-Hardware Architecture Specification (Pre-HAS)</w:t>
              <w:tab/>
              <w:t>91</w:t>
            </w:r>
          </w:hyperlink>
        </w:p>
        <w:p>
          <w:pPr>
            <w:pStyle w:val="TOC2"/>
            <w:tabs>
              <w:tab w:val="clear" w:pos="9077"/>
              <w:tab w:val="right" w:pos="9359" w:leader="dot"/>
            </w:tabs>
            <w:rPr/>
          </w:pPr>
          <w:hyperlink w:anchor="__RefHeading___Toc15032_888288119">
            <w:r>
              <w:rPr>
                <w:webHidden/>
                <w:rStyle w:val="IndexLink"/>
              </w:rPr>
              <w:t>28.1 1. Intent of this document</w:t>
              <w:tab/>
              <w:t>91</w:t>
            </w:r>
          </w:hyperlink>
        </w:p>
        <w:p>
          <w:pPr>
            <w:pStyle w:val="TOC2"/>
            <w:tabs>
              <w:tab w:val="clear" w:pos="9077"/>
              <w:tab w:val="right" w:pos="9359" w:leader="dot"/>
            </w:tabs>
            <w:rPr/>
          </w:pPr>
          <w:hyperlink w:anchor="__RefHeading___Toc15034_888288119">
            <w:r>
              <w:rPr>
                <w:webHidden/>
                <w:rStyle w:val="IndexLink"/>
              </w:rPr>
              <w:t>28.2 2. Feature sketches</w:t>
              <w:tab/>
              <w:t>91</w:t>
            </w:r>
          </w:hyperlink>
        </w:p>
        <w:p>
          <w:pPr>
            <w:pStyle w:val="TOC3"/>
            <w:tabs>
              <w:tab w:val="clear" w:pos="8793"/>
              <w:tab w:val="right" w:pos="9359" w:leader="dot"/>
            </w:tabs>
            <w:rPr/>
          </w:pPr>
          <w:hyperlink w:anchor="__RefHeading___Toc15036_888288119">
            <w:r>
              <w:rPr>
                <w:webHidden/>
                <w:rStyle w:val="IndexLink"/>
              </w:rPr>
              <w:t>28.2.1 2.1 Core datapath — the blocking bet</w:t>
              <w:tab/>
              <w:t>91</w:t>
            </w:r>
          </w:hyperlink>
        </w:p>
        <w:p>
          <w:pPr>
            <w:pStyle w:val="TOC3"/>
            <w:tabs>
              <w:tab w:val="clear" w:pos="8793"/>
              <w:tab w:val="right" w:pos="9359" w:leader="dot"/>
            </w:tabs>
            <w:rPr/>
          </w:pPr>
          <w:hyperlink w:anchor="__RefHeading___Toc15038_888288119">
            <w:r>
              <w:rPr>
                <w:webHidden/>
                <w:rStyle w:val="IndexLink"/>
              </w:rPr>
              <w:t>28.2.2 2.2 Coherence</w:t>
              <w:tab/>
              <w:t>92</w:t>
            </w:r>
          </w:hyperlink>
        </w:p>
        <w:p>
          <w:pPr>
            <w:pStyle w:val="TOC3"/>
            <w:tabs>
              <w:tab w:val="clear" w:pos="8793"/>
              <w:tab w:val="right" w:pos="9359" w:leader="dot"/>
            </w:tabs>
            <w:rPr/>
          </w:pPr>
          <w:hyperlink w:anchor="__RefHeading___Toc15040_888288119">
            <w:r>
              <w:rPr>
                <w:webHidden/>
                <w:rStyle w:val="IndexLink"/>
              </w:rPr>
              <w:t>28.2.3 2.3 Fabric side — where the two deployment rigs meet</w:t>
              <w:tab/>
              <w:t>93</w:t>
            </w:r>
          </w:hyperlink>
        </w:p>
        <w:p>
          <w:pPr>
            <w:pStyle w:val="TOC3"/>
            <w:tabs>
              <w:tab w:val="clear" w:pos="8793"/>
              <w:tab w:val="right" w:pos="9359" w:leader="dot"/>
            </w:tabs>
            <w:rPr/>
          </w:pPr>
          <w:hyperlink w:anchor="__RefHeading___Toc15042_888288119">
            <w:r>
              <w:rPr>
                <w:webHidden/>
                <w:rStyle w:val="IndexLink"/>
              </w:rPr>
              <w:t>28.2.4 2.4 Observation (D8 DECIDED — sketched, not re-decided)</w:t>
              <w:tab/>
              <w:t>94</w:t>
            </w:r>
          </w:hyperlink>
        </w:p>
        <w:p>
          <w:pPr>
            <w:pStyle w:val="TOC3"/>
            <w:tabs>
              <w:tab w:val="clear" w:pos="8793"/>
              <w:tab w:val="right" w:pos="9359" w:leader="dot"/>
            </w:tabs>
            <w:rPr/>
          </w:pPr>
          <w:hyperlink w:anchor="__RefHeading___Toc15044_888288119">
            <w:r>
              <w:rPr>
                <w:webHidden/>
                <w:rStyle w:val="IndexLink"/>
              </w:rPr>
              <w:t>28.2.5 2.5 Verification &amp; formal surface (D9 OPEN — direction proposed)</w:t>
              <w:tab/>
              <w:t>94</w:t>
            </w:r>
          </w:hyperlink>
        </w:p>
        <w:p>
          <w:pPr>
            <w:pStyle w:val="TOC3"/>
            <w:tabs>
              <w:tab w:val="clear" w:pos="8793"/>
              <w:tab w:val="right" w:pos="9359" w:leader="dot"/>
            </w:tabs>
            <w:rPr/>
          </w:pPr>
          <w:hyperlink w:anchor="__RefHeading___Toc15046_888288119">
            <w:r>
              <w:rPr>
                <w:webHidden/>
                <w:rStyle w:val="IndexLink"/>
              </w:rPr>
              <w:t>28.2.6 2.6 Cost &amp; characterisation (PRD criterion 4)</w:t>
              <w:tab/>
              <w:t>94</w:t>
            </w:r>
          </w:hyperlink>
        </w:p>
        <w:p>
          <w:pPr>
            <w:pStyle w:val="TOC2"/>
            <w:tabs>
              <w:tab w:val="clear" w:pos="9077"/>
              <w:tab w:val="right" w:pos="9359" w:leader="dot"/>
            </w:tabs>
            <w:rPr/>
          </w:pPr>
          <w:hyperlink w:anchor="__RefHeading___Toc15048_888288119">
            <w:r>
              <w:rPr>
                <w:webHidden/>
                <w:rStyle w:val="IndexLink"/>
              </w:rPr>
              <w:t>28.3 3. Proposed block architecture</w:t>
              <w:tab/>
              <w:t>95</w:t>
            </w:r>
          </w:hyperlink>
        </w:p>
        <w:p>
          <w:pPr>
            <w:pStyle w:val="TOC2"/>
            <w:tabs>
              <w:tab w:val="clear" w:pos="9077"/>
              <w:tab w:val="right" w:pos="9359" w:leader="dot"/>
            </w:tabs>
            <w:rPr/>
          </w:pPr>
          <w:hyperlink w:anchor="__RefHeading___Toc15050_888288119">
            <w:r>
              <w:rPr>
                <w:webHidden/>
                <w:rStyle w:val="IndexLink"/>
              </w:rPr>
              <w:t>28.4 4. Interface sketches (shapes, not pinouts)</w:t>
              <w:tab/>
              <w:t>96</w:t>
            </w:r>
          </w:hyperlink>
        </w:p>
        <w:p>
          <w:pPr>
            <w:pStyle w:val="TOC2"/>
            <w:tabs>
              <w:tab w:val="clear" w:pos="9077"/>
              <w:tab w:val="right" w:pos="9359" w:leader="dot"/>
            </w:tabs>
            <w:rPr/>
          </w:pPr>
          <w:hyperlink w:anchor="__RefHeading___Toc15052_888288119">
            <w:r>
              <w:rPr>
                <w:webHidden/>
                <w:rStyle w:val="IndexLink"/>
              </w:rPr>
              <w:t>28.5 5. Parameter sketch (illustrative — feeds the DV matrix)</w:t>
              <w:tab/>
              <w:t>97</w:t>
            </w:r>
          </w:hyperlink>
        </w:p>
        <w:p>
          <w:pPr>
            <w:pStyle w:val="TOC2"/>
            <w:tabs>
              <w:tab w:val="clear" w:pos="9077"/>
              <w:tab w:val="right" w:pos="9359" w:leader="dot"/>
            </w:tabs>
            <w:rPr/>
          </w:pPr>
          <w:hyperlink w:anchor="__RefHeading___Toc15054_888288119">
            <w:r>
              <w:rPr>
                <w:webHidden/>
                <w:rStyle w:val="IndexLink"/>
              </w:rPr>
              <w:t>28.6 6. Open questions this sketch surfaces</w:t>
              <w:tab/>
              <w:t>98</w:t>
            </w:r>
          </w:hyperlink>
        </w:p>
        <w:p>
          <w:pPr>
            <w:pStyle w:val="TOC2"/>
            <w:tabs>
              <w:tab w:val="clear" w:pos="9077"/>
              <w:tab w:val="right" w:pos="9359" w:leader="dot"/>
            </w:tabs>
            <w:rPr/>
          </w:pPr>
          <w:hyperlink w:anchor="__RefHeading___Toc15056_888288119">
            <w:r>
              <w:rPr>
                <w:webHidden/>
                <w:rStyle w:val="IndexLink"/>
              </w:rPr>
              <w:t>28.7 7. What the full HAS will add</w:t>
              <w:tab/>
              <w:t>99</w:t>
            </w:r>
          </w:hyperlink>
        </w:p>
        <w:p>
          <w:pPr>
            <w:pStyle w:val="TOC2"/>
            <w:tabs>
              <w:tab w:val="clear" w:pos="9077"/>
              <w:tab w:val="right" w:pos="9359" w:leader="dot"/>
            </w:tabs>
            <w:rPr/>
          </w:pPr>
          <w:hyperlink w:anchor="__RefHeading___Toc15058_888288119">
            <w:r>
              <w:rPr>
                <w:webHidden/>
                <w:rStyle w:val="IndexLink"/>
              </w:rPr>
              <w:t>28.8 8. Cross-references</w:t>
              <w:tab/>
              <w:t>99</w:t>
            </w:r>
          </w:hyperlink>
        </w:p>
        <w:p>
          <w:pPr>
            <w:pStyle w:val="TOC1"/>
            <w:tabs>
              <w:tab w:val="clear" w:pos="9360"/>
              <w:tab w:val="right" w:pos="9359" w:leader="dot"/>
            </w:tabs>
            <w:rPr/>
          </w:pPr>
          <w:hyperlink w:anchor="__RefHeading___Toc15060_888288119">
            <w:r>
              <w:rPr>
                <w:webHidden/>
                <w:rStyle w:val="IndexLink"/>
              </w:rPr>
              <w:t>29 jet — Product Requirements (DRAFT)</w:t>
              <w:tab/>
              <w:t>101</w:t>
            </w:r>
          </w:hyperlink>
        </w:p>
        <w:p>
          <w:pPr>
            <w:pStyle w:val="TOC2"/>
            <w:tabs>
              <w:tab w:val="clear" w:pos="9077"/>
              <w:tab w:val="right" w:pos="9359" w:leader="dot"/>
            </w:tabs>
            <w:rPr/>
          </w:pPr>
          <w:hyperlink w:anchor="__RefHeading___Toc15062_888288119">
            <w:r>
              <w:rPr>
                <w:webHidden/>
                <w:rStyle w:val="IndexLink"/>
              </w:rPr>
              <w:t>29.1 1. Purpose</w:t>
              <w:tab/>
              <w:t>101</w:t>
            </w:r>
          </w:hyperlink>
        </w:p>
        <w:p>
          <w:pPr>
            <w:pStyle w:val="TOC2"/>
            <w:tabs>
              <w:tab w:val="clear" w:pos="9077"/>
              <w:tab w:val="right" w:pos="9359" w:leader="dot"/>
            </w:tabs>
            <w:rPr/>
          </w:pPr>
          <w:hyperlink w:anchor="__RefHeading___Toc15064_888288119">
            <w:r>
              <w:rPr>
                <w:webHidden/>
                <w:rStyle w:val="IndexLink"/>
              </w:rPr>
              <w:t>29.2 2. Decisions jet adds to amber’s</w:t>
              <w:tab/>
              <w:t>101</w:t>
            </w:r>
          </w:hyperlink>
        </w:p>
        <w:p>
          <w:pPr>
            <w:pStyle w:val="TOC2"/>
            <w:tabs>
              <w:tab w:val="clear" w:pos="9077"/>
              <w:tab w:val="right" w:pos="9359" w:leader="dot"/>
            </w:tabs>
            <w:rPr/>
          </w:pPr>
          <w:hyperlink w:anchor="__RefHeading___Toc15066_888288119">
            <w:r>
              <w:rPr>
                <w:webHidden/>
                <w:rStyle w:val="IndexLink"/>
              </w:rPr>
              <w:t>29.3 3. Success criteria (additions to amber’s)</w:t>
              <w:tab/>
              <w:t>103</w:t>
            </w:r>
          </w:hyperlink>
        </w:p>
        <w:p>
          <w:pPr>
            <w:pStyle w:val="TOC2"/>
            <w:tabs>
              <w:tab w:val="clear" w:pos="9077"/>
              <w:tab w:val="right" w:pos="9359" w:leader="dot"/>
            </w:tabs>
            <w:rPr/>
          </w:pPr>
          <w:hyperlink w:anchor="__RefHeading___Toc15068_888288119">
            <w:r>
              <w:rPr>
                <w:webHidden/>
                <w:rStyle w:val="IndexLink"/>
              </w:rPr>
              <w:t>29.4 4. Non-goals (for jet, beyond amber’s)</w:t>
              <w:tab/>
              <w:t>103</w:t>
            </w:r>
          </w:hyperlink>
        </w:p>
        <w:p>
          <w:pPr>
            <w:pStyle w:val="TOC1"/>
            <w:tabs>
              <w:tab w:val="clear" w:pos="9360"/>
              <w:tab w:val="right" w:pos="9359" w:leader="dot"/>
            </w:tabs>
            <w:rPr/>
          </w:pPr>
          <w:hyperlink w:anchor="__RefHeading___Toc15070_888288119">
            <w:r>
              <w:rPr>
                <w:webHidden/>
                <w:rStyle w:val="IndexLink"/>
              </w:rPr>
              <w:t>30 onyx — Product Requirements (DRAFT)</w:t>
              <w:tab/>
              <w:t>104</w:t>
            </w:r>
          </w:hyperlink>
        </w:p>
        <w:p>
          <w:pPr>
            <w:pStyle w:val="TOC2"/>
            <w:tabs>
              <w:tab w:val="clear" w:pos="9077"/>
              <w:tab w:val="right" w:pos="9359" w:leader="dot"/>
            </w:tabs>
            <w:rPr/>
          </w:pPr>
          <w:hyperlink w:anchor="__RefHeading___Toc15072_888288119">
            <w:r>
              <w:rPr>
                <w:webHidden/>
                <w:rStyle w:val="IndexLink"/>
              </w:rPr>
              <w:t>30.1 1. Purpose</w:t>
              <w:tab/>
              <w:t>104</w:t>
            </w:r>
          </w:hyperlink>
        </w:p>
        <w:p>
          <w:pPr>
            <w:pStyle w:val="TOC2"/>
            <w:tabs>
              <w:tab w:val="clear" w:pos="9077"/>
              <w:tab w:val="right" w:pos="9359" w:leader="dot"/>
            </w:tabs>
            <w:rPr/>
          </w:pPr>
          <w:hyperlink w:anchor="__RefHeading___Toc15074_888288119">
            <w:r>
              <w:rPr>
                <w:webHidden/>
                <w:rStyle w:val="IndexLink"/>
              </w:rPr>
              <w:t>30.2 2. Background</w:t>
              <w:tab/>
              <w:t>104</w:t>
            </w:r>
          </w:hyperlink>
        </w:p>
        <w:p>
          <w:pPr>
            <w:pStyle w:val="TOC2"/>
            <w:tabs>
              <w:tab w:val="clear" w:pos="9077"/>
              <w:tab w:val="right" w:pos="9359" w:leader="dot"/>
            </w:tabs>
            <w:rPr/>
          </w:pPr>
          <w:hyperlink w:anchor="__RefHeading___Toc15076_888288119">
            <w:r>
              <w:rPr>
                <w:webHidden/>
                <w:rStyle w:val="IndexLink"/>
              </w:rPr>
              <w:t>30.3 3. Decisions that pick the design</w:t>
              <w:tab/>
              <w:t>105</w:t>
            </w:r>
          </w:hyperlink>
        </w:p>
        <w:p>
          <w:pPr>
            <w:pStyle w:val="TOC2"/>
            <w:tabs>
              <w:tab w:val="clear" w:pos="9077"/>
              <w:tab w:val="right" w:pos="9359" w:leader="dot"/>
            </w:tabs>
            <w:rPr/>
          </w:pPr>
          <w:hyperlink w:anchor="__RefHeading___Toc15078_888288119">
            <w:r>
              <w:rPr>
                <w:webHidden/>
                <w:rStyle w:val="IndexLink"/>
              </w:rPr>
              <w:t>30.4 4. Success criteria</w:t>
              <w:tab/>
              <w:t>113</w:t>
            </w:r>
          </w:hyperlink>
        </w:p>
        <w:p>
          <w:pPr>
            <w:pStyle w:val="TOC2"/>
            <w:tabs>
              <w:tab w:val="clear" w:pos="9077"/>
              <w:tab w:val="right" w:pos="9359" w:leader="dot"/>
            </w:tabs>
            <w:rPr/>
          </w:pPr>
          <w:hyperlink w:anchor="__RefHeading___Toc15080_888288119">
            <w:r>
              <w:rPr>
                <w:webHidden/>
                <w:rStyle w:val="IndexLink"/>
              </w:rPr>
              <w:t>30.5 5. Non-goals</w:t>
              <w:tab/>
              <w:t>113</w:t>
            </w:r>
          </w:hyperlink>
        </w:p>
        <w:p>
          <w:pPr>
            <w:pStyle w:val="TOC2"/>
            <w:tabs>
              <w:tab w:val="clear" w:pos="9077"/>
              <w:tab w:val="right" w:pos="9359" w:leader="dot"/>
            </w:tabs>
            <w:rPr/>
          </w:pPr>
          <w:hyperlink w:anchor="__RefHeading___Toc15082_888288119">
            <w:r>
              <w:rPr>
                <w:webHidden/>
                <w:rStyle w:val="IndexLink"/>
              </w:rPr>
              <w:t>30.6 6. Where the block sits</w:t>
              <w:tab/>
              <w:t>113</w:t>
            </w:r>
          </w:hyperlink>
        </w:p>
        <w:p>
          <w:pPr>
            <w:pStyle w:val="TOC1"/>
            <w:tabs>
              <w:tab w:val="clear" w:pos="9360"/>
              <w:tab w:val="right" w:pos="9359" w:leader="dot"/>
            </w:tabs>
            <w:rPr/>
          </w:pPr>
          <w:hyperlink w:anchor="__RefHeading___Toc15084_888288119">
            <w:r>
              <w:rPr>
                <w:webHidden/>
                <w:rStyle w:val="IndexLink"/>
              </w:rPr>
              <w:t>31 AMBA ACE — Working Interface Definition for cache-ip</w:t>
              <w:tab/>
              <w:t>114</w:t>
            </w:r>
          </w:hyperlink>
        </w:p>
        <w:p>
          <w:pPr>
            <w:pStyle w:val="TOC2"/>
            <w:tabs>
              <w:tab w:val="clear" w:pos="9077"/>
              <w:tab w:val="right" w:pos="9359" w:leader="dot"/>
            </w:tabs>
            <w:rPr/>
          </w:pPr>
          <w:hyperlink w:anchor="__RefHeading___Toc15086_888288119">
            <w:r>
              <w:rPr>
                <w:webHidden/>
                <w:rStyle w:val="IndexLink"/>
              </w:rPr>
              <w:t>31.1 1. What ACE is</w:t>
              <w:tab/>
              <w:t>114</w:t>
            </w:r>
          </w:hyperlink>
        </w:p>
        <w:p>
          <w:pPr>
            <w:pStyle w:val="TOC2"/>
            <w:tabs>
              <w:tab w:val="clear" w:pos="9077"/>
              <w:tab w:val="right" w:pos="9359" w:leader="dot"/>
            </w:tabs>
            <w:rPr/>
          </w:pPr>
          <w:hyperlink w:anchor="__RefHeading___Toc15088_888288119">
            <w:r>
              <w:rPr>
                <w:webHidden/>
                <w:rStyle w:val="IndexLink"/>
              </w:rPr>
              <w:t>31.2 2. Channel inventory</w:t>
              <w:tab/>
              <w:t>114</w:t>
            </w:r>
          </w:hyperlink>
        </w:p>
        <w:p>
          <w:pPr>
            <w:pStyle w:val="TOC3"/>
            <w:tabs>
              <w:tab w:val="clear" w:pos="8793"/>
              <w:tab w:val="right" w:pos="9359" w:leader="dot"/>
            </w:tabs>
            <w:rPr/>
          </w:pPr>
          <w:hyperlink w:anchor="__RefHeading___Toc15090_888288119">
            <w:r>
              <w:rPr>
                <w:webHidden/>
                <w:rStyle w:val="IndexLink"/>
              </w:rPr>
              <w:t>31.2.1 2.1 Coherent master → manager (front side, per master)</w:t>
              <w:tab/>
              <w:t>114</w:t>
            </w:r>
          </w:hyperlink>
        </w:p>
        <w:p>
          <w:pPr>
            <w:pStyle w:val="TOC3"/>
            <w:tabs>
              <w:tab w:val="clear" w:pos="8793"/>
              <w:tab w:val="right" w:pos="9359" w:leader="dot"/>
            </w:tabs>
            <w:rPr/>
          </w:pPr>
          <w:hyperlink w:anchor="__RefHeading___Toc15092_888288119">
            <w:r>
              <w:rPr>
                <w:webHidden/>
                <w:rStyle w:val="IndexLink"/>
              </w:rPr>
              <w:t>31.2.2 2.2 Manager → cache, cache → manager (snoop side, per cache)</w:t>
              <w:tab/>
              <w:t>115</w:t>
            </w:r>
          </w:hyperlink>
        </w:p>
        <w:p>
          <w:pPr>
            <w:pStyle w:val="TOC2"/>
            <w:tabs>
              <w:tab w:val="clear" w:pos="9077"/>
              <w:tab w:val="right" w:pos="9359" w:leader="dot"/>
            </w:tabs>
            <w:rPr/>
          </w:pPr>
          <w:hyperlink w:anchor="__RefHeading___Toc15094_888288119">
            <w:r>
              <w:rPr>
                <w:webHidden/>
                <w:rStyle w:val="IndexLink"/>
              </w:rPr>
              <w:t>31.3 3. Transaction types (the onyx D2 research subset in bold)</w:t>
              <w:tab/>
              <w:t>116</w:t>
            </w:r>
          </w:hyperlink>
        </w:p>
        <w:p>
          <w:pPr>
            <w:pStyle w:val="TOC2"/>
            <w:tabs>
              <w:tab w:val="clear" w:pos="9077"/>
              <w:tab w:val="right" w:pos="9359" w:leader="dot"/>
            </w:tabs>
            <w:rPr/>
          </w:pPr>
          <w:hyperlink w:anchor="__RefHeading___Toc15096_888288119">
            <w:r>
              <w:rPr>
                <w:webHidden/>
                <w:rStyle w:val="IndexLink"/>
              </w:rPr>
              <w:t>31.4 4. The CRRESP decision bits</w:t>
              <w:tab/>
              <w:t>117</w:t>
            </w:r>
          </w:hyperlink>
        </w:p>
        <w:p>
          <w:pPr>
            <w:pStyle w:val="TOC2"/>
            <w:tabs>
              <w:tab w:val="clear" w:pos="9077"/>
              <w:tab w:val="right" w:pos="9359" w:leader="dot"/>
            </w:tabs>
            <w:rPr/>
          </w:pPr>
          <w:hyperlink w:anchor="__RefHeading___Toc15098_888288119">
            <w:r>
              <w:rPr>
                <w:webHidden/>
                <w:rStyle w:val="IndexLink"/>
              </w:rPr>
              <w:t>31.5 5. ACE-Lite</w:t>
              <w:tab/>
              <w:t>118</w:t>
            </w:r>
          </w:hyperlink>
        </w:p>
        <w:p>
          <w:pPr>
            <w:pStyle w:val="TOC2"/>
            <w:tabs>
              <w:tab w:val="clear" w:pos="9077"/>
              <w:tab w:val="right" w:pos="9359" w:leader="dot"/>
            </w:tabs>
            <w:rPr/>
          </w:pPr>
          <w:hyperlink w:anchor="__RefHeading___Toc15100_888288119">
            <w:r>
              <w:rPr>
                <w:webHidden/>
                <w:rStyle w:val="IndexLink"/>
              </w:rPr>
              <w:t>31.6 6. What this family implements, and what it deliberately does not</w:t>
              <w:tab/>
              <w:t>118</w:t>
            </w:r>
          </w:hyperlink>
        </w:p>
        <w:p>
          <w:pPr>
            <w:pStyle w:val="TOC2"/>
            <w:tabs>
              <w:tab w:val="clear" w:pos="9077"/>
              <w:tab w:val="right" w:pos="9359" w:leader="dot"/>
            </w:tabs>
            <w:rPr/>
          </w:pPr>
          <w:hyperlink w:anchor="__RefHeading___Toc15102_888288119">
            <w:r>
              <w:rPr>
                <w:webHidden/>
                <w:rStyle w:val="IndexLink"/>
              </w:rPr>
              <w:t>31.7 7. Sources</w:t>
              <w:tab/>
              <w:t>118</w:t>
            </w:r>
          </w:hyperlink>
        </w:p>
        <w:p>
          <w:pPr>
            <w:pStyle w:val="TOC1"/>
            <w:tabs>
              <w:tab w:val="clear" w:pos="9360"/>
              <w:tab w:val="right" w:pos="9359" w:leader="dot"/>
            </w:tabs>
            <w:rPr/>
          </w:pPr>
          <w:hyperlink w:anchor="__RefHeading___Toc15104_888288119">
            <w:r>
              <w:rPr>
                <w:webHidden/>
                <w:rStyle w:val="IndexLink"/>
              </w:rPr>
              <w:t>32 gem5 Ruby protocol specs (reference extract)</w:t>
              <w:tab/>
              <w:t>120</w:t>
            </w:r>
          </w:hyperlink>
        </w:p>
        <w:p>
          <w:pPr>
            <w:pStyle w:val="TOC1"/>
            <w:tabs>
              <w:tab w:val="clear" w:pos="9360"/>
              <w:tab w:val="right" w:pos="9359" w:leader="dot"/>
            </w:tabs>
            <w:rPr/>
          </w:pPr>
          <w:hyperlink w:anchor="__RefHeading___Toc15106_888288119">
            <w:r>
              <w:rPr>
                <w:webHidden/>
                <w:rStyle w:val="IndexLink"/>
              </w:rPr>
              <w:t>33 Cache Associativity Simulator</w:t>
              <w:tab/>
              <w:t>121</w:t>
            </w:r>
          </w:hyperlink>
        </w:p>
        <w:p>
          <w:pPr>
            <w:pStyle w:val="TOC2"/>
            <w:tabs>
              <w:tab w:val="clear" w:pos="9077"/>
              <w:tab w:val="right" w:pos="9359" w:leader="dot"/>
            </w:tabs>
            <w:rPr/>
          </w:pPr>
          <w:hyperlink w:anchor="__RefHeading___Toc15108_888288119">
            <w:r>
              <w:rPr>
                <w:webHidden/>
                <w:rStyle w:val="IndexLink"/>
              </w:rPr>
              <w:t>33.1 Files</w:t>
              <w:tab/>
              <w:t>121</w:t>
            </w:r>
          </w:hyperlink>
        </w:p>
        <w:p>
          <w:pPr>
            <w:pStyle w:val="TOC2"/>
            <w:tabs>
              <w:tab w:val="clear" w:pos="9077"/>
              <w:tab w:val="right" w:pos="9359" w:leader="dot"/>
            </w:tabs>
            <w:rPr/>
          </w:pPr>
          <w:hyperlink w:anchor="__RefHeading___Toc15110_888288119">
            <w:r>
              <w:rPr>
                <w:webHidden/>
                <w:rStyle w:val="IndexLink"/>
              </w:rPr>
              <w:t>33.2 Model API</w:t>
              <w:tab/>
              <w:t>121</w:t>
            </w:r>
          </w:hyperlink>
        </w:p>
        <w:p>
          <w:pPr>
            <w:pStyle w:val="TOC2"/>
            <w:tabs>
              <w:tab w:val="clear" w:pos="9077"/>
              <w:tab w:val="right" w:pos="9359" w:leader="dot"/>
            </w:tabs>
            <w:rPr/>
          </w:pPr>
          <w:hyperlink w:anchor="__RefHeading___Toc15112_888288119">
            <w:r>
              <w:rPr>
                <w:webHidden/>
                <w:rStyle w:val="IndexLink"/>
              </w:rPr>
              <w:t>33.3 Running tests</w:t>
              <w:tab/>
              <w:t>122</w:t>
            </w:r>
          </w:hyperlink>
        </w:p>
        <w:p>
          <w:pPr>
            <w:pStyle w:val="TOC2"/>
            <w:tabs>
              <w:tab w:val="clear" w:pos="9077"/>
              <w:tab w:val="right" w:pos="9359" w:leader="dot"/>
            </w:tabs>
            <w:rPr/>
          </w:pPr>
          <w:hyperlink w:anchor="__RefHeading___Toc15114_888288119">
            <w:r>
              <w:rPr>
                <w:webHidden/>
                <w:rStyle w:val="IndexLink"/>
              </w:rPr>
              <w:t>33.4 UI features</w:t>
              <w:tab/>
              <w:t>122</w:t>
            </w:r>
          </w:hyperlink>
          <w:r>
            <w:rPr>
              <w:rStyle w:val="IndexLink"/>
            </w:rPr>
            <w:fldChar w:fldCharType="end"/>
          </w:r>
        </w:p>
      </w:sdtContent>
    </w:sdt>
    <w:p>
      <w:pPr>
        <w:pStyle w:val="Normal"/>
        <w:rPr/>
      </w:pPr>
      <w:r>
        <w:rPr/>
      </w:r>
      <w:bookmarkStart w:id="0" w:name="amber-has-index"/>
      <w:bookmarkStart w:id="1" w:name="amber-h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4_Table_1_0__Definitio">
        <w:r>
          <w:rPr>
            <w:rStyle w:val="ListLabel1"/>
            <w:color w:val="000000"/>
            <w:sz w:val="24"/>
          </w:rPr>
          <w:t>Table 4: Table 1.0: Definitions and acronyms</w:t>
        </w:r>
        <w:r>
          <w:rPr>
            <w:rStyle w:val="ListLabel1"/>
          </w:rPr>
          <w:tab/>
        </w:r>
        <w:r>
          <w:rPr>
            <w:rStyle w:val="ListLabel1"/>
          </w:rPr>
          <w:fldChar w:fldCharType="begin"/>
        </w:r>
        <w:r>
          <w:rPr>
            <w:rStyle w:val="ListLabel1"/>
          </w:rPr>
          <w:instrText xml:space="preserve"> PAGEREF _Tab_4_Table_1_0__Definitio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5_Table_2_0__Key_featu">
        <w:r>
          <w:rPr>
            <w:rStyle w:val="ListLabel1"/>
            <w:color w:val="000000"/>
            <w:sz w:val="24"/>
          </w:rPr>
          <w:t>Table 5: Table 2.0: Key features and their decisions</w:t>
        </w:r>
        <w:r>
          <w:rPr>
            <w:rStyle w:val="ListLabel1"/>
          </w:rPr>
          <w:tab/>
        </w:r>
        <w:r>
          <w:rPr>
            <w:rStyle w:val="ListLabel1"/>
          </w:rPr>
          <w:fldChar w:fldCharType="begin"/>
        </w:r>
        <w:r>
          <w:rPr>
            <w:rStyle w:val="ListLabel1"/>
          </w:rPr>
          <w:instrText xml:space="preserve"> PAGEREF _Tab_5_Table_2_0__Key_featu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6_Table_2_1__Module_ro">
        <w:r>
          <w:rPr>
            <w:rStyle w:val="ListLabel1"/>
            <w:color w:val="000000"/>
            <w:sz w:val="24"/>
          </w:rPr>
          <w:t>Table 6: Table 2.1: Module roles</w:t>
        </w:r>
        <w:r>
          <w:rPr>
            <w:rStyle w:val="ListLabel1"/>
          </w:rPr>
          <w:tab/>
        </w:r>
        <w:r>
          <w:rPr>
            <w:rStyle w:val="ListLabel1"/>
          </w:rPr>
          <w:fldChar w:fldCharType="begin"/>
        </w:r>
        <w:r>
          <w:rPr>
            <w:rStyle w:val="ListLabel1"/>
          </w:rPr>
          <w:instrText xml:space="preserve"> PAGEREF _Tab_6_Table_2_1__Module_ro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7_Table_3_0__MESI_snoo">
        <w:r>
          <w:rPr>
            <w:rStyle w:val="ListLabel1"/>
            <w:color w:val="000000"/>
            <w:sz w:val="24"/>
          </w:rPr>
          <w:t>Table 7: Table 3.0: MESI snoop CRRESP matrix — DT=DataTransfer, PD=PassDirty, IS=IsShared, WU=WasUnique. Snoop encodings are the six IHI0022 AC types; CleanUnique and MakeUnique are transactions a master issues (the onyx D2 subset), not snoop encodings, so they do not appear here.</w:t>
        </w:r>
        <w:r>
          <w:rPr>
            <w:rStyle w:val="ListLabel1"/>
          </w:rPr>
          <w:tab/>
        </w:r>
        <w:r>
          <w:rPr>
            <w:rStyle w:val="ListLabel1"/>
          </w:rPr>
          <w:fldChar w:fldCharType="begin"/>
        </w:r>
        <w:r>
          <w:rPr>
            <w:rStyle w:val="ListLabel1"/>
          </w:rPr>
          <w:instrText xml:space="preserve"> PAGEREF _Tab_7_Table_3_0__MESI_snoo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8_Table_4_0__CPU_side_">
        <w:r>
          <w:rPr>
            <w:rStyle w:val="ListLabel1"/>
            <w:color w:val="000000"/>
            <w:sz w:val="24"/>
          </w:rPr>
          <w:t>Table 8: Table 4.0: CPU-side GAXI slave channels</w:t>
        </w:r>
        <w:r>
          <w:rPr>
            <w:rStyle w:val="ListLabel1"/>
          </w:rPr>
          <w:tab/>
        </w:r>
        <w:r>
          <w:rPr>
            <w:rStyle w:val="ListLabel1"/>
          </w:rPr>
          <w:fldChar w:fldCharType="begin"/>
        </w:r>
        <w:r>
          <w:rPr>
            <w:rStyle w:val="ListLabel1"/>
          </w:rPr>
          <w:instrText xml:space="preserve"> PAGEREF _Tab_8_Table_4_0__CPU_side_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9_Table_4_1__Plain_AXI">
        <w:r>
          <w:rPr>
            <w:rStyle w:val="ListLabel1"/>
            <w:color w:val="000000"/>
            <w:sz w:val="24"/>
          </w:rPr>
          <w:t>Table 9: Table 4.1: Plain AXI4 channels in the pair rig</w:t>
        </w:r>
        <w:r>
          <w:rPr>
            <w:rStyle w:val="ListLabel1"/>
          </w:rPr>
          <w:tab/>
        </w:r>
        <w:r>
          <w:rPr>
            <w:rStyle w:val="ListLabel1"/>
          </w:rPr>
          <w:fldChar w:fldCharType="begin"/>
        </w:r>
        <w:r>
          <w:rPr>
            <w:rStyle w:val="ListLabel1"/>
          </w:rPr>
          <w:instrText xml:space="preserve"> PAGEREF _Tab_9_Table_4_1__Plain_AXI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10_Table_4_2__Cache_eve">
        <w:r>
          <w:rPr>
            <w:rStyle w:val="ListLabel1"/>
            <w:color w:val="000000"/>
            <w:sz w:val="24"/>
          </w:rPr>
          <w:t>Table 10: Table 4.2: Cache events to ACE transactions</w:t>
        </w:r>
        <w:r>
          <w:rPr>
            <w:rStyle w:val="ListLabel1"/>
          </w:rPr>
          <w:tab/>
        </w:r>
        <w:r>
          <w:rPr>
            <w:rStyle w:val="ListLabel1"/>
          </w:rPr>
          <w:fldChar w:fldCharType="begin"/>
        </w:r>
        <w:r>
          <w:rPr>
            <w:rStyle w:val="ListLabel1"/>
          </w:rPr>
          <w:instrText xml:space="preserve"> PAGEREF _Tab_10_Table_4_2__Cache_eve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11_Table_4_3__axi4ace_m">
        <w:r>
          <w:rPr>
            <w:rStyle w:val="ListLabel1"/>
            <w:color w:val="000000"/>
            <w:sz w:val="24"/>
          </w:rPr>
          <w:t>Table 11: Table 4.3: axi4ace_master_rd pin contract</w:t>
        </w:r>
        <w:r>
          <w:rPr>
            <w:rStyle w:val="ListLabel1"/>
          </w:rPr>
          <w:tab/>
        </w:r>
        <w:r>
          <w:rPr>
            <w:rStyle w:val="ListLabel1"/>
          </w:rPr>
          <w:fldChar w:fldCharType="begin"/>
        </w:r>
        <w:r>
          <w:rPr>
            <w:rStyle w:val="ListLabel1"/>
          </w:rPr>
          <w:instrText xml:space="preserve"> PAGEREF _Tab_11_Table_4_3__axi4ace_m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12_Table_4_4__axi4ace_m">
        <w:r>
          <w:rPr>
            <w:rStyle w:val="ListLabel1"/>
            <w:color w:val="000000"/>
            <w:sz w:val="24"/>
          </w:rPr>
          <w:t>Table 12: Table 4.4: axi4ace_master_wr pin contract</w:t>
        </w:r>
        <w:r>
          <w:rPr>
            <w:rStyle w:val="ListLabel1"/>
          </w:rPr>
          <w:tab/>
        </w:r>
        <w:r>
          <w:rPr>
            <w:rStyle w:val="ListLabel1"/>
          </w:rPr>
          <w:fldChar w:fldCharType="begin"/>
        </w:r>
        <w:r>
          <w:rPr>
            <w:rStyle w:val="ListLabel1"/>
          </w:rPr>
          <w:instrText xml:space="preserve"> PAGEREF _Tab_12_Table_4_4__axi4ace_m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13_Table_4_5__axi4ace_s">
        <w:r>
          <w:rPr>
            <w:rStyle w:val="ListLabel1"/>
            <w:color w:val="000000"/>
            <w:sz w:val="24"/>
          </w:rPr>
          <w:t>Table 13: Table 4.5: axi4ace_snoop_slave pin contract</w:t>
        </w:r>
        <w:r>
          <w:rPr>
            <w:rStyle w:val="ListLabel1"/>
          </w:rPr>
          <w:tab/>
        </w:r>
        <w:r>
          <w:rPr>
            <w:rStyle w:val="ListLabel1"/>
          </w:rPr>
          <w:fldChar w:fldCharType="begin"/>
        </w:r>
        <w:r>
          <w:rPr>
            <w:rStyle w:val="ListLabel1"/>
          </w:rPr>
          <w:instrText xml:space="preserve"> PAGEREF _Tab_13_Table_4_5__axi4ace_s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14_Table_4_6__MonBus_ev">
        <w:r>
          <w:rPr>
            <w:rStyle w:val="ListLabel1"/>
            <w:color w:val="000000"/>
            <w:sz w:val="24"/>
          </w:rPr>
          <w:t>Table 14: Table 4.6: MonBus event classes</w:t>
        </w:r>
        <w:r>
          <w:rPr>
            <w:rStyle w:val="ListLabel1"/>
          </w:rPr>
          <w:tab/>
        </w:r>
        <w:r>
          <w:rPr>
            <w:rStyle w:val="ListLabel1"/>
          </w:rPr>
          <w:fldChar w:fldCharType="begin"/>
        </w:r>
        <w:r>
          <w:rPr>
            <w:rStyle w:val="ListLabel1"/>
          </w:rPr>
          <w:instrText xml:space="preserve"> PAGEREF _Tab_14_Table_4_6__MonBus_ev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15_Table_5_0__Core_elab">
        <w:r>
          <w:rPr>
            <w:rStyle w:val="ListLabel1"/>
            <w:color w:val="000000"/>
            <w:sz w:val="24"/>
          </w:rPr>
          <w:t>Table 15: Table 5.0: Core elaboration parameters</w:t>
        </w:r>
        <w:r>
          <w:rPr>
            <w:rStyle w:val="ListLabel1"/>
          </w:rPr>
          <w:tab/>
        </w:r>
        <w:r>
          <w:rPr>
            <w:rStyle w:val="ListLabel1"/>
          </w:rPr>
          <w:fldChar w:fldCharType="begin"/>
        </w:r>
        <w:r>
          <w:rPr>
            <w:rStyle w:val="ListLabel1"/>
          </w:rPr>
          <w:instrText xml:space="preserve"> PAGEREF _Tab_15_Table_5_0__Core_elab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16_Table_6_0__Character">
        <w:r>
          <w:rPr>
            <w:rStyle w:val="ListLabel1"/>
            <w:color w:val="000000"/>
            <w:sz w:val="24"/>
          </w:rPr>
          <w:t>Table 16: Table 6.0: Characterization sweep dimensions</w:t>
        </w:r>
        <w:r>
          <w:rPr>
            <w:rStyle w:val="ListLabel1"/>
          </w:rPr>
          <w:tab/>
        </w:r>
        <w:r>
          <w:rPr>
            <w:rStyle w:val="ListLabel1"/>
          </w:rPr>
          <w:fldChar w:fldCharType="begin"/>
        </w:r>
        <w:r>
          <w:rPr>
            <w:rStyle w:val="ListLabel1"/>
          </w:rPr>
          <w:instrText xml:space="preserve"> PAGEREF _Tab_16_Table_6_0__Character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17_Table_6_1__Future_ho">
        <w:r>
          <w:rPr>
            <w:rStyle w:val="ListLabel1"/>
            <w:color w:val="000000"/>
            <w:sz w:val="24"/>
          </w:rPr>
          <w:t>Table 17: Table 6.1: Future hooks</w:t>
        </w:r>
        <w:r>
          <w:rPr>
            <w:rStyle w:val="ListLabel1"/>
          </w:rPr>
          <w:tab/>
        </w:r>
        <w:r>
          <w:rPr>
            <w:rStyle w:val="ListLabel1"/>
          </w:rPr>
          <w:fldChar w:fldCharType="begin"/>
        </w:r>
        <w:r>
          <w:rPr>
            <w:rStyle w:val="ListLabel1"/>
          </w:rPr>
          <w:instrText xml:space="preserve"> PAGEREF _Tab_17_Table_6_1__Future_ho \h </w:instrText>
        </w:r>
        <w:r>
          <w:rPr>
            <w:rStyle w:val="ListLabel1"/>
          </w:rPr>
          <w:fldChar w:fldCharType="separate"/>
        </w:r>
        <w:r>
          <w:rPr>
            <w:rStyle w:val="ListLabel1"/>
          </w:rPr>
          <w:t>89</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4720_888288119"/>
      <w:bookmarkEnd w:id="2"/>
      <w:r>
        <w:rPr>
          <w:rStyle w:val="SectionNumber"/>
          <w:b/>
          <w:color w:val="FFFFFF"/>
          <w:sz w:val="32"/>
        </w:rPr>
        <w:t>1</w:t>
      </w:r>
      <w:r>
        <w:rPr>
          <w:b/>
          <w:color w:val="FFFFFF"/>
          <w:sz w:val="32"/>
        </w:rPr>
        <w:tab/>
        <w:t>Amber Has Index</w:t>
      </w:r>
    </w:p>
    <w:p>
      <w:pPr>
        <w:pStyle w:val="FirstParagraph"/>
        <w:rPr/>
      </w:pPr>
      <w:r>
        <w:rPr>
          <w:b/>
          <w:bCs/>
          <w:sz w:val="20"/>
        </w:rPr>
        <w:t>Generated: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mber-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4722_888288119"/>
      <w:bookmarkStart w:id="5" w:name="amber-mas-index"/>
      <w:bookmarkEnd w:id="4"/>
      <w:r>
        <w:rPr>
          <w:rStyle w:val="SectionNumber"/>
          <w:b/>
          <w:color w:val="FFFFFF"/>
          <w:sz w:val="32"/>
        </w:rPr>
        <w:t>2</w:t>
      </w:r>
      <w:r>
        <w:rPr>
          <w:b/>
          <w:color w:val="FFFFFF"/>
          <w:sz w:val="32"/>
        </w:rPr>
        <w:tab/>
        <w:t>amber MAS Index</w:t>
      </w:r>
    </w:p>
    <w:p>
      <w:pPr>
        <w:pStyle w:val="FirstParagraph"/>
        <w:rPr/>
      </w:pPr>
      <w:r>
        <w:rPr>
          <w:b/>
          <w:bCs/>
          <w:sz w:val="20"/>
        </w:rPr>
        <w:t>Version:</w:t>
      </w:r>
      <w:r>
        <w:rPr>
          <w:sz w:val="20"/>
        </w:rPr>
        <w:t xml:space="preserve"> 0.5 </w:t>
      </w:r>
      <w:r>
        <w:rPr>
          <w:b/>
          <w:bCs/>
          <w:sz w:val="20"/>
        </w:rPr>
        <w:t>Date:</w:t>
      </w:r>
      <w:r>
        <w:rPr>
          <w:sz w:val="20"/>
        </w:rPr>
        <w:t xml:space="preserve"> 2026-10-06 </w:t>
      </w:r>
      <w:r>
        <w:rPr>
          <w:b/>
          <w:bCs/>
          <w:sz w:val="20"/>
        </w:rPr>
        <w:t>Purpose:</w:t>
      </w:r>
      <w:r>
        <w:rPr>
          <w:sz w:val="20"/>
        </w:rPr>
        <w:t xml:space="preserve"> Micro-architecture specification for the amber blocking MESI snoopy L1 cache</w:t>
      </w:r>
    </w:p>
    <w:p>
      <w:pPr>
        <w:pStyle w:val="BodyText"/>
        <w:rPr/>
      </w:pPr>
      <w:r>
        <w:rPr>
          <w:b/>
          <w:bCs/>
          <w:sz w:val="20"/>
        </w:rPr>
        <w:t>Scope:</w:t>
      </w:r>
      <w:r>
        <w:rPr>
          <w:sz w:val="20"/>
        </w:rPr>
        <w:t xml:space="preserve"> Cycle-level behavior, per-module micro-architecture, and the pre-RTL signal-contract / kmap workbook for </w:t>
      </w:r>
      <w:r>
        <w:rPr>
          <w:rStyle w:val="VerbatimChar"/>
          <w:sz w:val="20"/>
        </w:rPr>
        <w:t>amber</w:t>
      </w:r>
      <w:r>
        <w:rPr>
          <w:sz w:val="20"/>
        </w:rPr>
        <w:t xml:space="preserve"> (pair-rig top) and </w:t>
      </w:r>
      <w:r>
        <w:rPr>
          <w:rStyle w:val="VerbatimChar"/>
          <w:sz w:val="20"/>
        </w:rPr>
        <w:t>amber_ace</w:t>
      </w:r>
      <w:r>
        <w:rPr>
          <w:sz w:val="20"/>
        </w:rPr>
        <w:t xml:space="preserve"> (onyx-rig top). The binding architecture lives in the </w:t>
      </w:r>
      <w:hyperlink r:id="rId3">
        <w:r>
          <w:rPr>
            <w:rStyle w:val="Hyperlink"/>
          </w:rPr>
          <w:t>amber HAS</w:t>
        </w:r>
      </w:hyperlink>
      <w:r>
        <w:rPr>
          <w:sz w:val="20"/>
        </w:rPr>
        <w:t>; this book closes the implementation decisions the HAS deferred.</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14724_888288119"/>
      <w:bookmarkStart w:id="7" w:name="document-organization"/>
      <w:bookmarkEnd w:id="6"/>
      <w:r>
        <w:rPr>
          <w:rStyle w:val="SectionNumber"/>
          <w:b/>
          <w:color w:val="228B22"/>
          <w:sz w:val="28"/>
        </w:rPr>
        <w:t>2.1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 w:name="__RefHeading___Toc14726_888288119"/>
      <w:bookmarkStart w:id="9" w:name="front-matter"/>
      <w:bookmarkEnd w:id="8"/>
      <w:r>
        <w:rPr>
          <w:rStyle w:val="SectionNumber"/>
          <w:b/>
          <w:color w:val="404040"/>
          <w:sz w:val="24"/>
        </w:rPr>
        <w:t>2.1.1</w:t>
      </w:r>
      <w:r>
        <w:rPr>
          <w:b/>
          <w:color w:val="404040"/>
          <w:sz w:val="24"/>
        </w:rPr>
        <w:tab/>
        <w:t>Front Matter</w:t>
      </w:r>
    </w:p>
    <w:p>
      <w:pPr>
        <w:pStyle w:val="Compact"/>
        <w:numPr>
          <w:ilvl w:val="0"/>
          <w:numId w:val="1"/>
        </w:numPr>
        <w:rPr/>
      </w:pPr>
      <w:hyperlink r:id="rId4">
        <w:bookmarkStart w:id="10" w:name="front-matter"/>
        <w:r>
          <w:rPr>
            <w:rStyle w:val="Hyperlink"/>
          </w:rPr>
          <w:t>Document Information</w:t>
        </w:r>
      </w:hyperlink>
      <w:bookmarkEnd w:id="10"/>
    </w:p>
    <w:p>
      <w:pPr>
        <w:pStyle w:val="Heading3"/>
        <w:spacing w:before="200" w:after="80"/>
        <w:rPr/>
      </w:pPr>
      <w:bookmarkStart w:id="11" w:name="__RefHeading___Toc14728_888288119"/>
      <w:bookmarkStart w:id="12" w:name="chapter-1-overview"/>
      <w:bookmarkEnd w:id="11"/>
      <w:r>
        <w:rPr>
          <w:rStyle w:val="SectionNumber"/>
          <w:b/>
          <w:color w:val="404040"/>
          <w:sz w:val="24"/>
        </w:rPr>
        <w:t>2.1.2</w:t>
      </w:r>
      <w:r>
        <w:rPr>
          <w:b/>
          <w:color w:val="404040"/>
          <w:sz w:val="24"/>
        </w:rPr>
        <w:tab/>
        <w:t>Chapter 1: Overview</w:t>
      </w:r>
    </w:p>
    <w:p>
      <w:pPr>
        <w:pStyle w:val="Compact"/>
        <w:numPr>
          <w:ilvl w:val="0"/>
          <w:numId w:val="54"/>
        </w:numPr>
        <w:rPr/>
      </w:pPr>
      <w:hyperlink r:id="rId5">
        <w:r>
          <w:rPr>
            <w:rStyle w:val="Hyperlink"/>
          </w:rPr>
          <w:t>Architecture and What the MAS Covers</w:t>
        </w:r>
      </w:hyperlink>
    </w:p>
    <w:p>
      <w:pPr>
        <w:pStyle w:val="Compact"/>
        <w:numPr>
          <w:ilvl w:val="0"/>
          <w:numId w:val="55"/>
        </w:numPr>
        <w:rPr/>
      </w:pPr>
      <w:hyperlink r:id="rId6">
        <w:r>
          <w:rPr>
            <w:rStyle w:val="Hyperlink"/>
          </w:rPr>
          <w:t>Top-Level Port List</w:t>
        </w:r>
      </w:hyperlink>
    </w:p>
    <w:p>
      <w:pPr>
        <w:pStyle w:val="Compact"/>
        <w:numPr>
          <w:ilvl w:val="0"/>
          <w:numId w:val="56"/>
        </w:numPr>
        <w:rPr/>
      </w:pPr>
      <w:hyperlink r:id="rId7">
        <w:bookmarkStart w:id="13" w:name="chapter-1-overview"/>
        <w:r>
          <w:rPr>
            <w:rStyle w:val="Hyperlink"/>
          </w:rPr>
          <w:t>Clocks and Reset</w:t>
        </w:r>
      </w:hyperlink>
      <w:bookmarkEnd w:id="13"/>
    </w:p>
    <w:p>
      <w:pPr>
        <w:pStyle w:val="Heading3"/>
        <w:spacing w:before="200" w:after="80"/>
        <w:rPr/>
      </w:pPr>
      <w:bookmarkStart w:id="14" w:name="__RefHeading___Toc14730_888288119"/>
      <w:bookmarkStart w:id="15" w:name="chapter-2-functional-blocks"/>
      <w:bookmarkEnd w:id="14"/>
      <w:r>
        <w:rPr>
          <w:rStyle w:val="SectionNumber"/>
          <w:b/>
          <w:color w:val="404040"/>
          <w:sz w:val="24"/>
        </w:rPr>
        <w:t>2.1.3</w:t>
      </w:r>
      <w:r>
        <w:rPr>
          <w:b/>
          <w:color w:val="404040"/>
          <w:sz w:val="24"/>
        </w:rPr>
        <w:tab/>
        <w:t>Chapter 2: Functional Blocks</w:t>
      </w:r>
    </w:p>
    <w:p>
      <w:pPr>
        <w:pStyle w:val="Compact"/>
        <w:numPr>
          <w:ilvl w:val="0"/>
          <w:numId w:val="57"/>
        </w:numPr>
        <w:rPr/>
      </w:pPr>
      <w:hyperlink r:id="rId8">
        <w:r>
          <w:rPr>
            <w:rStyle w:val="Hyperlink"/>
          </w:rPr>
          <w:t>amber_control: Blocking Pipeline FSM</w:t>
        </w:r>
      </w:hyperlink>
    </w:p>
    <w:p>
      <w:pPr>
        <w:pStyle w:val="Compact"/>
        <w:numPr>
          <w:ilvl w:val="0"/>
          <w:numId w:val="58"/>
        </w:numPr>
        <w:rPr/>
      </w:pPr>
      <w:hyperlink r:id="rId9">
        <w:r>
          <w:rPr>
            <w:rStyle w:val="Hyperlink"/>
          </w:rPr>
          <w:t>Pending-Fill Bypass Register</w:t>
        </w:r>
      </w:hyperlink>
    </w:p>
    <w:p>
      <w:pPr>
        <w:pStyle w:val="Compact"/>
        <w:numPr>
          <w:ilvl w:val="0"/>
          <w:numId w:val="59"/>
        </w:numPr>
        <w:rPr/>
      </w:pPr>
      <w:hyperlink r:id="rId10">
        <w:r>
          <w:rPr>
            <w:rStyle w:val="Hyperlink"/>
          </w:rPr>
          <w:t>amber_tag_array and amber_data_array</w:t>
        </w:r>
      </w:hyperlink>
    </w:p>
    <w:p>
      <w:pPr>
        <w:pStyle w:val="Compact"/>
        <w:numPr>
          <w:ilvl w:val="0"/>
          <w:numId w:val="60"/>
        </w:numPr>
        <w:rPr/>
      </w:pPr>
      <w:hyperlink r:id="rId11">
        <w:r>
          <w:rPr>
            <w:rStyle w:val="Hyperlink"/>
          </w:rPr>
          <w:t>amber_repl: Replacement Policy Engine</w:t>
        </w:r>
      </w:hyperlink>
    </w:p>
    <w:p>
      <w:pPr>
        <w:pStyle w:val="Compact"/>
        <w:numPr>
          <w:ilvl w:val="0"/>
          <w:numId w:val="61"/>
        </w:numPr>
        <w:rPr/>
      </w:pPr>
      <w:hyperlink r:id="rId12">
        <w:r>
          <w:rPr>
            <w:rStyle w:val="Hyperlink"/>
          </w:rPr>
          <w:t>amber_victim: Depth-1 Victim Buffer</w:t>
        </w:r>
      </w:hyperlink>
    </w:p>
    <w:p>
      <w:pPr>
        <w:pStyle w:val="Compact"/>
        <w:numPr>
          <w:ilvl w:val="0"/>
          <w:numId w:val="62"/>
        </w:numPr>
        <w:rPr/>
      </w:pPr>
      <w:hyperlink r:id="rId13">
        <w:r>
          <w:rPr>
            <w:rStyle w:val="Hyperlink"/>
          </w:rPr>
          <w:t>amber_fill and amber_drain</w:t>
        </w:r>
      </w:hyperlink>
    </w:p>
    <w:p>
      <w:pPr>
        <w:pStyle w:val="Compact"/>
        <w:numPr>
          <w:ilvl w:val="0"/>
          <w:numId w:val="63"/>
        </w:numPr>
        <w:rPr/>
      </w:pPr>
      <w:hyperlink r:id="rId14">
        <w:r>
          <w:rPr>
            <w:rStyle w:val="Hyperlink"/>
          </w:rPr>
          <w:t>amber_snoop_resp: Snoop Responder Adapter</w:t>
        </w:r>
      </w:hyperlink>
    </w:p>
    <w:p>
      <w:pPr>
        <w:pStyle w:val="Compact"/>
        <w:numPr>
          <w:ilvl w:val="0"/>
          <w:numId w:val="64"/>
        </w:numPr>
        <w:rPr/>
      </w:pPr>
      <w:hyperlink r:id="rId15">
        <w:r>
          <w:rPr>
            <w:rStyle w:val="Hyperlink"/>
          </w:rPr>
          <w:t>amber_ace_issue: Coherent Transaction Mapping</w:t>
        </w:r>
      </w:hyperlink>
    </w:p>
    <w:p>
      <w:pPr>
        <w:pStyle w:val="Compact"/>
        <w:numPr>
          <w:ilvl w:val="0"/>
          <w:numId w:val="65"/>
        </w:numPr>
        <w:rPr/>
      </w:pPr>
      <w:hyperlink r:id="rId16">
        <w:bookmarkStart w:id="16" w:name="chapter-2-functional-blocks"/>
        <w:r>
          <w:rPr>
            <w:rStyle w:val="Hyperlink"/>
          </w:rPr>
          <w:t>amber_cpu_frontend and amber_monlite</w:t>
        </w:r>
      </w:hyperlink>
      <w:bookmarkEnd w:id="16"/>
    </w:p>
    <w:p>
      <w:pPr>
        <w:pStyle w:val="Heading3"/>
        <w:spacing w:before="200" w:after="80"/>
        <w:rPr/>
      </w:pPr>
      <w:bookmarkStart w:id="17" w:name="__RefHeading___Toc14732_888288119"/>
      <w:bookmarkStart w:id="18" w:name="chapter-3-interfaces"/>
      <w:bookmarkEnd w:id="17"/>
      <w:r>
        <w:rPr>
          <w:rStyle w:val="SectionNumber"/>
          <w:b/>
          <w:color w:val="404040"/>
          <w:sz w:val="24"/>
        </w:rPr>
        <w:t>2.1.4</w:t>
      </w:r>
      <w:r>
        <w:rPr>
          <w:b/>
          <w:color w:val="404040"/>
          <w:sz w:val="24"/>
        </w:rPr>
        <w:tab/>
        <w:t>Chapter 3: Interfaces</w:t>
      </w:r>
    </w:p>
    <w:p>
      <w:pPr>
        <w:pStyle w:val="Compact"/>
        <w:numPr>
          <w:ilvl w:val="0"/>
          <w:numId w:val="66"/>
        </w:numPr>
        <w:rPr/>
      </w:pPr>
      <w:hyperlink r:id="rId17">
        <w:r>
          <w:rPr>
            <w:rStyle w:val="Hyperlink"/>
          </w:rPr>
          <w:t>CPU GAXI Request/Response Timing</w:t>
        </w:r>
      </w:hyperlink>
    </w:p>
    <w:p>
      <w:pPr>
        <w:pStyle w:val="Compact"/>
        <w:numPr>
          <w:ilvl w:val="0"/>
          <w:numId w:val="67"/>
        </w:numPr>
        <w:rPr/>
      </w:pPr>
      <w:hyperlink r:id="rId18">
        <w:r>
          <w:rPr>
            <w:rStyle w:val="Hyperlink"/>
          </w:rPr>
          <w:t>Fabric AXI4 Master Timing</w:t>
        </w:r>
      </w:hyperlink>
    </w:p>
    <w:p>
      <w:pPr>
        <w:pStyle w:val="Compact"/>
        <w:numPr>
          <w:ilvl w:val="0"/>
          <w:numId w:val="68"/>
        </w:numPr>
        <w:rPr/>
      </w:pPr>
      <w:hyperlink r:id="rId19">
        <w:r>
          <w:rPr>
            <w:rStyle w:val="Hyperlink"/>
          </w:rPr>
          <w:t>Fabric ACE Master Timing</w:t>
        </w:r>
      </w:hyperlink>
    </w:p>
    <w:p>
      <w:pPr>
        <w:pStyle w:val="Compact"/>
        <w:numPr>
          <w:ilvl w:val="0"/>
          <w:numId w:val="69"/>
        </w:numPr>
        <w:rPr/>
      </w:pPr>
      <w:hyperlink r:id="rId20">
        <w:r>
          <w:rPr>
            <w:rStyle w:val="Hyperlink"/>
          </w:rPr>
          <w:t>Snoop AC/CD/CR Timing and Ordering</w:t>
        </w:r>
      </w:hyperlink>
    </w:p>
    <w:p>
      <w:pPr>
        <w:pStyle w:val="Compact"/>
        <w:numPr>
          <w:ilvl w:val="0"/>
          <w:numId w:val="70"/>
        </w:numPr>
        <w:rPr/>
      </w:pPr>
      <w:hyperlink r:id="rId21">
        <w:bookmarkStart w:id="19" w:name="chapter-3-interfaces"/>
        <w:r>
          <w:rPr>
            <w:rStyle w:val="Hyperlink"/>
          </w:rPr>
          <w:t>MonBus Event Emission Points</w:t>
        </w:r>
      </w:hyperlink>
      <w:bookmarkEnd w:id="19"/>
    </w:p>
    <w:p>
      <w:pPr>
        <w:pStyle w:val="Heading3"/>
        <w:spacing w:before="200" w:after="80"/>
        <w:rPr/>
      </w:pPr>
      <w:bookmarkStart w:id="20" w:name="__RefHeading___Toc14734_888288119"/>
      <w:bookmarkStart w:id="21" w:name="chapter-4-monbus-observation-map"/>
      <w:bookmarkEnd w:id="20"/>
      <w:r>
        <w:rPr>
          <w:rStyle w:val="SectionNumber"/>
          <w:b/>
          <w:color w:val="404040"/>
          <w:sz w:val="24"/>
        </w:rPr>
        <w:t>2.1.5</w:t>
      </w:r>
      <w:r>
        <w:rPr>
          <w:b/>
          <w:color w:val="404040"/>
          <w:sz w:val="24"/>
        </w:rPr>
        <w:tab/>
        <w:t>Chapter 4: MonBus Observation Map</w:t>
      </w:r>
    </w:p>
    <w:p>
      <w:pPr>
        <w:pStyle w:val="Compact"/>
        <w:numPr>
          <w:ilvl w:val="0"/>
          <w:numId w:val="71"/>
        </w:numPr>
        <w:rPr/>
      </w:pPr>
      <w:hyperlink r:id="rId22">
        <w:r>
          <w:rPr>
            <w:rStyle w:val="Hyperlink"/>
          </w:rPr>
          <w:t>Event Encodings and Emission Points</w:t>
        </w:r>
      </w:hyperlink>
    </w:p>
    <w:p>
      <w:pPr>
        <w:pStyle w:val="Compact"/>
        <w:numPr>
          <w:ilvl w:val="0"/>
          <w:numId w:val="72"/>
        </w:numPr>
        <w:rPr/>
      </w:pPr>
      <w:hyperlink r:id="rId23">
        <w:bookmarkStart w:id="22" w:name="chapter-4-monbus-observation-map"/>
        <w:r>
          <w:rPr>
            <w:rStyle w:val="Hyperlink"/>
          </w:rPr>
          <w:t>Drop-and-Count Behavior and monbus_tally_axil</w:t>
        </w:r>
      </w:hyperlink>
      <w:bookmarkEnd w:id="22"/>
    </w:p>
    <w:p>
      <w:pPr>
        <w:pStyle w:val="Heading3"/>
        <w:spacing w:before="200" w:after="80"/>
        <w:rPr/>
      </w:pPr>
      <w:bookmarkStart w:id="23" w:name="__RefHeading___Toc14736_888288119"/>
      <w:bookmarkStart w:id="24" w:name="chapter-5-verification-bring-up"/>
      <w:bookmarkEnd w:id="23"/>
      <w:r>
        <w:rPr>
          <w:rStyle w:val="SectionNumber"/>
          <w:b/>
          <w:color w:val="404040"/>
          <w:sz w:val="24"/>
        </w:rPr>
        <w:t>2.1.6</w:t>
      </w:r>
      <w:r>
        <w:rPr>
          <w:b/>
          <w:color w:val="404040"/>
          <w:sz w:val="24"/>
        </w:rPr>
        <w:tab/>
        <w:t>Chapter 5: Verification Bring-Up</w:t>
      </w:r>
    </w:p>
    <w:p>
      <w:pPr>
        <w:pStyle w:val="Compact"/>
        <w:numPr>
          <w:ilvl w:val="0"/>
          <w:numId w:val="73"/>
        </w:numPr>
        <w:rPr/>
      </w:pPr>
      <w:hyperlink r:id="rId24">
        <w:r>
          <w:rPr>
            <w:rStyle w:val="Hyperlink"/>
          </w:rPr>
          <w:t>What the K-maps Prove</w:t>
        </w:r>
      </w:hyperlink>
    </w:p>
    <w:p>
      <w:pPr>
        <w:pStyle w:val="Compact"/>
        <w:numPr>
          <w:ilvl w:val="0"/>
          <w:numId w:val="74"/>
        </w:numPr>
        <w:rPr/>
      </w:pPr>
      <w:hyperlink r:id="rId25">
        <w:r>
          <w:rPr>
            <w:rStyle w:val="Hyperlink"/>
          </w:rPr>
          <w:t>RTL Landing Diff Procedure</w:t>
        </w:r>
      </w:hyperlink>
    </w:p>
    <w:p>
      <w:pPr>
        <w:pStyle w:val="Compact"/>
        <w:numPr>
          <w:ilvl w:val="0"/>
          <w:numId w:val="75"/>
        </w:numPr>
        <w:rPr/>
      </w:pPr>
      <w:hyperlink r:id="rId26">
        <w:bookmarkStart w:id="25" w:name="chapter-5-verification-bring-up"/>
        <w:r>
          <w:rPr>
            <w:rStyle w:val="Hyperlink"/>
          </w:rPr>
          <w:t>gem5 FSM Cross-Check</w:t>
        </w:r>
      </w:hyperlink>
      <w:bookmarkEnd w:id="25"/>
    </w:p>
    <w:p>
      <w:pPr>
        <w:pStyle w:val="Heading3"/>
        <w:spacing w:before="200" w:after="80"/>
        <w:rPr/>
      </w:pPr>
      <w:bookmarkStart w:id="26" w:name="__RefHeading___Toc14738_888288119"/>
      <w:bookmarkStart w:id="27" w:name="chapter-6-configuration"/>
      <w:bookmarkEnd w:id="26"/>
      <w:r>
        <w:rPr>
          <w:rStyle w:val="SectionNumber"/>
          <w:b/>
          <w:color w:val="404040"/>
          <w:sz w:val="24"/>
        </w:rPr>
        <w:t>2.1.7</w:t>
      </w:r>
      <w:r>
        <w:rPr>
          <w:b/>
          <w:color w:val="404040"/>
          <w:sz w:val="24"/>
        </w:rPr>
        <w:tab/>
        <w:t>Chapter 6: Configuration</w:t>
      </w:r>
    </w:p>
    <w:p>
      <w:pPr>
        <w:pStyle w:val="Compact"/>
        <w:numPr>
          <w:ilvl w:val="0"/>
          <w:numId w:val="76"/>
        </w:numPr>
        <w:rPr/>
      </w:pPr>
      <w:hyperlink r:id="rId27">
        <w:r>
          <w:rPr>
            <w:rStyle w:val="Hyperlink"/>
          </w:rPr>
          <w:t>Elaboration Configurations</w:t>
        </w:r>
      </w:hyperlink>
    </w:p>
    <w:p>
      <w:pPr>
        <w:pStyle w:val="Compact"/>
        <w:numPr>
          <w:ilvl w:val="0"/>
          <w:numId w:val="77"/>
        </w:numPr>
        <w:rPr/>
      </w:pPr>
      <w:hyperlink r:id="rId28">
        <w:r>
          <w:rPr>
            <w:rStyle w:val="Hyperlink"/>
          </w:rPr>
          <w:t>DV Matrix Dimensions</w:t>
        </w:r>
      </w:hyperlink>
    </w:p>
    <w:p>
      <w:pPr>
        <w:pStyle w:val="Normal"/>
        <w:rPr/>
      </w:pPr>
      <w:bookmarkStart w:id="28" w:name="document-organization"/>
      <w:bookmarkStart w:id="29" w:name="chapter-6-configu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p>
    <w:p>
      <w:pPr>
        <w:pStyle w:val="Heading2"/>
        <w:pBdr>
          <w:bottom w:val="single" w:sz="12" w:space="0" w:color="228B22"/>
        </w:pBdr>
        <w:spacing w:before="280" w:after="80"/>
        <w:rPr/>
      </w:pPr>
      <w:bookmarkStart w:id="30" w:name="__RefHeading___Toc14740_888288119"/>
      <w:bookmarkStart w:id="31" w:name="quick-reference"/>
      <w:bookmarkEnd w:id="30"/>
      <w:r>
        <w:rPr>
          <w:rStyle w:val="SectionNumber"/>
          <w:b/>
          <w:color w:val="228B22"/>
          <w:sz w:val="28"/>
        </w:rPr>
        <w:t>2.2</w:t>
      </w:r>
      <w:r>
        <w:rPr>
          <w:b/>
          <w:color w:val="228B22"/>
          <w:sz w:val="28"/>
        </w:rPr>
        <w:tab/>
        <w:t>Quick Reference</w:t>
      </w:r>
    </w:p>
    <w:p>
      <w:pPr>
        <w:pStyle w:val="Heading3"/>
        <w:spacing w:before="200" w:after="80"/>
        <w:rPr/>
      </w:pPr>
      <w:bookmarkStart w:id="32" w:name="__RefHeading___Toc14742_888288119"/>
      <w:bookmarkEnd w:id="32"/>
      <w:r>
        <w:rPr>
          <w:rStyle w:val="SectionNumber"/>
          <w:b/>
          <w:color w:val="404040"/>
          <w:sz w:val="24"/>
        </w:rPr>
        <w:t>2.2.1</w:t>
      </w:r>
      <w:r>
        <w:rPr>
          <w:b/>
          <w:color w:val="404040"/>
          <w:sz w:val="24"/>
        </w:rPr>
        <w:tab/>
        <w:t>Core Blocks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amber_control</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rtl/fub/amber_control.sv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state encoding, miss/replay sequencing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amber_tag_array</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rtl/fub/amber_tag_array.sv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Dual-port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tag + MESI state store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amber_data_array</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rtl/fub/amber_data_array.sv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Dual-port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data store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rtl/fub/amber_repl.sv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 tree-PLRU / FIFO / RANDOM replacement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amber_victim</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rtl/fub/amber_victim.sv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Depth-1 dirty victim buffer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amber_fill</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rtl/fub/amber_fill.sv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Line-fill read master interface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amber_drain</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rtl/fub/amber_drain.sv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write-back interface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rtl/fub/amber_snoop_resp.sv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snoop adapter, CR/CD ordering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rtl/fub/amber_ace_issue.sv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events → ACE transactions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rtl/fub/amber_cpu_frontend.sv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request/response latch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rtl/fub/amber_monlite.sv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Drop-and-count MonBus observer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bookmarkStart w:id="33" w:name="core-blocks"/>
            <w:bookmarkEnd w:id="33"/>
          </w:p>
        </w:tc>
      </w:tr>
    </w:tbl>
    <w:p>
      <w:pPr>
        <w:pStyle w:val="Heading3"/>
        <w:spacing w:before="200" w:after="80"/>
        <w:rPr/>
      </w:pPr>
      <w:bookmarkStart w:id="34" w:name="__RefHeading___Toc14744_888288119"/>
      <w:bookmarkEnd w:id="34"/>
      <w:r>
        <w:rPr>
          <w:rStyle w:val="SectionNumber"/>
          <w:b/>
          <w:color w:val="404040"/>
          <w:sz w:val="24"/>
        </w:rPr>
        <w:t>2.2.2</w:t>
      </w:r>
      <w:r>
        <w:rPr>
          <w:b/>
          <w:color w:val="404040"/>
          <w:sz w:val="24"/>
        </w:rPr>
        <w:tab/>
        <w:t>Top Modules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rtl/top/amber.sv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Pair-rig top, AXI4 memory + ACE snoop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rtl/top/amber_ace.sv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Onyx-rig top, full ACE coherent issue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rtl/macro/amber_core.sv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core (both rigs)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bl>
    <w:p>
      <w:pPr>
        <w:pStyle w:val="Normal"/>
        <w:rPr/>
      </w:pPr>
      <w:bookmarkStart w:id="35" w:name="quick-reference"/>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
    </w:p>
    <w:p>
      <w:pPr>
        <w:pStyle w:val="Heading2"/>
        <w:pBdr>
          <w:bottom w:val="single" w:sz="12" w:space="0" w:color="228B22"/>
        </w:pBdr>
        <w:spacing w:before="280" w:after="80"/>
        <w:rPr/>
      </w:pPr>
      <w:bookmarkStart w:id="36" w:name="__RefHeading___Toc14746_888288119"/>
      <w:bookmarkStart w:id="37" w:name="related-documentation"/>
      <w:bookmarkEnd w:id="36"/>
      <w:r>
        <w:rPr>
          <w:rStyle w:val="SectionNumber"/>
          <w:b/>
          <w:color w:val="228B22"/>
          <w:sz w:val="28"/>
        </w:rPr>
        <w:t>2.3</w:t>
      </w:r>
      <w:r>
        <w:rPr>
          <w:b/>
          <w:color w:val="228B22"/>
          <w:sz w:val="28"/>
        </w:rPr>
        <w:tab/>
        <w:t>Related Documentation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requirements</w:t>
            </w:r>
            <w:r>
              <w:rPr>
                <w:rFonts w:eastAsia="Cambria" w:cs=""/>
                <w:kern w:val="0"/>
                <w:sz w:val="24"/>
                <w:szCs w:val="24"/>
                <w:lang w:val="en-US" w:eastAsia="en-US" w:bidi="ar-SA"/>
              </w:rPr>
              <w:t xml:space="preserve"> — all D-rows and success criteria originate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../amber_has/amber_has_index.md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specification this MAS implements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../amber_has/amber_prehas.md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original feature sketches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K-map / signal-contract workbook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../gen_amber_contracts_kmaps.py</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combinational-contract sheets and kmaps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jet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../../../jet-mesi-l1/PRD.md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follow-on; amber must not pre-decide jet’s J-rows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../../../onyx-ace-ccu/PRD.md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D7 defines the ACE-shaped snoop port; onyx D2 defines the coherent-transaction subset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ACE Interface Definition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../../../References/AMBA_ACE_Interface_Definition.md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in-repo ACE contract, verified against IHI 0022H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 Ruby protocols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../../../References/gem5-ruby-protocols/README.md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golden-protocol source for the Python reference model and FSM oracles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simulator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../../../../../../bin/apps/cache_sim/README.md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parity model for LRU/FIFO/RANDOM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8">
              <w:r>
                <w:rPr>
                  <w:rStyle w:val="Hyperlink"/>
                  <w:rFonts w:eastAsia="Cambria" w:cs=""/>
                  <w:kern w:val="0"/>
                  <w:sz w:val="24"/>
                  <w:szCs w:val="24"/>
                  <w:lang w:val="en-US" w:eastAsia="en-US" w:bidi="ar-SA"/>
                </w:rPr>
                <w:t>../../../../../../GLOBAL_REQUIREMENTS.md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macros, array syntax, no bespoke SRAM, filelist registry</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 </w:t>
      </w:r>
      <w:r>
        <w:rPr>
          <w:b/>
          <w:bCs/>
          <w:sz w:val="20"/>
        </w:rPr>
        <w:t>Maintained By:</w:t>
      </w:r>
      <w:r>
        <w:rPr>
          <w:sz w:val="20"/>
        </w:rPr>
        <w:t xml:space="preserve"> amber architecture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 w:name="amber-mas-index"/>
      <w:bookmarkStart w:id="39" w:name="related-documentation"/>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r>
        <w:br w:type="page"/>
      </w:r>
    </w:p>
    <w:p>
      <w:pPr>
        <w:pStyle w:val="Heading1"/>
        <w:shd w:val="clear" w:color="auto" w:fill="404040"/>
        <w:spacing w:before="360" w:after="120"/>
        <w:rPr/>
      </w:pPr>
      <w:bookmarkStart w:id="40" w:name="__RefHeading___Toc14748_888288119"/>
      <w:bookmarkStart w:id="41" w:name="amber-product-requirements-draft"/>
      <w:bookmarkEnd w:id="40"/>
      <w:r>
        <w:rPr>
          <w:rStyle w:val="SectionNumber"/>
          <w:b/>
          <w:color w:val="FFFFFF"/>
          <w:sz w:val="32"/>
        </w:rPr>
        <w:t>3</w:t>
      </w:r>
      <w:r>
        <w:rPr>
          <w:b/>
          <w:color w:val="FFFFFF"/>
          <w:sz w:val="32"/>
        </w:rPr>
        <w:tab/>
        <w:t>amber — Product Requirements (DRAFT)</w:t>
      </w:r>
    </w:p>
    <w:p>
      <w:pPr>
        <w:pStyle w:val="FirstParagraph"/>
        <w:rPr/>
      </w:pPr>
      <w:r>
        <w:rPr>
          <w:b/>
          <w:bCs/>
          <w:sz w:val="20"/>
        </w:rPr>
        <w:t>Version:</w:t>
      </w:r>
      <w:r>
        <w:rPr>
          <w:sz w:val="20"/>
        </w:rPr>
        <w:t xml:space="preserve"> 0.5 (draft, 2026-10-06) </w:t>
      </w:r>
      <w:r>
        <w:rPr>
          <w:b/>
          <w:bCs/>
          <w:sz w:val="20"/>
        </w:rPr>
        <w:t>Status:</w:t>
      </w:r>
      <w:r>
        <w:rPr>
          <w:sz w:val="20"/>
        </w:rPr>
        <w:t xml:space="preserve"> nine of the eleven decision rows record a name and a date; D3 (memory-side, now shaped by the two-top structure) and D11 (arrays, house primitives by rule) remain OPEN. A decision becomes DECIDED when it records a name and a date, the way the reed-solomon PRD does it. v0.2: D8 decided — </w:t>
      </w:r>
      <w:r>
        <w:rPr>
          <w:rStyle w:val="VerbatimChar"/>
          <w:sz w:val="20"/>
        </w:rPr>
        <w:t>*_monlite</w:t>
      </w:r>
      <w:r>
        <w:rPr>
          <w:sz w:val="20"/>
        </w:rPr>
        <w:t xml:space="preserve"> observation wrappers (never </w:t>
      </w:r>
      <w:r>
        <w:rPr>
          <w:rStyle w:val="VerbatimChar"/>
          <w:sz w:val="20"/>
        </w:rPr>
        <w:t>_mon</w:t>
      </w:r>
      <w:r>
        <w:rPr>
          <w:sz w:val="20"/>
        </w:rPr>
        <w:t xml:space="preserve"> on the measured paths). v0.3: D4 decided — snoop transport is ACE-shaped (AC/CD/CR) per the </w:t>
      </w:r>
      <w:hyperlink r:id="rId39">
        <w:r>
          <w:rPr>
            <w:rStyle w:val="Hyperlink"/>
          </w:rPr>
          <w:t>onyx D7</w:t>
        </w:r>
      </w:hyperlink>
      <w:r>
        <w:rPr>
          <w:sz w:val="20"/>
        </w:rPr>
        <w:t xml:space="preserve"> port contract, family decision 2026-10-05. The snoop-filter (directory-lite) half of D4 stays deferred and is reopened as </w:t>
      </w:r>
      <w:hyperlink r:id="rId40">
        <w:r>
          <w:rPr>
            <w:rStyle w:val="Hyperlink"/>
          </w:rPr>
          <w:t>onyx D3</w:t>
        </w:r>
      </w:hyperlink>
      <w:r>
        <w:rPr>
          <w:sz w:val="20"/>
        </w:rPr>
        <w:t xml:space="preserve">. v0.4: D2 decided (Sean, 2026-10-06) — CPU-side interface is a </w:t>
      </w:r>
      <w:r>
        <w:rPr>
          <w:b/>
          <w:bCs/>
          <w:sz w:val="20"/>
        </w:rPr>
        <w:t>GAXI slave</w:t>
      </w:r>
      <w:r>
        <w:rPr>
          <w:sz w:val="20"/>
        </w:rPr>
        <w:t>. House BFM/monitor coverage and skid/FIFO plumbing already exist, and STREAM can attach as first real consumer without an adapter. v0.5 (Sean, 2026-10-06): D1, D5, D6, D7, D9, D10 decided in one working session — geometry 32 KiB/64 B/4-way center + a tiny 16-set/2-way formal config; write-back + write-allocate; plain MESI on a 3-bit state field; replacement {LRU, tree-PLRU, FIFO, RANDOM} with LRU default (tree-PLRU the timing fallback, no sim golden model — future sim extension recorded); verification = Pattern-B grids + control-layer SymbiYosys at tiny geometry + cache_sim parity on LRU/FIFO/RANDOM + FSM oracles derived from the gem5 Ruby MESI_Two_Level SLICC tables; first consumer = TB masters bring-up, pair rig the gated deliverable, STREAM attach the documented future hook.</w:t>
      </w:r>
    </w:p>
    <w:p>
      <w:pPr>
        <w:pStyle w:val="Heading2"/>
        <w:pBdr>
          <w:bottom w:val="single" w:sz="12" w:space="0" w:color="228B22"/>
        </w:pBdr>
        <w:spacing w:before="280" w:after="80"/>
        <w:rPr/>
      </w:pPr>
      <w:bookmarkStart w:id="42" w:name="__RefHeading___Toc14750_888288119"/>
      <w:bookmarkStart w:id="43" w:name="purpose"/>
      <w:bookmarkEnd w:id="42"/>
      <w:r>
        <w:rPr>
          <w:rStyle w:val="SectionNumber"/>
          <w:b/>
          <w:color w:val="228B22"/>
          <w:sz w:val="28"/>
        </w:rPr>
        <w:t>3.1</w:t>
      </w:r>
      <w:r>
        <w:rPr>
          <w:b/>
          <w:color w:val="228B22"/>
          <w:sz w:val="28"/>
        </w:rPr>
        <w:tab/>
        <w:t>1. Purpose</w:t>
      </w:r>
    </w:p>
    <w:p>
      <w:pPr>
        <w:pStyle w:val="FirstParagraph"/>
        <w:rPr/>
      </w:pPr>
      <w:r>
        <w:rPr>
          <w:sz w:val="20"/>
        </w:rPr>
        <w:t xml:space="preserve">A parameterised, blocking, snoopy MESI L1 data cache for the Sherpa research/teaching flow: correct against a software golden model, provable with SymbiYosys, observable through the MonBus monitor fabric, and characterised for FPGA cost like every other component in this repo. It is the first cache-ip IP and the deliberate baseline for </w:t>
      </w:r>
      <w:hyperlink r:id="rId41">
        <w:r>
          <w:rPr>
            <w:rStyle w:val="Hyperlink"/>
          </w:rPr>
          <w:t>jet</w:t>
        </w:r>
      </w:hyperlink>
      <w:r>
        <w:rPr>
          <w:sz w:val="20"/>
        </w:rPr>
        <w:t>, the lockup-free follow-on.</w:t>
      </w:r>
      <w:bookmarkEnd w:id="43"/>
    </w:p>
    <w:p>
      <w:pPr>
        <w:pStyle w:val="Heading2"/>
        <w:pBdr>
          <w:bottom w:val="single" w:sz="12" w:space="0" w:color="228B22"/>
        </w:pBdr>
        <w:spacing w:before="280" w:after="80"/>
        <w:rPr/>
      </w:pPr>
      <w:bookmarkStart w:id="44" w:name="__RefHeading___Toc14752_888288119"/>
      <w:bookmarkStart w:id="45" w:name="background"/>
      <w:bookmarkEnd w:id="44"/>
      <w:r>
        <w:rPr>
          <w:rStyle w:val="SectionNumber"/>
          <w:b/>
          <w:color w:val="228B22"/>
          <w:sz w:val="28"/>
        </w:rPr>
        <w:t>3.2</w:t>
      </w:r>
      <w:r>
        <w:rPr>
          <w:b/>
          <w:color w:val="228B22"/>
          <w:sz w:val="28"/>
        </w:rPr>
        <w:tab/>
        <w:t>2. Background</w:t>
      </w:r>
    </w:p>
    <w:p>
      <w:pPr>
        <w:pStyle w:val="FirstParagraph"/>
        <w:rPr/>
      </w:pPr>
      <w:r>
        <w:rPr>
          <w:sz w:val="20"/>
        </w:rPr>
        <w:t>A blocking cache freezes on a miss: the pending request (and everything behind it) waits for the fill to complete. That is poor for performance and excellent for correctness work — one outstanding transaction means no MSHR bookkeeping, no hit-under-miss hazards, no merge logic. MESI (Modified / Exclusive / Shared / Invalid) is the coherence layer on top: each line carries a state that says who may write it and who must be told when they hold a stale copy. Snoopy coherence broadcasts probes on a shared bus; every cache watches and answers.</w:t>
      </w:r>
    </w:p>
    <w:p>
      <w:pPr>
        <w:pStyle w:val="BodyText"/>
        <w:rPr/>
      </w:pPr>
      <w:r>
        <w:rPr>
          <w:sz w:val="20"/>
        </w:rPr>
        <w:t>Blocking and MESI are orthogonal, which is the design bet: amber nails the coherence protocol with trivial miss handling; jet keeps the protocol and upgrades the miss handling. The pair then answers the classic question with measured, on-board data: what does lockup-freedom actually buy?</w:t>
      </w:r>
    </w:p>
    <w:p>
      <w:pPr>
        <w:pStyle w:val="BodyText"/>
        <w:rPr/>
      </w:pPr>
      <w:r>
        <w:rPr>
          <w:sz w:val="20"/>
        </w:rPr>
        <w:t xml:space="preserve">Repo anchors the design must respect: resets on the </w:t>
      </w:r>
      <w:r>
        <w:rPr>
          <w:rStyle w:val="VerbatimChar"/>
          <w:sz w:val="20"/>
        </w:rPr>
        <w:t>ALWAYS_FF_RST</w:t>
      </w:r>
      <w:r>
        <w:rPr>
          <w:sz w:val="20"/>
        </w:rPr>
        <w:t xml:space="preserve"> macros, storage on the shared </w:t>
      </w:r>
      <w:r>
        <w:rPr>
          <w:rStyle w:val="VerbatimChar"/>
          <w:sz w:val="20"/>
        </w:rPr>
        <w:t>sdpram_core</w:t>
      </w:r>
      <w:r>
        <w:rPr>
          <w:sz w:val="20"/>
        </w:rPr>
        <w:t xml:space="preserve"> / gaxi FIFO primitives (no bespoke SRAM, no reset on memories), </w:t>
      </w:r>
      <w:r>
        <w:rPr>
          <w:rStyle w:val="VerbatimChar"/>
          <w:sz w:val="20"/>
        </w:rPr>
        <w:t>[DEPTH]</w:t>
      </w:r>
      <w:r>
        <w:rPr>
          <w:sz w:val="20"/>
        </w:rPr>
        <w:t xml:space="preserve"> array syntax, valid/ready streaming contracts, and the monitor/MonBus observation fabric from </w:t>
      </w:r>
      <w:r>
        <w:rPr>
          <w:rStyle w:val="VerbatimChar"/>
          <w:sz w:val="20"/>
        </w:rPr>
        <w:t>rtl/amba/</w:t>
      </w:r>
      <w:r>
        <w:rPr>
          <w:sz w:val="20"/>
        </w:rPr>
        <w:t>.</w:t>
      </w:r>
      <w:bookmarkEnd w:id="45"/>
    </w:p>
    <w:p>
      <w:pPr>
        <w:pStyle w:val="Heading2"/>
        <w:pBdr>
          <w:bottom w:val="single" w:sz="12" w:space="0" w:color="228B22"/>
        </w:pBdr>
        <w:spacing w:before="280" w:after="80"/>
        <w:rPr/>
      </w:pPr>
      <w:bookmarkStart w:id="46" w:name="__RefHeading___Toc14754_888288119"/>
      <w:bookmarkEnd w:id="46"/>
      <w:r>
        <w:rPr>
          <w:rStyle w:val="SectionNumber"/>
          <w:b/>
          <w:color w:val="228B22"/>
          <w:sz w:val="28"/>
        </w:rPr>
        <w:t>3.3</w:t>
      </w:r>
      <w:r>
        <w:rPr>
          <w:b/>
          <w:color w:val="228B22"/>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geometry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32 KiB / 64 B lines / 4 ways (128 sets) as the default center, fully elaboration-parameterised (4–32 KiB, 32–64 B, 2–8 ways), plus a reserved tiny config — 16 sets / 2 ways / 64 B — for SymbiYosys tractability.</w:t>
            </w:r>
            <w:r>
              <w:rPr>
                <w:rFonts w:eastAsia="Cambria" w:cs=""/>
                <w:kern w:val="0"/>
                <w:sz w:val="24"/>
                <w:szCs w:val="24"/>
                <w:lang w:val="en-US" w:eastAsia="en-US" w:bidi="ar-SA"/>
              </w:rPr>
              <w:t xml:space="preserve"> Board BRAM does not bind (~9 of 135 36Kb RAMs on Nexys A7 at the default), so geometry serves the DV matrix and the proofs, not the board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tag/data array dimensions, the whole DV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GAXI slave.</w:t>
            </w:r>
            <w:r>
              <w:rPr>
                <w:rFonts w:eastAsia="Cambria" w:cs=""/>
                <w:kern w:val="0"/>
                <w:sz w:val="24"/>
                <w:szCs w:val="24"/>
                <w:lang w:val="en-US" w:eastAsia="en-US" w:bidi="ar-SA"/>
              </w:rPr>
              <w:t xml:space="preserve"> Chosen over the plain valid/ready native port and the AXI4 slave: house BFM/monitor coverage and skid/FIFO plumbing already exist, and STREAM can attach as first real consumer without an adapter. Must express single-beat reads, write-allocate fills, and (if write-through is chosen) store-without-allocate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FSM, adapter surface, first consumer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AXI4 read/write masters on the house </w:t>
            </w:r>
            <w:r>
              <w:rPr>
                <w:rStyle w:val="VerbatimChar"/>
                <w:rFonts w:eastAsia="Cambria" w:cs=""/>
                <w:kern w:val="0"/>
                <w:szCs w:val="24"/>
                <w:lang w:val="en-US" w:eastAsia="en-US" w:bidi="ar-SA"/>
              </w:rPr>
              <w:t>axi4_master_rd/wr</w:t>
            </w:r>
            <w:r>
              <w:rPr>
                <w:rFonts w:eastAsia="Cambria" w:cs=""/>
                <w:kern w:val="0"/>
                <w:sz w:val="24"/>
                <w:szCs w:val="24"/>
                <w:lang w:val="en-US" w:eastAsia="en-US" w:bidi="ar-SA"/>
              </w:rPr>
              <w:t xml:space="preserve"> wrappers (stream/rapids pattern) vs GAXI vs a simple direct SRAM port for bring-up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fill/drain engines, burst behavior on misses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transport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2026-10-05 (Sean): ACE-shaped transport — amber implements the AC/CD/CR snoop channels exactly as </w:t>
            </w:r>
            <w:hyperlink r:id="rId42">
              <w:r>
                <w:rPr>
                  <w:rStyle w:val="Hyperlink"/>
                  <w:rFonts w:eastAsia="Cambria" w:cs=""/>
                  <w:b/>
                  <w:bCs/>
                  <w:kern w:val="0"/>
                  <w:sz w:val="24"/>
                  <w:szCs w:val="24"/>
                  <w:lang w:val="en-US" w:eastAsia="en-US" w:bidi="ar-SA"/>
                </w:rPr>
                <w:t>onyx D7</w:t>
              </w:r>
            </w:hyperlink>
            <w:r>
              <w:rPr>
                <w:rFonts w:eastAsia="Cambria" w:cs=""/>
                <w:b/>
                <w:bCs/>
                <w:kern w:val="0"/>
                <w:sz w:val="24"/>
                <w:szCs w:val="24"/>
                <w:lang w:val="en-US" w:eastAsia="en-US" w:bidi="ar-SA"/>
              </w:rPr>
              <w:t xml:space="preserve"> defines them (family decision: cache-ip is ACE-shaped), staying bus-agnostic internally behind a thin adapter.</w:t>
            </w:r>
            <w:r>
              <w:rPr>
                <w:rFonts w:eastAsia="Cambria" w:cs=""/>
                <w:kern w:val="0"/>
                <w:sz w:val="24"/>
                <w:szCs w:val="24"/>
                <w:lang w:val="en-US" w:eastAsia="en-US" w:bidi="ar-SA"/>
              </w:rPr>
              <w:t xml:space="preserve"> Chosen over a custom dedicated snoop bus and over snooping on the AXI4 fabric directly; the ACE-lite-shaped candidate was set aside because a snoop responder must drive CR responses and CD data — ACE-Lite carries no snoop channels at all. The snoop-filter (directory-lite) sub-question stays deferred, reopened as </w:t>
            </w:r>
            <w:hyperlink r:id="rId43">
              <w:r>
                <w:rPr>
                  <w:rStyle w:val="Hyperlink"/>
                  <w:rFonts w:eastAsia="Cambria" w:cs=""/>
                  <w:kern w:val="0"/>
                  <w:sz w:val="24"/>
                  <w:szCs w:val="24"/>
                  <w:lang w:val="en-US" w:eastAsia="en-US" w:bidi="ar-SA"/>
                </w:rPr>
                <w:t>onyx D3</w:t>
              </w:r>
            </w:hyperlink>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coherence bus, formal surface, gate count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write-back + write-allocate.</w:t>
            </w:r>
            <w:r>
              <w:rPr>
                <w:rFonts w:eastAsia="Cambria" w:cs=""/>
                <w:kern w:val="0"/>
                <w:sz w:val="24"/>
                <w:szCs w:val="24"/>
                <w:lang w:val="en-US" w:eastAsia="en-US" w:bidi="ar-SA"/>
              </w:rPr>
              <w:t xml:space="preserve"> Write-through/no-allocate deletes the coherence traffic the research exists to measure — dirty snoop transfers (PassDirty), WriteBack drains, onyx’s memory-read elision — and leaves MESI’s M state with no job; it stays available as a bring-up mode only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M-state logic, memory traffic, formal targets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variant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plain MESI on a 3-bit state field.</w:t>
            </w:r>
            <w:r>
              <w:rPr>
                <w:rFonts w:eastAsia="Cambria" w:cs=""/>
                <w:kern w:val="0"/>
                <w:sz w:val="24"/>
                <w:szCs w:val="24"/>
                <w:lang w:val="en-US" w:eastAsia="en-US" w:bidi="ar-SA"/>
              </w:rPr>
              <w:t xml:space="preserve"> MOESI’s O-state is a later elaboration upgrade (encoding headroom reserved now, ~512 extra tag bits); its win — dirty→shared without a memory read — is a measurement for the pair rig, not a v1 requirement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count, snoop response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policy set {LRU, tree-PLRU, FIFO, RANDOM}, default LRU.</w:t>
            </w:r>
            <w:r>
              <w:rPr>
                <w:rFonts w:eastAsia="Cambria" w:cs=""/>
                <w:kern w:val="0"/>
                <w:sz w:val="24"/>
                <w:szCs w:val="24"/>
                <w:lang w:val="en-US" w:eastAsia="en-US" w:bidi="ar-SA"/>
              </w:rPr>
              <w:t xml:space="preserve"> LRU/FIFO/RANDOM match the </w:t>
            </w:r>
            <w:hyperlink r:id="rId44">
              <w:r>
                <w:rPr>
                  <w:rStyle w:val="Hyperlink"/>
                  <w:rFonts w:eastAsia="Cambria" w:cs=""/>
                  <w:kern w:val="0"/>
                  <w:sz w:val="24"/>
                  <w:szCs w:val="24"/>
                  <w:lang w:val="en-US" w:eastAsia="en-US" w:bidi="ar-SA"/>
                </w:rPr>
                <w:t>cache simulator</w:t>
              </w:r>
            </w:hyperlink>
            <w:r>
              <w:rPr>
                <w:rFonts w:eastAsia="Cambria" w:cs=""/>
                <w:kern w:val="0"/>
                <w:sz w:val="24"/>
                <w:szCs w:val="24"/>
                <w:lang w:val="en-US" w:eastAsia="en-US" w:bidi="ar-SA"/>
              </w:rPr>
              <w:t xml:space="preserve"> exactly (</w:t>
            </w:r>
            <w:r>
              <w:rPr>
                <w:rStyle w:val="VerbatimChar"/>
                <w:rFonts w:eastAsia="Cambria" w:cs=""/>
                <w:kern w:val="0"/>
                <w:szCs w:val="24"/>
                <w:lang w:val="en-US" w:eastAsia="en-US" w:bidi="ar-SA"/>
              </w:rPr>
              <w:t>POLICIES = ['LRU','FIFO','RANDOM']</w:t>
            </w:r>
            <w:r>
              <w:rPr>
                <w:rFonts w:eastAsia="Cambria" w:cs=""/>
                <w:kern w:val="0"/>
                <w:sz w:val="24"/>
                <w:szCs w:val="24"/>
                <w:lang w:val="en-US" w:eastAsia="en-US" w:bidi="ar-SA"/>
              </w:rPr>
              <w:t xml:space="preserve">), so golden-model parity covers every policy both sides implement; </w:t>
            </w:r>
            <w:r>
              <w:rPr>
                <w:rFonts w:eastAsia="Cambria" w:cs=""/>
                <w:b/>
                <w:bCs/>
                <w:kern w:val="0"/>
                <w:sz w:val="24"/>
                <w:szCs w:val="24"/>
                <w:lang w:val="en-US" w:eastAsia="en-US" w:bidi="ar-SA"/>
              </w:rPr>
              <w:t>tree-PLRU is carried as the timing-tight fallback — the one policy with no sim golden model</w:t>
            </w:r>
            <w:r>
              <w:rPr>
                <w:rFonts w:eastAsia="Cambria" w:cs=""/>
                <w:kern w:val="0"/>
                <w:sz w:val="24"/>
                <w:szCs w:val="24"/>
                <w:lang w:val="en-US" w:eastAsia="en-US" w:bidi="ar-SA"/>
              </w:rPr>
              <w:t>, cross-checked by RTL self-checks today and a future cache_sim extension (recorded, not silently assumed). Policy stays an elaboration parameter so the sim↔RTL cross-check holds per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engine, cross-check fidelity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2026-10-04 (Sean): </w:t>
            </w:r>
            <w:r>
              <w:rPr>
                <w:rStyle w:val="VerbatimChar"/>
                <w:rFonts w:eastAsia="Cambria" w:cs=""/>
                <w:b/>
                <w:bCs/>
                <w:kern w:val="0"/>
                <w:szCs w:val="24"/>
                <w:lang w:val="en-US" w:eastAsia="en-US" w:bidi="ar-SA"/>
              </w:rPr>
              <w:t>*_monlite</w:t>
            </w:r>
            <w:r>
              <w:rPr>
                <w:rFonts w:eastAsia="Cambria" w:cs=""/>
                <w:b/>
                <w:bCs/>
                <w:kern w:val="0"/>
                <w:sz w:val="24"/>
                <w:szCs w:val="24"/>
                <w:lang w:val="en-US" w:eastAsia="en-US" w:bidi="ar-SA"/>
              </w:rPr>
              <w:t xml:space="preserve"> wrappers, not the heavyweight </w:t>
            </w:r>
            <w:r>
              <w:rPr>
                <w:rStyle w:val="VerbatimChar"/>
                <w:rFonts w:eastAsia="Cambria" w:cs=""/>
                <w:b/>
                <w:bCs/>
                <w:kern w:val="0"/>
                <w:szCs w:val="24"/>
                <w:lang w:val="en-US" w:eastAsia="en-US" w:bidi="ar-SA"/>
              </w:rPr>
              <w:t>_mon</w:t>
            </w:r>
            <w:r>
              <w:rPr>
                <w:rFonts w:eastAsia="Cambria" w:cs=""/>
                <w:b/>
                <w:bCs/>
                <w:kern w:val="0"/>
                <w:sz w:val="24"/>
                <w:szCs w:val="24"/>
                <w:lang w:val="en-US" w:eastAsia="en-US" w:bidi="ar-SA"/>
              </w:rPr>
              <w:t>.</w:t>
            </w:r>
            <w:r>
              <w:rPr>
                <w:rFonts w:eastAsia="Cambria" w:cs=""/>
                <w:kern w:val="0"/>
                <w:sz w:val="24"/>
                <w:szCs w:val="24"/>
                <w:lang w:val="en-US" w:eastAsia="en-US" w:bidi="ar-SA"/>
              </w:rPr>
              <w:t xml:space="preserve"> MonBus taps for hits, misses (class split if the model supplies it), snoops, evictions, and state transitions, observed through the </w:t>
            </w:r>
            <w:r>
              <w:rPr>
                <w:rStyle w:val="VerbatimChar"/>
                <w:rFonts w:eastAsia="Cambria" w:cs=""/>
                <w:kern w:val="0"/>
                <w:szCs w:val="24"/>
                <w:lang w:val="en-US" w:eastAsia="en-US" w:bidi="ar-SA"/>
              </w:rPr>
              <w:t>axi4_monlite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axil4_monlite</w:t>
            </w:r>
            <w:r>
              <w:rPr>
                <w:rFonts w:eastAsia="Cambria" w:cs=""/>
                <w:kern w:val="0"/>
                <w:sz w:val="24"/>
                <w:szCs w:val="24"/>
                <w:lang w:val="en-US" w:eastAsia="en-US" w:bidi="ar-SA"/>
              </w:rPr>
              <w:t xml:space="preserve"> family — same 128-bit MonBus packets, UNIT/AGENT ids, and host tooling as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~1/5 the monitor gates, and a drop-and-count policy that never stalls the port. Rationale for a research cache: the observer must not perturb what it measures — a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wrapper that gates the port when its tracking tables fill would corrupt the very miss-latency numbers amber and jet exist to produce. The events D8 lists are emitted as MonBus packets and tallied by the standard agents (</w:t>
            </w:r>
            <w:r>
              <w:rPr>
                <w:rStyle w:val="VerbatimChar"/>
                <w:rFonts w:eastAsia="Cambria" w:cs=""/>
                <w:kern w:val="0"/>
                <w:szCs w:val="24"/>
                <w:lang w:val="en-US" w:eastAsia="en-US" w:bidi="ar-SA"/>
              </w:rPr>
              <w:t>monbus_tally_axil</w:t>
            </w:r>
            <w:r>
              <w:rPr>
                <w:rFonts w:eastAsia="Cambria" w:cs=""/>
                <w:kern w:val="0"/>
                <w:sz w:val="24"/>
                <w:szCs w:val="24"/>
                <w:lang w:val="en-US" w:eastAsia="en-US" w:bidi="ar-SA"/>
              </w:rPr>
              <w:t xml:space="preserve">); heavyweight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stays available as a DV cross-check, never on the measured paths.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2026-10-06 (Sean): Pattern-B cocotb GATE/FUNC/FULL grids over the geometry × policy × rig matrix (ACE BFMs: cocotb-framework 1.2.0); SymbiYosys scoped to the control layer — </w:t>
            </w:r>
            <w:r>
              <w:rPr>
                <w:rStyle w:val="VerbatimChar"/>
                <w:rFonts w:eastAsia="Cambria" w:cs=""/>
                <w:b/>
                <w:bCs/>
                <w:kern w:val="0"/>
                <w:szCs w:val="24"/>
                <w:lang w:val="en-US" w:eastAsia="en-US" w:bidi="ar-SA"/>
              </w:rPr>
              <w:t>amber_control</w:t>
            </w:r>
            <w:r>
              <w:rPr>
                <w:rFonts w:eastAsia="Cambria" w:cs=""/>
                <w:b/>
                <w:bCs/>
                <w:kern w:val="0"/>
                <w:sz w:val="24"/>
                <w:szCs w:val="24"/>
                <w:lang w:val="en-US" w:eastAsia="en-US" w:bidi="ar-SA"/>
              </w:rPr>
              <w:t xml:space="preserve">, </w:t>
            </w:r>
            <w:r>
              <w:rPr>
                <w:rStyle w:val="VerbatimChar"/>
                <w:rFonts w:eastAsia="Cambria" w:cs=""/>
                <w:b/>
                <w:bCs/>
                <w:kern w:val="0"/>
                <w:szCs w:val="24"/>
                <w:lang w:val="en-US" w:eastAsia="en-US" w:bidi="ar-SA"/>
              </w:rPr>
              <w:t>amber_snoop_resp</w:t>
            </w:r>
            <w:r>
              <w:rPr>
                <w:rFonts w:eastAsia="Cambria" w:cs=""/>
                <w:b/>
                <w:bCs/>
                <w:kern w:val="0"/>
                <w:sz w:val="24"/>
                <w:szCs w:val="24"/>
                <w:lang w:val="en-US" w:eastAsia="en-US" w:bidi="ar-SA"/>
              </w:rPr>
              <w:t xml:space="preserve">, the pending-fill bypass, the victim-buffer handoff — proven at the tiny 16-set/2-way geometry; cache_sim trace-replay parity across LRU/FIFO/RANDOM. The Python reference model and the FSM oracles derive from the gem5 Ruby </w:t>
            </w:r>
            <w:r>
              <w:rPr>
                <w:rStyle w:val="VerbatimChar"/>
                <w:rFonts w:eastAsia="Cambria" w:cs=""/>
                <w:b/>
                <w:bCs/>
                <w:kern w:val="0"/>
                <w:szCs w:val="24"/>
                <w:lang w:val="en-US" w:eastAsia="en-US" w:bidi="ar-SA"/>
              </w:rPr>
              <w:t>MESI_Two_Level</w:t>
            </w:r>
            <w:r>
              <w:rPr>
                <w:rFonts w:eastAsia="Cambria" w:cs=""/>
                <w:b/>
                <w:bCs/>
                <w:kern w:val="0"/>
                <w:sz w:val="24"/>
                <w:szCs w:val="24"/>
                <w:lang w:val="en-US" w:eastAsia="en-US" w:bidi="ar-SA"/>
              </w:rPr>
              <w:t xml:space="preserve"> SLICC tables in </w:t>
            </w:r>
            <w:hyperlink r:id="rId45">
              <w:r>
                <w:rPr>
                  <w:rStyle w:val="ListLabel481"/>
                  <w:rFonts w:ascii="Consolas" w:hAnsi="Consolas" w:eastAsia="Cambria" w:cs=""/>
                  <w:b/>
                  <w:bCs/>
                  <w:kern w:val="0"/>
                  <w:sz w:val="22"/>
                  <w:sz w:val="22"/>
                  <w:szCs w:val="24"/>
                  <w:lang w:val="en-US" w:eastAsia="en-US" w:bidi="ar-SA"/>
                </w:rPr>
                <w:t>../References/gem5-ruby-protocols/</w:t>
              </w:r>
            </w:hyperlink>
            <w:r>
              <w:rPr>
                <w:rFonts w:eastAsia="Cambria" w:cs=""/>
                <w:b/>
                <w:bCs/>
                <w:kern w:val="0"/>
                <w:sz w:val="24"/>
                <w:szCs w:val="24"/>
                <w:lang w:val="en-US" w:eastAsia="en-US" w:bidi="ar-SA"/>
              </w:rPr>
              <w:t xml:space="preserve"> — </w:t>
            </w:r>
            <w:r>
              <w:rPr>
                <w:rStyle w:val="VerbatimChar"/>
                <w:rFonts w:eastAsia="Cambria" w:cs=""/>
                <w:b/>
                <w:bCs/>
                <w:kern w:val="0"/>
                <w:szCs w:val="24"/>
                <w:lang w:val="en-US" w:eastAsia="en-US" w:bidi="ar-SA"/>
              </w:rPr>
              <w:t>L1cache.sm</w:t>
            </w:r>
            <w:r>
              <w:rPr>
                <w:rFonts w:eastAsia="Cambria" w:cs=""/>
                <w:b/>
                <w:bCs/>
                <w:kern w:val="0"/>
                <w:sz w:val="24"/>
                <w:szCs w:val="24"/>
                <w:lang w:val="en-US" w:eastAsia="en-US" w:bidi="ar-SA"/>
              </w:rPr>
              <w:t xml:space="preserve">’s enumerated transient states are the derivation source for the </w:t>
            </w:r>
            <w:r>
              <w:rPr>
                <w:rStyle w:val="VerbatimChar"/>
                <w:rFonts w:eastAsia="Cambria" w:cs=""/>
                <w:b/>
                <w:bCs/>
                <w:kern w:val="0"/>
                <w:szCs w:val="24"/>
                <w:lang w:val="en-US" w:eastAsia="en-US" w:bidi="ar-SA"/>
              </w:rPr>
              <w:t>amber_pkg</w:t>
            </w:r>
            <w:r>
              <w:rPr>
                <w:rFonts w:eastAsia="Cambria" w:cs=""/>
                <w:b/>
                <w:bCs/>
                <w:kern w:val="0"/>
                <w:sz w:val="24"/>
                <w:szCs w:val="24"/>
                <w:lang w:val="en-US" w:eastAsia="en-US" w:bidi="ar-SA"/>
              </w:rPr>
              <w:t xml:space="preserve"> state encoding, and every stable and transient transition is cross-checked against an executable protocol spec, not prose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consumer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standalone TB masters for bring-up; the gated deliverable is the pair rig — two ambers + shared memory, the coherence research rig.</w:t>
            </w:r>
            <w:r>
              <w:rPr>
                <w:rFonts w:eastAsia="Cambria" w:cs=""/>
                <w:kern w:val="0"/>
                <w:sz w:val="24"/>
                <w:szCs w:val="24"/>
                <w:lang w:val="en-US" w:eastAsia="en-US" w:bidi="ar-SA"/>
              </w:rPr>
              <w:t xml:space="preserve"> STREAM attach is documented as the future integration hook (D2’s GAXI choice is what makes it cheap later); the onyx rig is sequenced per onyx D10 — onyx waits behind the pair rig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scope, what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Data/tag arrays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shared primitives):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-based tag/data stores + house FIFOs for pending/fill queues; FPGA attributes per </w:t>
            </w:r>
            <w:hyperlink r:id="rId46">
              <w:r>
                <w:rPr>
                  <w:rStyle w:val="ListLabel482"/>
                  <w:rFonts w:ascii="Consolas" w:hAnsi="Consolas" w:eastAsia="Cambria" w:cs=""/>
                  <w:kern w:val="0"/>
                  <w:sz w:val="22"/>
                  <w:sz w:val="22"/>
                  <w:szCs w:val="24"/>
                  <w:lang w:val="en-US" w:eastAsia="en-US" w:bidi="ar-SA"/>
                </w:rPr>
                <w:t>../../../../GLOBAL_REQUIREMENTS.md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area/timing headroom, the no-bespoke-SRAM rule</w:t>
            </w:r>
            <w:bookmarkStart w:id="47" w:name="decisions-that-pick-the-design"/>
            <w:bookmarkEnd w:id="47"/>
          </w:p>
        </w:tc>
      </w:tr>
    </w:tbl>
    <w:p>
      <w:pPr>
        <w:pStyle w:val="Heading2"/>
        <w:pBdr>
          <w:bottom w:val="single" w:sz="12" w:space="0" w:color="228B22"/>
        </w:pBdr>
        <w:spacing w:before="280" w:after="80"/>
        <w:rPr/>
      </w:pPr>
      <w:bookmarkStart w:id="48" w:name="__RefHeading___Toc14756_888288119"/>
      <w:bookmarkEnd w:id="48"/>
      <w:r>
        <w:rPr>
          <w:rStyle w:val="SectionNumber"/>
          <w:b/>
          <w:color w:val="228B22"/>
          <w:sz w:val="28"/>
        </w:rPr>
        <w:t>3.4</w:t>
      </w:r>
      <w:r>
        <w:rPr>
          <w:b/>
          <w:color w:val="228B22"/>
          <w:sz w:val="28"/>
        </w:rPr>
        <w:tab/>
        <w:t>4. Success criteria</w:t>
      </w:r>
    </w:p>
    <w:p>
      <w:pPr>
        <w:pStyle w:val="Compact"/>
        <w:numPr>
          <w:ilvl w:val="0"/>
          <w:numId w:val="78"/>
        </w:numPr>
        <w:rPr/>
      </w:pPr>
      <w:r>
        <w:rPr>
          <w:b/>
          <w:bCs/>
        </w:rPr>
        <w:t>Golden-model parity.</w:t>
      </w:r>
      <w:r>
        <w:rPr/>
        <w:t xml:space="preserve"> Given the same trace + policy + geometry, amber’s hit/miss/miss-class counts match </w:t>
      </w:r>
      <w:hyperlink r:id="rId47">
        <w:r>
          <w:rPr>
            <w:rStyle w:val="Hyperlink"/>
          </w:rPr>
          <w:t>cache_sim</w:t>
        </w:r>
      </w:hyperlink>
      <w:r>
        <w:rPr/>
        <w:t xml:space="preserve"> exactly across a regression trace suite.</w:t>
      </w:r>
    </w:p>
    <w:p>
      <w:pPr>
        <w:pStyle w:val="Compact"/>
        <w:numPr>
          <w:ilvl w:val="0"/>
          <w:numId w:val="8"/>
        </w:numPr>
        <w:rPr/>
      </w:pPr>
      <w:r>
        <w:rPr>
          <w:b/>
          <w:bCs/>
        </w:rPr>
        <w:t>Proofs.</w:t>
      </w:r>
      <w:r>
        <w:rPr/>
        <w:t xml:space="preserve"> SymbiYosys: no stale data is ever served after an external write; the coherence protocol cannot deadlock under fair arbitration.</w:t>
      </w:r>
    </w:p>
    <w:p>
      <w:pPr>
        <w:pStyle w:val="Compact"/>
        <w:numPr>
          <w:ilvl w:val="0"/>
          <w:numId w:val="8"/>
        </w:numPr>
        <w:rPr/>
      </w:pPr>
      <w:r>
        <w:rPr>
          <w:b/>
          <w:bCs/>
        </w:rPr>
        <w:t>Observation.</w:t>
      </w:r>
      <w:r>
        <w:rPr/>
        <w:t xml:space="preserve"> Every event class above visible on MonBus in simulation, and captured on at least one FPGA board.</w:t>
      </w:r>
    </w:p>
    <w:p>
      <w:pPr>
        <w:pStyle w:val="Compact"/>
        <w:numPr>
          <w:ilvl w:val="0"/>
          <w:numId w:val="8"/>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p>
    <w:p>
      <w:pPr>
        <w:pStyle w:val="Heading2"/>
        <w:pBdr>
          <w:bottom w:val="single" w:sz="12" w:space="0" w:color="228B22"/>
        </w:pBdr>
        <w:spacing w:before="280" w:after="80"/>
        <w:rPr/>
      </w:pPr>
      <w:bookmarkStart w:id="49" w:name="__RefHeading___Toc14758_888288119"/>
      <w:bookmarkStart w:id="50" w:name="non-goals"/>
      <w:bookmarkEnd w:id="49"/>
      <w:r>
        <w:rPr>
          <w:rStyle w:val="SectionNumber"/>
          <w:b/>
          <w:color w:val="228B22"/>
          <w:sz w:val="28"/>
        </w:rPr>
        <w:t>3.5</w:t>
      </w:r>
      <w:r>
        <w:rPr>
          <w:b/>
          <w:color w:val="228B22"/>
          <w:sz w:val="28"/>
        </w:rPr>
        <w:tab/>
        <w:t>5. Non-goals</w:t>
      </w:r>
    </w:p>
    <w:p>
      <w:pPr>
        <w:pStyle w:val="FirstParagraph"/>
        <w:rPr/>
      </w:pPr>
      <w:bookmarkStart w:id="51" w:name="non-goals"/>
      <w:r>
        <w:rPr>
          <w:sz w:val="20"/>
        </w:rPr>
        <w:t>Non-blocking / lockup-free miss handling (jet), directory-based coherence, L2/L3 or multi-level inclusion policies, ECC on cache arrays, virtual memory and TLB interaction, multi-port CPU issue. Each is a future IP or a future decision, not an amber requirement.</w:t>
      </w:r>
      <w:bookmarkEnd w:id="51"/>
    </w:p>
    <w:p>
      <w:pPr>
        <w:pStyle w:val="Heading2"/>
        <w:pBdr>
          <w:bottom w:val="single" w:sz="12" w:space="0" w:color="228B22"/>
        </w:pBdr>
        <w:spacing w:before="280" w:after="80"/>
        <w:rPr/>
      </w:pPr>
      <w:bookmarkStart w:id="52" w:name="__RefHeading___Toc14760_888288119"/>
      <w:bookmarkStart w:id="53" w:name="where-the-block-sits"/>
      <w:bookmarkEnd w:id="52"/>
      <w:r>
        <w:rPr>
          <w:rStyle w:val="SectionNumber"/>
          <w:b/>
          <w:color w:val="228B22"/>
          <w:sz w:val="28"/>
        </w:rPr>
        <w:t>3.6</w:t>
      </w:r>
      <w:r>
        <w:rPr>
          <w:b/>
          <w:color w:val="228B22"/>
          <w:sz w:val="28"/>
        </w:rPr>
        <w:tab/>
        <w:t>6. Where the block sits</w:t>
      </w:r>
    </w:p>
    <w:p>
      <w:pPr>
        <w:pStyle w:val="FirstParagraph"/>
        <w:rPr/>
      </w:pPr>
      <w:bookmarkStart w:id="54" w:name="amber-product-requirements-draft"/>
      <w:bookmarkStart w:id="55" w:name="where-the-block-sits"/>
      <w:r>
        <w:rPr>
          <w:sz w:val="20"/>
        </w:rPr>
        <w:t>Research cache on the AMBA fabric: CPU-side slave (D2), memory-side AXI4 masters (D3), snoop port toward onyx / peer caches (D4 — ACE-shaped AC/CD/CR, decided 2026-10-05), MonBus observation (D8). Standalone-testable with TB masters before any consumer exists (D10).</w:t>
      </w:r>
      <w:bookmarkEnd w:id="54"/>
      <w:bookmarkEnd w:id="55"/>
      <w:r>
        <w:br w:type="page"/>
      </w:r>
    </w:p>
    <w:p>
      <w:pPr>
        <w:pStyle w:val="Heading1"/>
        <w:shd w:val="clear" w:color="auto" w:fill="404040"/>
        <w:spacing w:before="360" w:after="120"/>
        <w:rPr/>
      </w:pPr>
      <w:bookmarkStart w:id="56" w:name="__RefHeading___Toc14762_888288119"/>
      <w:bookmarkStart w:id="57" w:name="X6f3f7f883da2864f02074517b189f62dc0ed17d"/>
      <w:bookmarkEnd w:id="56"/>
      <w:r>
        <w:rPr>
          <w:rStyle w:val="SectionNumber"/>
          <w:b/>
          <w:color w:val="FFFFFF"/>
          <w:sz w:val="32"/>
        </w:rPr>
        <w:t>4</w:t>
      </w:r>
      <w:r>
        <w:rPr>
          <w:b/>
          <w:color w:val="FFFFFF"/>
          <w:sz w:val="32"/>
        </w:rPr>
        <w:tab/>
        <w:t>Global Hard Requirements for RTL Design Sherpa</w:t>
      </w:r>
    </w:p>
    <w:p>
      <w:pPr>
        <w:pStyle w:val="FirstParagraph"/>
        <w:rPr/>
      </w:pPr>
      <w:r>
        <w:rPr>
          <w:b/>
          <w:bCs/>
          <w:sz w:val="20"/>
        </w:rPr>
        <w:t>Version:</w:t>
      </w:r>
      <w:r>
        <w:rPr>
          <w:sz w:val="20"/>
        </w:rPr>
        <w:t xml:space="preserve"> 1.0 </w:t>
      </w:r>
      <w:r>
        <w:rPr>
          <w:b/>
          <w:bCs/>
          <w:sz w:val="20"/>
        </w:rPr>
        <w:t>Created:</w:t>
      </w:r>
      <w:r>
        <w:rPr>
          <w:sz w:val="20"/>
        </w:rPr>
        <w:t xml:space="preserve"> 2025-10-31 </w:t>
      </w:r>
      <w:r>
        <w:rPr>
          <w:b/>
          <w:bCs/>
          <w:sz w:val="20"/>
        </w:rPr>
        <w:t>Purpose:</w:t>
      </w:r>
      <w:r>
        <w:rPr>
          <w:sz w:val="20"/>
        </w:rPr>
        <w:t xml:space="preserve"> Consolidated mandatory requirements extracted from all CLAUDE.md files</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8" w:name="__RefHeading___Toc14764_888288119"/>
      <w:bookmarkStart w:id="59" w:name="overview"/>
      <w:bookmarkEnd w:id="58"/>
      <w:r>
        <w:rPr>
          <w:rStyle w:val="SectionNumber"/>
          <w:b/>
          <w:color w:val="228B22"/>
          <w:sz w:val="28"/>
        </w:rPr>
        <w:t>4.1</w:t>
      </w:r>
      <w:r>
        <w:rPr>
          <w:b/>
          <w:color w:val="228B22"/>
          <w:sz w:val="28"/>
        </w:rPr>
        <w:tab/>
        <w:t>Overview</w:t>
      </w:r>
    </w:p>
    <w:p>
      <w:pPr>
        <w:pStyle w:val="FirstParagraph"/>
        <w:rPr/>
      </w:pPr>
      <w:r>
        <w:rPr>
          <w:sz w:val="20"/>
        </w:rPr>
        <w:t xml:space="preserve">This document consolidates all </w:t>
      </w:r>
      <w:r>
        <w:rPr>
          <w:b/>
          <w:bCs/>
          <w:sz w:val="20"/>
        </w:rPr>
        <w:t>MANDATORY</w:t>
      </w:r>
      <w:r>
        <w:rPr>
          <w:sz w:val="20"/>
        </w:rPr>
        <w:t xml:space="preserve"> requirements found across repository CLAUDE.md files. These are </w:t>
      </w:r>
      <w:r>
        <w:rPr>
          <w:b/>
          <w:bCs/>
          <w:sz w:val="20"/>
        </w:rPr>
        <w:t>HARD REQUIREMENTS</w:t>
      </w:r>
      <w:r>
        <w:rPr>
          <w:sz w:val="20"/>
        </w:rPr>
        <w:t xml:space="preserve"> that must be followed - not suggestions or guidelines.</w:t>
      </w:r>
    </w:p>
    <w:p>
      <w:pPr>
        <w:pStyle w:val="BodyText"/>
        <w:rPr/>
      </w:pPr>
      <w:r>
        <w:rPr>
          <w:b/>
          <w:bCs/>
          <w:sz w:val="20"/>
        </w:rPr>
        <w:t>Sources Analyzed:</w:t>
      </w:r>
      <w:r>
        <w:rPr>
          <w:sz w:val="20"/>
        </w:rPr>
        <w:t xml:space="preserve"> - Root </w:t>
      </w:r>
      <w:r>
        <w:rPr>
          <w:rStyle w:val="VerbatimChar"/>
          <w:sz w:val="20"/>
        </w:rPr>
        <w:t>/CLAUDE.md</w:t>
      </w:r>
      <w:r>
        <w:rPr>
          <w:sz w:val="20"/>
        </w:rPr>
        <w:t xml:space="preserve"> - </w:t>
      </w:r>
      <w:r>
        <w:rPr>
          <w:rStyle w:val="VerbatimChar"/>
          <w:sz w:val="20"/>
        </w:rPr>
        <w:t>projects/components/CLAUDE.md</w:t>
      </w:r>
      <w:r>
        <w:rPr>
          <w:sz w:val="20"/>
        </w:rPr>
        <w:t xml:space="preserve"> - </w:t>
      </w:r>
      <w:r>
        <w:rPr>
          <w:rStyle w:val="VerbatimChar"/>
          <w:sz w:val="20"/>
        </w:rPr>
        <w:t>projects/components/dma-ip/rapids/CLAUDE.md</w:t>
      </w:r>
      <w:r>
        <w:rPr>
          <w:sz w:val="20"/>
        </w:rPr>
        <w:t xml:space="preserve"> (cited below as </w:t>
      </w:r>
      <w:r>
        <w:rPr>
          <w:rStyle w:val="VerbatimChar"/>
          <w:sz w:val="20"/>
        </w:rPr>
        <w:t>rapids/CLAUDE.md</w:t>
      </w:r>
      <w:r>
        <w:rPr>
          <w:sz w:val="20"/>
        </w:rPr>
        <w:t xml:space="preserve">) - </w:t>
      </w:r>
      <w:r>
        <w:rPr>
          <w:rStyle w:val="VerbatimChar"/>
          <w:sz w:val="20"/>
        </w:rPr>
        <w:t>projects/components/dma-ip/stream/CLAUDE.md</w:t>
      </w:r>
      <w:r>
        <w:rPr>
          <w:sz w:val="20"/>
        </w:rPr>
        <w:t xml:space="preserve"> (cited below as </w:t>
      </w:r>
      <w:r>
        <w:rPr>
          <w:rStyle w:val="VerbatimChar"/>
          <w:sz w:val="20"/>
        </w:rPr>
        <w:t>stream/CLAUDE.md</w:t>
      </w:r>
      <w:r>
        <w:rPr>
          <w:sz w:val="20"/>
        </w:rPr>
        <w:t xml:space="preserve">) - </w:t>
      </w:r>
      <w:r>
        <w:rPr>
          <w:rStyle w:val="VerbatimChar"/>
          <w:sz w:val="20"/>
        </w:rPr>
        <w:t>rtl/amba/CLAUDE.md</w:t>
      </w:r>
      <w:r>
        <w:rPr>
          <w:sz w:val="20"/>
        </w:rPr>
        <w:t xml:space="preserve"> (cited below as </w:t>
      </w:r>
      <w:r>
        <w:rPr>
          <w:rStyle w:val="VerbatimChar"/>
          <w:sz w:val="20"/>
        </w:rPr>
        <w:t>amba/CLAUDE.md</w:t>
      </w:r>
      <w:r>
        <w:rPr>
          <w:sz w:val="20"/>
        </w:rPr>
        <w:t xml:space="preserve">) - </w:t>
      </w:r>
      <w:r>
        <w:rPr>
          <w:rStyle w:val="VerbatimChar"/>
          <w:sz w:val="20"/>
        </w:rPr>
        <w:t>rtl/common/CLAUDE.md</w:t>
      </w:r>
      <w:r>
        <w:rPr>
          <w:sz w:val="20"/>
        </w:rPr>
        <w:t xml:space="preserve"> - </w:t>
      </w:r>
      <w:r>
        <w:rPr>
          <w:rStyle w:val="VerbatimChar"/>
          <w:sz w:val="20"/>
        </w:rPr>
        <w:t>CocoTBFramework/CLAUDE.md</w:t>
      </w:r>
      <w:r>
        <w:rPr>
          <w:sz w:val="20"/>
        </w:rPr>
        <w:t xml:space="preserve"> - the DV framework guide, now maintained in the separate RTLDesignSherpa-DV repo (the framework is editable-installed into the venv)</w:t>
      </w:r>
    </w:p>
    <w:p>
      <w:pPr>
        <w:pStyle w:val="Normal"/>
        <w:rPr/>
      </w:pPr>
      <w:bookmarkStart w:id="60" w:name="overview"/>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
    </w:p>
    <w:p>
      <w:pPr>
        <w:pStyle w:val="Heading2"/>
        <w:pBdr>
          <w:bottom w:val="single" w:sz="12" w:space="0" w:color="228B22"/>
        </w:pBdr>
        <w:spacing w:before="280" w:after="80"/>
        <w:rPr/>
      </w:pPr>
      <w:bookmarkStart w:id="61" w:name="__RefHeading___Toc14766_888288119"/>
      <w:bookmarkStart w:id="62" w:name="category-1-rtl-standards"/>
      <w:bookmarkEnd w:id="61"/>
      <w:r>
        <w:rPr>
          <w:rStyle w:val="SectionNumber"/>
          <w:b/>
          <w:color w:val="228B22"/>
          <w:sz w:val="28"/>
        </w:rPr>
        <w:t>4.2</w:t>
      </w:r>
      <w:r>
        <w:rPr>
          <w:b/>
          <w:color w:val="228B22"/>
          <w:sz w:val="28"/>
        </w:rPr>
        <w:tab/>
        <w:t>Category 1: RTL Standards</w:t>
      </w:r>
    </w:p>
    <w:p>
      <w:pPr>
        <w:pStyle w:val="Heading3"/>
        <w:spacing w:before="200" w:after="80"/>
        <w:rPr/>
      </w:pPr>
      <w:bookmarkStart w:id="63" w:name="__RefHeading___Toc14768_888288119"/>
      <w:bookmarkStart w:id="64" w:name="reset-handling-mandatory---no-exceptions"/>
      <w:bookmarkEnd w:id="63"/>
      <w:r>
        <w:rPr>
          <w:rStyle w:val="SectionNumber"/>
          <w:b/>
          <w:color w:val="404040"/>
          <w:sz w:val="24"/>
        </w:rPr>
        <w:t>4.2.1</w:t>
      </w:r>
      <w:r>
        <w:rPr>
          <w:b/>
          <w:color w:val="404040"/>
          <w:sz w:val="24"/>
        </w:rPr>
        <w:tab/>
        <w:t>1.1 Reset Handling (MANDATORY - NO EXCEPTIONS)</w:t>
      </w:r>
    </w:p>
    <w:p>
      <w:pPr>
        <w:pStyle w:val="FirstParagraph"/>
        <w:rPr/>
      </w:pPr>
      <w:r>
        <w:rPr>
          <w:b/>
          <w:bCs/>
          <w:sz w:val="20"/>
        </w:rPr>
        <w:t>Requirement:</w:t>
      </w:r>
      <w:r>
        <w:rPr>
          <w:sz w:val="20"/>
        </w:rPr>
        <w:t xml:space="preserve"> ALL RTL in projects/components/ MUST use standardized reset macros</w:t>
      </w:r>
    </w:p>
    <w:p>
      <w:pPr>
        <w:pStyle w:val="BodyText"/>
        <w:rPr/>
      </w:pPr>
      <w:r>
        <w:rPr>
          <w:b/>
          <w:bCs/>
          <w:sz w:val="20"/>
        </w:rPr>
        <w:t>Pattern:</w:t>
      </w:r>
    </w:p>
    <w:p>
      <w:pPr>
        <w:pStyle w:val="SourceCode"/>
        <w:rPr/>
      </w:pPr>
      <w:r>
        <w:rPr>
          <w:rStyle w:val="OtherTok"/>
        </w:rPr>
        <w:t>`include</w:t>
      </w:r>
      <w:r>
        <w:rPr>
          <w:rStyle w:val="NormalTok"/>
        </w:rPr>
        <w:t xml:space="preserve"> </w:t>
      </w:r>
      <w:r>
        <w:rPr>
          <w:rStyle w:val="StringTok"/>
        </w:rPr>
        <w:t>"reset_defs.svh"</w:t>
      </w:r>
      <w:r>
        <w:rPr/>
        <w:b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NormalTok"/>
        </w:rPr>
        <w:t>)</w:t>
      </w:r>
    </w:p>
    <w:p>
      <w:pPr>
        <w:pStyle w:val="FirstParagraph"/>
        <w:rPr/>
      </w:pPr>
      <w:r>
        <w:rPr>
          <w:b/>
          <w:bCs/>
          <w:sz w:val="20"/>
        </w:rPr>
        <w:t>NOT Allowed:</w:t>
      </w:r>
    </w:p>
    <w:p>
      <w:pPr>
        <w:pStyle w:val="SourceCode"/>
        <w:rPr/>
      </w:pPr>
      <w:r>
        <w:rPr>
          <w:rStyle w:val="CommentTok"/>
        </w:rPr>
        <w:t>// WRONG - Manual reset handling</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KeywordTok"/>
        </w:rPr>
        <w:t>end</w:t>
      </w:r>
    </w:p>
    <w:p>
      <w:pPr>
        <w:pStyle w:val="FirstParagraph"/>
        <w:rPr/>
      </w:pPr>
      <w:r>
        <w:rPr>
          <w:b/>
          <w:bCs/>
          <w:sz w:val="20"/>
        </w:rPr>
        <w:t>Applies to:</w:t>
      </w:r>
      <w:r>
        <w:rPr>
          <w:sz w:val="20"/>
        </w:rPr>
        <w:t xml:space="preserve"> ALL synthesisable RTL – </w:t>
      </w:r>
      <w:r>
        <w:rPr>
          <w:rStyle w:val="VerbatimChar"/>
          <w:sz w:val="20"/>
        </w:rPr>
        <w:t>rtl/</w:t>
      </w:r>
      <w:r>
        <w:rPr>
          <w:sz w:val="20"/>
        </w:rPr>
        <w:t xml:space="preserve"> and </w:t>
      </w:r>
      <w:r>
        <w:rPr>
          <w:rStyle w:val="VerbatimChar"/>
          <w:sz w:val="20"/>
        </w:rPr>
        <w:t>projects/</w:t>
      </w:r>
      <w:r>
        <w:rPr>
          <w:sz w:val="20"/>
        </w:rPr>
        <w:t xml:space="preserve"> alike. </w:t>
      </w:r>
      <w:r>
        <w:rPr>
          <w:b/>
          <w:bCs/>
          <w:sz w:val="20"/>
        </w:rPr>
        <w:t>Source:</w:t>
      </w:r>
      <w:r>
        <w:rPr>
          <w:sz w:val="20"/>
        </w:rPr>
        <w:t xml:space="preserve"> </w:t>
      </w:r>
      <w:r>
        <w:rPr>
          <w:rStyle w:val="VerbatimChar"/>
          <w:sz w:val="20"/>
        </w:rPr>
        <w:t>projects/components/CLAUDE.md</w:t>
      </w:r>
      <w:r>
        <w:rPr>
          <w:sz w:val="20"/>
        </w:rPr>
        <w:t xml:space="preserve"> Rule #0, widened 2026-09-06 (Sean: “All flops should use the global macro”).</w:t>
      </w:r>
    </w:p>
    <w:p>
      <w:pPr>
        <w:pStyle w:val="BodyText"/>
        <w:rPr/>
      </w:pPr>
      <w:r>
        <w:rPr>
          <w:b/>
          <w:bCs/>
          <w:sz w:val="20"/>
        </w:rPr>
        <w:t>Reset is asynchronous on assertion. Always.</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still has to be synchronised externally.</w:t>
      </w:r>
    </w:p>
    <w:p>
      <w:pPr>
        <w:pStyle w:val="BodyText"/>
        <w:rPr/>
      </w:pPr>
      <w:r>
        <w:rPr>
          <w:b/>
          <w:bCs/>
          <w:sz w:val="20"/>
        </w:rPr>
        <w:t>The one exception, and it is structural:</w:t>
      </w:r>
      <w:r>
        <w:rPr>
          <w:sz w:val="20"/>
        </w:rPr>
        <w:t xml:space="preserve"> </w:t>
      </w:r>
      <w:r>
        <w:rPr>
          <w:rStyle w:val="VerbatimChar"/>
          <w:sz w:val="20"/>
        </w:rPr>
        <w:t>rtl/cdc/reset_sync.sv</w:t>
      </w:r>
      <w:r>
        <w:rPr>
          <w:sz w:val="20"/>
        </w:rPr>
        <w:t xml:space="preserve">. It is active-HIGH, which the macro cannot express without </w:t>
      </w:r>
      <w:r>
        <w:rPr>
          <w:rStyle w:val="VerbatimChar"/>
          <w:sz w:val="20"/>
        </w:rPr>
        <w:t>RESET_ACTIVE_HIGH</w:t>
      </w:r>
      <w:r>
        <w:rPr>
          <w:sz w:val="20"/>
        </w:rPr>
        <w:t xml:space="preserve"> set globally, so it keeps a raw </w:t>
      </w:r>
      <w:r>
        <w:rPr>
          <w:rStyle w:val="VerbatimChar"/>
          <w:sz w:val="20"/>
        </w:rPr>
        <w:t>always_ff</w:t>
      </w:r>
      <w:r>
        <w:rPr>
          <w:sz w:val="20"/>
        </w:rPr>
        <w:t>. Documented at the flop itself. If you add another, document it there too and say WHY – “it has always been like that” is not a reason.</w:t>
      </w:r>
    </w:p>
    <w:p>
      <w:pPr>
        <w:pStyle w:val="BodyText"/>
        <w:rPr/>
      </w:pPr>
      <w:r>
        <w:rPr>
          <w:b/>
          <w:bCs/>
          <w:sz w:val="20"/>
        </w:rPr>
        <w:t>“</w:t>
      </w:r>
      <w:r>
        <w:rPr>
          <w:b/>
          <w:bCs/>
          <w:sz w:val="20"/>
        </w:rPr>
        <w:t>Macro-free fork” is not a reason.</w:t>
      </w:r>
      <w:r>
        <w:rPr>
          <w:sz w:val="20"/>
        </w:rPr>
        <w:t xml:space="preserve"> Two trees claimed it and neither survived contact with evidence. </w:t>
      </w:r>
      <w:r>
        <w:rPr>
          <w:rStyle w:val="VerbatimChar"/>
          <w:sz w:val="20"/>
        </w:rPr>
        <w:t>timing_characterization/rtl/asic_only/</w:t>
      </w:r>
      <w:r>
        <w:rPr>
          <w:sz w:val="20"/>
        </w:rPr>
        <w:t xml:space="preserve"> was a 37-file duplicate of </w:t>
      </w:r>
      <w:r>
        <w:rPr>
          <w:rStyle w:val="VerbatimChar"/>
          <w:sz w:val="20"/>
        </w:rPr>
        <w:t>rtl/</w:t>
      </w:r>
      <w:r>
        <w:rPr>
          <w:sz w:val="20"/>
        </w:rPr>
        <w:t xml:space="preserve"> differing ONLY in reset spelling; synthesised through Yosys + slang against ASAP7 it produced a byte-identical mapped netlist (396 cells, 97 flops, every cell type matching), and the flow reading it still passed </w:t>
      </w:r>
      <w:r>
        <w:rPr>
          <w:rStyle w:val="VerbatimChar"/>
          <w:sz w:val="20"/>
        </w:rPr>
        <w:t>-DUSE_ASYNC_RESET</w:t>
      </w:r>
      <w:r>
        <w:rPr>
          <w:sz w:val="20"/>
        </w:rPr>
        <w:t xml:space="preserve">, a define meaningful only to the macro tree it was cloned from. </w:t>
      </w:r>
      <w:r>
        <w:rPr>
          <w:rStyle w:val="VerbatimChar"/>
          <w:sz w:val="20"/>
        </w:rPr>
        <w:t>formal/cdc/cdc_handshake/cdc_handshake_formal.sv</w:t>
      </w:r>
      <w:r>
        <w:rPr>
          <w:sz w:val="20"/>
        </w:rPr>
        <w:t xml:space="preserve"> claimed Yosys could not take the macro, while 92 other .sby units stage </w:t>
      </w:r>
      <w:r>
        <w:rPr>
          <w:rStyle w:val="VerbatimChar"/>
          <w:sz w:val="20"/>
        </w:rPr>
        <w:t>reset_defs.svh</w:t>
      </w:r>
      <w:r>
        <w:rPr>
          <w:sz w:val="20"/>
        </w:rPr>
        <w:t xml:space="preserve"> and read it with </w:t>
      </w:r>
      <w:r>
        <w:rPr>
          <w:rStyle w:val="VerbatimChar"/>
          <w:sz w:val="20"/>
        </w:rPr>
        <w:t>-Iincludes</w:t>
      </w:r>
      <w:r>
        <w:rPr>
          <w:sz w:val="20"/>
        </w:rPr>
        <w:t>; its own .sby had simply never staged it, and it now proves PASS with the macro. The macros exist to serve ASIC and FPGA both – that is the whole point of them – so a second copy of a module to spell reset differently is duplication, not portability. Deleted 2026-09-07.</w:t>
      </w:r>
    </w:p>
    <w:p>
      <w:pPr>
        <w:pStyle w:val="BodyText"/>
        <w:rPr/>
      </w:pPr>
      <w:r>
        <w:rPr>
          <w:b/>
          <w:bCs/>
          <w:sz w:val="20"/>
        </w:rPr>
        <w:t>Status:</w:t>
      </w:r>
      <w:r>
        <w:rPr>
          <w:sz w:val="20"/>
        </w:rPr>
        <w:t xml:space="preserve"> </w:t>
      </w:r>
      <w:r>
        <w:rPr>
          <w:rStyle w:val="VerbatimChar"/>
          <w:sz w:val="20"/>
        </w:rPr>
        <w:t>rtl/</w:t>
      </w:r>
      <w:r>
        <w:rPr>
          <w:sz w:val="20"/>
        </w:rPr>
        <w:t xml:space="preserve"> converted 2026-09-06 (45 blocks / 20 files; the claim that it was “already compliant” was wrong). </w:t>
      </w:r>
      <w:r>
        <w:rPr>
          <w:rStyle w:val="VerbatimChar"/>
          <w:sz w:val="20"/>
        </w:rPr>
        <w:t>projects/components/utility-ip/converters/</w:t>
      </w:r>
      <w:r>
        <w:rPr>
          <w:sz w:val="20"/>
        </w:rPr>
        <w:t xml:space="preserve"> done as projects/components/utility-ip/converters BUG-007 (was CONV-009). Hand-written RTL still outstanding elsewhere under </w:t>
      </w:r>
      <w:r>
        <w:rPr>
          <w:rStyle w:val="VerbatimChar"/>
          <w:sz w:val="20"/>
        </w:rPr>
        <w:t>projects/</w:t>
      </w:r>
      <w:r>
        <w:rPr>
          <w:sz w:val="20"/>
        </w:rPr>
        <w:t xml:space="preserve">, plus ~928 blocks in GENERATED files, which must be fixed at their generators and never in the emitted </w:t>
      </w:r>
      <w:r>
        <w:rPr>
          <w:rStyle w:val="VerbatimChar"/>
          <w:sz w:val="20"/>
        </w:rPr>
        <w:t>.sv</w:t>
      </w:r>
      <w:r>
        <w:rPr>
          <w:sz w:val="20"/>
        </w:rPr>
        <w:t>.</w:t>
      </w:r>
    </w:p>
    <w:p>
      <w:pPr>
        <w:pStyle w:val="Normal"/>
        <w:rPr/>
      </w:pPr>
      <w:bookmarkStart w:id="65" w:name="reset-handling-mandatory---no-exception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p>
    <w:p>
      <w:pPr>
        <w:pStyle w:val="Heading3"/>
        <w:spacing w:before="200" w:after="80"/>
        <w:rPr/>
      </w:pPr>
      <w:bookmarkStart w:id="66" w:name="__RefHeading___Toc14770_888288119"/>
      <w:bookmarkStart w:id="67" w:name="fpga-synthesis-attributes-mandatory"/>
      <w:bookmarkEnd w:id="66"/>
      <w:r>
        <w:rPr>
          <w:rStyle w:val="SectionNumber"/>
          <w:b/>
          <w:color w:val="404040"/>
          <w:sz w:val="24"/>
        </w:rPr>
        <w:t>4.2.2</w:t>
      </w:r>
      <w:r>
        <w:rPr>
          <w:b/>
          <w:color w:val="404040"/>
          <w:sz w:val="24"/>
        </w:rPr>
        <w:tab/>
        <w:t>1.2 FPGA Synthesis Attributes (MANDATORY)</w:t>
      </w:r>
    </w:p>
    <w:p>
      <w:pPr>
        <w:pStyle w:val="FirstParagraph"/>
        <w:rPr/>
      </w:pPr>
      <w:r>
        <w:rPr>
          <w:b/>
          <w:bCs/>
          <w:sz w:val="20"/>
        </w:rPr>
        <w:t>Requirement:</w:t>
      </w:r>
      <w:r>
        <w:rPr>
          <w:sz w:val="20"/>
        </w:rPr>
        <w:t xml:space="preserve"> ALL memory arrays MUST have FPGA synthesis hints</w:t>
      </w:r>
    </w:p>
    <w:p>
      <w:pPr>
        <w:pStyle w:val="BodyText"/>
        <w:rPr/>
      </w:pPr>
      <w:r>
        <w:rPr>
          <w:b/>
          <w:bCs/>
          <w:sz w:val="20"/>
        </w:rPr>
        <w:t>Pattern:</w:t>
      </w:r>
    </w:p>
    <w:p>
      <w:pPr>
        <w:pStyle w:val="SourceCode"/>
        <w:rPr/>
      </w:pPr>
      <w:r>
        <w:rPr>
          <w:rStyle w:val="OtherTok"/>
        </w:rPr>
        <w:t>`ifdef</w:t>
      </w:r>
      <w:r>
        <w:rPr>
          <w:rStyle w:val="NormalTok"/>
        </w:rPr>
        <w:t xml:space="preserve"> XILINX</w:t>
      </w:r>
      <w:r>
        <w:rPr/>
        <w:br/>
      </w:r>
      <w:r>
        <w:rPr>
          <w:rStyle w:val="NormalTok"/>
        </w:rPr>
        <w:t xml:space="preserve">    (* ram_style = </w:t>
      </w:r>
      <w:r>
        <w:rPr>
          <w:rStyle w:val="StringTok"/>
        </w:rPr>
        <w:t>"auto"</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ramstyle = "AUTO" */</w:t>
      </w:r>
      <w:r>
        <w:rPr/>
        <w:br/>
      </w:r>
      <w:r>
        <w:rPr>
          <w:rStyle w:val="OtherTok"/>
        </w:rPr>
        <w:t>`endif</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p>
    <w:p>
      <w:pPr>
        <w:pStyle w:val="FirstParagraph"/>
        <w:rPr/>
      </w:pPr>
      <w:r>
        <w:rPr>
          <w:b/>
          <w:bCs/>
          <w:sz w:val="20"/>
        </w:rPr>
        <w:t>Attributes:</w:t>
      </w:r>
      <w:r>
        <w:rPr>
          <w:sz w:val="20"/>
        </w:rPr>
        <w:t xml:space="preserve"> - Xilinx: </w:t>
      </w:r>
      <w:r>
        <w:rPr>
          <w:rStyle w:val="VerbatimChar"/>
          <w:sz w:val="20"/>
        </w:rPr>
        <w:t>ram_style = "auto" | "block" | "distributed" | "ultra"</w:t>
      </w:r>
      <w:r>
        <w:rPr>
          <w:sz w:val="20"/>
        </w:rPr>
        <w:t xml:space="preserve"> - Quartus: </w:t>
      </w:r>
      <w:r>
        <w:rPr>
          <w:rStyle w:val="VerbatimChar"/>
          <w:sz w:val="20"/>
        </w:rPr>
        <w:t>ramstyle = "AUTO" | "M20K" | "MLAB" | "logic"</w:t>
      </w:r>
    </w:p>
    <w:p>
      <w:pPr>
        <w:pStyle w:val="BodyText"/>
        <w:rPr/>
      </w:pPr>
      <w:r>
        <w:rPr>
          <w:b/>
          <w:bCs/>
          <w:sz w:val="20"/>
        </w:rPr>
        <w:t>Applies to:</w:t>
      </w:r>
      <w:r>
        <w:rPr>
          <w:sz w:val="20"/>
        </w:rPr>
        <w:t xml:space="preserve"> All memory array declarations </w:t>
      </w:r>
      <w:r>
        <w:rPr>
          <w:b/>
          <w:bCs/>
          <w:sz w:val="20"/>
        </w:rPr>
        <w:t>Source:</w:t>
      </w:r>
      <w:r>
        <w:rPr>
          <w:sz w:val="20"/>
        </w:rPr>
        <w:t xml:space="preserve"> </w:t>
      </w:r>
      <w:r>
        <w:rPr>
          <w:rStyle w:val="VerbatimChar"/>
          <w:sz w:val="20"/>
        </w:rPr>
        <w:t>projects/components/CLAUDE.md</w:t>
      </w:r>
      <w:r>
        <w:rPr>
          <w:sz w:val="20"/>
        </w:rPr>
        <w:t xml:space="preserve"> Rule #1</w:t>
      </w:r>
    </w:p>
    <w:p>
      <w:pPr>
        <w:pStyle w:val="Normal"/>
        <w:rPr/>
      </w:pPr>
      <w:bookmarkStart w:id="68" w:name="fpga-synthesis-attributes-mandatory"/>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
    </w:p>
    <w:p>
      <w:pPr>
        <w:pStyle w:val="Heading3"/>
        <w:spacing w:before="200" w:after="80"/>
        <w:rPr/>
      </w:pPr>
      <w:bookmarkStart w:id="69" w:name="__RefHeading___Toc14772_888288119"/>
      <w:bookmarkStart w:id="70" w:name="array-syntax-standard-mandatory"/>
      <w:bookmarkEnd w:id="69"/>
      <w:r>
        <w:rPr>
          <w:rStyle w:val="SectionNumber"/>
          <w:b/>
          <w:color w:val="404040"/>
          <w:sz w:val="24"/>
        </w:rPr>
        <w:t>4.2.3</w:t>
      </w:r>
      <w:r>
        <w:rPr>
          <w:b/>
          <w:color w:val="404040"/>
          <w:sz w:val="24"/>
        </w:rPr>
        <w:tab/>
        <w:t>1.3 Array Syntax Standard (MANDATORY)</w:t>
      </w:r>
    </w:p>
    <w:p>
      <w:pPr>
        <w:pStyle w:val="FirstParagraph"/>
        <w:rPr/>
      </w:pPr>
      <w:r>
        <w:rPr>
          <w:b/>
          <w:bCs/>
          <w:sz w:val="20"/>
        </w:rPr>
        <w:t>Requirement:</w:t>
      </w:r>
      <w:r>
        <w:rPr>
          <w:sz w:val="20"/>
        </w:rPr>
        <w:t xml:space="preserve"> Use </w:t>
      </w:r>
      <w:r>
        <w:rPr>
          <w:rStyle w:val="VerbatimChar"/>
          <w:sz w:val="20"/>
        </w:rPr>
        <w:t>[DEPTH]</w:t>
      </w:r>
      <w:r>
        <w:rPr>
          <w:sz w:val="20"/>
        </w:rPr>
        <w:t xml:space="preserve"> NOT </w:t>
      </w:r>
      <w:r>
        <w:rPr>
          <w:rStyle w:val="VerbatimChar"/>
          <w:sz w:val="20"/>
        </w:rPr>
        <w:t>[0:DEPTH-1]</w:t>
      </w:r>
    </w:p>
    <w:p>
      <w:pPr>
        <w:pStyle w:val="BodyText"/>
        <w:rPr/>
      </w:pPr>
      <w:r>
        <w:rPr>
          <w:b/>
          <w:bCs/>
          <w:sz w:val="20"/>
        </w:rPr>
        <w:t>Pattern:</w:t>
      </w:r>
    </w:p>
    <w:p>
      <w:pPr>
        <w:pStyle w:val="SourceCode"/>
        <w:rPr/>
      </w:pPr>
      <w:r>
        <w:rPr>
          <w:rStyle w:val="CommentTok"/>
        </w:rPr>
        <w:t>// CORRECT</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r>
        <w:rPr/>
        <w:br/>
        <w:br/>
      </w:r>
      <w:r>
        <w:rPr>
          <w:rStyle w:val="CommentTok"/>
        </w:rPr>
        <w:t>// WRONG</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w:t>
      </w:r>
      <w:r>
        <w:rPr>
          <w:rStyle w:val="DecValTok"/>
        </w:rPr>
        <w:t>0</w:t>
      </w:r>
      <w:r>
        <w:rPr>
          <w:rStyle w:val="NormalTok"/>
        </w:rPr>
        <w:t>:DEPTH</w:t>
      </w:r>
      <w:r>
        <w:rPr>
          <w:rStyle w:val="DecValTok"/>
        </w:rPr>
        <w:t>-1</w:t>
      </w:r>
      <w:r>
        <w:rPr>
          <w:rStyle w:val="NormalTok"/>
        </w:rPr>
        <w:t>];</w:t>
      </w:r>
    </w:p>
    <w:p>
      <w:pPr>
        <w:pStyle w:val="FirstParagraph"/>
        <w:rPr/>
      </w:pPr>
      <w:r>
        <w:rPr>
          <w:b/>
          <w:bCs/>
          <w:sz w:val="20"/>
        </w:rPr>
        <w:t>Reason:</w:t>
      </w:r>
      <w:r>
        <w:rPr>
          <w:sz w:val="20"/>
        </w:rPr>
        <w:t xml:space="preserve"> Iverilog compatibility, cleaner syntax </w:t>
      </w:r>
      <w:r>
        <w:rPr>
          <w:b/>
          <w:bCs/>
          <w:sz w:val="20"/>
        </w:rPr>
        <w:t>Applies to:</w:t>
      </w:r>
      <w:r>
        <w:rPr>
          <w:sz w:val="20"/>
        </w:rPr>
        <w:t xml:space="preserve"> All unpacked array declarations </w:t>
      </w:r>
      <w:r>
        <w:rPr>
          <w:b/>
          <w:bCs/>
          <w:sz w:val="20"/>
        </w:rPr>
        <w:t>Source:</w:t>
      </w:r>
      <w:r>
        <w:rPr>
          <w:sz w:val="20"/>
        </w:rPr>
        <w:t xml:space="preserve"> </w:t>
      </w:r>
      <w:r>
        <w:rPr>
          <w:rStyle w:val="VerbatimChar"/>
          <w:sz w:val="20"/>
        </w:rPr>
        <w:t>projects/components/CLAUDE.md</w:t>
      </w:r>
      <w:r>
        <w:rPr>
          <w:sz w:val="20"/>
        </w:rPr>
        <w:t xml:space="preserve"> Rule #2</w:t>
      </w:r>
    </w:p>
    <w:p>
      <w:pPr>
        <w:pStyle w:val="Normal"/>
        <w:rPr/>
      </w:pPr>
      <w:bookmarkStart w:id="71" w:name="array-syntax-standard-mandatory"/>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p>
    <w:p>
      <w:pPr>
        <w:pStyle w:val="Heading3"/>
        <w:spacing w:before="200" w:after="80"/>
        <w:rPr/>
      </w:pPr>
      <w:bookmarkStart w:id="72" w:name="__RefHeading___Toc14774_888288119"/>
      <w:bookmarkStart w:id="73" w:name="sram-module-standards-mandatory"/>
      <w:bookmarkEnd w:id="72"/>
      <w:r>
        <w:rPr>
          <w:rStyle w:val="SectionNumber"/>
          <w:b/>
          <w:color w:val="404040"/>
          <w:sz w:val="24"/>
        </w:rPr>
        <w:t>4.2.4</w:t>
      </w:r>
      <w:r>
        <w:rPr>
          <w:b/>
          <w:color w:val="404040"/>
          <w:sz w:val="24"/>
        </w:rPr>
        <w:tab/>
        <w:t>1.4 SRAM Module Standards (MANDATORY)</w:t>
      </w:r>
    </w:p>
    <w:p>
      <w:pPr>
        <w:pStyle w:val="FirstParagraph"/>
        <w:rPr/>
      </w:pPr>
      <w:r>
        <w:rPr>
          <w:b/>
          <w:bCs/>
          <w:sz w:val="20"/>
        </w:rPr>
        <w:t>Requirement:</w:t>
      </w:r>
      <w:r>
        <w:rPr>
          <w:sz w:val="20"/>
        </w:rPr>
        <w:t xml:space="preserve"> SRAM modules DO NOT have reset ports</w:t>
      </w:r>
    </w:p>
    <w:p>
      <w:pPr>
        <w:pStyle w:val="BodyText"/>
        <w:rPr/>
      </w:pPr>
      <w:r>
        <w:rPr>
          <w:b/>
          <w:bCs/>
          <w:sz w:val="20"/>
        </w:rPr>
        <w:t>Pattern:</w:t>
      </w:r>
    </w:p>
    <w:p>
      <w:pPr>
        <w:pStyle w:val="SourceCode"/>
        <w:rPr/>
      </w:pPr>
      <w:r>
        <w:rPr>
          <w:rStyle w:val="KeywordTok"/>
        </w:rPr>
        <w:t>module</w:t>
      </w:r>
      <w:r>
        <w:rPr>
          <w:rStyle w:val="NormalTok"/>
        </w:rPr>
        <w:t xml:space="preserve"> simple_sram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DEPTH = </w:t>
      </w:r>
      <w:r>
        <w:rPr>
          <w:rStyle w:val="DecValTok"/>
        </w:rPr>
        <w:t>1024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CommentTok"/>
        </w:rPr>
        <w:t>// NO rst_n port!</w:t>
      </w:r>
      <w:r>
        <w:rPr/>
        <w:br/>
      </w:r>
      <w:r>
        <w:rPr>
          <w:rStyle w:val="NormalTok"/>
        </w:rPr>
        <w:t xml:space="preserve">    </w:t>
      </w:r>
      <w:r>
        <w:rPr>
          <w:rStyle w:val="CommentTok"/>
        </w:rPr>
        <w:t>// ... other ports</w:t>
      </w:r>
      <w:r>
        <w:rPr/>
        <w:br/>
      </w:r>
      <w:r>
        <w:rPr>
          <w:rStyle w:val="NormalTok"/>
        </w:rPr>
        <w:t>);</w:t>
      </w:r>
    </w:p>
    <w:p>
      <w:pPr>
        <w:pStyle w:val="FirstParagraph"/>
        <w:rPr/>
      </w:pPr>
      <w:r>
        <w:rPr>
          <w:b/>
          <w:bCs/>
          <w:sz w:val="20"/>
        </w:rPr>
        <w:t>Reason:</w:t>
      </w:r>
      <w:r>
        <w:rPr>
          <w:sz w:val="20"/>
        </w:rPr>
        <w:t xml:space="preserve"> - Real SRAM chips don’t have reset pins - FPGA block RAM doesn’t reset contents - Initialize via writes during system init</w:t>
      </w:r>
    </w:p>
    <w:p>
      <w:pPr>
        <w:pStyle w:val="BodyText"/>
        <w:rPr/>
      </w:pPr>
      <w:r>
        <w:rPr>
          <w:b/>
          <w:bCs/>
          <w:sz w:val="20"/>
        </w:rPr>
        <w:t>Applies to:</w:t>
      </w:r>
      <w:r>
        <w:rPr>
          <w:sz w:val="20"/>
        </w:rPr>
        <w:t xml:space="preserve"> All SRAM/memory modules </w:t>
      </w:r>
      <w:r>
        <w:rPr>
          <w:b/>
          <w:bCs/>
          <w:sz w:val="20"/>
        </w:rPr>
        <w:t>Source:</w:t>
      </w:r>
      <w:r>
        <w:rPr>
          <w:sz w:val="20"/>
        </w:rPr>
        <w:t xml:space="preserve"> </w:t>
      </w:r>
      <w:r>
        <w:rPr>
          <w:rStyle w:val="VerbatimChar"/>
          <w:sz w:val="20"/>
        </w:rPr>
        <w:t>projects/components/CLAUDE.md</w:t>
      </w:r>
      <w:r>
        <w:rPr>
          <w:sz w:val="20"/>
        </w:rPr>
        <w:t xml:space="preserve"> Rule #3</w:t>
      </w:r>
    </w:p>
    <w:p>
      <w:pPr>
        <w:pStyle w:val="Normal"/>
        <w:rPr/>
      </w:pPr>
      <w:bookmarkStart w:id="74" w:name="sram-module-standards-mandatory"/>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p>
    <w:p>
      <w:pPr>
        <w:pStyle w:val="Heading3"/>
        <w:spacing w:before="200" w:after="80"/>
        <w:rPr/>
      </w:pPr>
      <w:bookmarkStart w:id="75" w:name="__RefHeading___Toc14776_888288119"/>
      <w:bookmarkStart w:id="76" w:name="reset-convention-standard"/>
      <w:bookmarkEnd w:id="75"/>
      <w:r>
        <w:rPr>
          <w:rStyle w:val="SectionNumber"/>
          <w:b/>
          <w:color w:val="404040"/>
          <w:sz w:val="24"/>
        </w:rPr>
        <w:t>4.2.5</w:t>
      </w:r>
      <w:r>
        <w:rPr>
          <w:b/>
          <w:color w:val="404040"/>
          <w:sz w:val="24"/>
        </w:rPr>
        <w:tab/>
        <w:t>1.5 Reset Convention (STANDARD)</w:t>
      </w:r>
    </w:p>
    <w:p>
      <w:pPr>
        <w:pStyle w:val="FirstParagraph"/>
        <w:rPr/>
      </w:pPr>
      <w:r>
        <w:rPr>
          <w:b/>
          <w:bCs/>
          <w:sz w:val="20"/>
        </w:rPr>
        <w:t>Requirement:</w:t>
      </w:r>
      <w:r>
        <w:rPr>
          <w:sz w:val="20"/>
        </w:rPr>
        <w:t xml:space="preserve"> ALWAYS use active-low asynchronous reset</w:t>
      </w:r>
    </w:p>
    <w:p>
      <w:pPr>
        <w:pStyle w:val="BodyText"/>
        <w:rPr/>
      </w:pPr>
      <w:r>
        <w:rPr>
          <w:b/>
          <w:bCs/>
          <w:sz w:val="20"/>
        </w:rPr>
        <w:t>Signal Names:</w:t>
      </w:r>
      <w:r>
        <w:rPr>
          <w:sz w:val="20"/>
        </w:rPr>
        <w:t xml:space="preserve"> - </w:t>
      </w:r>
      <w:r>
        <w:rPr>
          <w:rStyle w:val="VerbatimChar"/>
          <w:sz w:val="20"/>
        </w:rPr>
        <w:t>rst_n</w:t>
      </w:r>
      <w:r>
        <w:rPr>
          <w:sz w:val="20"/>
        </w:rPr>
        <w:t xml:space="preserve"> - Active-low reset (projects/components/) - </w:t>
      </w:r>
      <w:r>
        <w:rPr>
          <w:rStyle w:val="VerbatimChar"/>
          <w:sz w:val="20"/>
        </w:rPr>
        <w:t>aresetn</w:t>
      </w:r>
      <w:r>
        <w:rPr>
          <w:sz w:val="20"/>
        </w:rPr>
        <w:t xml:space="preserve"> - Active-low asynchronous reset (AMBA standard) - </w:t>
      </w:r>
      <w:r>
        <w:rPr>
          <w:rStyle w:val="VerbatimChar"/>
          <w:sz w:val="20"/>
        </w:rPr>
        <w:t>i_rst_n</w:t>
      </w:r>
      <w:r>
        <w:rPr>
          <w:sz w:val="20"/>
        </w:rPr>
        <w:t xml:space="preserve"> - Active-low reset (rtl/common/)</w:t>
      </w:r>
    </w:p>
    <w:p>
      <w:pPr>
        <w:pStyle w:val="BodyText"/>
        <w:rPr/>
      </w:pPr>
      <w:r>
        <w:rPr>
          <w:b/>
          <w:bCs/>
          <w:sz w:val="20"/>
        </w:rPr>
        <w:t>NOT Allowed:</w:t>
      </w:r>
      <w:r>
        <w:rPr>
          <w:sz w:val="20"/>
        </w:rPr>
        <w:t xml:space="preserve"> - </w:t>
      </w:r>
      <w:r>
        <w:rPr>
          <w:rStyle w:val="VerbatimChar"/>
          <w:sz w:val="20"/>
        </w:rPr>
        <w:t>rst</w:t>
      </w:r>
      <w:r>
        <w:rPr>
          <w:sz w:val="20"/>
        </w:rPr>
        <w:t xml:space="preserve"> (positive reset) - </w:t>
      </w:r>
      <w:r>
        <w:rPr>
          <w:rStyle w:val="VerbatimChar"/>
          <w:sz w:val="20"/>
        </w:rPr>
        <w:t>reset</w:t>
      </w:r>
      <w:r>
        <w:rPr>
          <w:sz w:val="20"/>
        </w:rPr>
        <w:t xml:space="preserve"> (ambiguous polarity)</w:t>
      </w:r>
    </w:p>
    <w:p>
      <w:pPr>
        <w:pStyle w:val="BodyText"/>
        <w:rPr/>
      </w:pPr>
      <w:r>
        <w:rPr>
          <w:b/>
          <w:bCs/>
          <w:sz w:val="20"/>
        </w:rPr>
        <w:t>Applies to:</w:t>
      </w:r>
      <w:r>
        <w:rPr>
          <w:sz w:val="20"/>
        </w:rPr>
        <w:t xml:space="preserve"> All RTL modules </w:t>
      </w:r>
      <w:r>
        <w:rPr>
          <w:b/>
          <w:bCs/>
          <w:sz w:val="20"/>
        </w:rPr>
        <w:t>Source:</w:t>
      </w:r>
      <w:r>
        <w:rPr>
          <w:sz w:val="20"/>
        </w:rPr>
        <w:t xml:space="preserve"> Root </w:t>
      </w:r>
      <w:r>
        <w:rPr>
          <w:rStyle w:val="VerbatimChar"/>
          <w:sz w:val="20"/>
        </w:rPr>
        <w:t>/CLAUDE.md</w:t>
      </w:r>
      <w:r>
        <w:rPr>
          <w:sz w:val="20"/>
        </w:rPr>
        <w:t xml:space="preserve">, </w:t>
      </w:r>
      <w:r>
        <w:rPr>
          <w:rStyle w:val="VerbatimChar"/>
          <w:sz w:val="20"/>
        </w:rPr>
        <w:t>rtl/common/CLAUDE.md</w:t>
      </w:r>
      <w:r>
        <w:rPr>
          <w:sz w:val="20"/>
        </w:rPr>
        <w:t xml:space="preserve"> Rule #3</w:t>
      </w:r>
    </w:p>
    <w:p>
      <w:pPr>
        <w:pStyle w:val="Normal"/>
        <w:rPr/>
      </w:pPr>
      <w:bookmarkStart w:id="77" w:name="category-1-rtl-standards"/>
      <w:bookmarkStart w:id="78" w:name="reset-convention-standard"/>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bookmarkEnd w:id="78"/>
    </w:p>
    <w:p>
      <w:pPr>
        <w:pStyle w:val="Heading2"/>
        <w:pBdr>
          <w:bottom w:val="single" w:sz="12" w:space="0" w:color="228B22"/>
        </w:pBdr>
        <w:spacing w:before="280" w:after="80"/>
        <w:rPr/>
      </w:pPr>
      <w:bookmarkStart w:id="79" w:name="__RefHeading___Toc14778_888288119"/>
      <w:bookmarkStart w:id="80" w:name="category-2-testbench-architecture"/>
      <w:bookmarkEnd w:id="79"/>
      <w:r>
        <w:rPr>
          <w:rStyle w:val="SectionNumber"/>
          <w:b/>
          <w:color w:val="228B22"/>
          <w:sz w:val="28"/>
        </w:rPr>
        <w:t>4.3</w:t>
      </w:r>
      <w:r>
        <w:rPr>
          <w:b/>
          <w:color w:val="228B22"/>
          <w:sz w:val="28"/>
        </w:rPr>
        <w:tab/>
        <w:t>Category 2: Testbench Architecture</w:t>
      </w:r>
    </w:p>
    <w:p>
      <w:pPr>
        <w:pStyle w:val="Heading3"/>
        <w:spacing w:before="200" w:after="80"/>
        <w:rPr/>
      </w:pPr>
      <w:bookmarkStart w:id="81" w:name="__RefHeading___Toc14780_888288119"/>
      <w:bookmarkStart w:id="82" w:name="tb-location-requirements-mandatory"/>
      <w:bookmarkEnd w:id="81"/>
      <w:r>
        <w:rPr>
          <w:rStyle w:val="SectionNumber"/>
          <w:b/>
          <w:color w:val="404040"/>
          <w:sz w:val="24"/>
        </w:rPr>
        <w:t>4.3.1</w:t>
      </w:r>
      <w:r>
        <w:rPr>
          <w:b/>
          <w:color w:val="404040"/>
          <w:sz w:val="24"/>
        </w:rPr>
        <w:tab/>
        <w:t>2.1 TB Location Requirements (MANDATORY)</w:t>
      </w:r>
    </w:p>
    <w:p>
      <w:pPr>
        <w:pStyle w:val="FirstParagraph"/>
        <w:rPr/>
      </w:pPr>
      <w:r>
        <w:rPr>
          <w:b/>
          <w:bCs/>
          <w:sz w:val="20"/>
        </w:rPr>
        <w:t>Requirement:</w:t>
      </w:r>
      <w:r>
        <w:rPr>
          <w:sz w:val="20"/>
        </w:rPr>
        <w:t xml:space="preserve"> Project-specific TB classes MUST be in project area, NOT framework</w:t>
      </w:r>
    </w:p>
    <w:p>
      <w:pPr>
        <w:pStyle w:val="BodyText"/>
        <w:rPr/>
      </w:pPr>
      <w:r>
        <w:rPr>
          <w:b/>
          <w:bCs/>
          <w:sz w:val="20"/>
        </w:rPr>
        <w:t>Directory Structure:</w:t>
      </w:r>
    </w:p>
    <w:p>
      <w:pPr>
        <w:pStyle w:val="SourceCode"/>
        <w:rPr/>
      </w:pPr>
      <w:r>
        <w:rPr>
          <w:rStyle w:val="VerbatimChar"/>
        </w:rPr>
        <w:t>CORRECT:</w:t>
      </w:r>
      <w:r>
        <w:rPr/>
        <w:br/>
      </w:r>
      <w:r>
        <w:rPr>
          <w:rStyle w:val="VerbatimChar"/>
        </w:rPr>
        <w:t>projects/components/{name}/dv/tbclasses/{module}_tb.py</w:t>
      </w:r>
      <w:r>
        <w:rPr/>
        <w:br/>
        <w:br/>
      </w:r>
      <w:r>
        <w:rPr>
          <w:rStyle w:val="VerbatimChar"/>
        </w:rPr>
        <w:t>WRONG:</w:t>
      </w:r>
      <w:r>
        <w:rPr/>
        <w:br/>
      </w:r>
      <w:r>
        <w:rPr>
          <w:rStyle w:val="VerbatimChar"/>
        </w:rPr>
        <w:t>bin/TBClasses/{name}/{module}_tb.py</w:t>
      </w:r>
    </w:p>
    <w:p>
      <w:pPr>
        <w:pStyle w:val="FirstParagraph"/>
        <w:rPr/>
      </w:pPr>
      <w:r>
        <w:rPr>
          <w:b/>
          <w:bCs/>
          <w:sz w:val="20"/>
        </w:rPr>
        <w:t>Import Pattern:</w:t>
      </w:r>
    </w:p>
    <w:p>
      <w:pPr>
        <w:pStyle w:val="SourceCode"/>
        <w:rPr/>
      </w:pPr>
      <w:r>
        <w:rPr>
          <w:rStyle w:val="CommentTok"/>
        </w:rPr>
        <w:t># Add repo root to path</w:t>
      </w:r>
      <w:r>
        <w:rPr/>
        <w:br/>
      </w:r>
      <w:r>
        <w:rPr>
          <w:rStyle w:val="ImportTok"/>
        </w:rPr>
        <w:t>import</w:t>
      </w:r>
      <w:r>
        <w:rPr>
          <w:rStyle w:val="NormalTok"/>
        </w:rPr>
        <w:t xml:space="preserve"> os, sys</w:t>
      </w:r>
      <w:r>
        <w:rPr/>
        <w:br/>
      </w:r>
      <w:r>
        <w:rPr>
          <w:rStyle w:val="NormalTok"/>
        </w:rPr>
        <w:t xml:space="preserve">repo_root </w:t>
      </w:r>
      <w:r>
        <w:rPr>
          <w:rStyle w:val="OperatorTok"/>
        </w:rPr>
        <w:t>=</w:t>
      </w:r>
      <w:r>
        <w:rPr>
          <w:rStyle w:val="NormalTok"/>
        </w:rPr>
        <w:t xml:space="preserve"> os.path.abspath(os.path.join(os.path.dirname(</w:t>
      </w:r>
      <w:r>
        <w:rPr>
          <w:rStyle w:val="VariableTok"/>
        </w:rPr>
        <w:t>__file__</w:t>
      </w:r>
      <w:r>
        <w:rPr>
          <w:rStyle w:val="NormalTok"/>
        </w:rPr>
        <w:t xml:space="preserve">), </w:t>
      </w:r>
      <w:r>
        <w:rPr>
          <w:rStyle w:val="StringTok"/>
        </w:rPr>
        <w:t>'../../../../../..'</w:t>
      </w:r>
      <w:r>
        <w:rPr>
          <w:rStyle w:val="NormalTok"/>
        </w:rPr>
        <w:t>))</w:t>
      </w:r>
      <w:r>
        <w:rPr/>
        <w:br/>
      </w:r>
      <w:r>
        <w:rPr>
          <w:rStyle w:val="NormalTok"/>
        </w:rPr>
        <w:t>sys.path.insert(</w:t>
      </w:r>
      <w:r>
        <w:rPr>
          <w:rStyle w:val="DecValTok"/>
        </w:rPr>
        <w:t>0</w:t>
      </w:r>
      <w:r>
        <w:rPr>
          <w:rStyle w:val="NormalTok"/>
        </w:rPr>
        <w:t>, repo_root)</w:t>
      </w:r>
      <w:r>
        <w:rPr/>
        <w:br/>
        <w:br/>
      </w:r>
      <w:r>
        <w:rPr>
          <w:rStyle w:val="CommentTok"/>
        </w:rPr>
        <w:t># Import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br/>
      </w:r>
      <w:r>
        <w:rPr>
          <w:rStyle w:val="CommentTok"/>
        </w:rPr>
        <w:t># Shared framework utilities</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Applies to:</w:t>
      </w:r>
      <w:r>
        <w:rPr>
          <w:sz w:val="20"/>
        </w:rPr>
        <w:t xml:space="preserve"> ALL project-specific testbenches </w:t>
      </w:r>
      <w:r>
        <w:rPr>
          <w:b/>
          <w:bCs/>
          <w:sz w:val="20"/>
        </w:rPr>
        <w:t>Source:</w:t>
      </w:r>
      <w:r>
        <w:rPr>
          <w:sz w:val="20"/>
        </w:rPr>
        <w:t xml:space="preserve"> Root </w:t>
      </w:r>
      <w:r>
        <w:rPr>
          <w:rStyle w:val="VerbatimChar"/>
          <w:sz w:val="20"/>
        </w:rPr>
        <w:t>/CLAUDE.md</w:t>
      </w:r>
      <w:r>
        <w:rPr>
          <w:sz w:val="20"/>
        </w:rPr>
        <w:t xml:space="preserve">, </w:t>
      </w:r>
      <w:r>
        <w:rPr>
          <w:rStyle w:val="VerbatimChar"/>
          <w:sz w:val="20"/>
        </w:rPr>
        <w:t>projects/components/CLAUDE.md</w:t>
      </w:r>
      <w:r>
        <w:rPr>
          <w:sz w:val="20"/>
        </w:rPr>
        <w:t xml:space="preserve"> Rule #4, </w:t>
      </w:r>
      <w:r>
        <w:rPr>
          <w:rStyle w:val="VerbatimChar"/>
          <w:sz w:val="20"/>
        </w:rPr>
        <w:t>rapids/CLAUDE.md</w:t>
      </w:r>
      <w:r>
        <w:rPr>
          <w:sz w:val="20"/>
        </w:rPr>
        <w:t xml:space="preserve"> Rule #0.1, </w:t>
      </w:r>
      <w:r>
        <w:rPr>
          <w:rStyle w:val="VerbatimChar"/>
          <w:sz w:val="20"/>
        </w:rPr>
        <w:t>stream/CLAUDE.md</w:t>
      </w:r>
      <w:r>
        <w:rPr>
          <w:sz w:val="20"/>
        </w:rPr>
        <w:t xml:space="preserve"> Rule #0.1, </w:t>
      </w:r>
      <w:r>
        <w:rPr>
          <w:rStyle w:val="VerbatimChar"/>
          <w:sz w:val="20"/>
        </w:rPr>
        <w:t>amba/CLAUDE.md</w:t>
      </w:r>
      <w:r>
        <w:rPr>
          <w:sz w:val="20"/>
        </w:rPr>
        <w:t xml:space="preserve"> Rule #0</w:t>
      </w:r>
    </w:p>
    <w:p>
      <w:pPr>
        <w:pStyle w:val="Normal"/>
        <w:rPr/>
      </w:pPr>
      <w:bookmarkStart w:id="83" w:name="tb-location-requirements-mandatory"/>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
    </w:p>
    <w:p>
      <w:pPr>
        <w:pStyle w:val="Heading3"/>
        <w:spacing w:before="200" w:after="80"/>
        <w:rPr/>
      </w:pPr>
      <w:bookmarkStart w:id="84" w:name="__RefHeading___Toc14782_888288119"/>
      <w:bookmarkStart w:id="85" w:name="three-mandatory-tb-methods-mandatory"/>
      <w:bookmarkEnd w:id="84"/>
      <w:r>
        <w:rPr>
          <w:rStyle w:val="SectionNumber"/>
          <w:b/>
          <w:color w:val="404040"/>
          <w:sz w:val="24"/>
        </w:rPr>
        <w:t>4.3.2</w:t>
      </w:r>
      <w:r>
        <w:rPr>
          <w:b/>
          <w:color w:val="404040"/>
          <w:sz w:val="24"/>
        </w:rPr>
        <w:tab/>
        <w:t>2.2 Three Mandatory TB Methods (MANDATORY)</w:t>
      </w:r>
    </w:p>
    <w:p>
      <w:pPr>
        <w:pStyle w:val="FirstParagraph"/>
        <w:rPr/>
      </w:pPr>
      <w:r>
        <w:rPr>
          <w:b/>
          <w:bCs/>
          <w:sz w:val="20"/>
        </w:rPr>
        <w:t>Requirement:</w:t>
      </w:r>
      <w:r>
        <w:rPr>
          <w:sz w:val="20"/>
        </w:rPr>
        <w:t xml:space="preserve"> EVERY testbench class MUST implement these three methods</w:t>
      </w:r>
    </w:p>
    <w:p>
      <w:pPr>
        <w:pStyle w:val="BodyText"/>
        <w:rPr/>
      </w:pPr>
      <w:r>
        <w:rPr>
          <w:b/>
          <w:bCs/>
          <w:sz w:val="20"/>
        </w:rPr>
        <w:t>Pattern:</w:t>
      </w:r>
    </w:p>
    <w:p>
      <w:pPr>
        <w:pStyle w:val="SourceCode"/>
        <w:rPr/>
      </w:pPr>
      <w:r>
        <w:rPr>
          <w:rStyle w:val="KeywordTok"/>
        </w:rPr>
        <w:t>class</w:t>
      </w:r>
      <w:r>
        <w:rPr>
          <w:rStyle w:val="NormalTok"/>
        </w:rPr>
        <w:t xml:space="preserve"> MyModuleTB(TBBase):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initialization - starts clocks and performs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Set config before reset (if needed)</w:t>
      </w:r>
      <w:r>
        <w:rPr/>
        <w:br/>
      </w:r>
      <w:r>
        <w:rPr>
          <w:rStyle w:val="NormalTok"/>
        </w:rPr>
        <w:t xml:space="preserve">        </w:t>
      </w:r>
      <w:r>
        <w:rPr>
          <w:rStyle w:val="VariableTok"/>
        </w:rPr>
        <w:t>self</w:t>
      </w:r>
      <w:r>
        <w:rPr>
          <w:rStyle w:val="NormalTok"/>
        </w:rPr>
        <w:t xml:space="preserve">.dut.cfg_param.value </w:t>
      </w:r>
      <w:r>
        <w:rPr>
          <w:rStyle w:val="OperatorTok"/>
        </w:rPr>
        <w:t>=</w:t>
      </w:r>
      <w:r>
        <w:rPr>
          <w:rStyle w:val="NormalTok"/>
        </w:rPr>
        <w:t xml:space="preserve"> initial_value</w:t>
      </w:r>
      <w:r>
        <w:rPr/>
        <w:br/>
        <w:br/>
      </w:r>
      <w:r>
        <w:rPr>
          <w:rStyle w:val="NormalTok"/>
        </w:rPr>
        <w:t xml:space="preserve">        </w:t>
      </w:r>
      <w:r>
        <w:rPr>
          <w:rStyle w:val="CommentTok"/>
        </w:rPr>
        <w:t>#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rStyle w:val="NormalTok"/>
        </w:rPr>
        <w:t xml:space="preserve">  </w:t>
      </w:r>
      <w:r>
        <w:rPr>
          <w:rStyle w:val="CommentTok"/>
        </w:rPr>
        <w:t># Active-low</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Why Required:</w:t>
      </w:r>
      <w:r>
        <w:rPr>
          <w:sz w:val="20"/>
        </w:rPr>
        <w:t xml:space="preserve"> - Consistency across all testbenches - Reusability for mid-test resets - Clear test structure and intent - Configuration control (some RTL needs signals set BEFORE reset)</w:t>
      </w:r>
    </w:p>
    <w:p>
      <w:pPr>
        <w:pStyle w:val="BodyText"/>
        <w:rPr/>
      </w:pPr>
      <w:r>
        <w:rPr>
          <w:b/>
          <w:bCs/>
          <w:sz w:val="20"/>
        </w:rPr>
        <w:t>Applies to:</w:t>
      </w:r>
      <w:r>
        <w:rPr>
          <w:sz w:val="20"/>
        </w:rPr>
        <w:t xml:space="preserve"> ALL testbench classes </w:t>
      </w:r>
      <w:r>
        <w:rPr>
          <w:b/>
          <w:bCs/>
          <w:sz w:val="20"/>
        </w:rPr>
        <w:t>Source:</w:t>
      </w:r>
      <w:r>
        <w:rPr>
          <w:sz w:val="20"/>
        </w:rPr>
        <w:t xml:space="preserve"> Root </w:t>
      </w:r>
      <w:r>
        <w:rPr>
          <w:rStyle w:val="VerbatimChar"/>
          <w:sz w:val="20"/>
        </w:rPr>
        <w:t>/CLAUDE.md</w:t>
      </w:r>
      <w:r>
        <w:rPr>
          <w:sz w:val="20"/>
        </w:rPr>
        <w:t xml:space="preserve">, </w:t>
      </w:r>
      <w:r>
        <w:rPr>
          <w:rStyle w:val="VerbatimChar"/>
          <w:sz w:val="20"/>
        </w:rPr>
        <w:t>rapids/CLAUDE.md</w:t>
      </w:r>
      <w:r>
        <w:rPr>
          <w:sz w:val="20"/>
        </w:rPr>
        <w:t xml:space="preserve"> Rule #0.5, </w:t>
      </w:r>
      <w:r>
        <w:rPr>
          <w:rStyle w:val="VerbatimChar"/>
          <w:sz w:val="20"/>
        </w:rPr>
        <w:t>stream/CLAUDE.md</w:t>
      </w:r>
      <w:r>
        <w:rPr>
          <w:sz w:val="20"/>
        </w:rPr>
        <w:t xml:space="preserve"> Rule #0.2, </w:t>
      </w:r>
      <w:r>
        <w:rPr>
          <w:rStyle w:val="VerbatimChar"/>
          <w:sz w:val="20"/>
        </w:rPr>
        <w:t>CocoTBFramework/CLAUDE.md</w:t>
      </w:r>
      <w:r>
        <w:rPr>
          <w:sz w:val="20"/>
        </w:rPr>
        <w:t xml:space="preserve"> Rule #3</w:t>
      </w:r>
    </w:p>
    <w:p>
      <w:pPr>
        <w:pStyle w:val="Normal"/>
        <w:rPr/>
      </w:pPr>
      <w:bookmarkStart w:id="86" w:name="three-mandatory-tb-methods-mandatory"/>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p>
    <w:p>
      <w:pPr>
        <w:pStyle w:val="Heading3"/>
        <w:spacing w:before="200" w:after="80"/>
        <w:rPr/>
      </w:pPr>
      <w:bookmarkStart w:id="87" w:name="__RefHeading___Toc14784_888288119"/>
      <w:bookmarkStart w:id="88" w:name="tbbase-inheritance-mandatory"/>
      <w:bookmarkEnd w:id="87"/>
      <w:r>
        <w:rPr>
          <w:rStyle w:val="SectionNumber"/>
          <w:b/>
          <w:color w:val="404040"/>
          <w:sz w:val="24"/>
        </w:rPr>
        <w:t>4.3.3</w:t>
      </w:r>
      <w:r>
        <w:rPr>
          <w:b/>
          <w:color w:val="404040"/>
          <w:sz w:val="24"/>
        </w:rPr>
        <w:tab/>
        <w:t>2.3 TBBase Inheritance (MANDATORY)</w:t>
      </w:r>
    </w:p>
    <w:p>
      <w:pPr>
        <w:pStyle w:val="FirstParagraph"/>
        <w:rPr/>
      </w:pPr>
      <w:r>
        <w:rPr>
          <w:b/>
          <w:bCs/>
          <w:sz w:val="20"/>
        </w:rPr>
        <w:t>Requirement:</w:t>
      </w:r>
      <w:r>
        <w:rPr>
          <w:sz w:val="20"/>
        </w:rPr>
        <w:t xml:space="preserve"> ALL testbench classes MUST inherit from TBBase</w:t>
      </w:r>
    </w:p>
    <w:p>
      <w:pPr>
        <w:pStyle w:val="BodyText"/>
        <w:rPr/>
      </w:pPr>
      <w:r>
        <w:rPr>
          <w:b/>
          <w:bCs/>
          <w:sz w:val="20"/>
        </w:rPr>
        <w:t>Pattern:</w:t>
      </w:r>
    </w:p>
    <w:p>
      <w:pPr>
        <w:pStyle w:val="SourceCode"/>
        <w:rPr/>
      </w:pP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MyModuleTB(TBBase):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Testbench-specific initialization</w:t>
      </w:r>
    </w:p>
    <w:p>
      <w:pPr>
        <w:pStyle w:val="FirstParagraph"/>
        <w:rPr/>
      </w:pPr>
      <w:r>
        <w:rPr>
          <w:b/>
          <w:bCs/>
          <w:sz w:val="20"/>
        </w:rPr>
        <w:t>What TBBase Provides:</w:t>
      </w:r>
      <w:r>
        <w:rPr>
          <w:sz w:val="20"/>
        </w:rPr>
        <w:t xml:space="preserve"> - Clock management (</w:t>
      </w:r>
      <w:r>
        <w:rPr>
          <w:rStyle w:val="VerbatimChar"/>
          <w:sz w:val="20"/>
        </w:rPr>
        <w:t>start_clock</w:t>
      </w:r>
      <w:r>
        <w:rPr>
          <w:sz w:val="20"/>
        </w:rPr>
        <w:t xml:space="preserve">, </w:t>
      </w:r>
      <w:r>
        <w:rPr>
          <w:rStyle w:val="VerbatimChar"/>
          <w:sz w:val="20"/>
        </w:rPr>
        <w:t>wait_clocks</w:t>
      </w:r>
      <w:r>
        <w:rPr>
          <w:sz w:val="20"/>
        </w:rPr>
        <w:t>) - Reset utilities (</w:t>
      </w:r>
      <w:r>
        <w:rPr>
          <w:rStyle w:val="VerbatimChar"/>
          <w:sz w:val="20"/>
        </w:rPr>
        <w:t>assert_reset</w:t>
      </w:r>
      <w:r>
        <w:rPr>
          <w:sz w:val="20"/>
        </w:rPr>
        <w:t xml:space="preserve">, </w:t>
      </w:r>
      <w:r>
        <w:rPr>
          <w:rStyle w:val="VerbatimChar"/>
          <w:sz w:val="20"/>
        </w:rPr>
        <w:t>deassert_reset</w:t>
      </w:r>
      <w:r>
        <w:rPr>
          <w:sz w:val="20"/>
        </w:rPr>
        <w:t>) - Logging (</w:t>
      </w:r>
      <w:r>
        <w:rPr>
          <w:rStyle w:val="VerbatimChar"/>
          <w:sz w:val="20"/>
        </w:rPr>
        <w:t>self.log</w:t>
      </w:r>
      <w:r>
        <w:rPr>
          <w:sz w:val="20"/>
        </w:rPr>
        <w:t>) - Progress tracking (</w:t>
      </w:r>
      <w:r>
        <w:rPr>
          <w:rStyle w:val="VerbatimChar"/>
          <w:sz w:val="20"/>
        </w:rPr>
        <w:t>mark_progress</w:t>
      </w:r>
      <w:r>
        <w:rPr>
          <w:sz w:val="20"/>
        </w:rPr>
        <w:t>) - Common utilities (</w:t>
      </w:r>
      <w:r>
        <w:rPr>
          <w:rStyle w:val="VerbatimChar"/>
          <w:sz w:val="20"/>
        </w:rPr>
        <w:t>convert_to_int</w:t>
      </w:r>
      <w:r>
        <w:rPr>
          <w:sz w:val="20"/>
        </w:rPr>
        <w:t xml:space="preserve">, </w:t>
      </w:r>
      <w:r>
        <w:rPr>
          <w:rStyle w:val="VerbatimChar"/>
          <w:sz w:val="20"/>
        </w:rPr>
        <w:t>format_dec</w:t>
      </w:r>
      <w:r>
        <w:rPr>
          <w:sz w:val="20"/>
        </w:rPr>
        <w:t>)</w:t>
      </w:r>
    </w:p>
    <w:p>
      <w:pPr>
        <w:pStyle w:val="BodyText"/>
        <w:rPr/>
      </w:pPr>
      <w:r>
        <w:rPr>
          <w:b/>
          <w:bCs/>
          <w:sz w:val="20"/>
        </w:rPr>
        <w:t>Applies to:</w:t>
      </w:r>
      <w:r>
        <w:rPr>
          <w:sz w:val="20"/>
        </w:rPr>
        <w:t xml:space="preserve"> ALL testbench classes </w:t>
      </w:r>
      <w:r>
        <w:rPr>
          <w:b/>
          <w:bCs/>
          <w:sz w:val="20"/>
        </w:rPr>
        <w:t>Source:</w:t>
      </w:r>
      <w:r>
        <w:rPr>
          <w:sz w:val="20"/>
        </w:rPr>
        <w:t xml:space="preserve"> </w:t>
      </w:r>
      <w:r>
        <w:rPr>
          <w:rStyle w:val="VerbatimChar"/>
          <w:sz w:val="20"/>
        </w:rPr>
        <w:t>CocoTBFramework/CLAUDE.md</w:t>
      </w:r>
      <w:r>
        <w:rPr>
          <w:sz w:val="20"/>
        </w:rPr>
        <w:t xml:space="preserve"> Rule #2</w:t>
      </w:r>
    </w:p>
    <w:p>
      <w:pPr>
        <w:pStyle w:val="Normal"/>
        <w:rPr/>
      </w:pPr>
      <w:bookmarkStart w:id="89" w:name="tbbase-inheritance-mandatory"/>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
    </w:p>
    <w:p>
      <w:pPr>
        <w:pStyle w:val="Heading3"/>
        <w:spacing w:before="200" w:after="80"/>
        <w:rPr/>
      </w:pPr>
      <w:bookmarkStart w:id="90" w:name="__RefHeading___Toc14786_888288119"/>
      <w:bookmarkStart w:id="91" w:name="three-layer-architecture-mandatory"/>
      <w:bookmarkEnd w:id="90"/>
      <w:r>
        <w:rPr>
          <w:rStyle w:val="SectionNumber"/>
          <w:b/>
          <w:color w:val="404040"/>
          <w:sz w:val="24"/>
        </w:rPr>
        <w:t>4.3.4</w:t>
      </w:r>
      <w:r>
        <w:rPr>
          <w:b/>
          <w:color w:val="404040"/>
          <w:sz w:val="24"/>
        </w:rPr>
        <w:tab/>
        <w:t>2.4 Three-Layer Architecture (MANDATORY)</w:t>
      </w:r>
    </w:p>
    <w:p>
      <w:pPr>
        <w:pStyle w:val="FirstParagraph"/>
        <w:rPr/>
      </w:pPr>
      <w:r>
        <w:rPr>
          <w:b/>
          <w:bCs/>
          <w:sz w:val="20"/>
        </w:rPr>
        <w:t>Requirement:</w:t>
      </w:r>
      <w:r>
        <w:rPr>
          <w:sz w:val="20"/>
        </w:rPr>
        <w:t xml:space="preserve"> Verification MUST be separated into three layers</w:t>
      </w:r>
    </w:p>
    <w:p>
      <w:pPr>
        <w:pStyle w:val="BodyText"/>
        <w:rPr/>
      </w:pPr>
      <w:r>
        <w:rPr>
          <w:b/>
          <w:bCs/>
          <w:sz w:val="20"/>
        </w:rPr>
        <w:t>Layers:</w:t>
      </w:r>
    </w:p>
    <w:p>
      <w:pPr>
        <w:pStyle w:val="Compact"/>
        <w:numPr>
          <w:ilvl w:val="0"/>
          <w:numId w:val="79"/>
        </w:numPr>
        <w:rPr/>
      </w:pPr>
      <w:r>
        <w:rPr>
          <w:b/>
          <w:bCs/>
        </w:rPr>
        <w:t>Testbench (TB):</w:t>
      </w:r>
      <w:r>
        <w:rPr/>
        <w:t xml:space="preserve"> </w:t>
      </w:r>
      <w:r>
        <w:rPr>
          <w:rStyle w:val="VerbatimChar"/>
        </w:rPr>
        <w:t>projects/components/{name}/dv/tbclasses/{module}_tb.py</w:t>
      </w:r>
    </w:p>
    <w:p>
      <w:pPr>
        <w:pStyle w:val="Compact"/>
        <w:numPr>
          <w:ilvl w:val="1"/>
          <w:numId w:val="80"/>
        </w:numPr>
        <w:rPr/>
      </w:pPr>
      <w:r>
        <w:rPr/>
        <w:t>Infrastructure + BFMs</w:t>
      </w:r>
    </w:p>
    <w:p>
      <w:pPr>
        <w:pStyle w:val="Compact"/>
        <w:numPr>
          <w:ilvl w:val="1"/>
          <w:numId w:val="81"/>
        </w:numPr>
        <w:rPr/>
      </w:pPr>
      <w:r>
        <w:rPr/>
        <w:t>Clock/reset control</w:t>
      </w:r>
    </w:p>
    <w:p>
      <w:pPr>
        <w:pStyle w:val="Compact"/>
        <w:numPr>
          <w:ilvl w:val="1"/>
          <w:numId w:val="82"/>
        </w:numPr>
        <w:rPr/>
      </w:pPr>
      <w:r>
        <w:rPr/>
        <w:t>Base test methods</w:t>
      </w:r>
    </w:p>
    <w:p>
      <w:pPr>
        <w:pStyle w:val="Compact"/>
        <w:numPr>
          <w:ilvl w:val="1"/>
          <w:numId w:val="83"/>
        </w:numPr>
        <w:rPr/>
      </w:pPr>
      <w:r>
        <w:rPr/>
        <w:t>NO verification logic</w:t>
      </w:r>
    </w:p>
    <w:p>
      <w:pPr>
        <w:pStyle w:val="Compact"/>
        <w:numPr>
          <w:ilvl w:val="0"/>
          <w:numId w:val="84"/>
        </w:numPr>
        <w:rPr/>
      </w:pPr>
      <w:r>
        <w:rPr>
          <w:b/>
          <w:bCs/>
        </w:rPr>
        <w:t>Scoreboard:</w:t>
      </w:r>
      <w:r>
        <w:rPr/>
        <w:t xml:space="preserve"> </w:t>
      </w:r>
      <w:r>
        <w:rPr>
          <w:rStyle w:val="VerbatimChar"/>
        </w:rPr>
        <w:t>bin/TBClasses/scoreboards/{protocol}/{module}_scoreboard.py</w:t>
      </w:r>
    </w:p>
    <w:p>
      <w:pPr>
        <w:pStyle w:val="Compact"/>
        <w:numPr>
          <w:ilvl w:val="1"/>
          <w:numId w:val="85"/>
        </w:numPr>
        <w:rPr/>
      </w:pPr>
      <w:r>
        <w:rPr/>
        <w:t>Verification logic</w:t>
      </w:r>
    </w:p>
    <w:p>
      <w:pPr>
        <w:pStyle w:val="Compact"/>
        <w:numPr>
          <w:ilvl w:val="1"/>
          <w:numId w:val="86"/>
        </w:numPr>
        <w:rPr/>
      </w:pPr>
      <w:r>
        <w:rPr/>
        <w:t>Expected vs actual comparison</w:t>
      </w:r>
    </w:p>
    <w:p>
      <w:pPr>
        <w:pStyle w:val="Compact"/>
        <w:numPr>
          <w:ilvl w:val="1"/>
          <w:numId w:val="87"/>
        </w:numPr>
        <w:rPr/>
      </w:pPr>
      <w:r>
        <w:rPr/>
        <w:t>Coverage collection</w:t>
      </w:r>
    </w:p>
    <w:p>
      <w:pPr>
        <w:pStyle w:val="Compact"/>
        <w:numPr>
          <w:ilvl w:val="0"/>
          <w:numId w:val="88"/>
        </w:numPr>
        <w:rPr/>
      </w:pPr>
      <w:r>
        <w:rPr>
          <w:b/>
          <w:bCs/>
        </w:rPr>
        <w:t>Test:</w:t>
      </w:r>
      <w:r>
        <w:rPr/>
        <w:t xml:space="preserve"> </w:t>
      </w:r>
      <w:r>
        <w:rPr>
          <w:rStyle w:val="VerbatimChar"/>
        </w:rPr>
        <w:t>projects/components/{name}/dv/tests/test_{module}.py</w:t>
      </w:r>
    </w:p>
    <w:p>
      <w:pPr>
        <w:pStyle w:val="Compact"/>
        <w:numPr>
          <w:ilvl w:val="1"/>
          <w:numId w:val="89"/>
        </w:numPr>
        <w:rPr/>
      </w:pPr>
      <w:r>
        <w:rPr/>
        <w:t>Test intelligence</w:t>
      </w:r>
    </w:p>
    <w:p>
      <w:pPr>
        <w:pStyle w:val="Compact"/>
        <w:numPr>
          <w:ilvl w:val="1"/>
          <w:numId w:val="90"/>
        </w:numPr>
        <w:rPr/>
      </w:pPr>
      <w:r>
        <w:rPr>
          <w:b/>
          <w:bCs/>
        </w:rPr>
        <w:t>Imports</w:t>
      </w:r>
      <w:r>
        <w:rPr/>
        <w:t xml:space="preserve"> TB class (does NOT define it)</w:t>
      </w:r>
    </w:p>
    <w:p>
      <w:pPr>
        <w:pStyle w:val="Compact"/>
        <w:numPr>
          <w:ilvl w:val="1"/>
          <w:numId w:val="91"/>
        </w:numPr>
        <w:rPr/>
      </w:pPr>
      <w:r>
        <w:rPr/>
        <w:t>Pytest wrappers</w:t>
      </w:r>
    </w:p>
    <w:p>
      <w:pPr>
        <w:pStyle w:val="Compact"/>
        <w:numPr>
          <w:ilvl w:val="1"/>
          <w:numId w:val="92"/>
        </w:numPr>
        <w:rPr/>
      </w:pPr>
      <w:r>
        <w:rPr/>
        <w:t>Scenario logic</w:t>
      </w:r>
    </w:p>
    <w:p>
      <w:pPr>
        <w:pStyle w:val="FirstParagraph"/>
        <w:rPr/>
      </w:pPr>
      <w:r>
        <w:rPr>
          <w:b/>
          <w:bCs/>
          <w:sz w:val="20"/>
        </w:rPr>
        <w:t>NEVER Embed TB Classes in Test Files</w:t>
      </w:r>
    </w:p>
    <w:p>
      <w:pPr>
        <w:pStyle w:val="BodyText"/>
        <w:rPr/>
      </w:pPr>
      <w:r>
        <w:rPr>
          <w:b/>
          <w:bCs/>
          <w:sz w:val="20"/>
        </w:rPr>
        <w:t>Applies to:</w:t>
      </w:r>
      <w:r>
        <w:rPr>
          <w:sz w:val="20"/>
        </w:rPr>
        <w:t xml:space="preserve"> ALL verification code </w:t>
      </w:r>
      <w:r>
        <w:rPr>
          <w:b/>
          <w:bCs/>
          <w:sz w:val="20"/>
        </w:rPr>
        <w:t>Source:</w:t>
      </w:r>
      <w:r>
        <w:rPr>
          <w:sz w:val="20"/>
        </w:rPr>
        <w:t xml:space="preserve"> </w:t>
      </w:r>
      <w:r>
        <w:rPr>
          <w:rStyle w:val="VerbatimChar"/>
          <w:sz w:val="20"/>
        </w:rPr>
        <w:t>amba/CLAUDE.md</w:t>
      </w:r>
      <w:r>
        <w:rPr>
          <w:sz w:val="20"/>
        </w:rPr>
        <w:t xml:space="preserve"> Rule #0, </w:t>
      </w:r>
      <w:r>
        <w:rPr>
          <w:rStyle w:val="VerbatimChar"/>
          <w:sz w:val="20"/>
        </w:rPr>
        <w:t>rapids/CLAUDE.md</w:t>
      </w:r>
      <w:r>
        <w:rPr>
          <w:sz w:val="20"/>
        </w:rPr>
        <w:t xml:space="preserve"> Rule #0.1, </w:t>
      </w:r>
      <w:r>
        <w:rPr>
          <w:rStyle w:val="VerbatimChar"/>
          <w:sz w:val="20"/>
        </w:rPr>
        <w:t>CocoTBFramework/CLAUDE.md</w:t>
      </w:r>
      <w:r>
        <w:rPr>
          <w:sz w:val="20"/>
        </w:rPr>
        <w:t xml:space="preserve"> Rule #4</w:t>
      </w:r>
    </w:p>
    <w:p>
      <w:pPr>
        <w:pStyle w:val="Normal"/>
        <w:rPr/>
      </w:pPr>
      <w:bookmarkStart w:id="92" w:name="three-layer-architecture-mandatory"/>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
    </w:p>
    <w:p>
      <w:pPr>
        <w:pStyle w:val="Heading3"/>
        <w:spacing w:before="200" w:after="80"/>
        <w:rPr/>
      </w:pPr>
      <w:bookmarkStart w:id="93" w:name="__RefHeading___Toc14788_888288119"/>
      <w:bookmarkStart w:id="94" w:name="queue-based-verification-preferred"/>
      <w:bookmarkEnd w:id="93"/>
      <w:r>
        <w:rPr>
          <w:rStyle w:val="SectionNumber"/>
          <w:b/>
          <w:color w:val="404040"/>
          <w:sz w:val="24"/>
        </w:rPr>
        <w:t>4.3.5</w:t>
      </w:r>
      <w:r>
        <w:rPr>
          <w:b/>
          <w:color w:val="404040"/>
          <w:sz w:val="24"/>
        </w:rPr>
        <w:tab/>
        <w:t>2.5 Queue-Based Verification (PREFERRED)</w:t>
      </w:r>
    </w:p>
    <w:p>
      <w:pPr>
        <w:pStyle w:val="FirstParagraph"/>
        <w:rPr/>
      </w:pPr>
      <w:r>
        <w:rPr>
          <w:b/>
          <w:bCs/>
          <w:sz w:val="20"/>
        </w:rPr>
        <w:t>Requirement:</w:t>
      </w:r>
      <w:r>
        <w:rPr>
          <w:sz w:val="20"/>
        </w:rPr>
        <w:t xml:space="preserve"> Use direct queue access for simple tests, NOT memory models</w:t>
      </w:r>
    </w:p>
    <w:p>
      <w:pPr>
        <w:pStyle w:val="BodyText"/>
        <w:rPr/>
      </w:pPr>
      <w:r>
        <w:rPr>
          <w:b/>
          <w:bCs/>
          <w:sz w:val="20"/>
        </w:rPr>
        <w:t>Pattern:</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.aw_monitor._recvQ.popleft()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.w_monitor._recvQ.popleft()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w:t>
      </w:r>
      <w:r>
        <w:rPr/>
        <w:br/>
      </w:r>
      <w:r>
        <w:rPr>
          <w:rStyle w:val="NormalTok"/>
        </w:rPr>
        <w:t xml:space="preserve">written_data </w:t>
      </w:r>
      <w:r>
        <w:rPr>
          <w:rStyle w:val="OperatorTok"/>
        </w:rPr>
        <w:t>=</w:t>
      </w:r>
      <w:r>
        <w:rPr>
          <w:rStyle w:val="NormalTok"/>
        </w:rPr>
        <w:t xml:space="preserve"> memory_model.read(addr, </w:t>
      </w:r>
      <w:r>
        <w:rPr>
          <w:rStyle w:val="DecValTok"/>
        </w:rPr>
        <w:t>4</w:t>
      </w:r>
      <w:r>
        <w:rPr>
          <w:rStyle w:val="NormalTok"/>
        </w:rPr>
        <w:t xml:space="preserve">)  </w:t>
      </w:r>
      <w:r>
        <w:rPr>
          <w:rStyle w:val="CommentTok"/>
        </w:rPr>
        <w:t># Unnecessary complexity</w:t>
      </w:r>
    </w:p>
    <w:p>
      <w:pPr>
        <w:pStyle w:val="FirstParagraph"/>
        <w:rPr/>
      </w:pPr>
      <w:r>
        <w:rPr>
          <w:b/>
          <w:bCs/>
          <w:sz w:val="20"/>
        </w:rPr>
        <w:t>When to Use:</w:t>
      </w:r>
      <w:r>
        <w:rPr>
          <w:sz w:val="20"/>
        </w:rPr>
        <w:t xml:space="preserve"> - </w:t>
      </w:r>
      <w:r>
        <w:rPr>
          <w:b/>
          <w:bCs/>
          <w:sz w:val="20"/>
        </w:rPr>
        <w:t>Queue Access:</w:t>
      </w:r>
      <w:r>
        <w:rPr>
          <w:sz w:val="20"/>
        </w:rPr>
        <w:t xml:space="preserve"> Simple in-order tests, single-master, no overlap - </w:t>
      </w:r>
      <w:r>
        <w:rPr>
          <w:b/>
          <w:bCs/>
          <w:sz w:val="20"/>
        </w:rPr>
        <w:t>Memory Models:</w:t>
      </w:r>
      <w:r>
        <w:rPr>
          <w:sz w:val="20"/>
        </w:rPr>
        <w:t xml:space="preserve"> Complex OOO scenarios, multi-master with address overlap</w:t>
      </w:r>
    </w:p>
    <w:p>
      <w:pPr>
        <w:pStyle w:val="BodyText"/>
        <w:rPr/>
      </w:pPr>
      <w:r>
        <w:rPr>
          <w:b/>
          <w:bCs/>
          <w:sz w:val="20"/>
        </w:rPr>
        <w:t>Applies to:</w:t>
      </w:r>
      <w:r>
        <w:rPr>
          <w:sz w:val="20"/>
        </w:rPr>
        <w:t xml:space="preserve"> Simple in-order verification scenarios </w:t>
      </w:r>
      <w:r>
        <w:rPr>
          <w:b/>
          <w:bCs/>
          <w:sz w:val="20"/>
        </w:rPr>
        <w:t>Source:</w:t>
      </w:r>
      <w:r>
        <w:rPr>
          <w:sz w:val="20"/>
        </w:rPr>
        <w:t xml:space="preserve"> </w:t>
      </w:r>
      <w:r>
        <w:rPr>
          <w:rStyle w:val="VerbatimChar"/>
          <w:sz w:val="20"/>
        </w:rPr>
        <w:t>rapids/CLAUDE.md</w:t>
      </w:r>
      <w:r>
        <w:rPr>
          <w:sz w:val="20"/>
        </w:rPr>
        <w:t xml:space="preserve"> Scoreboard Pattern, </w:t>
      </w:r>
      <w:r>
        <w:rPr>
          <w:rStyle w:val="VerbatimChar"/>
          <w:sz w:val="20"/>
        </w:rPr>
        <w:t>CocoTBFramework/CLAUDE.md</w:t>
      </w:r>
      <w:r>
        <w:rPr>
          <w:sz w:val="20"/>
        </w:rPr>
        <w:t xml:space="preserve"> Rule #5</w:t>
      </w:r>
    </w:p>
    <w:p>
      <w:pPr>
        <w:pStyle w:val="Normal"/>
        <w:rPr/>
      </w:pPr>
      <w:bookmarkStart w:id="95" w:name="category-2-testbench-architecture"/>
      <w:bookmarkStart w:id="96" w:name="queue-based-verification-preferred"/>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p>
    <w:p>
      <w:pPr>
        <w:pStyle w:val="Heading2"/>
        <w:pBdr>
          <w:bottom w:val="single" w:sz="12" w:space="0" w:color="228B22"/>
        </w:pBdr>
        <w:spacing w:before="280" w:after="80"/>
        <w:rPr/>
      </w:pPr>
      <w:bookmarkStart w:id="97" w:name="__RefHeading___Toc14790_888288119"/>
      <w:bookmarkStart w:id="98" w:name="category-3-test-standards"/>
      <w:bookmarkEnd w:id="97"/>
      <w:r>
        <w:rPr>
          <w:rStyle w:val="SectionNumber"/>
          <w:b/>
          <w:color w:val="228B22"/>
          <w:sz w:val="28"/>
        </w:rPr>
        <w:t>4.4</w:t>
      </w:r>
      <w:r>
        <w:rPr>
          <w:b/>
          <w:color w:val="228B22"/>
          <w:sz w:val="28"/>
        </w:rPr>
        <w:tab/>
        <w:t>Category 3: Test Standards</w:t>
      </w:r>
    </w:p>
    <w:p>
      <w:pPr>
        <w:pStyle w:val="Heading3"/>
        <w:spacing w:before="200" w:after="80"/>
        <w:rPr/>
      </w:pPr>
      <w:bookmarkStart w:id="99" w:name="__RefHeading___Toc14792_888288119"/>
      <w:bookmarkStart w:id="100" w:name="test-naming-convention-mandatory"/>
      <w:bookmarkEnd w:id="99"/>
      <w:r>
        <w:rPr>
          <w:rStyle w:val="SectionNumber"/>
          <w:b/>
          <w:color w:val="404040"/>
          <w:sz w:val="24"/>
        </w:rPr>
        <w:t>4.4.1</w:t>
      </w:r>
      <w:r>
        <w:rPr>
          <w:b/>
          <w:color w:val="404040"/>
          <w:sz w:val="24"/>
        </w:rPr>
        <w:tab/>
        <w:t>3.1 Test Naming Convention (MANDATORY)</w:t>
      </w:r>
    </w:p>
    <w:p>
      <w:pPr>
        <w:pStyle w:val="FirstParagraph"/>
        <w:rPr/>
      </w:pPr>
      <w:r>
        <w:rPr>
          <w:b/>
          <w:bCs/>
          <w:sz w:val="20"/>
        </w:rPr>
        <w:t>Requirement:</w:t>
      </w:r>
      <w:r>
        <w:rPr>
          <w:sz w:val="20"/>
        </w:rPr>
        <w:t xml:space="preserve"> Pytest function MUST match module name</w:t>
      </w:r>
    </w:p>
    <w:p>
      <w:pPr>
        <w:pStyle w:val="BodyText"/>
        <w:rPr/>
      </w:pPr>
      <w:r>
        <w:rPr>
          <w:b/>
          <w:bCs/>
          <w:sz w:val="20"/>
        </w:rPr>
        <w:t>Pattern:</w:t>
      </w:r>
    </w:p>
    <w:p>
      <w:pPr>
        <w:pStyle w:val="SourceCode"/>
        <w:rPr/>
      </w:pPr>
      <w:r>
        <w:rPr>
          <w:rStyle w:val="CommentTok"/>
        </w:rPr>
        <w:t># Module: axi4_dwidth_converter_wr.sv</w:t>
      </w:r>
      <w:r>
        <w:rPr/>
        <w:br/>
        <w:br/>
      </w:r>
      <w:r>
        <w:rPr>
          <w:rStyle w:val="NormalTok"/>
        </w:rPr>
        <w:t>CORRECT:</w:t>
      </w:r>
      <w:r>
        <w:rPr/>
        <w:br/>
      </w:r>
      <w:r>
        <w:rPr>
          <w:rStyle w:val="KeywordTok"/>
        </w:rPr>
        <w:t>def</w:t>
      </w:r>
      <w:r>
        <w:rPr>
          <w:rStyle w:val="NormalTok"/>
        </w:rPr>
        <w:t xml:space="preserve"> test_axi4_dwidth_converter_wr(request, params):</w:t>
      </w:r>
      <w:r>
        <w:rPr/>
        <w:br/>
      </w:r>
      <w:r>
        <w:rPr>
          <w:rStyle w:val="NormalTok"/>
        </w:rPr>
        <w:t xml:space="preserve">    </w:t>
      </w:r>
      <w:r>
        <w:rPr>
          <w:rStyle w:val="CommentTok"/>
        </w:rPr>
        <w:t>"""Test for axi4_dwidth_converter_wr.sv"""</w:t>
      </w:r>
      <w:r>
        <w:rPr/>
        <w:br/>
      </w:r>
      <w:r>
        <w:rPr>
          <w:rStyle w:val="NormalTok"/>
        </w:rPr>
        <w:t xml:space="preserve">    ...</w:t>
      </w:r>
      <w:r>
        <w:rPr/>
        <w:br/>
        <w:br/>
      </w:r>
      <w:r>
        <w:rPr>
          <w:rStyle w:val="NormalTok"/>
        </w:rPr>
        <w:t>WRONG:</w:t>
      </w:r>
      <w:r>
        <w:rPr/>
        <w:br/>
      </w:r>
      <w:r>
        <w:rPr>
          <w:rStyle w:val="KeywordTok"/>
        </w:rPr>
        <w:t>def</w:t>
      </w:r>
      <w:r>
        <w:rPr>
          <w:rStyle w:val="NormalTok"/>
        </w:rPr>
        <w:t xml:space="preserve"> test_converter(request, params):  </w:t>
      </w:r>
      <w:r>
        <w:rPr>
          <w:rStyle w:val="CommentTok"/>
        </w:rPr>
        <w:t># Too generic!</w:t>
      </w:r>
      <w:r>
        <w:rPr/>
        <w:br/>
      </w:r>
      <w:r>
        <w:rPr>
          <w:rStyle w:val="NormalTok"/>
        </w:rPr>
        <w:t xml:space="preserve">    ...</w:t>
      </w:r>
    </w:p>
    <w:p>
      <w:pPr>
        <w:pStyle w:val="FirstParagraph"/>
        <w:rPr/>
      </w:pPr>
      <w:r>
        <w:rPr>
          <w:b/>
          <w:bCs/>
          <w:sz w:val="20"/>
        </w:rPr>
        <w:t>Why:</w:t>
      </w:r>
      <w:r>
        <w:rPr>
          <w:sz w:val="20"/>
        </w:rPr>
        <w:t xml:space="preserve"> Prevents pytest collection conflicts between related modules</w:t>
      </w:r>
    </w:p>
    <w:p>
      <w:pPr>
        <w:pStyle w:val="BodyText"/>
        <w:rPr/>
      </w:pPr>
      <w:r>
        <w:rPr>
          <w:b/>
          <w:bCs/>
          <w:sz w:val="20"/>
        </w:rPr>
        <w:t>Applies to:</w:t>
      </w:r>
      <w:r>
        <w:rPr>
          <w:sz w:val="20"/>
        </w:rPr>
        <w:t xml:space="preserve"> ALL pytest test functions </w:t>
      </w:r>
      <w:r>
        <w:rPr>
          <w:b/>
          <w:bCs/>
          <w:sz w:val="20"/>
        </w:rPr>
        <w:t>Source:</w:t>
      </w:r>
      <w:r>
        <w:rPr>
          <w:sz w:val="20"/>
        </w:rPr>
        <w:t xml:space="preserve"> Root </w:t>
      </w:r>
      <w:r>
        <w:rPr>
          <w:rStyle w:val="VerbatimChar"/>
          <w:sz w:val="20"/>
        </w:rPr>
        <w:t>/CLAUDE.md</w:t>
      </w:r>
    </w:p>
    <w:p>
      <w:pPr>
        <w:pStyle w:val="Normal"/>
        <w:rPr/>
      </w:pPr>
      <w:bookmarkStart w:id="101" w:name="test-naming-convention-mandatory"/>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p>
    <w:p>
      <w:pPr>
        <w:pStyle w:val="Heading3"/>
        <w:spacing w:before="200" w:after="80"/>
        <w:rPr/>
      </w:pPr>
      <w:bookmarkStart w:id="102" w:name="__RefHeading___Toc14794_888288119"/>
      <w:bookmarkStart w:id="103" w:name="X920de69a14a02030d7102b902546c576e3ed184"/>
      <w:bookmarkEnd w:id="102"/>
      <w:r>
        <w:rPr>
          <w:rStyle w:val="SectionNumber"/>
          <w:b/>
          <w:color w:val="404040"/>
          <w:sz w:val="24"/>
        </w:rPr>
        <w:t>4.4.2</w:t>
      </w:r>
      <w:r>
        <w:rPr>
          <w:b/>
          <w:color w:val="404040"/>
          <w:sz w:val="24"/>
        </w:rPr>
        <w:tab/>
        <w:t>3.2 Test Pattern - CocoTB + Pytest (MANDATORY for projects/components/)</w:t>
      </w:r>
    </w:p>
    <w:p>
      <w:pPr>
        <w:pStyle w:val="FirstParagraph"/>
        <w:rPr/>
      </w:pPr>
      <w:r>
        <w:rPr>
          <w:b/>
          <w:bCs/>
          <w:sz w:val="20"/>
        </w:rPr>
        <w:t>Requirement:</w:t>
      </w:r>
      <w:r>
        <w:rPr>
          <w:sz w:val="20"/>
        </w:rPr>
        <w:t xml:space="preserve"> Use two-tier pattern with cocotb_test_* prefix</w:t>
      </w:r>
    </w:p>
    <w:p>
      <w:pPr>
        <w:pStyle w:val="BodyText"/>
        <w:rPr/>
      </w:pPr>
      <w:r>
        <w:rPr>
          <w:b/>
          <w:bCs/>
          <w:sz w:val="20"/>
        </w:rPr>
        <w:t>Pattern:</w:t>
      </w:r>
    </w:p>
    <w:p>
      <w:pPr>
        <w:pStyle w:val="SourceCode"/>
        <w:rPr/>
      </w:pPr>
      <w:r>
        <w:rPr>
          <w:rStyle w:val="CommentTok"/>
        </w:rPr>
        <w:t># 1. CocoTB test functions - prefix with "cocotb_test_*"</w:t>
      </w:r>
      <w:r>
        <w:rP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cocotb_test_basic(dut):  </w:t>
      </w:r>
      <w:r>
        <w:rPr>
          <w:rStyle w:val="CommentTok"/>
        </w:rPr>
        <w:t># ← cocotb_test_* prefix!</w:t>
      </w:r>
      <w:r>
        <w:rPr/>
        <w:br/>
      </w:r>
      <w:r>
        <w:rPr>
          <w:rStyle w:val="NormalTok"/>
        </w:rPr>
        <w:t xml:space="preserve">    </w:t>
      </w:r>
      <w:r>
        <w:rPr>
          <w:rStyle w:val="CommentTok"/>
        </w:rPr>
        <w:t>"""CocoTB test function - NOT collected by pytest"""</w:t>
      </w:r>
      <w:r>
        <w:rPr/>
        <w:br/>
      </w:r>
      <w:r>
        <w:rPr>
          <w:rStyle w:val="NormalTok"/>
        </w:rPr>
        <w:t xml:space="preserve">    tb </w:t>
      </w:r>
      <w:r>
        <w:rPr>
          <w:rStyle w:val="OperatorTok"/>
        </w:rPr>
        <w:t>=</w:t>
      </w:r>
      <w:r>
        <w:rPr>
          <w:rStyle w:val="NormalTok"/>
        </w:rPr>
        <w:t xml:space="preserve"> SimpleSRAMTB(dut)</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w:t>
      </w:r>
      <w:r>
        <w:rPr>
          <w:rStyle w:val="CommentTok"/>
        </w:rPr>
        <w:t># ... test logic</w:t>
      </w:r>
      <w:r>
        <w:rPr/>
        <w:br/>
        <w:br/>
      </w:r>
      <w:r>
        <w:rPr>
          <w:rStyle w:val="CommentTok"/>
        </w:rPr>
        <w:t># 2. Pytest wrapper - calls specific cocotb_test_* function</w:t>
      </w:r>
      <w:r>
        <w:rPr/>
        <w:br/>
      </w:r>
      <w:r>
        <w:rPr>
          <w:rStyle w:val="AttributeTok"/>
        </w:rPr>
        <w:t>@pytest.mark.parametrize</w:t>
      </w:r>
      <w:r>
        <w:rPr>
          <w:rStyle w:val="NormalTok"/>
        </w:rPr>
        <w:t>(</w:t>
      </w:r>
      <w:r>
        <w:rPr>
          <w:rStyle w:val="StringTok"/>
        </w:rPr>
        <w:t>"addr_width, data_width"</w:t>
      </w:r>
      <w:r>
        <w:rPr>
          <w:rStyle w:val="NormalTok"/>
        </w:rPr>
        <w:t>, params)</w:t>
      </w:r>
      <w:r>
        <w:rPr/>
        <w:br/>
      </w:r>
      <w:r>
        <w:rPr>
          <w:rStyle w:val="KeywordTok"/>
        </w:rPr>
        <w:t>def</w:t>
      </w:r>
      <w:r>
        <w:rPr>
          <w:rStyle w:val="NormalTok"/>
        </w:rPr>
        <w:t xml:space="preserve"> test_basic(request, addr_width, data_width):</w:t>
      </w:r>
      <w:r>
        <w:rPr/>
        <w:br/>
      </w:r>
      <w:r>
        <w:rPr>
          <w:rStyle w:val="NormalTok"/>
        </w:rPr>
        <w:t xml:space="preserve">    </w:t>
      </w:r>
      <w:r>
        <w:rPr>
          <w:rStyle w:val="CommentTok"/>
        </w:rPr>
        <w:t>"""Pytest wrapper - calls cocotb_test_basic"""</w:t>
      </w:r>
      <w:r>
        <w:rPr/>
        <w:br/>
      </w:r>
      <w:r>
        <w:rPr>
          <w:rStyle w:val="NormalTok"/>
        </w:rPr>
        <w:t xml:space="preserve">    run(</w:t>
      </w:r>
      <w:r>
        <w:rPr/>
        <w:br/>
      </w:r>
      <w:r>
        <w:rPr>
          <w:rStyle w:val="NormalTok"/>
        </w:rPr>
        <w:t xml:space="preserve">        </w:t>
      </w:r>
      <w:r>
        <w:rPr>
          <w:rStyle w:val="CommentTok"/>
        </w:rPr>
        <w:t># ... setup</w:t>
      </w:r>
      <w:r>
        <w:rPr/>
        <w:br/>
      </w:r>
      <w:r>
        <w:rPr>
          <w:rStyle w:val="NormalTok"/>
        </w:rPr>
        <w:t xml:space="preserve">        testcase</w:t>
      </w:r>
      <w:r>
        <w:rPr>
          <w:rStyle w:val="OperatorTok"/>
        </w:rPr>
        <w:t>=</w:t>
      </w:r>
      <w:r>
        <w:rPr>
          <w:rStyle w:val="StringTok"/>
        </w:rPr>
        <w:t>"cocotb_test_basic"</w:t>
      </w:r>
      <w:r>
        <w:rPr>
          <w:rStyle w:val="NormalTok"/>
        </w:rPr>
        <w:t xml:space="preserve">,  </w:t>
      </w:r>
      <w:r>
        <w:rPr>
          <w:rStyle w:val="CommentTok"/>
        </w:rPr>
        <w:t># ← Explicitly specify</w:t>
      </w:r>
      <w:r>
        <w:rPr/>
        <w:br/>
      </w:r>
      <w:r>
        <w:rPr>
          <w:rStyle w:val="NormalTok"/>
        </w:rPr>
        <w:t xml:space="preserve">        </w:t>
      </w:r>
      <w:r>
        <w:rPr>
          <w:rStyle w:val="CommentTok"/>
        </w:rPr>
        <w:t># ... compilation args</w:t>
      </w:r>
      <w:r>
        <w:rPr/>
        <w:br/>
      </w:r>
      <w:r>
        <w:rPr>
          <w:rStyle w:val="NormalTok"/>
        </w:rPr>
        <w:t xml:space="preserve">    )</w:t>
      </w:r>
    </w:p>
    <w:p>
      <w:pPr>
        <w:pStyle w:val="FirstParagraph"/>
        <w:rPr/>
      </w:pPr>
      <w:r>
        <w:rPr>
          <w:b/>
          <w:bCs/>
          <w:sz w:val="20"/>
        </w:rPr>
        <w:t>Why:</w:t>
      </w:r>
      <w:r>
        <w:rPr>
          <w:sz w:val="20"/>
        </w:rPr>
        <w:t xml:space="preserve"> - Pytest collects only wrappers, not CocoTB functions - Each wrapper calls ONE specific CocoTB function - Allows parameter sweeps at pytest level</w:t>
      </w:r>
    </w:p>
    <w:p>
      <w:pPr>
        <w:pStyle w:val="BodyText"/>
        <w:rPr/>
      </w:pPr>
      <w:r>
        <w:rPr>
          <w:b/>
          <w:bCs/>
          <w:sz w:val="20"/>
        </w:rPr>
        <w:t>Applies to:</w:t>
      </w:r>
      <w:r>
        <w:rPr>
          <w:sz w:val="20"/>
        </w:rPr>
        <w:t xml:space="preserve"> ALL tests in projects/components/ </w:t>
      </w:r>
      <w:r>
        <w:rPr>
          <w:b/>
          <w:bCs/>
          <w:sz w:val="20"/>
        </w:rPr>
        <w:t>Source:</w:t>
      </w:r>
      <w:r>
        <w:rPr>
          <w:sz w:val="20"/>
        </w:rPr>
        <w:t xml:space="preserve"> Root </w:t>
      </w:r>
      <w:r>
        <w:rPr>
          <w:rStyle w:val="VerbatimChar"/>
          <w:sz w:val="20"/>
        </w:rPr>
        <w:t>/CLAUDE.md</w:t>
      </w:r>
    </w:p>
    <w:p>
      <w:pPr>
        <w:pStyle w:val="Normal"/>
        <w:rPr/>
      </w:pPr>
      <w:bookmarkStart w:id="104" w:name="X920de69a14a02030d7102b902546c576e3ed184"/>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p>
    <w:p>
      <w:pPr>
        <w:pStyle w:val="Heading3"/>
        <w:spacing w:before="200" w:after="80"/>
        <w:rPr/>
      </w:pPr>
      <w:bookmarkStart w:id="105" w:name="__RefHeading___Toc14796_888288119"/>
      <w:bookmarkStart w:id="106" w:name="success-requirement-mandatory"/>
      <w:bookmarkEnd w:id="105"/>
      <w:r>
        <w:rPr>
          <w:rStyle w:val="SectionNumber"/>
          <w:b/>
          <w:color w:val="404040"/>
          <w:sz w:val="24"/>
        </w:rPr>
        <w:t>4.4.3</w:t>
      </w:r>
      <w:r>
        <w:rPr>
          <w:b/>
          <w:color w:val="404040"/>
          <w:sz w:val="24"/>
        </w:rPr>
        <w:tab/>
        <w:t>3.3 100% Success Requirement (MANDATORY)</w:t>
      </w:r>
    </w:p>
    <w:p>
      <w:pPr>
        <w:pStyle w:val="FirstParagraph"/>
        <w:rPr/>
      </w:pPr>
      <w:r>
        <w:rPr>
          <w:b/>
          <w:bCs/>
          <w:sz w:val="20"/>
        </w:rPr>
        <w:t>Requirement:</w:t>
      </w:r>
      <w:r>
        <w:rPr>
          <w:sz w:val="20"/>
        </w:rPr>
        <w:t xml:space="preserve"> ALL tests MUST achieve 100% success rate</w:t>
      </w:r>
    </w:p>
    <w:p>
      <w:pPr>
        <w:pStyle w:val="BodyText"/>
        <w:rPr/>
      </w:pPr>
      <w:r>
        <w:rPr>
          <w:b/>
          <w:bCs/>
          <w:sz w:val="20"/>
        </w:rPr>
        <w:t>Pattern:</w:t>
      </w:r>
    </w:p>
    <w:p>
      <w:pPr>
        <w:pStyle w:val="SourceCode"/>
        <w:rPr/>
      </w:pPr>
      <w:r>
        <w:rPr>
          <w:rStyle w:val="CommentTok"/>
        </w:rPr>
        <w:t># WRONG: Accepting partial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70</w:t>
      </w:r>
      <w:r>
        <w:rPr>
          <w:rStyle w:val="NormalTok"/>
        </w:rPr>
        <w:t xml:space="preserve">  </w:t>
      </w:r>
      <w:r>
        <w:rPr>
          <w:rStyle w:val="CommentTok"/>
        </w:rPr>
        <w:t># "Good enough" - NO!</w:t>
      </w:r>
      <w:r>
        <w:rPr/>
        <w:br/>
        <w:br/>
      </w:r>
      <w:r>
        <w:rPr>
          <w:rStyle w:val="CommentTok"/>
        </w:rPr>
        <w:t># CORRECT: Require 100%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100</w:t>
      </w:r>
      <w:r>
        <w:rPr>
          <w:rStyle w:val="NormalTok"/>
        </w:rPr>
        <w:t xml:space="preserve">  </w:t>
      </w:r>
      <w:r>
        <w:rPr>
          <w:rStyle w:val="CommentTok"/>
        </w:rPr>
        <w:t># 100% required</w:t>
      </w:r>
    </w:p>
    <w:p>
      <w:pPr>
        <w:pStyle w:val="FirstParagraph"/>
        <w:rPr/>
      </w:pPr>
      <w:r>
        <w:rPr>
          <w:b/>
          <w:bCs/>
          <w:sz w:val="20"/>
        </w:rPr>
        <w:t>Rationale:</w:t>
      </w:r>
      <w:r>
        <w:rPr>
          <w:sz w:val="20"/>
        </w:rPr>
        <w:t xml:space="preserve"> - RTL is deterministic - 100% success is achievable - Partial success indicates bugs or timing issues - Lower thresholds mask real problems - Tests must reliably catch regressions</w:t>
      </w:r>
    </w:p>
    <w:p>
      <w:pPr>
        <w:pStyle w:val="BodyText"/>
        <w:rPr/>
      </w:pPr>
      <w:r>
        <w:rPr>
          <w:b/>
          <w:bCs/>
          <w:sz w:val="20"/>
        </w:rPr>
        <w:t>Applies to:</w:t>
      </w:r>
      <w:r>
        <w:rPr>
          <w:sz w:val="20"/>
        </w:rPr>
        <w:t xml:space="preserve"> ALL tests </w:t>
      </w:r>
      <w:r>
        <w:rPr>
          <w:b/>
          <w:bCs/>
          <w:sz w:val="20"/>
        </w:rPr>
        <w:t>Source:</w:t>
      </w:r>
      <w:r>
        <w:rPr>
          <w:sz w:val="20"/>
        </w:rPr>
        <w:t xml:space="preserve"> </w:t>
      </w:r>
      <w:r>
        <w:rPr>
          <w:rStyle w:val="VerbatimChar"/>
          <w:sz w:val="20"/>
        </w:rPr>
        <w:t>rapids/CLAUDE.md</w:t>
      </w:r>
      <w:r>
        <w:rPr>
          <w:sz w:val="20"/>
        </w:rPr>
        <w:t xml:space="preserve">, </w:t>
      </w:r>
      <w:r>
        <w:rPr>
          <w:rStyle w:val="VerbatimChar"/>
          <w:sz w:val="20"/>
        </w:rPr>
        <w:t>CocoTBFramework/CLAUDE.md</w:t>
      </w:r>
    </w:p>
    <w:p>
      <w:pPr>
        <w:pStyle w:val="Normal"/>
        <w:rPr/>
      </w:pPr>
      <w:bookmarkStart w:id="107" w:name="success-requirement-mandatory"/>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
    </w:p>
    <w:p>
      <w:pPr>
        <w:pStyle w:val="Heading3"/>
        <w:spacing w:before="200" w:after="80"/>
        <w:rPr/>
      </w:pPr>
      <w:bookmarkStart w:id="108" w:name="__RefHeading___Toc14798_888288119"/>
      <w:bookmarkStart w:id="109" w:name="simulation-timestamps-in-logs-mandatory"/>
      <w:bookmarkEnd w:id="108"/>
      <w:r>
        <w:rPr>
          <w:rStyle w:val="SectionNumber"/>
          <w:b/>
          <w:color w:val="404040"/>
          <w:sz w:val="24"/>
        </w:rPr>
        <w:t>4.4.4</w:t>
      </w:r>
      <w:r>
        <w:rPr>
          <w:b/>
          <w:color w:val="404040"/>
          <w:sz w:val="24"/>
        </w:rPr>
        <w:tab/>
        <w:t>3.4 Simulation Timestamps in Logs (MANDATORY)</w:t>
      </w:r>
    </w:p>
    <w:p>
      <w:pPr>
        <w:pStyle w:val="FirstParagraph"/>
        <w:rPr/>
      </w:pPr>
      <w:r>
        <w:rPr>
          <w:b/>
          <w:bCs/>
          <w:sz w:val="20"/>
        </w:rPr>
        <w:t>Requirement:</w:t>
      </w:r>
      <w:r>
        <w:rPr>
          <w:sz w:val="20"/>
        </w:rPr>
        <w:t xml:space="preserve"> ALL test log messages MUST include simulation time</w:t>
      </w:r>
    </w:p>
    <w:p>
      <w:pPr>
        <w:pStyle w:val="BodyText"/>
        <w:rPr/>
      </w:pPr>
      <w:r>
        <w:rPr>
          <w:b/>
          <w:bCs/>
          <w:sz w:val="20"/>
        </w:rPr>
        <w:t>Pattern:</w:t>
      </w:r>
    </w:p>
    <w:p>
      <w:pPr>
        <w:pStyle w:val="SourceCode"/>
        <w:rPr/>
      </w:pPr>
      <w:r>
        <w:rPr>
          <w:rStyle w:val="CommentTok"/>
        </w:rPr>
        <w:t># CORRECT: Include simulation timestamp</w:t>
      </w:r>
      <w:r>
        <w:rPr/>
        <w:br/>
      </w:r>
      <w:r>
        <w:rPr>
          <w:rStyle w:val="VariableTok"/>
        </w:rPr>
        <w:t>self</w:t>
      </w:r>
      <w:r>
        <w:rPr>
          <w:rStyle w:val="NormalTok"/>
        </w:rPr>
        <w:t>.log.info(</w:t>
      </w:r>
      <w:r>
        <w:rPr>
          <w:rStyle w:val="SpecialStringTok"/>
        </w:rPr>
        <w:t xml:space="preserve">f"@ </w:t>
      </w:r>
      <w:r>
        <w:rPr>
          <w:rStyle w:val="SpecialCharTok"/>
        </w:rPr>
        <w:t>{</w:t>
      </w:r>
      <w:r>
        <w:rPr>
          <w:rStyle w:val="NormalTok"/>
        </w:rPr>
        <w:t>cocotb</w:t>
      </w:r>
      <w:r>
        <w:rPr>
          <w:rStyle w:val="SpecialCharTok"/>
        </w:rPr>
        <w:t>.</w:t>
      </w:r>
      <w:r>
        <w:rPr>
          <w:rStyle w:val="NormalTok"/>
        </w:rPr>
        <w:t>utils</w:t>
      </w:r>
      <w:r>
        <w:rPr>
          <w:rStyle w:val="SpecialCharTok"/>
        </w:rPr>
        <w:t>.</w:t>
      </w:r>
      <w:r>
        <w:rPr>
          <w:rStyle w:val="NormalTok"/>
        </w:rPr>
        <w:t>get_sim_time(</w:t>
      </w:r>
      <w:r>
        <w:rPr>
          <w:rStyle w:val="StringTok"/>
        </w:rPr>
        <w:t>'ns'</w:t>
      </w:r>
      <w:r>
        <w:rPr>
          <w:rStyle w:val="NormalTok"/>
        </w:rPr>
        <w:t>)</w:t>
      </w:r>
      <w:r>
        <w:rPr>
          <w:rStyle w:val="SpecialCharTok"/>
        </w:rPr>
        <w:t>}</w:t>
      </w:r>
      <w:r>
        <w:rPr>
          <w:rStyle w:val="SpecialStringTok"/>
        </w:rPr>
        <w:t xml:space="preserve">ns: 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r>
        <w:rPr/>
        <w:br/>
        <w:br/>
      </w:r>
      <w:r>
        <w:rPr>
          <w:rStyle w:val="CommentTok"/>
        </w:rPr>
        <w:t># WRONG: No simulation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p>
    <w:p>
      <w:pPr>
        <w:pStyle w:val="FirstParagraph"/>
        <w:rPr/>
      </w:pPr>
      <w:r>
        <w:rPr>
          <w:b/>
          <w:bCs/>
          <w:sz w:val="20"/>
        </w:rPr>
        <w:t>Output Example:</w:t>
      </w:r>
    </w:p>
    <w:p>
      <w:pPr>
        <w:pStyle w:val="SourceCode"/>
        <w:rPr/>
      </w:pPr>
      <w:r>
        <w:rPr>
          <w:rStyle w:val="VerbatimChar"/>
        </w:rPr>
        <w:t>2025-11-06 19:11:20,688 - INFO - @ 150ns: Beat 1: data=0xA000, s_ready=1, occupancy=0</w:t>
      </w:r>
      <w:r>
        <w:rPr/>
        <w:br/>
      </w:r>
      <w:r>
        <w:rPr>
          <w:rStyle w:val="VerbatimChar"/>
        </w:rPr>
        <w:t>2025-11-06 19:11:20,688 - INFO - @ 160ns: Beat 2: data=0xA001, s_ready=1, occupancy=1</w:t>
      </w:r>
      <w:r>
        <w:rPr/>
        <w:br/>
      </w:r>
      <w:r>
        <w:rPr>
          <w:rStyle w:val="VerbatimChar"/>
        </w:rPr>
        <w:t>2025-11-06 19:11:20,688 - INFO - @ 170ns: Beat 3: data=0xA002, s_ready=1, occupancy=2</w:t>
      </w:r>
      <w:r>
        <w:rPr/>
        <w:br/>
      </w:r>
      <w:r>
        <w:rPr>
          <w:rStyle w:val="VerbatimChar"/>
        </w:rPr>
        <w:t>2025-11-06 19:11:20,688 - INFO - @ 180ns: Beat 4 BLOCKED: s_ready=0, occupancy=3</w:t>
      </w:r>
    </w:p>
    <w:p>
      <w:pPr>
        <w:pStyle w:val="FirstParagraph"/>
        <w:rPr/>
      </w:pPr>
      <w:r>
        <w:rPr>
          <w:b/>
          <w:bCs/>
          <w:sz w:val="20"/>
        </w:rPr>
        <w:t>Why Critical:</w:t>
      </w:r>
      <w:r>
        <w:rPr>
          <w:sz w:val="20"/>
        </w:rPr>
        <w:t xml:space="preserve"> - Correlate test events with waveform timing - Debug timing-sensitive failures - Understand cycle-accurate behavior - Match log messages to specific clock edges</w:t>
      </w:r>
    </w:p>
    <w:p>
      <w:pPr>
        <w:pStyle w:val="BodyText"/>
        <w:rPr/>
      </w:pPr>
      <w:r>
        <w:rPr>
          <w:b/>
          <w:bCs/>
          <w:sz w:val="20"/>
        </w:rPr>
        <w:t>What Counts as “Simulation Time”:</w:t>
      </w:r>
      <w:r>
        <w:rPr>
          <w:sz w:val="20"/>
        </w:rPr>
        <w:t xml:space="preserve"> - Use </w:t>
      </w:r>
      <w:r>
        <w:rPr>
          <w:rStyle w:val="VerbatimChar"/>
          <w:sz w:val="20"/>
        </w:rPr>
        <w:t>cocotb.utils.get_sim_time('ns')</w:t>
      </w:r>
      <w:r>
        <w:rPr>
          <w:sz w:val="20"/>
        </w:rPr>
        <w:t xml:space="preserve"> for nanoseconds - Use </w:t>
      </w:r>
      <w:r>
        <w:rPr>
          <w:rStyle w:val="VerbatimChar"/>
          <w:sz w:val="20"/>
        </w:rPr>
        <w:t>cocotb.utils.get_sim_time('ps')</w:t>
      </w:r>
      <w:r>
        <w:rPr>
          <w:sz w:val="20"/>
        </w:rPr>
        <w:t xml:space="preserve"> for picoseconds - Format: </w:t>
      </w:r>
      <w:r>
        <w:rPr>
          <w:rStyle w:val="VerbatimChar"/>
          <w:sz w:val="20"/>
        </w:rPr>
        <w:t>@ {time}{unit}:</w:t>
      </w:r>
      <w:r>
        <w:rPr>
          <w:sz w:val="20"/>
        </w:rPr>
        <w:t xml:space="preserve"> at START of message</w:t>
      </w:r>
    </w:p>
    <w:p>
      <w:pPr>
        <w:pStyle w:val="BodyText"/>
        <w:rPr/>
      </w:pPr>
      <w:r>
        <w:rPr>
          <w:b/>
          <w:bCs/>
          <w:sz w:val="20"/>
        </w:rPr>
        <w:t>Anti-Pattern:</w:t>
      </w:r>
    </w:p>
    <w:p>
      <w:pPr>
        <w:pStyle w:val="SourceCode"/>
        <w:rPr/>
      </w:pPr>
      <w:r>
        <w:rPr>
          <w:rStyle w:val="CommentTok"/>
        </w:rPr>
        <w:t># WRONG: Only Python logging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xml:space="preserve"> completed"</w:t>
      </w:r>
      <w:r>
        <w:rPr>
          <w:rStyle w:val="NormalTok"/>
        </w:rPr>
        <w:t>)</w:t>
      </w:r>
      <w:r>
        <w:rPr/>
        <w:br/>
      </w:r>
      <w:r>
        <w:rPr>
          <w:rStyle w:val="CommentTok"/>
        </w:rPr>
        <w:t># Output: "2025-11-06 19:11:20,688 - INFO - Beat 1 completed"</w:t>
      </w:r>
      <w:r>
        <w:rPr/>
        <w:br/>
      </w:r>
      <w:r>
        <w:rPr>
          <w:rStyle w:val="CommentTok"/>
        </w:rPr>
        <w:t># Problem: Can't correlate with waveform!</w:t>
      </w:r>
    </w:p>
    <w:p>
      <w:pPr>
        <w:pStyle w:val="FirstParagraph"/>
        <w:rPr/>
      </w:pPr>
      <w:r>
        <w:rPr>
          <w:b/>
          <w:bCs/>
          <w:sz w:val="20"/>
        </w:rPr>
        <w:t>Applies to:</w:t>
      </w:r>
      <w:r>
        <w:rPr>
          <w:sz w:val="20"/>
        </w:rPr>
        <w:t xml:space="preserve"> ALL test log messages showing DUT behavior </w:t>
      </w:r>
      <w:r>
        <w:rPr>
          <w:b/>
          <w:bCs/>
          <w:sz w:val="20"/>
        </w:rPr>
        <w:t>Priority:</w:t>
      </w:r>
      <w:r>
        <w:rPr>
          <w:sz w:val="20"/>
        </w:rPr>
        <w:t xml:space="preserve"> P0 - CRITICAL for debugging </w:t>
      </w:r>
      <w:r>
        <w:rPr>
          <w:b/>
          <w:bCs/>
          <w:sz w:val="20"/>
        </w:rPr>
        <w:t>Source:</w:t>
      </w:r>
      <w:r>
        <w:rPr>
          <w:sz w:val="20"/>
        </w:rPr>
        <w:t xml:space="preserve"> User feedback 2025-11-06</w:t>
      </w:r>
    </w:p>
    <w:p>
      <w:pPr>
        <w:pStyle w:val="Normal"/>
        <w:rPr/>
      </w:pPr>
      <w:bookmarkStart w:id="110" w:name="category-3-test-standards"/>
      <w:bookmarkStart w:id="111" w:name="simulation-timestamps-in-logs-mandatory"/>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
      <w:bookmarkEnd w:id="111"/>
    </w:p>
    <w:p>
      <w:pPr>
        <w:pStyle w:val="Heading2"/>
        <w:pBdr>
          <w:bottom w:val="single" w:sz="12" w:space="0" w:color="228B22"/>
        </w:pBdr>
        <w:spacing w:before="280" w:after="80"/>
        <w:rPr/>
      </w:pPr>
      <w:bookmarkStart w:id="112" w:name="__RefHeading___Toc14800_888288119"/>
      <w:bookmarkStart w:id="113" w:name="category-4-framework-usage"/>
      <w:bookmarkEnd w:id="112"/>
      <w:r>
        <w:rPr>
          <w:rStyle w:val="SectionNumber"/>
          <w:b/>
          <w:color w:val="228B22"/>
          <w:sz w:val="28"/>
        </w:rPr>
        <w:t>4.5</w:t>
      </w:r>
      <w:r>
        <w:rPr>
          <w:b/>
          <w:color w:val="228B22"/>
          <w:sz w:val="28"/>
        </w:rPr>
        <w:tab/>
        <w:t>Category 4: Framework Usage</w:t>
      </w:r>
    </w:p>
    <w:p>
      <w:pPr>
        <w:pStyle w:val="Heading3"/>
        <w:spacing w:before="200" w:after="80"/>
        <w:rPr/>
      </w:pPr>
      <w:bookmarkStart w:id="114" w:name="__RefHeading___Toc14802_888288119"/>
      <w:bookmarkStart w:id="115" w:name="search-before-creating-mandatory"/>
      <w:bookmarkEnd w:id="114"/>
      <w:r>
        <w:rPr>
          <w:rStyle w:val="SectionNumber"/>
          <w:b/>
          <w:color w:val="404040"/>
          <w:sz w:val="24"/>
        </w:rPr>
        <w:t>4.5.1</w:t>
      </w:r>
      <w:r>
        <w:rPr>
          <w:b/>
          <w:color w:val="404040"/>
          <w:sz w:val="24"/>
        </w:rPr>
        <w:tab/>
        <w:t>4.1 Search Before Creating (MANDATORY)</w:t>
      </w:r>
    </w:p>
    <w:p>
      <w:pPr>
        <w:pStyle w:val="FirstParagraph"/>
        <w:rPr/>
      </w:pPr>
      <w:r>
        <w:rPr>
          <w:b/>
          <w:bCs/>
          <w:sz w:val="20"/>
        </w:rPr>
        <w:t>Requirement:</w:t>
      </w:r>
      <w:r>
        <w:rPr>
          <w:sz w:val="20"/>
        </w:rPr>
        <w:t xml:space="preserve"> ALWAYS search existing modules/components BEFORE creating new</w:t>
      </w:r>
    </w:p>
    <w:p>
      <w:pPr>
        <w:pStyle w:val="BodyText"/>
        <w:rPr/>
      </w:pPr>
      <w:r>
        <w:rPr>
          <w:b/>
          <w:bCs/>
          <w:sz w:val="20"/>
        </w:rPr>
        <w:t>Search Commands:</w:t>
      </w:r>
    </w:p>
    <w:p>
      <w:pPr>
        <w:pStyle w:val="SourceCode"/>
        <w:rPr/>
      </w:pPr>
      <w:r>
        <w:rPr>
          <w:rStyle w:val="CommentTok"/>
        </w:rPr>
        <w:t># Search for existing RTL modules</w:t>
      </w:r>
      <w:r>
        <w:rPr/>
        <w:br/>
      </w:r>
      <w:r>
        <w:rPr>
          <w:rStyle w:val="FunctionTok"/>
        </w:rPr>
        <w:t>find</w:t>
      </w:r>
      <w:r>
        <w:rPr>
          <w:rStyle w:val="NormalTok"/>
        </w:rPr>
        <w:t xml:space="preserve"> rtl/{subsystem}/ </w:t>
      </w:r>
      <w:r>
        <w:rPr>
          <w:rStyle w:val="AttributeTok"/>
        </w:rPr>
        <w:t>-name</w:t>
      </w:r>
      <w:r>
        <w:rPr>
          <w:rStyle w:val="NormalTok"/>
        </w:rPr>
        <w:t xml:space="preserve"> </w:t>
      </w:r>
      <w:r>
        <w:rPr>
          <w:rStyle w:val="StringTok"/>
        </w:rPr>
        <w:t>"*.sv"</w:t>
      </w:r>
      <w:r>
        <w:rPr>
          <w:rStyle w:val="NormalTok"/>
        </w:rPr>
        <w:t xml:space="preserve"> </w:t>
      </w:r>
      <w:r>
        <w:rPr>
          <w:rStyle w:val="KeywordTok"/>
        </w:rPr>
        <w:t>|</w:t>
      </w:r>
      <w:r>
        <w:rPr>
          <w:rStyle w:val="NormalTok"/>
        </w:rPr>
        <w:t xml:space="preserve"> </w:t>
      </w:r>
      <w:r>
        <w:rPr>
          <w:rStyle w:val="FunctionTok"/>
        </w:rPr>
        <w:t>xargs</w:t>
      </w:r>
      <w:r>
        <w:rPr>
          <w:rStyle w:val="NormalTok"/>
        </w:rPr>
        <w:t xml:space="preserve"> grep </w:t>
      </w:r>
      <w:r>
        <w:rPr>
          <w:rStyle w:val="AttributeTok"/>
        </w:rPr>
        <w:t>-l</w:t>
      </w:r>
      <w:r>
        <w:rPr>
          <w:rStyle w:val="NormalTok"/>
        </w:rPr>
        <w:t xml:space="preserve"> </w:t>
      </w:r>
      <w:r>
        <w:rPr>
          <w:rStyle w:val="StringTok"/>
        </w:rPr>
        <w:t>"keyword"</w:t>
      </w:r>
      <w:r>
        <w:rPr/>
        <w:br/>
        <w:br/>
      </w:r>
      <w:r>
        <w:rPr>
          <w:rStyle w:val="CommentTok"/>
        </w:rPr>
        <w:t># Search for existing BFMs (CocoTBFramework, editable-installed from RTLDesignSherpa-DV)</w:t>
      </w:r>
      <w:r>
        <w:rPr/>
        <w:br/>
      </w:r>
      <w:r>
        <w:rPr>
          <w:rStyle w:val="FunctionTok"/>
        </w:rPr>
        <w:t>find</w:t>
      </w:r>
      <w:r>
        <w:rPr>
          <w:rStyle w:val="NormalTok"/>
        </w:rPr>
        <w:t xml:space="preserve"> </w:t>
      </w:r>
      <w:r>
        <w:rPr>
          <w:rStyle w:val="StringTok"/>
        </w:rPr>
        <w:t>"</w:t>
      </w:r>
      <w:r>
        <w:rPr>
          <w:rStyle w:val="VariableTok"/>
        </w:rPr>
        <w:t>$(</w:t>
      </w:r>
      <w:r>
        <w:rPr>
          <w:rStyle w:val="ExtensionTok"/>
        </w:rPr>
        <w:t>python3</w:t>
      </w:r>
      <w:r>
        <w:rPr>
          <w:rStyle w:val="NormalTok"/>
        </w:rPr>
        <w:t xml:space="preserve"> </w:t>
      </w:r>
      <w:r>
        <w:rPr>
          <w:rStyle w:val="AttributeTok"/>
        </w:rPr>
        <w:t>-c</w:t>
      </w:r>
      <w:r>
        <w:rPr>
          <w:rStyle w:val="NormalTok"/>
        </w:rPr>
        <w:t xml:space="preserve"> </w:t>
      </w:r>
      <w:r>
        <w:rPr>
          <w:rStyle w:val="StringTok"/>
        </w:rPr>
        <w:t>'import CocoTBFramework,os;print(os.path.dirname(CocoTBFramework.__file__))'</w:t>
      </w:r>
      <w:r>
        <w:rPr>
          <w:rStyle w:val="VariableTok"/>
        </w:rPr>
        <w:t>)</w:t>
      </w:r>
      <w:r>
        <w:rPr>
          <w:rStyle w:val="StringTok"/>
        </w:rPr>
        <w:t>/components"</w:t>
      </w:r>
      <w:r>
        <w:rPr>
          <w:rStyle w:val="NormalTok"/>
        </w:rPr>
        <w:t xml:space="preserve"> </w:t>
      </w:r>
      <w:r>
        <w:rPr>
          <w:rStyle w:val="AttributeTok"/>
        </w:rPr>
        <w:t>-name</w:t>
      </w:r>
      <w:r>
        <w:rPr>
          <w:rStyle w:val="NormalTok"/>
        </w:rPr>
        <w:t xml:space="preserve"> </w:t>
      </w:r>
      <w:r>
        <w:rPr>
          <w:rStyle w:val="StringTok"/>
        </w:rPr>
        <w:t>"*.py"</w:t>
      </w:r>
      <w:r>
        <w:rPr>
          <w:rStyle w:val="NormalTok"/>
        </w:rPr>
        <w:t xml:space="preserve"> </w:t>
      </w:r>
      <w:r>
        <w:rPr>
          <w:rStyle w:val="KeywordTok"/>
        </w:rPr>
        <w:t>|</w:t>
      </w:r>
      <w:r>
        <w:rPr>
          <w:rStyle w:val="NormalTok"/>
        </w:rPr>
        <w:t xml:space="preserve"> </w:t>
      </w:r>
      <w:r>
        <w:rPr>
          <w:rStyle w:val="FunctionTok"/>
        </w:rPr>
        <w:t>head</w:t>
      </w:r>
      <w:r>
        <w:rPr/>
        <w:br/>
        <w:br/>
      </w:r>
      <w:r>
        <w:rPr>
          <w:rStyle w:val="CommentTok"/>
        </w:rPr>
        <w:t># Search for existing TB classes</w:t>
      </w:r>
      <w:r>
        <w:rPr/>
        <w:br/>
      </w:r>
      <w:r>
        <w:rPr>
          <w:rStyle w:val="FunctionTok"/>
        </w:rPr>
        <w:t>find</w:t>
      </w:r>
      <w:r>
        <w:rPr>
          <w:rStyle w:val="NormalTok"/>
        </w:rPr>
        <w:t xml:space="preserve"> bin/TBClasses/ </w:t>
      </w:r>
      <w:r>
        <w:rPr>
          <w:rStyle w:val="AttributeTok"/>
        </w:rPr>
        <w:t>-name</w:t>
      </w:r>
      <w:r>
        <w:rPr>
          <w:rStyle w:val="NormalTok"/>
        </w:rPr>
        <w:t xml:space="preserve"> </w:t>
      </w:r>
      <w:r>
        <w:rPr>
          <w:rStyle w:val="StringTok"/>
        </w:rPr>
        <w:t>"*_tb.py"</w:t>
      </w:r>
    </w:p>
    <w:p>
      <w:pPr>
        <w:pStyle w:val="FirstParagraph"/>
        <w:rPr/>
      </w:pPr>
      <w:r>
        <w:rPr>
          <w:b/>
          <w:bCs/>
          <w:sz w:val="20"/>
        </w:rPr>
        <w:t>Decision Tree:</w:t>
      </w:r>
      <w:r>
        <w:rPr>
          <w:sz w:val="20"/>
        </w:rPr>
        <w:t xml:space="preserve"> - Exact match exists → Use it - Close match exists → Adapt with parameters - No match found → Document search, propose new - Didn’t search → STOP, go back and search</w:t>
      </w:r>
    </w:p>
    <w:p>
      <w:pPr>
        <w:pStyle w:val="BodyText"/>
        <w:rPr/>
      </w:pPr>
      <w:r>
        <w:rPr>
          <w:b/>
          <w:bCs/>
          <w:sz w:val="20"/>
        </w:rPr>
        <w:t>Applies to:</w:t>
      </w:r>
      <w:r>
        <w:rPr>
          <w:sz w:val="20"/>
        </w:rPr>
        <w:t xml:space="preserve"> RTL modules, BFMs, TB components </w:t>
      </w:r>
      <w:r>
        <w:rPr>
          <w:b/>
          <w:bCs/>
          <w:sz w:val="20"/>
        </w:rPr>
        <w:t>Source:</w:t>
      </w:r>
      <w:r>
        <w:rPr>
          <w:sz w:val="20"/>
        </w:rPr>
        <w:t xml:space="preserve"> </w:t>
      </w:r>
      <w:r>
        <w:rPr>
          <w:rStyle w:val="VerbatimChar"/>
          <w:sz w:val="20"/>
        </w:rPr>
        <w:t>rtl/common/CLAUDE.md</w:t>
      </w:r>
      <w:r>
        <w:rPr>
          <w:sz w:val="20"/>
        </w:rPr>
        <w:t xml:space="preserve"> Rule #1, </w:t>
      </w:r>
      <w:r>
        <w:rPr>
          <w:rStyle w:val="VerbatimChar"/>
          <w:sz w:val="20"/>
        </w:rPr>
        <w:t>CocoTBFramework/CLAUDE.md</w:t>
      </w:r>
      <w:r>
        <w:rPr>
          <w:sz w:val="20"/>
        </w:rPr>
        <w:t xml:space="preserve"> Rule #1</w:t>
      </w:r>
    </w:p>
    <w:p>
      <w:pPr>
        <w:pStyle w:val="Normal"/>
        <w:rPr/>
      </w:pPr>
      <w:bookmarkStart w:id="116" w:name="search-before-creating-mandatory"/>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
    </w:p>
    <w:p>
      <w:pPr>
        <w:pStyle w:val="Heading3"/>
        <w:spacing w:before="200" w:after="80"/>
        <w:rPr/>
      </w:pPr>
      <w:bookmarkStart w:id="117" w:name="__RefHeading___Toc14804_888288119"/>
      <w:bookmarkStart w:id="118" w:name="Xccfe0dd25afdb1a626e7db711705afd86dc8e3a"/>
      <w:bookmarkEnd w:id="117"/>
      <w:r>
        <w:rPr>
          <w:rStyle w:val="SectionNumber"/>
          <w:b/>
          <w:color w:val="404040"/>
          <w:sz w:val="24"/>
        </w:rPr>
        <w:t>4.5.2</w:t>
      </w:r>
      <w:r>
        <w:rPr>
          <w:b/>
          <w:color w:val="404040"/>
          <w:sz w:val="24"/>
        </w:rPr>
        <w:tab/>
        <w:t>4.2 BFM Usage for Protocols (MANDATORY for RAPIDS)</w:t>
      </w:r>
    </w:p>
    <w:p>
      <w:pPr>
        <w:pStyle w:val="FirstParagraph"/>
        <w:rPr/>
      </w:pPr>
      <w:r>
        <w:rPr>
          <w:b/>
          <w:bCs/>
          <w:sz w:val="20"/>
        </w:rPr>
        <w:t>Requirement:</w:t>
      </w:r>
      <w:r>
        <w:rPr>
          <w:sz w:val="20"/>
        </w:rPr>
        <w:t xml:space="preserve"> MUST use framework BFMs for all protocol interfaces</w:t>
      </w:r>
    </w:p>
    <w:p>
      <w:pPr>
        <w:pStyle w:val="BodyText"/>
        <w:rPr/>
      </w:pPr>
      <w:r>
        <w:rPr>
          <w:b/>
          <w:bCs/>
          <w:sz w:val="20"/>
        </w:rPr>
        <w:t>BFM Selection:</w:t>
      </w:r>
      <w:r>
        <w:rPr>
          <w:sz w:val="20"/>
        </w:rPr>
        <w:t xml:space="preserve"> - </w:t>
      </w:r>
      <w:r>
        <w:rPr>
          <w:b/>
          <w:bCs/>
          <w:sz w:val="20"/>
        </w:rPr>
        <w:t>Custom valid/ready:</w:t>
      </w:r>
      <w:r>
        <w:rPr>
          <w:sz w:val="20"/>
        </w:rPr>
        <w:t xml:space="preserve"> GAXI Master/Slave (</w:t>
      </w:r>
      <w:r>
        <w:rPr>
          <w:rStyle w:val="VerbatimChar"/>
          <w:sz w:val="20"/>
        </w:rPr>
        <w:t>CocoTBFramework/components/gaxi/</w:t>
      </w:r>
      <w:r>
        <w:rPr>
          <w:sz w:val="20"/>
        </w:rPr>
        <w:t xml:space="preserve">) - </w:t>
      </w:r>
      <w:r>
        <w:rPr>
          <w:b/>
          <w:bCs/>
          <w:sz w:val="20"/>
        </w:rPr>
        <w:t>AXI4:</w:t>
      </w:r>
      <w:r>
        <w:rPr>
          <w:sz w:val="20"/>
        </w:rPr>
        <w:t xml:space="preserve"> AXI4 Master/Slave (</w:t>
      </w:r>
      <w:r>
        <w:rPr>
          <w:rStyle w:val="VerbatimChar"/>
          <w:sz w:val="20"/>
        </w:rPr>
        <w:t>CocoTBFramework/components/axi4/</w:t>
      </w:r>
      <w:r>
        <w:rPr>
          <w:sz w:val="20"/>
        </w:rPr>
        <w:t xml:space="preserve">) - </w:t>
      </w:r>
      <w:r>
        <w:rPr>
          <w:b/>
          <w:bCs/>
          <w:sz w:val="20"/>
        </w:rPr>
        <w:t>APB:</w:t>
      </w:r>
      <w:r>
        <w:rPr>
          <w:sz w:val="20"/>
        </w:rPr>
        <w:t xml:space="preserve"> APB drivers (</w:t>
      </w:r>
      <w:r>
        <w:rPr>
          <w:rStyle w:val="VerbatimChar"/>
          <w:sz w:val="20"/>
        </w:rPr>
        <w:t>CocoTBFramework/components/apb/</w:t>
      </w:r>
      <w:r>
        <w:rPr>
          <w:sz w:val="20"/>
        </w:rPr>
        <w:t xml:space="preserve">) - </w:t>
      </w:r>
      <w:r>
        <w:rPr>
          <w:b/>
          <w:bCs/>
          <w:sz w:val="20"/>
        </w:rPr>
        <w:t>AXI-Stream:</w:t>
      </w:r>
      <w:r>
        <w:rPr>
          <w:sz w:val="20"/>
        </w:rPr>
        <w:t xml:space="preserve"> AXIS drivers (</w:t>
      </w:r>
      <w:r>
        <w:rPr>
          <w:rStyle w:val="VerbatimChar"/>
          <w:sz w:val="20"/>
        </w:rPr>
        <w:t>CocoTBFramework/components/axis4/</w:t>
      </w:r>
      <w:r>
        <w:rPr>
          <w:sz w:val="20"/>
        </w:rPr>
        <w:t>)</w:t>
      </w:r>
    </w:p>
    <w:p>
      <w:pPr>
        <w:pStyle w:val="BodyText"/>
        <w:rPr/>
      </w:pPr>
      <w:r>
        <w:rPr>
          <w:sz w:val="20"/>
        </w:rPr>
        <w:t xml:space="preserve">(BFMs come from the RTLDesignSherpa-DV framework repo; shared TB classes in this repo are </w:t>
      </w:r>
      <w:r>
        <w:rPr>
          <w:rStyle w:val="VerbatimChar"/>
          <w:sz w:val="20"/>
        </w:rPr>
        <w:t>bin/TBClasses/</w:t>
      </w:r>
      <w:r>
        <w:rPr>
          <w:sz w:val="20"/>
        </w:rPr>
        <w:t>)</w:t>
      </w:r>
    </w:p>
    <w:p>
      <w:pPr>
        <w:pStyle w:val="BodyText"/>
        <w:rPr/>
      </w:pPr>
      <w:r>
        <w:rPr>
          <w:b/>
          <w:bCs/>
          <w:sz w:val="20"/>
        </w:rPr>
        <w:t>NEVER:</w:t>
      </w:r>
      <w:r>
        <w:rPr>
          <w:sz w:val="20"/>
        </w:rPr>
        <w:t xml:space="preserve"> - Manually drive valid/ready handshakes - Create custom protocol drivers when framework has them</w:t>
      </w:r>
    </w:p>
    <w:p>
      <w:pPr>
        <w:pStyle w:val="BodyText"/>
        <w:rPr/>
      </w:pPr>
      <w:r>
        <w:rPr>
          <w:b/>
          <w:bCs/>
          <w:sz w:val="20"/>
        </w:rPr>
        <w:t>Applies to:</w:t>
      </w:r>
      <w:r>
        <w:rPr>
          <w:sz w:val="20"/>
        </w:rPr>
        <w:t xml:space="preserve"> All RAPIDS FUB-level tests </w:t>
      </w:r>
      <w:r>
        <w:rPr>
          <w:b/>
          <w:bCs/>
          <w:sz w:val="20"/>
        </w:rPr>
        <w:t>Source:</w:t>
      </w:r>
      <w:r>
        <w:rPr>
          <w:sz w:val="20"/>
        </w:rPr>
        <w:t xml:space="preserve"> </w:t>
      </w:r>
      <w:r>
        <w:rPr>
          <w:rStyle w:val="VerbatimChar"/>
          <w:sz w:val="20"/>
        </w:rPr>
        <w:t>rapids/CLAUDE.md</w:t>
      </w:r>
      <w:r>
        <w:rPr>
          <w:sz w:val="20"/>
        </w:rPr>
        <w:t xml:space="preserve"> Rule #1</w:t>
      </w:r>
    </w:p>
    <w:p>
      <w:pPr>
        <w:pStyle w:val="Normal"/>
        <w:rPr/>
      </w:pPr>
      <w:bookmarkStart w:id="119" w:name="category-4-framework-usage"/>
      <w:bookmarkStart w:id="120" w:name="Xccfe0dd25afdb1a626e7db711705afd86dc8e3a"/>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bookmarkEnd w:id="120"/>
    </w:p>
    <w:p>
      <w:pPr>
        <w:pStyle w:val="Heading2"/>
        <w:pBdr>
          <w:bottom w:val="single" w:sz="12" w:space="0" w:color="228B22"/>
        </w:pBdr>
        <w:spacing w:before="280" w:after="80"/>
        <w:rPr/>
      </w:pPr>
      <w:bookmarkStart w:id="121" w:name="__RefHeading___Toc14806_888288119"/>
      <w:bookmarkStart w:id="122" w:name="category-5-documentation"/>
      <w:bookmarkEnd w:id="121"/>
      <w:r>
        <w:rPr>
          <w:rStyle w:val="SectionNumber"/>
          <w:b/>
          <w:color w:val="228B22"/>
          <w:sz w:val="28"/>
        </w:rPr>
        <w:t>4.6</w:t>
      </w:r>
      <w:r>
        <w:rPr>
          <w:b/>
          <w:color w:val="228B22"/>
          <w:sz w:val="28"/>
        </w:rPr>
        <w:tab/>
        <w:t>Category 5: Documentation</w:t>
      </w:r>
    </w:p>
    <w:p>
      <w:pPr>
        <w:pStyle w:val="Heading3"/>
        <w:spacing w:before="200" w:after="80"/>
        <w:rPr/>
      </w:pPr>
      <w:bookmarkStart w:id="123" w:name="__RefHeading___Toc14808_888288119"/>
      <w:bookmarkStart w:id="124" w:name="no-emojis-in-technical-docs-mandatory"/>
      <w:bookmarkEnd w:id="123"/>
      <w:r>
        <w:rPr>
          <w:rStyle w:val="SectionNumber"/>
          <w:b/>
          <w:color w:val="404040"/>
          <w:sz w:val="24"/>
        </w:rPr>
        <w:t>4.6.1</w:t>
      </w:r>
      <w:r>
        <w:rPr>
          <w:b/>
          <w:color w:val="404040"/>
          <w:sz w:val="24"/>
        </w:rPr>
        <w:tab/>
        <w:t>5.1 No Emojis in Technical Docs (MANDATORY)</w:t>
      </w:r>
    </w:p>
    <w:p>
      <w:pPr>
        <w:pStyle w:val="FirstParagraph"/>
        <w:rPr/>
      </w:pPr>
      <w:r>
        <w:rPr>
          <w:b/>
          <w:bCs/>
          <w:sz w:val="20"/>
        </w:rPr>
        <w:t>Requirement:</w:t>
      </w:r>
      <w:r>
        <w:rPr>
          <w:sz w:val="20"/>
        </w:rPr>
        <w:t xml:space="preserve"> No emojis in technical specifications</w:t>
      </w:r>
    </w:p>
    <w:p>
      <w:pPr>
        <w:pStyle w:val="BodyText"/>
        <w:rPr/>
      </w:pPr>
      <w:r>
        <w:rPr>
          <w:b/>
          <w:bCs/>
          <w:sz w:val="20"/>
        </w:rPr>
        <w:t>Rationale:</w:t>
      </w:r>
      <w:r>
        <w:rPr>
          <w:sz w:val="20"/>
        </w:rPr>
        <w:t xml:space="preserve"> - Break PDF generation tools (LaTeX) - Appear unprofessional in formal documentation - Use plain text for all technical documentation</w:t>
      </w:r>
    </w:p>
    <w:p>
      <w:pPr>
        <w:pStyle w:val="BodyText"/>
        <w:rPr/>
      </w:pPr>
      <w:r>
        <w:rPr>
          <w:b/>
          <w:bCs/>
          <w:sz w:val="20"/>
        </w:rPr>
        <w:t>Exception:</w:t>
      </w:r>
      <w:r>
        <w:rPr>
          <w:sz w:val="20"/>
        </w:rPr>
        <w:t xml:space="preserve"> User explicitly requests emojis (rare)</w:t>
      </w:r>
    </w:p>
    <w:p>
      <w:pPr>
        <w:pStyle w:val="BodyText"/>
        <w:rPr/>
      </w:pPr>
      <w:r>
        <w:rPr>
          <w:b/>
          <w:bCs/>
          <w:sz w:val="20"/>
        </w:rPr>
        <w:t>Applies to:</w:t>
      </w:r>
      <w:r>
        <w:rPr>
          <w:sz w:val="20"/>
        </w:rPr>
        <w:t xml:space="preserve"> All technical documentation </w:t>
      </w:r>
      <w:r>
        <w:rPr>
          <w:b/>
          <w:bCs/>
          <w:sz w:val="20"/>
        </w:rPr>
        <w:t>Source:</w:t>
      </w:r>
      <w:r>
        <w:rPr>
          <w:sz w:val="20"/>
        </w:rPr>
        <w:t xml:space="preserve"> Root </w:t>
      </w:r>
      <w:r>
        <w:rPr>
          <w:rStyle w:val="VerbatimChar"/>
          <w:sz w:val="20"/>
        </w:rPr>
        <w:t>/CLAUDE.md</w:t>
      </w:r>
    </w:p>
    <w:p>
      <w:pPr>
        <w:pStyle w:val="Normal"/>
        <w:rPr/>
      </w:pPr>
      <w:bookmarkStart w:id="125" w:name="category-5-documentation"/>
      <w:bookmarkStart w:id="126" w:name="no-emojis-in-technical-docs-mandatory"/>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bookmarkEnd w:id="126"/>
    </w:p>
    <w:p>
      <w:pPr>
        <w:pStyle w:val="Heading2"/>
        <w:pBdr>
          <w:bottom w:val="single" w:sz="12" w:space="0" w:color="228B22"/>
        </w:pBdr>
        <w:spacing w:before="280" w:after="80"/>
        <w:rPr/>
      </w:pPr>
      <w:bookmarkStart w:id="127" w:name="__RefHeading___Toc14810_888288119"/>
      <w:bookmarkStart w:id="128" w:name="category-6-project-specific-requirements"/>
      <w:bookmarkEnd w:id="127"/>
      <w:r>
        <w:rPr>
          <w:rStyle w:val="SectionNumber"/>
          <w:b/>
          <w:color w:val="228B22"/>
          <w:sz w:val="28"/>
        </w:rPr>
        <w:t>4.7</w:t>
      </w:r>
      <w:r>
        <w:rPr>
          <w:b/>
          <w:color w:val="228B22"/>
          <w:sz w:val="28"/>
        </w:rPr>
        <w:tab/>
        <w:t>Category 6: Project-Specific Requirements</w:t>
      </w:r>
    </w:p>
    <w:p>
      <w:pPr>
        <w:pStyle w:val="Heading3"/>
        <w:spacing w:before="200" w:after="80"/>
        <w:rPr/>
      </w:pPr>
      <w:bookmarkStart w:id="129" w:name="__RefHeading___Toc14812_888288119"/>
      <w:bookmarkStart w:id="130" w:name="X60136d82106391252fdcaf57f65c1a9fc726e14"/>
      <w:bookmarkEnd w:id="129"/>
      <w:r>
        <w:rPr>
          <w:rStyle w:val="SectionNumber"/>
          <w:b/>
          <w:color w:val="404040"/>
          <w:sz w:val="24"/>
        </w:rPr>
        <w:t>4.7.1</w:t>
      </w:r>
      <w:r>
        <w:rPr>
          <w:b/>
          <w:color w:val="404040"/>
          <w:sz w:val="24"/>
        </w:rPr>
        <w:tab/>
        <w:t>6.1 Commit Messages Carry No Attribution Trailer</w:t>
      </w:r>
    </w:p>
    <w:p>
      <w:pPr>
        <w:pStyle w:val="FirstParagraph"/>
        <w:rPr/>
      </w:pPr>
      <w:r>
        <w:rPr>
          <w:b/>
          <w:bCs/>
          <w:sz w:val="20"/>
        </w:rPr>
        <w:t>Requirement:</w:t>
      </w:r>
      <w:r>
        <w:rPr>
          <w:sz w:val="20"/>
        </w:rPr>
        <w:t xml:space="preserve"> A commit message is the change and nothing else. No </w:t>
      </w:r>
      <w:r>
        <w:rPr>
          <w:rStyle w:val="VerbatimChar"/>
          <w:sz w:val="20"/>
        </w:rPr>
        <w:t>Co-Authored-By:</w:t>
      </w:r>
      <w:r>
        <w:rPr>
          <w:sz w:val="20"/>
        </w:rPr>
        <w:t xml:space="preserve">, no </w:t>
      </w:r>
      <w:r>
        <w:rPr>
          <w:rStyle w:val="VerbatimChar"/>
          <w:sz w:val="20"/>
        </w:rPr>
        <w:t>Claude-Session:</w:t>
      </w:r>
      <w:r>
        <w:rPr>
          <w:sz w:val="20"/>
        </w:rPr>
        <w:t>, no “generated with” line, and no “Documentation and implementation support by Claude.”</w:t>
      </w:r>
    </w:p>
    <w:p>
      <w:pPr>
        <w:pStyle w:val="BodyText"/>
        <w:rPr/>
      </w:pPr>
      <w:r>
        <w:rPr>
          <w:b/>
          <w:bCs/>
          <w:sz w:val="20"/>
        </w:rPr>
        <w:t>Applies to:</w:t>
      </w:r>
      <w:r>
        <w:rPr>
          <w:sz w:val="20"/>
        </w:rPr>
        <w:t xml:space="preserve"> every commit in this repo, every area, no exceptions. </w:t>
      </w:r>
      <w:r>
        <w:rPr>
          <w:b/>
          <w:bCs/>
          <w:sz w:val="20"/>
        </w:rPr>
        <w:t>Decided:</w:t>
      </w:r>
      <w:r>
        <w:rPr>
          <w:sz w:val="20"/>
        </w:rPr>
        <w:t xml:space="preserve"> 2026-08-31 (owner). Supersedes the former per-component attribution formats that lived here as 6.1/6.2 and in six CLAUDE.md files; those required a trailer and contradicted this. Practice already matched this rule – the twenty commits before it was written carried zero trailers – but the rule itself was recorded nowhere in the repo, so every session rediscovered the conflict. It is written down here to stop that.</w:t>
      </w:r>
    </w:p>
    <w:p>
      <w:pPr>
        <w:pStyle w:val="BodyText"/>
        <w:rPr/>
      </w:pPr>
      <w:r>
        <w:rPr>
          <w:b/>
          <w:bCs/>
          <w:sz w:val="20"/>
        </w:rPr>
        <w:t>Not enforced by tooling.</w:t>
      </w:r>
      <w:r>
        <w:rPr>
          <w:sz w:val="20"/>
        </w:rPr>
        <w:t xml:space="preserve"> No commit-msg hook exists; </w:t>
      </w:r>
      <w:r>
        <w:rPr>
          <w:rStyle w:val="VerbatimChar"/>
          <w:sz w:val="20"/>
        </w:rPr>
        <w:t>bin/hooks/pre-commit</w:t>
      </w:r>
      <w:r>
        <w:rPr>
          <w:sz w:val="20"/>
        </w:rPr>
        <w:t xml:space="preserve"> checks task IDs, declaration order, protocol families, scenario verdicts, doc examples and .sv parse. This one is on the author.</w:t>
      </w:r>
    </w:p>
    <w:p>
      <w:pPr>
        <w:pStyle w:val="BodyText"/>
        <w:rPr/>
      </w:pPr>
      <w:r>
        <w:rPr>
          <w:sz w:val="20"/>
        </w:rPr>
        <w:t xml:space="preserve">Rationale and the history: </w:t>
      </w:r>
      <w:r>
        <w:rPr>
          <w:rStyle w:val="VerbatimChar"/>
          <w:sz w:val="20"/>
        </w:rPr>
        <w:t>vault/handbook/authoring/commit-messages.md</w:t>
      </w:r>
      <w:r>
        <w:rPr>
          <w:sz w:val="20"/>
        </w:rPr>
        <w:t>.</w:t>
      </w:r>
    </w:p>
    <w:p>
      <w:pPr>
        <w:pStyle w:val="Normal"/>
        <w:rPr/>
      </w:pPr>
      <w:bookmarkStart w:id="131" w:name="X60136d82106391252fdcaf57f65c1a9fc726e14"/>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p>
    <w:p>
      <w:pPr>
        <w:pStyle w:val="Heading3"/>
        <w:spacing w:before="200" w:after="80"/>
        <w:rPr/>
      </w:pPr>
      <w:bookmarkStart w:id="132" w:name="__RefHeading___Toc14814_888288119"/>
      <w:bookmarkStart w:id="133" w:name="stream-tutorial-focus"/>
      <w:bookmarkEnd w:id="132"/>
      <w:r>
        <w:rPr>
          <w:rStyle w:val="SectionNumber"/>
          <w:b/>
          <w:color w:val="404040"/>
          <w:sz w:val="24"/>
        </w:rPr>
        <w:t>4.7.2</w:t>
      </w:r>
      <w:r>
        <w:rPr>
          <w:b/>
          <w:color w:val="404040"/>
          <w:sz w:val="24"/>
        </w:rPr>
        <w:tab/>
        <w:t>6.2 STREAM Tutorial Focus</w:t>
      </w:r>
    </w:p>
    <w:p>
      <w:pPr>
        <w:pStyle w:val="FirstParagraph"/>
        <w:rPr/>
      </w:pPr>
      <w:r>
        <w:rPr>
          <w:b/>
          <w:bCs/>
          <w:sz w:val="20"/>
        </w:rPr>
        <w:t>Requirement:</w:t>
      </w:r>
      <w:r>
        <w:rPr>
          <w:sz w:val="20"/>
        </w:rPr>
        <w:t xml:space="preserve"> STREAM has intentional simplifications - DO NOT “fix” them</w:t>
      </w:r>
    </w:p>
    <w:p>
      <w:pPr>
        <w:pStyle w:val="BodyText"/>
        <w:rPr/>
      </w:pPr>
      <w:r>
        <w:rPr>
          <w:b/>
          <w:bCs/>
          <w:sz w:val="20"/>
        </w:rPr>
        <w:t>Intentional Simplifications:</w:t>
      </w:r>
      <w:r>
        <w:rPr>
          <w:sz w:val="20"/>
        </w:rPr>
        <w:t xml:space="preserve"> 1. Aligned addresses only - No alignment fixup logic 2. Length in beats - Not bytes or chunks 3. No circular buffers - Explicit chain termination only 4. No credit management - Simple transaction limits 5. Pure memory-to-memory - No network interfaces</w:t>
      </w:r>
    </w:p>
    <w:p>
      <w:pPr>
        <w:pStyle w:val="BodyText"/>
        <w:rPr/>
      </w:pPr>
      <w:r>
        <w:rPr>
          <w:b/>
          <w:bCs/>
          <w:sz w:val="20"/>
        </w:rPr>
        <w:t>When users ask “Can we add alignment fixup?”</w:t>
      </w:r>
      <w:r>
        <w:rPr>
          <w:sz w:val="20"/>
        </w:rPr>
        <w:t xml:space="preserve"> - </w:t>
      </w:r>
      <w:r>
        <w:rPr>
          <w:b/>
          <w:bCs/>
          <w:sz w:val="20"/>
        </w:rPr>
        <w:t>Correct answer:</w:t>
      </w:r>
      <w:r>
        <w:rPr>
          <w:sz w:val="20"/>
        </w:rPr>
        <w:t xml:space="preserve"> “STREAM intentionally keeps addresses aligned for tutorial simplicity. For complex alignment, see RAPIDS.” - </w:t>
      </w:r>
      <w:r>
        <w:rPr>
          <w:b/>
          <w:bCs/>
          <w:sz w:val="20"/>
        </w:rPr>
        <w:t>Wrong answer:</w:t>
      </w:r>
      <w:r>
        <w:rPr>
          <w:sz w:val="20"/>
        </w:rPr>
        <w:t xml:space="preserve"> “Sure, let me add alignment logic…” (defeats tutorial purpose!)</w:t>
      </w:r>
    </w:p>
    <w:p>
      <w:pPr>
        <w:pStyle w:val="BodyText"/>
        <w:rPr/>
      </w:pPr>
      <w:r>
        <w:rPr>
          <w:b/>
          <w:bCs/>
          <w:sz w:val="20"/>
        </w:rPr>
        <w:t>Applies to:</w:t>
      </w:r>
      <w:r>
        <w:rPr>
          <w:sz w:val="20"/>
        </w:rPr>
        <w:t xml:space="preserve"> STREAM component only </w:t>
      </w:r>
      <w:r>
        <w:rPr>
          <w:b/>
          <w:bCs/>
          <w:sz w:val="20"/>
        </w:rPr>
        <w:t>Source:</w:t>
      </w:r>
      <w:r>
        <w:rPr>
          <w:sz w:val="20"/>
        </w:rPr>
        <w:t xml:space="preserve"> </w:t>
      </w:r>
      <w:r>
        <w:rPr>
          <w:rStyle w:val="VerbatimChar"/>
          <w:sz w:val="20"/>
        </w:rPr>
        <w:t>stream/CLAUDE.md</w:t>
      </w:r>
      <w:r>
        <w:rPr>
          <w:sz w:val="20"/>
        </w:rPr>
        <w:t xml:space="preserve"> Rule #0.1</w:t>
      </w:r>
    </w:p>
    <w:p>
      <w:pPr>
        <w:pStyle w:val="Normal"/>
        <w:rPr/>
      </w:pPr>
      <w:bookmarkStart w:id="134" w:name="category-6-project-specific-requirements"/>
      <w:bookmarkStart w:id="135" w:name="stream-tutorial-focu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
      <w:bookmarkEnd w:id="135"/>
    </w:p>
    <w:p>
      <w:pPr>
        <w:pStyle w:val="Heading2"/>
        <w:pBdr>
          <w:bottom w:val="single" w:sz="12" w:space="0" w:color="228B22"/>
        </w:pBdr>
        <w:spacing w:before="280" w:after="80"/>
        <w:rPr/>
      </w:pPr>
      <w:bookmarkStart w:id="136" w:name="__RefHeading___Toc14816_888288119"/>
      <w:bookmarkStart w:id="137" w:name="summary-by-priority"/>
      <w:bookmarkEnd w:id="136"/>
      <w:r>
        <w:rPr>
          <w:rStyle w:val="SectionNumber"/>
          <w:b/>
          <w:color w:val="228B22"/>
          <w:sz w:val="28"/>
        </w:rPr>
        <w:t>4.8</w:t>
      </w:r>
      <w:r>
        <w:rPr>
          <w:b/>
          <w:color w:val="228B22"/>
          <w:sz w:val="28"/>
        </w:rPr>
        <w:tab/>
        <w:t>Summary by Priority</w:t>
      </w:r>
    </w:p>
    <w:p>
      <w:pPr>
        <w:pStyle w:val="Heading3"/>
        <w:spacing w:before="200" w:after="80"/>
        <w:rPr/>
      </w:pPr>
      <w:bookmarkStart w:id="138" w:name="__RefHeading___Toc14818_888288119"/>
      <w:bookmarkStart w:id="139" w:name="p0---critical-enforcement-required"/>
      <w:bookmarkEnd w:id="138"/>
      <w:r>
        <w:rPr>
          <w:rStyle w:val="SectionNumber"/>
          <w:b/>
          <w:color w:val="404040"/>
          <w:sz w:val="24"/>
        </w:rPr>
        <w:t>4.8.1</w:t>
      </w:r>
      <w:r>
        <w:rPr>
          <w:b/>
          <w:color w:val="404040"/>
          <w:sz w:val="24"/>
        </w:rPr>
        <w:tab/>
        <w:t>P0 - Critical (Enforcement Required)</w:t>
      </w:r>
    </w:p>
    <w:p>
      <w:pPr>
        <w:pStyle w:val="Compact"/>
        <w:numPr>
          <w:ilvl w:val="0"/>
          <w:numId w:val="93"/>
        </w:numPr>
        <w:rPr/>
      </w:pPr>
      <w:r>
        <w:rPr/>
        <w:t>Reset macro usage (</w:t>
      </w:r>
      <w:r>
        <w:rPr>
          <w:rStyle w:val="VerbatimChar"/>
        </w:rPr>
        <w:t>projects/components/</w:t>
      </w:r>
      <w:r>
        <w:rPr/>
        <w:t>)</w:t>
      </w:r>
    </w:p>
    <w:p>
      <w:pPr>
        <w:pStyle w:val="Compact"/>
        <w:numPr>
          <w:ilvl w:val="0"/>
          <w:numId w:val="94"/>
        </w:numPr>
        <w:rPr/>
      </w:pPr>
      <w:r>
        <w:rPr/>
        <w:t>TB location (project area, not framework)</w:t>
      </w:r>
    </w:p>
    <w:p>
      <w:pPr>
        <w:pStyle w:val="Compact"/>
        <w:numPr>
          <w:ilvl w:val="0"/>
          <w:numId w:val="95"/>
        </w:numPr>
        <w:rPr/>
      </w:pPr>
      <w:r>
        <w:rPr/>
        <w:t>Three mandatory TB methods</w:t>
      </w:r>
    </w:p>
    <w:p>
      <w:pPr>
        <w:pStyle w:val="Compact"/>
        <w:numPr>
          <w:ilvl w:val="0"/>
          <w:numId w:val="96"/>
        </w:numPr>
        <w:rPr/>
      </w:pPr>
      <w:r>
        <w:rPr/>
        <w:t>TBBase inheritance</w:t>
      </w:r>
    </w:p>
    <w:p>
      <w:pPr>
        <w:pStyle w:val="Compact"/>
        <w:numPr>
          <w:ilvl w:val="0"/>
          <w:numId w:val="97"/>
        </w:numPr>
        <w:rPr/>
      </w:pPr>
      <w:r>
        <w:rPr/>
        <w:t>Three-layer architecture</w:t>
      </w:r>
    </w:p>
    <w:p>
      <w:pPr>
        <w:pStyle w:val="Compact"/>
        <w:numPr>
          <w:ilvl w:val="0"/>
          <w:numId w:val="98"/>
        </w:numPr>
        <w:rPr/>
      </w:pPr>
      <w:bookmarkStart w:id="140" w:name="p0---critical-enforcement-required"/>
      <w:r>
        <w:rPr/>
        <w:t>100% test success requirement</w:t>
      </w:r>
      <w:bookmarkEnd w:id="140"/>
    </w:p>
    <w:p>
      <w:pPr>
        <w:pStyle w:val="Heading3"/>
        <w:spacing w:before="200" w:after="80"/>
        <w:rPr/>
      </w:pPr>
      <w:bookmarkStart w:id="141" w:name="__RefHeading___Toc14820_888288119"/>
      <w:bookmarkStart w:id="142" w:name="p1---high-priority-strong-recommendation"/>
      <w:bookmarkEnd w:id="141"/>
      <w:r>
        <w:rPr>
          <w:rStyle w:val="SectionNumber"/>
          <w:b/>
          <w:color w:val="404040"/>
          <w:sz w:val="24"/>
        </w:rPr>
        <w:t>4.8.2</w:t>
      </w:r>
      <w:r>
        <w:rPr>
          <w:b/>
          <w:color w:val="404040"/>
          <w:sz w:val="24"/>
        </w:rPr>
        <w:tab/>
        <w:t>P1 - High Priority (Strong Recommendation)</w:t>
      </w:r>
    </w:p>
    <w:p>
      <w:pPr>
        <w:pStyle w:val="Compact"/>
        <w:numPr>
          <w:ilvl w:val="0"/>
          <w:numId w:val="99"/>
        </w:numPr>
        <w:rPr/>
      </w:pPr>
      <w:r>
        <w:rPr/>
        <w:t>FPGA synthesis attributes</w:t>
      </w:r>
    </w:p>
    <w:p>
      <w:pPr>
        <w:pStyle w:val="Compact"/>
        <w:numPr>
          <w:ilvl w:val="0"/>
          <w:numId w:val="14"/>
        </w:numPr>
        <w:rPr/>
      </w:pPr>
      <w:r>
        <w:rPr/>
        <w:t>Array syntax standard</w:t>
      </w:r>
    </w:p>
    <w:p>
      <w:pPr>
        <w:pStyle w:val="Compact"/>
        <w:numPr>
          <w:ilvl w:val="0"/>
          <w:numId w:val="14"/>
        </w:numPr>
        <w:rPr/>
      </w:pPr>
      <w:r>
        <w:rPr/>
        <w:t>SRAM module standards</w:t>
      </w:r>
    </w:p>
    <w:p>
      <w:pPr>
        <w:pStyle w:val="Compact"/>
        <w:numPr>
          <w:ilvl w:val="0"/>
          <w:numId w:val="14"/>
        </w:numPr>
        <w:rPr/>
      </w:pPr>
      <w:r>
        <w:rPr/>
        <w:t>Test naming convention</w:t>
      </w:r>
    </w:p>
    <w:p>
      <w:pPr>
        <w:pStyle w:val="Compact"/>
        <w:numPr>
          <w:ilvl w:val="0"/>
          <w:numId w:val="14"/>
        </w:numPr>
        <w:rPr/>
      </w:pPr>
      <w:r>
        <w:rPr/>
        <w:t>CocoTB + Pytest pattern</w:t>
      </w:r>
    </w:p>
    <w:p>
      <w:pPr>
        <w:pStyle w:val="Compact"/>
        <w:numPr>
          <w:ilvl w:val="0"/>
          <w:numId w:val="14"/>
        </w:numPr>
        <w:rPr/>
      </w:pPr>
      <w:bookmarkStart w:id="143" w:name="p1---high-priority-strong-recommendation"/>
      <w:r>
        <w:rPr/>
        <w:t>Queue-based verification</w:t>
      </w:r>
      <w:bookmarkEnd w:id="143"/>
    </w:p>
    <w:p>
      <w:pPr>
        <w:pStyle w:val="Heading3"/>
        <w:spacing w:before="200" w:after="80"/>
        <w:rPr/>
      </w:pPr>
      <w:bookmarkStart w:id="144" w:name="__RefHeading___Toc14822_888288119"/>
      <w:bookmarkStart w:id="145" w:name="p2---standard-practice-best-practices"/>
      <w:bookmarkEnd w:id="144"/>
      <w:r>
        <w:rPr>
          <w:rStyle w:val="SectionNumber"/>
          <w:b/>
          <w:color w:val="404040"/>
          <w:sz w:val="24"/>
        </w:rPr>
        <w:t>4.8.3</w:t>
      </w:r>
      <w:r>
        <w:rPr>
          <w:b/>
          <w:color w:val="404040"/>
          <w:sz w:val="24"/>
        </w:rPr>
        <w:tab/>
        <w:t>P2 - Standard Practice (Best Practices)</w:t>
      </w:r>
    </w:p>
    <w:p>
      <w:pPr>
        <w:pStyle w:val="Compact"/>
        <w:numPr>
          <w:ilvl w:val="0"/>
          <w:numId w:val="100"/>
        </w:numPr>
        <w:rPr/>
      </w:pPr>
      <w:r>
        <w:rPr/>
        <w:t>Search before creating</w:t>
      </w:r>
    </w:p>
    <w:p>
      <w:pPr>
        <w:pStyle w:val="Compact"/>
        <w:numPr>
          <w:ilvl w:val="0"/>
          <w:numId w:val="15"/>
        </w:numPr>
        <w:rPr/>
      </w:pPr>
      <w:r>
        <w:rPr/>
        <w:t>BFM usage for protocols</w:t>
      </w:r>
    </w:p>
    <w:p>
      <w:pPr>
        <w:pStyle w:val="Compact"/>
        <w:numPr>
          <w:ilvl w:val="0"/>
          <w:numId w:val="15"/>
        </w:numPr>
        <w:rPr/>
      </w:pPr>
      <w:r>
        <w:rPr/>
        <w:t>Active-low reset convention</w:t>
      </w:r>
    </w:p>
    <w:p>
      <w:pPr>
        <w:pStyle w:val="Compact"/>
        <w:numPr>
          <w:ilvl w:val="0"/>
          <w:numId w:val="15"/>
        </w:numPr>
        <w:rPr/>
      </w:pPr>
      <w:bookmarkStart w:id="146" w:name="p2---standard-practice-best-practices"/>
      <w:r>
        <w:rPr/>
        <w:t>No emojis in technical docs</w:t>
      </w:r>
      <w:bookmarkEnd w:id="146"/>
    </w:p>
    <w:p>
      <w:pPr>
        <w:pStyle w:val="Heading3"/>
        <w:spacing w:before="200" w:after="80"/>
        <w:rPr/>
      </w:pPr>
      <w:bookmarkStart w:id="147" w:name="__RefHeading___Toc14824_888288119"/>
      <w:bookmarkStart w:id="148" w:name="p3---project-specific"/>
      <w:bookmarkEnd w:id="147"/>
      <w:r>
        <w:rPr>
          <w:rStyle w:val="SectionNumber"/>
          <w:b/>
          <w:color w:val="404040"/>
          <w:sz w:val="24"/>
        </w:rPr>
        <w:t>4.8.4</w:t>
      </w:r>
      <w:r>
        <w:rPr>
          <w:b/>
          <w:color w:val="404040"/>
          <w:sz w:val="24"/>
        </w:rPr>
        <w:tab/>
        <w:t>P3 - Project-Specific</w:t>
      </w:r>
    </w:p>
    <w:p>
      <w:pPr>
        <w:pStyle w:val="Compact"/>
        <w:numPr>
          <w:ilvl w:val="0"/>
          <w:numId w:val="101"/>
        </w:numPr>
        <w:rPr/>
      </w:pPr>
      <w:r>
        <w:rPr/>
        <w:t>No attribution trailer on commit messages</w:t>
      </w:r>
    </w:p>
    <w:p>
      <w:pPr>
        <w:pStyle w:val="Compact"/>
        <w:numPr>
          <w:ilvl w:val="0"/>
          <w:numId w:val="16"/>
        </w:numPr>
        <w:rPr/>
      </w:pPr>
      <w:r>
        <w:rPr/>
        <w:t>STREAM tutorial focus</w:t>
      </w:r>
    </w:p>
    <w:p>
      <w:pPr>
        <w:pStyle w:val="Normal"/>
        <w:rPr/>
      </w:pPr>
      <w:bookmarkStart w:id="149" w:name="summary-by-priority"/>
      <w:bookmarkStart w:id="150" w:name="p3---project-specific"/>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
      <w:bookmarkEnd w:id="150"/>
    </w:p>
    <w:p>
      <w:pPr>
        <w:pStyle w:val="Heading2"/>
        <w:pBdr>
          <w:bottom w:val="single" w:sz="12" w:space="0" w:color="228B22"/>
        </w:pBdr>
        <w:spacing w:before="280" w:after="80"/>
        <w:rPr/>
      </w:pPr>
      <w:bookmarkStart w:id="151" w:name="__RefHeading___Toc14826_888288119"/>
      <w:bookmarkStart w:id="152" w:name="compliance-checklist"/>
      <w:bookmarkEnd w:id="151"/>
      <w:r>
        <w:rPr>
          <w:rStyle w:val="SectionNumber"/>
          <w:b/>
          <w:color w:val="228B22"/>
          <w:sz w:val="28"/>
        </w:rPr>
        <w:t>4.9</w:t>
      </w:r>
      <w:r>
        <w:rPr>
          <w:b/>
          <w:color w:val="228B22"/>
          <w:sz w:val="28"/>
        </w:rPr>
        <w:tab/>
        <w:t>Compliance Checklist</w:t>
      </w:r>
    </w:p>
    <w:p>
      <w:pPr>
        <w:pStyle w:val="FirstParagraph"/>
        <w:rPr/>
      </w:pPr>
      <w:r>
        <w:rPr>
          <w:sz w:val="20"/>
        </w:rPr>
        <w:t>Use this checklist when creating new RTL or testbenches:</w:t>
      </w:r>
    </w:p>
    <w:p>
      <w:pPr>
        <w:pStyle w:val="BodyText"/>
        <w:rPr/>
      </w:pPr>
      <w:r>
        <w:rPr>
          <w:b/>
          <w:bCs/>
          <w:sz w:val="20"/>
        </w:rPr>
        <w:t>RTL Module:</w:t>
      </w:r>
      <w:r>
        <w:rPr>
          <w:sz w:val="20"/>
        </w:rPr>
        <w:t xml:space="preserve"> - [ ] Uses </w:t>
      </w:r>
      <w:r>
        <w:rPr>
          <w:rStyle w:val="VerbatimChar"/>
          <w:sz w:val="20"/>
        </w:rPr>
        <w:t>ALWAYS_FF_RST</w:t>
      </w:r>
      <w:r>
        <w:rPr>
          <w:sz w:val="20"/>
        </w:rPr>
        <w:t xml:space="preserve"> macro (projects/components/) - [ ] Memory arrays have FPGA attributes - [ ] Arrays use </w:t>
      </w:r>
      <w:r>
        <w:rPr>
          <w:rStyle w:val="VerbatimChar"/>
          <w:sz w:val="20"/>
        </w:rPr>
        <w:t>[DEPTH]</w:t>
      </w:r>
      <w:r>
        <w:rPr>
          <w:sz w:val="20"/>
        </w:rPr>
        <w:t xml:space="preserve"> syntax - [ ] SRAM modules have no reset port - [ ] Uses active-low reset (</w:t>
      </w:r>
      <w:r>
        <w:rPr>
          <w:rStyle w:val="VerbatimChar"/>
          <w:sz w:val="20"/>
        </w:rPr>
        <w:t>rst_n</w:t>
      </w:r>
      <w:r>
        <w:rPr>
          <w:sz w:val="20"/>
        </w:rPr>
        <w:t xml:space="preserve"> or </w:t>
      </w:r>
      <w:r>
        <w:rPr>
          <w:rStyle w:val="VerbatimChar"/>
          <w:sz w:val="20"/>
        </w:rPr>
        <w:t>aresetn</w:t>
      </w:r>
      <w:r>
        <w:rPr>
          <w:sz w:val="20"/>
        </w:rPr>
        <w:t>)</w:t>
      </w:r>
    </w:p>
    <w:p>
      <w:pPr>
        <w:pStyle w:val="BodyText"/>
        <w:rPr/>
      </w:pPr>
      <w:r>
        <w:rPr>
          <w:b/>
          <w:bCs/>
          <w:sz w:val="20"/>
        </w:rPr>
        <w:t>Testbench Class:</w:t>
      </w:r>
      <w:r>
        <w:rPr>
          <w:sz w:val="20"/>
        </w:rPr>
        <w:t xml:space="preserve"> - [ ] Located in </w:t>
      </w:r>
      <w:r>
        <w:rPr>
          <w:rStyle w:val="VerbatimChar"/>
          <w:sz w:val="20"/>
        </w:rPr>
        <w:t>projects/components/{name}/dv/tbclasses/</w:t>
      </w:r>
      <w:r>
        <w:rPr>
          <w:sz w:val="20"/>
        </w:rPr>
        <w:t xml:space="preserve"> - [ ] Inherits from TBBase - [ ] Implements </w:t>
      </w:r>
      <w:r>
        <w:rPr>
          <w:rStyle w:val="VerbatimChar"/>
          <w:sz w:val="20"/>
        </w:rPr>
        <w:t>setup_clocks_and_reset()</w:t>
      </w:r>
      <w:r>
        <w:rPr>
          <w:sz w:val="20"/>
        </w:rPr>
        <w:t xml:space="preserve"> - [ ] Implements </w:t>
      </w:r>
      <w:r>
        <w:rPr>
          <w:rStyle w:val="VerbatimChar"/>
          <w:sz w:val="20"/>
        </w:rPr>
        <w:t>assert_reset()</w:t>
      </w:r>
      <w:r>
        <w:rPr>
          <w:sz w:val="20"/>
        </w:rPr>
        <w:t xml:space="preserve"> - [ ] Implements </w:t>
      </w:r>
      <w:r>
        <w:rPr>
          <w:rStyle w:val="VerbatimChar"/>
          <w:sz w:val="20"/>
        </w:rPr>
        <w:t>deassert_reset()</w:t>
      </w:r>
      <w:r>
        <w:rPr>
          <w:sz w:val="20"/>
        </w:rPr>
        <w:t xml:space="preserve"> - [ ] Uses framework BFMs (not manual handshaking)</w:t>
      </w:r>
    </w:p>
    <w:p>
      <w:pPr>
        <w:pStyle w:val="BodyText"/>
        <w:rPr/>
      </w:pPr>
      <w:r>
        <w:rPr>
          <w:b/>
          <w:bCs/>
          <w:sz w:val="20"/>
        </w:rPr>
        <w:t>Test File:</w:t>
      </w:r>
      <w:r>
        <w:rPr>
          <w:sz w:val="20"/>
        </w:rPr>
        <w:t xml:space="preserve"> - [ ] Imports TB class from project area - [ ] CocoTB functions prefixed with </w:t>
      </w:r>
      <w:r>
        <w:rPr>
          <w:rStyle w:val="VerbatimChar"/>
          <w:sz w:val="20"/>
        </w:rPr>
        <w:t>cocotb_test_*</w:t>
      </w:r>
      <w:r>
        <w:rPr>
          <w:sz w:val="20"/>
        </w:rPr>
        <w:t xml:space="preserve"> - [ ] Pytest function matches module name - [ ] Uses </w:t>
      </w:r>
      <w:r>
        <w:rPr>
          <w:rStyle w:val="VerbatimChar"/>
          <w:sz w:val="20"/>
        </w:rPr>
        <w:t>testcase=</w:t>
      </w:r>
      <w:r>
        <w:rPr>
          <w:sz w:val="20"/>
        </w:rPr>
        <w:t xml:space="preserve"> to specify CocoTB function - [ ] Requires 100% success rate - [ ] Uses queue-based verification (for simple tests)</w:t>
      </w:r>
    </w:p>
    <w:p>
      <w:pPr>
        <w:pStyle w:val="BodyText"/>
        <w:rPr/>
      </w:pPr>
      <w:r>
        <w:rPr>
          <w:b/>
          <w:bCs/>
          <w:sz w:val="20"/>
        </w:rPr>
        <w:t>Documentation:</w:t>
      </w:r>
      <w:r>
        <w:rPr>
          <w:sz w:val="20"/>
        </w:rPr>
        <w:t xml:space="preserve"> - [ ] No emojis in technical specs - [ ] Commit message carries no attribution trailer</w:t>
      </w:r>
    </w:p>
    <w:p>
      <w:pPr>
        <w:pStyle w:val="Normal"/>
        <w:rPr/>
      </w:pPr>
      <w:bookmarkStart w:id="153" w:name="compliance-checklist"/>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
    </w:p>
    <w:p>
      <w:pPr>
        <w:pStyle w:val="Heading2"/>
        <w:pBdr>
          <w:bottom w:val="single" w:sz="12" w:space="0" w:color="228B22"/>
        </w:pBdr>
        <w:spacing w:before="280" w:after="80"/>
        <w:rPr/>
      </w:pPr>
      <w:bookmarkStart w:id="154" w:name="__RefHeading___Toc14828_888288119"/>
      <w:bookmarkStart w:id="155" w:name="enforcement"/>
      <w:bookmarkEnd w:id="154"/>
      <w:r>
        <w:rPr>
          <w:rStyle w:val="SectionNumber"/>
          <w:b/>
          <w:color w:val="228B22"/>
          <w:sz w:val="28"/>
        </w:rPr>
        <w:t>4.10</w:t>
      </w:r>
      <w:r>
        <w:rPr>
          <w:b/>
          <w:color w:val="228B22"/>
          <w:sz w:val="28"/>
        </w:rPr>
        <w:tab/>
        <w:t>Enforcement</w:t>
      </w:r>
    </w:p>
    <w:p>
      <w:pPr>
        <w:pStyle w:val="FirstParagraph"/>
        <w:rPr/>
      </w:pPr>
      <w:r>
        <w:rPr>
          <w:b/>
          <w:bCs/>
          <w:sz w:val="20"/>
        </w:rPr>
        <w:t>These requirements are enforced via:</w:t>
      </w:r>
    </w:p>
    <w:p>
      <w:pPr>
        <w:pStyle w:val="Compact"/>
        <w:numPr>
          <w:ilvl w:val="0"/>
          <w:numId w:val="102"/>
        </w:numPr>
        <w:rPr/>
      </w:pPr>
      <w:r>
        <w:rPr>
          <w:b/>
          <w:bCs/>
        </w:rPr>
        <w:t>Code Review</w:t>
      </w:r>
      <w:r>
        <w:rPr/>
        <w:t xml:space="preserve"> - All PRs reviewed for compliance</w:t>
      </w:r>
    </w:p>
    <w:p>
      <w:pPr>
        <w:pStyle w:val="Compact"/>
        <w:numPr>
          <w:ilvl w:val="0"/>
          <w:numId w:val="103"/>
        </w:numPr>
        <w:rPr/>
      </w:pPr>
      <w:r>
        <w:rPr>
          <w:b/>
          <w:bCs/>
        </w:rPr>
        <w:t>Automated Tools:</w:t>
      </w:r>
    </w:p>
    <w:p>
      <w:pPr>
        <w:pStyle w:val="Compact"/>
        <w:numPr>
          <w:ilvl w:val="1"/>
          <w:numId w:val="104"/>
        </w:numPr>
        <w:rPr/>
      </w:pPr>
      <w:r>
        <w:rPr>
          <w:rStyle w:val="VerbatimChar"/>
        </w:rPr>
        <w:t>bin/update_resets.py</w:t>
      </w:r>
      <w:r>
        <w:rPr/>
        <w:t xml:space="preserve"> - Reset macro conversion</w:t>
      </w:r>
    </w:p>
    <w:p>
      <w:pPr>
        <w:pStyle w:val="Compact"/>
        <w:numPr>
          <w:ilvl w:val="1"/>
          <w:numId w:val="105"/>
        </w:numPr>
        <w:rPr/>
      </w:pPr>
      <w:r>
        <w:rPr>
          <w:rStyle w:val="VerbatimChar"/>
        </w:rPr>
        <w:t>bin/audit_signal_naming_conflicts.py</w:t>
      </w:r>
      <w:r>
        <w:rPr/>
        <w:t xml:space="preserve"> - Signal naming checks</w:t>
      </w:r>
    </w:p>
    <w:p>
      <w:pPr>
        <w:pStyle w:val="Compact"/>
        <w:numPr>
          <w:ilvl w:val="0"/>
          <w:numId w:val="106"/>
        </w:numPr>
        <w:rPr/>
      </w:pPr>
      <w:r>
        <w:rPr>
          <w:b/>
          <w:bCs/>
        </w:rPr>
        <w:t>CI/CD Checks:</w:t>
      </w:r>
    </w:p>
    <w:p>
      <w:pPr>
        <w:pStyle w:val="Compact"/>
        <w:numPr>
          <w:ilvl w:val="1"/>
          <w:numId w:val="107"/>
        </w:numPr>
        <w:rPr/>
      </w:pPr>
      <w:r>
        <w:rPr/>
        <w:t>Verilator linting</w:t>
      </w:r>
    </w:p>
    <w:p>
      <w:pPr>
        <w:pStyle w:val="Compact"/>
        <w:numPr>
          <w:ilvl w:val="1"/>
          <w:numId w:val="108"/>
        </w:numPr>
        <w:rPr/>
      </w:pPr>
      <w:r>
        <w:rPr/>
        <w:t>Pytest test execution</w:t>
      </w:r>
    </w:p>
    <w:p>
      <w:pPr>
        <w:pStyle w:val="Compact"/>
        <w:numPr>
          <w:ilvl w:val="1"/>
          <w:numId w:val="109"/>
        </w:numPr>
        <w:rPr/>
      </w:pPr>
      <w:r>
        <w:rPr/>
        <w:t>Test success rate validation</w:t>
      </w:r>
    </w:p>
    <w:p>
      <w:pPr>
        <w:pStyle w:val="Compact"/>
        <w:numPr>
          <w:ilvl w:val="0"/>
          <w:numId w:val="110"/>
        </w:numPr>
        <w:rPr/>
      </w:pPr>
      <w:r>
        <w:rPr>
          <w:b/>
          <w:bCs/>
        </w:rPr>
        <w:t>Documentation:</w:t>
      </w:r>
    </w:p>
    <w:p>
      <w:pPr>
        <w:pStyle w:val="Compact"/>
        <w:numPr>
          <w:ilvl w:val="1"/>
          <w:numId w:val="111"/>
        </w:numPr>
        <w:rPr/>
      </w:pPr>
      <w:r>
        <w:rPr/>
        <w:t>CLAUDE.md files per subsystem</w:t>
      </w:r>
    </w:p>
    <w:p>
      <w:pPr>
        <w:pStyle w:val="Compact"/>
        <w:numPr>
          <w:ilvl w:val="1"/>
          <w:numId w:val="112"/>
        </w:numPr>
        <w:rPr/>
      </w:pPr>
      <w:r>
        <w:rPr/>
        <w:t>PRD.md requirements per component</w:t>
      </w:r>
    </w:p>
    <w:p>
      <w:pPr>
        <w:pStyle w:val="FirstParagraph"/>
        <w:rPr/>
      </w:pPr>
      <w:r>
        <w:rPr>
          <w:b/>
          <w:bCs/>
          <w:sz w:val="20"/>
        </w:rPr>
        <w:t>Non-Compliance:</w:t>
      </w:r>
      <w:r>
        <w:rPr>
          <w:sz w:val="20"/>
        </w:rPr>
        <w:t xml:space="preserve"> - PRs will be REJECTED if they violate P0 requirements - P1 violations require justification and approval - P2/P3 violations should be corrected but may not block PR</w:t>
      </w:r>
    </w:p>
    <w:p>
      <w:pPr>
        <w:pStyle w:val="Normal"/>
        <w:rPr/>
      </w:pPr>
      <w:bookmarkStart w:id="156" w:name="enforcement"/>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p>
    <w:p>
      <w:pPr>
        <w:pStyle w:val="Heading2"/>
        <w:pBdr>
          <w:bottom w:val="single" w:sz="12" w:space="0" w:color="228B22"/>
        </w:pBdr>
        <w:spacing w:before="280" w:after="80"/>
        <w:rPr/>
      </w:pPr>
      <w:bookmarkStart w:id="157" w:name="__RefHeading___Toc14830_888288119"/>
      <w:bookmarkStart w:id="158" w:name="references"/>
      <w:bookmarkEnd w:id="157"/>
      <w:r>
        <w:rPr>
          <w:rStyle w:val="SectionNumber"/>
          <w:b/>
          <w:color w:val="228B22"/>
          <w:sz w:val="28"/>
        </w:rPr>
        <w:t>4.11</w:t>
      </w:r>
      <w:r>
        <w:rPr>
          <w:b/>
          <w:color w:val="228B22"/>
          <w:sz w:val="28"/>
        </w:rPr>
        <w:tab/>
        <w:t>References</w:t>
      </w:r>
    </w:p>
    <w:p>
      <w:pPr>
        <w:pStyle w:val="FirstParagraph"/>
        <w:rPr/>
      </w:pPr>
      <w:r>
        <w:rPr>
          <w:b/>
          <w:bCs/>
          <w:sz w:val="20"/>
        </w:rPr>
        <w:t>Main Documentation:</w:t>
      </w:r>
      <w:r>
        <w:rPr>
          <w:sz w:val="20"/>
        </w:rPr>
        <w:t xml:space="preserve"> - </w:t>
      </w:r>
      <w:r>
        <w:rPr>
          <w:rStyle w:val="VerbatimChar"/>
          <w:sz w:val="20"/>
        </w:rPr>
        <w:t>/CLAUDE.md</w:t>
      </w:r>
      <w:r>
        <w:rPr>
          <w:sz w:val="20"/>
        </w:rPr>
        <w:t xml:space="preserve"> - Repository-wide guidance - </w:t>
      </w:r>
      <w:r>
        <w:rPr>
          <w:rStyle w:val="VerbatimChar"/>
          <w:sz w:val="20"/>
        </w:rPr>
        <w:t>/PRD.md</w:t>
      </w:r>
      <w:r>
        <w:rPr>
          <w:sz w:val="20"/>
        </w:rPr>
        <w:t xml:space="preserve"> - Master requirements - </w:t>
      </w:r>
      <w:r>
        <w:rPr>
          <w:rStyle w:val="VerbatimChar"/>
          <w:sz w:val="20"/>
        </w:rPr>
        <w:t>projects/components/CLAUDE.md</w:t>
      </w:r>
      <w:r>
        <w:rPr>
          <w:sz w:val="20"/>
        </w:rPr>
        <w:t xml:space="preserve"> - Project area standards - </w:t>
      </w:r>
      <w:r>
        <w:rPr>
          <w:rStyle w:val="VerbatimChar"/>
          <w:sz w:val="20"/>
        </w:rPr>
        <w:t>CLAUDE.md</w:t>
      </w:r>
      <w:r>
        <w:rPr>
          <w:sz w:val="20"/>
        </w:rPr>
        <w:t xml:space="preserve"> in the RTLDesignSherpa-DV repo - DV framework patterns (shared TB classes: </w:t>
      </w:r>
      <w:r>
        <w:rPr>
          <w:rStyle w:val="VerbatimChar"/>
          <w:sz w:val="20"/>
        </w:rPr>
        <w:t>bin/TBClasses/</w:t>
      </w:r>
      <w:r>
        <w:rPr>
          <w:sz w:val="20"/>
        </w:rPr>
        <w:t>)</w:t>
      </w:r>
    </w:p>
    <w:p>
      <w:pPr>
        <w:pStyle w:val="BodyText"/>
        <w:rPr/>
      </w:pPr>
      <w:r>
        <w:rPr>
          <w:b/>
          <w:bCs/>
          <w:sz w:val="20"/>
        </w:rPr>
        <w:t>Subsystem Documentation:</w:t>
      </w:r>
      <w:r>
        <w:rPr>
          <w:sz w:val="20"/>
        </w:rPr>
        <w:t xml:space="preserve"> - </w:t>
      </w:r>
      <w:r>
        <w:rPr>
          <w:rStyle w:val="VerbatimChar"/>
          <w:sz w:val="20"/>
        </w:rPr>
        <w:t>projects/components/dma-ip/rapids/CLAUDE.md</w:t>
      </w:r>
      <w:r>
        <w:rPr>
          <w:sz w:val="20"/>
        </w:rPr>
        <w:t xml:space="preserve"> - RAPIDS guidance - </w:t>
      </w:r>
      <w:r>
        <w:rPr>
          <w:rStyle w:val="VerbatimChar"/>
          <w:sz w:val="20"/>
        </w:rPr>
        <w:t>projects/components/dma-ip/stream/CLAUDE.md</w:t>
      </w:r>
      <w:r>
        <w:rPr>
          <w:sz w:val="20"/>
        </w:rPr>
        <w:t xml:space="preserve"> - STREAM guidance - </w:t>
      </w:r>
      <w:r>
        <w:rPr>
          <w:rStyle w:val="VerbatimChar"/>
          <w:sz w:val="20"/>
        </w:rPr>
        <w:t>rtl/amba/CLAUDE.md</w:t>
      </w:r>
      <w:r>
        <w:rPr>
          <w:sz w:val="20"/>
        </w:rPr>
        <w:t xml:space="preserve"> - AMBA subsystem guidance - </w:t>
      </w:r>
      <w:r>
        <w:rPr>
          <w:rStyle w:val="VerbatimChar"/>
          <w:sz w:val="20"/>
        </w:rPr>
        <w:t>rtl/common/CLAUDE.md</w:t>
      </w:r>
      <w:r>
        <w:rPr>
          <w:sz w:val="20"/>
        </w:rPr>
        <w:t xml:space="preserve"> - Common RTL library guidance</w:t>
      </w:r>
    </w:p>
    <w:p>
      <w:pPr>
        <w:pStyle w:val="BodyText"/>
        <w:rPr/>
      </w:pPr>
      <w:r>
        <w:rPr>
          <w:b/>
          <w:bCs/>
          <w:sz w:val="20"/>
        </w:rPr>
        <w:t>Tools:</w:t>
      </w:r>
      <w:r>
        <w:rPr>
          <w:sz w:val="20"/>
        </w:rPr>
        <w:t xml:space="preserve"> - </w:t>
      </w:r>
      <w:r>
        <w:rPr>
          <w:rStyle w:val="VerbatimChar"/>
          <w:sz w:val="20"/>
        </w:rPr>
        <w:t>bin/update_resets.py</w:t>
      </w:r>
      <w:r>
        <w:rPr>
          <w:sz w:val="20"/>
        </w:rPr>
        <w:t xml:space="preserve"> - Reset macro conversion - </w:t>
      </w:r>
      <w:r>
        <w:rPr>
          <w:rStyle w:val="VerbatimChar"/>
          <w:sz w:val="20"/>
        </w:rPr>
        <w:t>bin/audit_signal_naming_conflicts.py</w:t>
      </w:r>
      <w:r>
        <w:rPr>
          <w:sz w:val="20"/>
        </w:rPr>
        <w:t xml:space="preserve"> - Signal naming audit - </w:t>
      </w:r>
      <w:r>
        <w:rPr>
          <w:rStyle w:val="VerbatimChar"/>
          <w:sz w:val="20"/>
        </w:rPr>
        <w:t>bin/md_to_docx.py</w:t>
      </w:r>
      <w:r>
        <w:rPr>
          <w:sz w:val="20"/>
        </w:rPr>
        <w:t xml:space="preserve"> - Documentation generation</w:t>
      </w:r>
    </w:p>
    <w:p>
      <w:pPr>
        <w:pStyle w:val="Normal"/>
        <w:rPr/>
      </w:pP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2025-10-31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 w:name="X6f3f7f883da2864f02074517b189f62dc0ed17d"/>
      <w:bookmarkStart w:id="160" w:name="reference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bookmarkEnd w:id="160"/>
      <w:r>
        <w:br w:type="page"/>
      </w:r>
    </w:p>
    <w:p>
      <w:pPr>
        <w:pStyle w:val="Heading1"/>
        <w:shd w:val="clear" w:color="auto" w:fill="404040"/>
        <w:spacing w:before="360" w:after="120"/>
        <w:rPr/>
      </w:pPr>
      <w:bookmarkStart w:id="161" w:name="__RefHeading___Toc14832_888288119"/>
      <w:bookmarkStart w:id="162" w:name="document-information"/>
      <w:bookmarkEnd w:id="161"/>
      <w:r>
        <w:rPr>
          <w:rStyle w:val="SectionNumber"/>
          <w:b/>
          <w:color w:val="FFFFFF"/>
          <w:sz w:val="32"/>
        </w:rPr>
        <w:t>5</w:t>
      </w:r>
      <w:r>
        <w:rPr>
          <w:b/>
          <w:color w:val="FFFFFF"/>
          <w:sz w:val="32"/>
        </w:rPr>
        <w:tab/>
        <w:t>Document Information</w:t>
      </w:r>
    </w:p>
    <w:p>
      <w:pPr>
        <w:pStyle w:val="TableCaption"/>
        <w:rPr/>
      </w:pPr>
      <w:bookmarkStart w:id="163" w:name="_Tab_1_Table_0_1__Document_"/>
      <w:r>
        <w:rPr/>
        <w:t>Table 0.1: Document information</w:t>
      </w:r>
      <w:bookmarkEnd w:id="1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 Blocking MESI Snoopy L1 Cache —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 ratifies the Pre-HAS sketch; PRD decisions D1, D2, D4, D5, D6, D7, D8, D9, D10 are DECIDED. D3 (memory-side shape) and D11 (array construction) remain OPEN and are recorded in the chapters they shape.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tops, the shared </w:t>
            </w:r>
            <w:r>
              <w:rPr>
                <w:rStyle w:val="VerbatimChar"/>
                <w:rFonts w:eastAsia="Cambria" w:cs=""/>
                <w:kern w:val="0"/>
                <w:szCs w:val="24"/>
                <w:lang w:val="en-US" w:eastAsia="en-US" w:bidi="ar-SA"/>
              </w:rPr>
              <w:t>amber_core</w:t>
            </w:r>
            <w:r>
              <w:rPr>
                <w:rFonts w:eastAsia="Cambria" w:cs=""/>
                <w:kern w:val="0"/>
                <w:sz w:val="24"/>
                <w:szCs w:val="24"/>
                <w:lang w:val="en-US" w:eastAsia="en-US" w:bidi="ar-SA"/>
              </w:rPr>
              <w:t>, interfaces, parameters, and integration rules for the pair rig and the onyx rig.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miss handling (jet), directory-based coherence, L2/L3, ECC, TLBs, multi-port CPU issue, ACE DVM and barrier semantics.</w:t>
            </w:r>
          </w:p>
        </w:tc>
      </w:tr>
    </w:tbl>
    <w:p>
      <w:pPr>
        <w:pStyle w:val="Heading2"/>
        <w:pBdr>
          <w:bottom w:val="single" w:sz="12" w:space="0" w:color="228B22"/>
        </w:pBdr>
        <w:spacing w:before="280" w:after="80"/>
        <w:rPr/>
      </w:pPr>
      <w:bookmarkStart w:id="164" w:name="__RefHeading___Toc14834_888288119"/>
      <w:bookmarkEnd w:id="164"/>
      <w:r>
        <w:rPr>
          <w:rStyle w:val="SectionNumber"/>
          <w:b/>
          <w:color w:val="228B22"/>
          <w:sz w:val="28"/>
        </w:rPr>
        <w:t>5.1</w:t>
      </w:r>
      <w:r>
        <w:rPr>
          <w:b/>
          <w:color w:val="228B22"/>
          <w:sz w:val="28"/>
        </w:rPr>
        <w:tab/>
        <w:t>Related documents</w:t>
      </w:r>
    </w:p>
    <w:p>
      <w:pPr>
        <w:pStyle w:val="TableCaption"/>
        <w:rPr/>
      </w:pPr>
      <w:bookmarkStart w:id="165" w:name="_Tab_2_Table_0_2__Related_d"/>
      <w:r>
        <w:rPr/>
        <w:t>Table 0.2: Related documents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8">
              <w:r>
                <w:rPr>
                  <w:rStyle w:val="Hyperlink"/>
                  <w:rFonts w:eastAsia="Cambria" w:cs=""/>
                  <w:kern w:val="0"/>
                  <w:sz w:val="24"/>
                  <w:szCs w:val="24"/>
                  <w:lang w:val="en-US" w:eastAsia="en-US" w:bidi="ar-SA"/>
                </w:rPr>
                <w:t>../../../PRD.md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requirements</w:t>
            </w:r>
            <w:r>
              <w:rPr>
                <w:rFonts w:eastAsia="Cambria" w:cs=""/>
                <w:kern w:val="0"/>
                <w:sz w:val="24"/>
                <w:szCs w:val="24"/>
                <w:lang w:val="en-US" w:eastAsia="en-US" w:bidi="ar-SA"/>
              </w:rPr>
              <w:t xml:space="preserve"> — all decisions and success criteria originate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Hyperlink"/>
                  <w:rFonts w:eastAsia="Cambria" w:cs=""/>
                  <w:kern w:val="0"/>
                  <w:sz w:val="24"/>
                  <w:szCs w:val="24"/>
                  <w:lang w:val="en-US" w:eastAsia="en-US" w:bidi="ar-SA"/>
                </w:rPr>
                <w:t>../amber_prehas.md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sketch ratified by this book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jet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Hyperlink"/>
                  <w:rFonts w:eastAsia="Cambria" w:cs=""/>
                  <w:kern w:val="0"/>
                  <w:sz w:val="24"/>
                  <w:szCs w:val="24"/>
                  <w:lang w:val="en-US" w:eastAsia="en-US" w:bidi="ar-SA"/>
                </w:rPr>
                <w:t>../../../../jet-mesi-l1/PRD.md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follow-on; amber must not pre-decide its open rows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Hyperlink"/>
                  <w:rFonts w:eastAsia="Cambria" w:cs=""/>
                  <w:kern w:val="0"/>
                  <w:sz w:val="24"/>
                  <w:szCs w:val="24"/>
                  <w:lang w:val="en-US" w:eastAsia="en-US" w:bidi="ar-SA"/>
                </w:rPr>
                <w:t>../../../../onyx-ace-ccu/PRD.md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defines the ACE-shaped snoop port (D7) and the coherent-transaction subset (D2)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ACE Interface Definition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2">
              <w:r>
                <w:rPr>
                  <w:rStyle w:val="Hyperlink"/>
                  <w:rFonts w:eastAsia="Cambria" w:cs=""/>
                  <w:kern w:val="0"/>
                  <w:sz w:val="24"/>
                  <w:szCs w:val="24"/>
                  <w:lang w:val="en-US" w:eastAsia="en-US" w:bidi="ar-SA"/>
                </w:rPr>
                <w:t>../../../../References/AMBA_ACE_Interface_Definition.md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in-repo ACE contract, verified against IHI 0022H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 Ruby protocols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3">
              <w:r>
                <w:rPr>
                  <w:rStyle w:val="Hyperlink"/>
                  <w:rFonts w:eastAsia="Cambria" w:cs=""/>
                  <w:kern w:val="0"/>
                  <w:sz w:val="24"/>
                  <w:szCs w:val="24"/>
                  <w:lang w:val="en-US" w:eastAsia="en-US" w:bidi="ar-SA"/>
                </w:rPr>
                <w:t>../../../../References/gem5-ruby-protocols/README.md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for the Python reference model and FSM oracles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simulator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4">
              <w:r>
                <w:rPr>
                  <w:rStyle w:val="Hyperlink"/>
                  <w:rFonts w:eastAsia="Cambria" w:cs=""/>
                  <w:kern w:val="0"/>
                  <w:sz w:val="24"/>
                  <w:szCs w:val="24"/>
                  <w:lang w:val="en-US" w:eastAsia="en-US" w:bidi="ar-SA"/>
                </w:rPr>
                <w:t>../../../../../../../bin/apps/cache_sim/README.md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parity model for LRU/FIFO/RANDOM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5">
              <w:r>
                <w:rPr>
                  <w:rStyle w:val="Hyperlink"/>
                  <w:rFonts w:eastAsia="Cambria" w:cs=""/>
                  <w:kern w:val="0"/>
                  <w:sz w:val="24"/>
                  <w:szCs w:val="24"/>
                  <w:lang w:val="en-US" w:eastAsia="en-US" w:bidi="ar-SA"/>
                </w:rPr>
                <w:t>../../../../../../../GLOBAL_REQUIREMENTS.md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macros, array syntax, no bespoke SRAM, filelist registry</w:t>
            </w:r>
          </w:p>
        </w:tc>
      </w:tr>
    </w:tbl>
    <w:p>
      <w:pPr>
        <w:pStyle w:val="Heading2"/>
        <w:pBdr>
          <w:bottom w:val="single" w:sz="12" w:space="0" w:color="228B22"/>
        </w:pBdr>
        <w:spacing w:before="280" w:after="80"/>
        <w:rPr/>
      </w:pPr>
      <w:bookmarkStart w:id="166" w:name="__RefHeading___Toc14836_888288119"/>
      <w:bookmarkEnd w:id="166"/>
      <w:r>
        <w:rPr>
          <w:rStyle w:val="SectionNumber"/>
          <w:b/>
          <w:color w:val="228B22"/>
          <w:sz w:val="28"/>
        </w:rPr>
        <w:t>5.2</w:t>
      </w:r>
      <w:r>
        <w:rPr>
          <w:b/>
          <w:color w:val="228B22"/>
          <w:sz w:val="28"/>
        </w:rPr>
        <w:tab/>
        <w:t>Terminology</w:t>
      </w:r>
    </w:p>
    <w:p>
      <w:pPr>
        <w:pStyle w:val="FirstParagraph"/>
        <w:rPr/>
      </w:pPr>
      <w:r>
        <w:rPr>
          <w:b/>
          <w:bCs/>
          <w:sz w:val="20"/>
        </w:rPr>
        <w:t>Pair rig.</w:t>
      </w:r>
      <w:r>
        <w:rPr>
          <w:sz w:val="20"/>
        </w:rPr>
        <w:t xml:space="preserve"> Two </w:t>
      </w:r>
      <w:r>
        <w:rPr>
          <w:rStyle w:val="VerbatimChar"/>
          <w:sz w:val="20"/>
        </w:rPr>
        <w:t>amber</w:t>
      </w:r>
      <w:r>
        <w:rPr>
          <w:sz w:val="20"/>
        </w:rPr>
        <w:t xml:space="preserve"> instances plus shared memory; snoops travel peer-to-peer on the ACE-shaped port and misses are plain AXI4 to memory (amber D10).</w:t>
      </w:r>
    </w:p>
    <w:p>
      <w:pPr>
        <w:pStyle w:val="BodyText"/>
        <w:rPr/>
      </w:pPr>
      <w:r>
        <w:rPr>
          <w:b/>
          <w:bCs/>
          <w:sz w:val="20"/>
        </w:rPr>
        <w:t>Onyx rig.</w:t>
      </w:r>
      <w:r>
        <w:rPr>
          <w:sz w:val="20"/>
        </w:rPr>
        <w:t xml:space="preserve"> An </w:t>
      </w:r>
      <w:r>
        <w:rPr>
          <w:rStyle w:val="VerbatimChar"/>
          <w:sz w:val="20"/>
        </w:rPr>
        <w:t>amber_ace</w:t>
      </w:r>
      <w:r>
        <w:rPr>
          <w:sz w:val="20"/>
        </w:rPr>
        <w:t xml:space="preserve"> instance attached to the </w:t>
      </w:r>
      <w:r>
        <w:rPr>
          <w:rStyle w:val="VerbatimChar"/>
          <w:sz w:val="20"/>
        </w:rPr>
        <w:t>onyx</w:t>
      </w:r>
      <w:r>
        <w:rPr>
          <w:sz w:val="20"/>
        </w:rPr>
        <w:t xml:space="preserve"> coherency manager; misses become the onyx D2 coherent-transaction subset and snoops arrive from onyx.</w:t>
      </w:r>
    </w:p>
    <w:p>
      <w:pPr>
        <w:pStyle w:val="BodyText"/>
        <w:rPr/>
      </w:pPr>
      <w:r>
        <w:rPr>
          <w:b/>
          <w:bCs/>
          <w:sz w:val="20"/>
        </w:rPr>
        <w:t>Rig.</w:t>
      </w:r>
      <w:r>
        <w:rPr>
          <w:sz w:val="20"/>
        </w:rPr>
        <w:t xml:space="preserve"> The top-level instantiation you choose: </w:t>
      </w:r>
      <w:r>
        <w:rPr>
          <w:rStyle w:val="VerbatimChar"/>
          <w:sz w:val="20"/>
        </w:rPr>
        <w:t>amber</w:t>
      </w:r>
      <w:r>
        <w:rPr>
          <w:sz w:val="20"/>
        </w:rPr>
        <w:t xml:space="preserve"> or </w:t>
      </w:r>
      <w:r>
        <w:rPr>
          <w:rStyle w:val="VerbatimChar"/>
          <w:sz w:val="20"/>
        </w:rPr>
        <w:t>amber_ace</w:t>
      </w:r>
      <w:r>
        <w:rPr>
          <w:sz w:val="20"/>
        </w:rPr>
        <w:t xml:space="preserve">. There is no </w:t>
      </w:r>
      <w:r>
        <w:rPr>
          <w:rStyle w:val="VerbatimChar"/>
          <w:sz w:val="20"/>
        </w:rPr>
        <w:t>RIG</w:t>
      </w:r>
      <w:r>
        <w:rPr>
          <w:sz w:val="20"/>
        </w:rPr>
        <w:t xml:space="preserve"> elaboration parameter; the rig is the top (Pre-HAS Q1, resolved 2026-10-06).</w:t>
      </w:r>
    </w:p>
    <w:p>
      <w:pPr>
        <w:pStyle w:val="BodyText"/>
        <w:rPr/>
      </w:pPr>
      <w:r>
        <w:rPr>
          <w:b/>
          <w:bCs/>
          <w:sz w:val="20"/>
        </w:rPr>
        <w:t>F-item.</w:t>
      </w:r>
      <w:r>
        <w:rPr>
          <w:sz w:val="20"/>
        </w:rPr>
        <w:t xml:space="preserve"> Feature sketch from the Pre-HAS (F1–F18); this HAS ratifies each decided sketch and records where it remains open.</w:t>
      </w:r>
    </w:p>
    <w:p>
      <w:pPr>
        <w:pStyle w:val="Heading2"/>
        <w:pBdr>
          <w:bottom w:val="single" w:sz="12" w:space="0" w:color="228B22"/>
        </w:pBdr>
        <w:spacing w:before="280" w:after="80"/>
        <w:rPr/>
      </w:pPr>
      <w:bookmarkStart w:id="167" w:name="__RefHeading___Toc14838_888288119"/>
      <w:bookmarkEnd w:id="167"/>
      <w:r>
        <w:rPr>
          <w:rStyle w:val="SectionNumber"/>
          <w:b/>
          <w:color w:val="228B22"/>
          <w:sz w:val="28"/>
        </w:rPr>
        <w:t>5.3</w:t>
      </w:r>
      <w:r>
        <w:rPr>
          <w:b/>
          <w:color w:val="228B22"/>
          <w:sz w:val="28"/>
        </w:rPr>
        <w:tab/>
        <w:t>Revision history</w:t>
      </w:r>
    </w:p>
    <w:p>
      <w:pPr>
        <w:pStyle w:val="TableCaption"/>
        <w:rPr/>
      </w:pPr>
      <w:bookmarkStart w:id="168" w:name="_Tab_3_Table_0_3__Revision_"/>
      <w:r>
        <w:rPr/>
        <w:t>Table 0.3: Revision history</w:t>
      </w:r>
      <w:bookmarkEnd w:id="1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Ratifies Pre-HAS F1–F18 against PRD v0.5 decisions, fixes the two-top structure, the module set, the interface pin contracts, the parameter sketch, the verification strategy, and the open D3/D11 questions.</w:t>
            </w:r>
            <w:bookmarkStart w:id="169" w:name="revision-history"/>
            <w:bookmarkEnd w:id="169"/>
          </w:p>
        </w:tc>
      </w:tr>
    </w:tbl>
    <w:p>
      <w:pPr>
        <w:pStyle w:val="Heading2"/>
        <w:pBdr>
          <w:bottom w:val="single" w:sz="12" w:space="0" w:color="228B22"/>
        </w:pBdr>
        <w:spacing w:before="280" w:after="80"/>
        <w:rPr/>
      </w:pPr>
      <w:bookmarkStart w:id="170" w:name="__RefHeading___Toc14840_888288119"/>
      <w:bookmarkEnd w:id="170"/>
      <w:r>
        <w:rPr>
          <w:rStyle w:val="SectionNumber"/>
          <w:b/>
          <w:color w:val="228B22"/>
          <w:sz w:val="28"/>
        </w:rPr>
        <w:t>5.4</w:t>
      </w:r>
      <w:r>
        <w:rPr>
          <w:b/>
          <w:color w:val="228B22"/>
          <w:sz w:val="28"/>
        </w:rPr>
        <w:tab/>
        <w:t>How to read this book</w:t>
      </w:r>
    </w:p>
    <w:p>
      <w:pPr>
        <w:pStyle w:val="FirstParagraph"/>
        <w:rPr/>
      </w:pPr>
      <w:r>
        <w:rPr>
          <w:sz w:val="20"/>
        </w:rPr>
        <w:t>Chapter 1 states purpose and vocabulary. Chapter 2 is the system shape: use cases, features, context, and one block diagram. Chapter 3 is the architecture — the shared core, data flow, the blocking control FSM, the coherence FSM, and arbitration. Chapter 4 is the pin-level interface inventory. Chapter 5 is the parameter package. Chapter 6 is integration: clock/reset, verification, characterization, and future hooks.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1" w:name="document-information"/>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r>
        <w:br w:type="page"/>
      </w:r>
    </w:p>
    <w:p>
      <w:pPr>
        <w:pStyle w:val="Heading1"/>
        <w:shd w:val="clear" w:color="auto" w:fill="404040"/>
        <w:spacing w:before="360" w:after="120"/>
        <w:rPr/>
      </w:pPr>
      <w:bookmarkStart w:id="172" w:name="__RefHeading___Toc14842_888288119"/>
      <w:bookmarkStart w:id="173" w:name="purpose-and-scope"/>
      <w:bookmarkEnd w:id="172"/>
      <w:r>
        <w:rPr>
          <w:rStyle w:val="SectionNumber"/>
          <w:b/>
          <w:color w:val="FFFFFF"/>
          <w:sz w:val="32"/>
        </w:rPr>
        <w:t>6</w:t>
      </w:r>
      <w:r>
        <w:rPr>
          <w:b/>
          <w:color w:val="FFFFFF"/>
          <w:sz w:val="32"/>
        </w:rPr>
        <w:tab/>
        <w:t>Purpose and Scope</w:t>
      </w:r>
    </w:p>
    <w:p>
      <w:pPr>
        <w:pStyle w:val="Heading2"/>
        <w:pBdr>
          <w:bottom w:val="single" w:sz="12" w:space="0" w:color="228B22"/>
        </w:pBdr>
        <w:spacing w:before="280" w:after="80"/>
        <w:rPr/>
      </w:pPr>
      <w:bookmarkStart w:id="174" w:name="__RefHeading___Toc14844_888288119"/>
      <w:bookmarkStart w:id="175" w:name="purpose-1"/>
      <w:bookmarkEnd w:id="174"/>
      <w:r>
        <w:rPr>
          <w:rStyle w:val="SectionNumber"/>
          <w:b/>
          <w:color w:val="228B22"/>
          <w:sz w:val="28"/>
        </w:rPr>
        <w:t>6.1</w:t>
      </w:r>
      <w:r>
        <w:rPr>
          <w:b/>
          <w:color w:val="228B22"/>
          <w:sz w:val="28"/>
        </w:rPr>
        <w:tab/>
        <w:t>Purpose</w:t>
      </w:r>
    </w:p>
    <w:p>
      <w:pPr>
        <w:pStyle w:val="FirstParagraph"/>
        <w:rPr/>
      </w:pPr>
      <w:r>
        <w:rPr>
          <w:sz w:val="20"/>
        </w:rPr>
        <w:t xml:space="preserve">amber is a parameterized, blocking, snoopy MESI L1 data cache for the Sherpa research and teaching flow. It is deliberately the simplest correct cache: one outstanding transaction, no MSHRs, no hit-under-miss, no merge logic. That deletion makes it a clean baseline for the follow-on </w:t>
      </w:r>
      <w:r>
        <w:rPr>
          <w:rStyle w:val="VerbatimChar"/>
          <w:sz w:val="20"/>
        </w:rPr>
        <w:t>jet</w:t>
      </w:r>
      <w:r>
        <w:rPr>
          <w:sz w:val="20"/>
        </w:rPr>
        <w:t xml:space="preserve"> lockup-free cache and a tractable target for SymbiYosys proofs and cache-simulator parity.</w:t>
      </w:r>
    </w:p>
    <w:p>
      <w:pPr>
        <w:pStyle w:val="BodyText"/>
        <w:rPr/>
      </w:pPr>
      <w:bookmarkStart w:id="176" w:name="purpose-1"/>
      <w:r>
        <w:rPr>
          <w:sz w:val="20"/>
        </w:rPr>
        <w:t>This document specifies amber’s hardware architecture. It is written after the PRD decisions that fix geometry, write policy, MESI variant, replacement policy, CPU-side interface, snoop transport, observation, verification strategy, and first consumer, but while D3 (memory-side shape) and D11 (array construction) remain open. The open rows are recorded honestly with their current direction and consequences; nothing here is presented as decided that is not.</w:t>
      </w:r>
      <w:bookmarkEnd w:id="176"/>
    </w:p>
    <w:p>
      <w:pPr>
        <w:pStyle w:val="Heading2"/>
        <w:pBdr>
          <w:bottom w:val="single" w:sz="12" w:space="0" w:color="228B22"/>
        </w:pBdr>
        <w:spacing w:before="280" w:after="80"/>
        <w:rPr/>
      </w:pPr>
      <w:bookmarkStart w:id="177" w:name="__RefHeading___Toc14846_888288119"/>
      <w:bookmarkStart w:id="178" w:name="scope"/>
      <w:bookmarkEnd w:id="177"/>
      <w:r>
        <w:rPr>
          <w:rStyle w:val="SectionNumber"/>
          <w:b/>
          <w:color w:val="228B22"/>
          <w:sz w:val="28"/>
        </w:rPr>
        <w:t>6.2</w:t>
      </w:r>
      <w:r>
        <w:rPr>
          <w:b/>
          <w:color w:val="228B22"/>
          <w:sz w:val="28"/>
        </w:rPr>
        <w:tab/>
        <w:t>Scope</w:t>
      </w:r>
    </w:p>
    <w:p>
      <w:pPr>
        <w:pStyle w:val="FirstParagraph"/>
        <w:rPr/>
      </w:pPr>
      <w:r>
        <w:rPr>
          <w:sz w:val="20"/>
        </w:rPr>
        <w:t>In scope:</w:t>
      </w:r>
    </w:p>
    <w:p>
      <w:pPr>
        <w:pStyle w:val="Compact"/>
        <w:numPr>
          <w:ilvl w:val="0"/>
          <w:numId w:val="113"/>
        </w:numPr>
        <w:rPr/>
      </w:pPr>
      <w:r>
        <w:rPr/>
        <w:t xml:space="preserve">The two top-level wrappers, </w:t>
      </w:r>
      <w:r>
        <w:rPr>
          <w:rStyle w:val="VerbatimChar"/>
        </w:rPr>
        <w:t>amber</w:t>
      </w:r>
      <w:r>
        <w:rPr/>
        <w:t xml:space="preserve"> (pair rig) and </w:t>
      </w:r>
      <w:r>
        <w:rPr>
          <w:rStyle w:val="VerbatimChar"/>
        </w:rPr>
        <w:t>amber_ace</w:t>
      </w:r>
      <w:r>
        <w:rPr/>
        <w:t xml:space="preserve"> (onyx rig), and the shared </w:t>
      </w:r>
      <w:r>
        <w:rPr>
          <w:rStyle w:val="VerbatimChar"/>
        </w:rPr>
        <w:t>amber_core</w:t>
      </w:r>
      <w:r>
        <w:rPr/>
        <w:t>.</w:t>
      </w:r>
    </w:p>
    <w:p>
      <w:pPr>
        <w:pStyle w:val="Compact"/>
        <w:numPr>
          <w:ilvl w:val="0"/>
          <w:numId w:val="114"/>
        </w:numPr>
        <w:rPr/>
      </w:pPr>
      <w:r>
        <w:rPr/>
        <w:t>CPU-side GAXI slave interface (</w:t>
      </w:r>
      <w:r>
        <w:rPr>
          <w:rStyle w:val="VerbatimChar"/>
        </w:rPr>
        <w:t>amber_cpu_frontend</w:t>
      </w:r>
      <w:r>
        <w:rPr/>
        <w:t>).</w:t>
      </w:r>
    </w:p>
    <w:p>
      <w:pPr>
        <w:pStyle w:val="Compact"/>
        <w:numPr>
          <w:ilvl w:val="0"/>
          <w:numId w:val="115"/>
        </w:numPr>
        <w:rPr/>
      </w:pPr>
      <w:r>
        <w:rPr/>
        <w:t xml:space="preserve">Fabric-side plain AXI4 masters under </w:t>
      </w:r>
      <w:r>
        <w:rPr>
          <w:rStyle w:val="VerbatimChar"/>
        </w:rPr>
        <w:t>amber</w:t>
      </w:r>
      <w:r>
        <w:rPr/>
        <w:t xml:space="preserve"> and ACE masters plus coherent-issue logic under </w:t>
      </w:r>
      <w:r>
        <w:rPr>
          <w:rStyle w:val="VerbatimChar"/>
        </w:rPr>
        <w:t>amber_ace</w:t>
      </w:r>
      <w:r>
        <w:rPr/>
        <w:t>.</w:t>
      </w:r>
    </w:p>
    <w:p>
      <w:pPr>
        <w:pStyle w:val="Compact"/>
        <w:numPr>
          <w:ilvl w:val="0"/>
          <w:numId w:val="116"/>
        </w:numPr>
        <w:rPr/>
      </w:pPr>
      <w:r>
        <w:rPr/>
        <w:t>ACE-shaped snoop responder port (</w:t>
      </w:r>
      <w:r>
        <w:rPr>
          <w:rStyle w:val="VerbatimChar"/>
        </w:rPr>
        <w:t>amber_snoop_resp</w:t>
      </w:r>
      <w:r>
        <w:rPr/>
        <w:t>) toward a peer cache or onyx.</w:t>
      </w:r>
    </w:p>
    <w:p>
      <w:pPr>
        <w:pStyle w:val="Compact"/>
        <w:numPr>
          <w:ilvl w:val="0"/>
          <w:numId w:val="117"/>
        </w:numPr>
        <w:rPr/>
      </w:pPr>
      <w:r>
        <w:rPr/>
        <w:t>Blocking control FSM, pending-fill bypass, victim buffer, fill/drain engines, tag/data arrays, replacement policy engine, and observation wrapper.</w:t>
      </w:r>
    </w:p>
    <w:p>
      <w:pPr>
        <w:pStyle w:val="Compact"/>
        <w:numPr>
          <w:ilvl w:val="0"/>
          <w:numId w:val="118"/>
        </w:numPr>
        <w:rPr/>
      </w:pPr>
      <w:r>
        <w:rPr/>
        <w:t>Parameterization, clocking/reset, verification strategy, characterization plan, and future hooks.</w:t>
      </w:r>
    </w:p>
    <w:p>
      <w:pPr>
        <w:pStyle w:val="FirstParagraph"/>
        <w:rPr/>
      </w:pPr>
      <w:bookmarkStart w:id="179" w:name="scope"/>
      <w:r>
        <w:rPr>
          <w:sz w:val="20"/>
        </w:rPr>
        <w:t>Out of scope (named as decisions, not omissions): lockup-free miss handling (jet), directory-based or L2/L3 coherence, ECC on arrays, virtual memory and TLB interaction, multi-port CPU issue, ACE DVM and full barrier semantics, speculative prefetching, and adaptive replacement.</w:t>
      </w:r>
      <w:bookmarkEnd w:id="179"/>
    </w:p>
    <w:p>
      <w:pPr>
        <w:pStyle w:val="Heading2"/>
        <w:pBdr>
          <w:bottom w:val="single" w:sz="12" w:space="0" w:color="228B22"/>
        </w:pBdr>
        <w:spacing w:before="280" w:after="80"/>
        <w:rPr/>
      </w:pPr>
      <w:bookmarkStart w:id="180" w:name="__RefHeading___Toc14848_888288119"/>
      <w:bookmarkStart w:id="181" w:name="why-a-blocking-cache-matters"/>
      <w:bookmarkEnd w:id="180"/>
      <w:r>
        <w:rPr>
          <w:rStyle w:val="SectionNumber"/>
          <w:b/>
          <w:color w:val="228B22"/>
          <w:sz w:val="28"/>
        </w:rPr>
        <w:t>6.3</w:t>
      </w:r>
      <w:r>
        <w:rPr>
          <w:b/>
          <w:color w:val="228B22"/>
          <w:sz w:val="28"/>
        </w:rPr>
        <w:tab/>
        <w:t>Why a blocking cache matters</w:t>
      </w:r>
    </w:p>
    <w:p>
      <w:pPr>
        <w:pStyle w:val="FirstParagraph"/>
        <w:rPr/>
      </w:pPr>
      <w:r>
        <w:rPr>
          <w:sz w:val="20"/>
        </w:rPr>
        <w:t xml:space="preserve">Blocking simplifies coherence because there is only one transaction in flight. A probe against a pending fill can be answered from a single bypass register (F9); there is no MSHR hazard matrix, no merge CAM, no response reorder buffer. The research value is the measured delta to </w:t>
      </w:r>
      <w:r>
        <w:rPr>
          <w:rStyle w:val="VerbatimChar"/>
          <w:sz w:val="20"/>
        </w:rPr>
        <w:t>jet</w:t>
      </w:r>
      <w:r>
        <w:rPr>
          <w:sz w:val="20"/>
        </w:rPr>
        <w:t>: with arrays, policy, observation, and the MESI protocol held constant, the difference between the two IPs is strictly the miss-handling concurrency. amber makes that delta isolable.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2" w:name="purpose-and-scope"/>
      <w:bookmarkStart w:id="183" w:name="why-a-blocking-cache-matter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bookmarkEnd w:id="183"/>
      <w:r>
        <w:br w:type="page"/>
      </w:r>
    </w:p>
    <w:p>
      <w:pPr>
        <w:pStyle w:val="Heading1"/>
        <w:shd w:val="clear" w:color="auto" w:fill="404040"/>
        <w:spacing w:before="360" w:after="120"/>
        <w:rPr/>
      </w:pPr>
      <w:bookmarkStart w:id="184" w:name="__RefHeading___Toc14850_888288119"/>
      <w:bookmarkStart w:id="185" w:name="document-conventions"/>
      <w:bookmarkEnd w:id="184"/>
      <w:r>
        <w:rPr>
          <w:rStyle w:val="SectionNumber"/>
          <w:b/>
          <w:color w:val="FFFFFF"/>
          <w:sz w:val="32"/>
        </w:rPr>
        <w:t>7</w:t>
      </w:r>
      <w:r>
        <w:rPr>
          <w:b/>
          <w:color w:val="FFFFFF"/>
          <w:sz w:val="32"/>
        </w:rPr>
        <w:tab/>
        <w:t>Document Conventions</w:t>
      </w:r>
    </w:p>
    <w:p>
      <w:pPr>
        <w:pStyle w:val="Heading2"/>
        <w:pBdr>
          <w:bottom w:val="single" w:sz="12" w:space="0" w:color="228B22"/>
        </w:pBdr>
        <w:spacing w:before="280" w:after="80"/>
        <w:rPr/>
      </w:pPr>
      <w:bookmarkStart w:id="186" w:name="__RefHeading___Toc14852_888288119"/>
      <w:bookmarkStart w:id="187" w:name="signal-naming"/>
      <w:bookmarkEnd w:id="186"/>
      <w:r>
        <w:rPr>
          <w:rStyle w:val="SectionNumber"/>
          <w:b/>
          <w:color w:val="228B22"/>
          <w:sz w:val="28"/>
        </w:rPr>
        <w:t>7.1</w:t>
      </w:r>
      <w:r>
        <w:rPr>
          <w:b/>
          <w:color w:val="228B22"/>
          <w:sz w:val="28"/>
        </w:rPr>
        <w:tab/>
        <w:t>Signal naming</w:t>
      </w:r>
    </w:p>
    <w:p>
      <w:pPr>
        <w:pStyle w:val="Compact"/>
        <w:numPr>
          <w:ilvl w:val="0"/>
          <w:numId w:val="119"/>
        </w:numPr>
        <w:rPr/>
      </w:pPr>
      <w:r>
        <w:rPr>
          <w:rStyle w:val="VerbatimChar"/>
        </w:rPr>
        <w:t>fub_*</w:t>
      </w:r>
      <w:r>
        <w:rPr/>
        <w:t xml:space="preserve"> — the flat upstream-facing side of a house AXI/ACE wrapper or adapter (e.g., </w:t>
      </w:r>
      <w:r>
        <w:rPr>
          <w:rStyle w:val="VerbatimChar"/>
        </w:rPr>
        <w:t>fub_axi_araddr</w:t>
      </w:r>
      <w:r>
        <w:rPr/>
        <w:t xml:space="preserve">, </w:t>
      </w:r>
      <w:r>
        <w:rPr>
          <w:rStyle w:val="VerbatimChar"/>
        </w:rPr>
        <w:t>fub_acaddr</w:t>
      </w:r>
      <w:r>
        <w:rPr/>
        <w:t>).</w:t>
      </w:r>
    </w:p>
    <w:p>
      <w:pPr>
        <w:pStyle w:val="Compact"/>
        <w:numPr>
          <w:ilvl w:val="0"/>
          <w:numId w:val="120"/>
        </w:numPr>
        <w:rPr/>
      </w:pPr>
      <w:r>
        <w:rPr>
          <w:rStyle w:val="VerbatimChar"/>
        </w:rPr>
        <w:t>m_*</w:t>
      </w:r>
      <w:r>
        <w:rPr/>
        <w:t xml:space="preserve"> — the master-facing side toward the fabric or peer (e.g., </w:t>
      </w:r>
      <w:r>
        <w:rPr>
          <w:rStyle w:val="VerbatimChar"/>
        </w:rPr>
        <w:t>m_axi_araddr</w:t>
      </w:r>
      <w:r>
        <w:rPr/>
        <w:t xml:space="preserve">, </w:t>
      </w:r>
      <w:r>
        <w:rPr>
          <w:rStyle w:val="VerbatimChar"/>
        </w:rPr>
        <w:t>m_axi_acaddr</w:t>
      </w:r>
      <w:r>
        <w:rPr/>
        <w:t>).</w:t>
      </w:r>
    </w:p>
    <w:p>
      <w:pPr>
        <w:pStyle w:val="Compact"/>
        <w:numPr>
          <w:ilvl w:val="0"/>
          <w:numId w:val="121"/>
        </w:numPr>
        <w:rPr/>
      </w:pPr>
      <w:r>
        <w:rPr>
          <w:rStyle w:val="VerbatimChar"/>
        </w:rPr>
        <w:t>s_*</w:t>
      </w:r>
      <w:r>
        <w:rPr/>
        <w:t xml:space="preserve"> / </w:t>
      </w:r>
      <w:r>
        <w:rPr>
          <w:rStyle w:val="VerbatimChar"/>
        </w:rPr>
        <w:t>i_*</w:t>
      </w:r>
      <w:r>
        <w:rPr/>
        <w:t xml:space="preserve"> / </w:t>
      </w:r>
      <w:r>
        <w:rPr>
          <w:rStyle w:val="VerbatimChar"/>
        </w:rPr>
        <w:t>o_*</w:t>
      </w:r>
      <w:r>
        <w:rPr/>
        <w:t xml:space="preserve"> — used for local module ports where the house convention prefers it.</w:t>
      </w:r>
    </w:p>
    <w:p>
      <w:pPr>
        <w:pStyle w:val="Compact"/>
        <w:numPr>
          <w:ilvl w:val="0"/>
          <w:numId w:val="122"/>
        </w:numPr>
        <w:rPr/>
      </w:pPr>
      <w:r>
        <w:rPr/>
        <w:t xml:space="preserve">Active-low resets are named </w:t>
      </w:r>
      <w:r>
        <w:rPr>
          <w:rStyle w:val="VerbatimChar"/>
        </w:rPr>
        <w:t>rst_n</w:t>
      </w:r>
      <w:r>
        <w:rPr/>
        <w:t xml:space="preserve"> inside project components and </w:t>
      </w:r>
      <w:r>
        <w:rPr>
          <w:rStyle w:val="VerbatimChar"/>
        </w:rPr>
        <w:t>aresetn</w:t>
      </w:r>
      <w:r>
        <w:rPr/>
        <w:t xml:space="preserve"> on AMBA-facing pins, per the repo’s reset convention.</w:t>
      </w:r>
      <w:bookmarkEnd w:id="187"/>
    </w:p>
    <w:p>
      <w:pPr>
        <w:pStyle w:val="Heading2"/>
        <w:pBdr>
          <w:bottom w:val="single" w:sz="12" w:space="0" w:color="228B22"/>
        </w:pBdr>
        <w:spacing w:before="280" w:after="80"/>
        <w:rPr/>
      </w:pPr>
      <w:bookmarkStart w:id="188" w:name="__RefHeading___Toc14854_888288119"/>
      <w:bookmarkStart w:id="189" w:name="numbering-and-bases"/>
      <w:bookmarkEnd w:id="188"/>
      <w:r>
        <w:rPr>
          <w:rStyle w:val="SectionNumber"/>
          <w:b/>
          <w:color w:val="228B22"/>
          <w:sz w:val="28"/>
        </w:rPr>
        <w:t>7.2</w:t>
      </w:r>
      <w:r>
        <w:rPr>
          <w:b/>
          <w:color w:val="228B22"/>
          <w:sz w:val="28"/>
        </w:rPr>
        <w:tab/>
        <w:t>Numbering and bases</w:t>
      </w:r>
    </w:p>
    <w:p>
      <w:pPr>
        <w:pStyle w:val="Compact"/>
        <w:numPr>
          <w:ilvl w:val="0"/>
          <w:numId w:val="123"/>
        </w:numPr>
        <w:rPr/>
      </w:pPr>
      <w:r>
        <w:rPr/>
        <w:t xml:space="preserve">Addresses and data widths are decimal unless prefixed with </w:t>
      </w:r>
      <w:r>
        <w:rPr>
          <w:rStyle w:val="VerbatimChar"/>
        </w:rPr>
        <w:t>0x</w:t>
      </w:r>
      <w:r>
        <w:rPr/>
        <w:t>.</w:t>
      </w:r>
    </w:p>
    <w:p>
      <w:pPr>
        <w:pStyle w:val="Compact"/>
        <w:numPr>
          <w:ilvl w:val="0"/>
          <w:numId w:val="124"/>
        </w:numPr>
        <w:rPr/>
      </w:pPr>
      <w:r>
        <w:rPr/>
        <w:t xml:space="preserve">Bus bit ranges use Verilog-style </w:t>
      </w:r>
      <w:r>
        <w:rPr>
          <w:rStyle w:val="VerbatimChar"/>
        </w:rPr>
        <w:t>[MSB:LSB]</w:t>
      </w:r>
      <w:r>
        <w:rPr/>
        <w:t>.</w:t>
      </w:r>
    </w:p>
    <w:p>
      <w:pPr>
        <w:pStyle w:val="Compact"/>
        <w:numPr>
          <w:ilvl w:val="0"/>
          <w:numId w:val="125"/>
        </w:numPr>
        <w:rPr/>
      </w:pPr>
      <w:r>
        <w:rPr/>
        <w:t xml:space="preserve">Array dimensions use the house </w:t>
      </w:r>
      <w:r>
        <w:rPr>
          <w:rStyle w:val="VerbatimChar"/>
        </w:rPr>
        <w:t>[DEPTH]</w:t>
      </w:r>
      <w:r>
        <w:rPr/>
        <w:t xml:space="preserve"> unpacked syntax, not </w:t>
      </w:r>
      <w:r>
        <w:rPr>
          <w:rStyle w:val="VerbatimChar"/>
        </w:rPr>
        <w:t>[0:DEPTH-1]</w:t>
      </w:r>
      <w:r>
        <w:rPr/>
        <w:t>.</w:t>
      </w:r>
      <w:bookmarkEnd w:id="189"/>
    </w:p>
    <w:p>
      <w:pPr>
        <w:pStyle w:val="Heading2"/>
        <w:pBdr>
          <w:bottom w:val="single" w:sz="12" w:space="0" w:color="228B22"/>
        </w:pBdr>
        <w:spacing w:before="280" w:after="80"/>
        <w:rPr/>
      </w:pPr>
      <w:bookmarkStart w:id="190" w:name="__RefHeading___Toc14856_888288119"/>
      <w:bookmarkStart w:id="191" w:name="citation-discipline"/>
      <w:bookmarkEnd w:id="190"/>
      <w:r>
        <w:rPr>
          <w:rStyle w:val="SectionNumber"/>
          <w:b/>
          <w:color w:val="228B22"/>
          <w:sz w:val="28"/>
        </w:rPr>
        <w:t>7.3</w:t>
      </w:r>
      <w:r>
        <w:rPr>
          <w:b/>
          <w:color w:val="228B22"/>
          <w:sz w:val="28"/>
        </w:rPr>
        <w:tab/>
        <w:t>Citation discipline</w:t>
      </w:r>
    </w:p>
    <w:p>
      <w:pPr>
        <w:pStyle w:val="Compact"/>
        <w:numPr>
          <w:ilvl w:val="0"/>
          <w:numId w:val="126"/>
        </w:numPr>
        <w:rPr/>
      </w:pPr>
      <w:r>
        <w:rPr/>
        <w:t xml:space="preserve">PRD rows are cited as </w:t>
      </w:r>
      <w:r>
        <w:rPr>
          <w:rStyle w:val="VerbatimChar"/>
        </w:rPr>
        <w:t>amber Dn</w:t>
      </w:r>
      <w:r>
        <w:rPr/>
        <w:t xml:space="preserve"> (e.g., </w:t>
      </w:r>
      <w:r>
        <w:rPr>
          <w:rStyle w:val="VerbatimChar"/>
        </w:rPr>
        <w:t>amber D1</w:t>
      </w:r>
      <w:r>
        <w:rPr/>
        <w:t>).</w:t>
      </w:r>
    </w:p>
    <w:p>
      <w:pPr>
        <w:pStyle w:val="Compact"/>
        <w:numPr>
          <w:ilvl w:val="0"/>
          <w:numId w:val="127"/>
        </w:numPr>
        <w:rPr/>
      </w:pPr>
      <w:r>
        <w:rPr/>
        <w:t xml:space="preserve">Pre-HAS feature sketches are cited as </w:t>
      </w:r>
      <w:r>
        <w:rPr>
          <w:rStyle w:val="VerbatimChar"/>
        </w:rPr>
        <w:t>Fn</w:t>
      </w:r>
      <w:r>
        <w:rPr/>
        <w:t xml:space="preserve"> (e.g., </w:t>
      </w:r>
      <w:r>
        <w:rPr>
          <w:rStyle w:val="VerbatimChar"/>
        </w:rPr>
        <w:t>F9</w:t>
      </w:r>
      <w:r>
        <w:rPr/>
        <w:t>).</w:t>
      </w:r>
    </w:p>
    <w:p>
      <w:pPr>
        <w:pStyle w:val="Compact"/>
        <w:numPr>
          <w:ilvl w:val="0"/>
          <w:numId w:val="128"/>
        </w:numPr>
        <w:rPr/>
      </w:pPr>
      <w:r>
        <w:rPr>
          <w:rStyle w:val="VerbatimChar"/>
        </w:rPr>
        <w:t>onyx</w:t>
      </w:r>
      <w:r>
        <w:rPr/>
        <w:t xml:space="preserve"> rows are cited as </w:t>
      </w:r>
      <w:r>
        <w:rPr>
          <w:rStyle w:val="VerbatimChar"/>
        </w:rPr>
        <w:t>onyx Dn</w:t>
      </w:r>
      <w:r>
        <w:rPr/>
        <w:t>.</w:t>
      </w:r>
    </w:p>
    <w:p>
      <w:pPr>
        <w:pStyle w:val="Compact"/>
        <w:numPr>
          <w:ilvl w:val="0"/>
          <w:numId w:val="129"/>
        </w:numPr>
        <w:rPr/>
      </w:pPr>
      <w:r>
        <w:rPr>
          <w:rStyle w:val="VerbatimChar"/>
        </w:rPr>
        <w:t>jet</w:t>
      </w:r>
      <w:r>
        <w:rPr/>
        <w:t xml:space="preserve"> rows are cited as </w:t>
      </w:r>
      <w:r>
        <w:rPr>
          <w:rStyle w:val="VerbatimChar"/>
        </w:rPr>
        <w:t>jet Jn</w:t>
      </w:r>
      <w:r>
        <w:rPr/>
        <w:t>.</w:t>
      </w:r>
    </w:p>
    <w:p>
      <w:pPr>
        <w:pStyle w:val="Compact"/>
        <w:numPr>
          <w:ilvl w:val="0"/>
          <w:numId w:val="130"/>
        </w:numPr>
        <w:rPr/>
      </w:pPr>
      <w:r>
        <w:rPr>
          <w:rStyle w:val="VerbatimChar"/>
        </w:rPr>
        <w:t>OPEN</w:t>
      </w:r>
      <w:r>
        <w:rPr/>
        <w:t xml:space="preserve"> decisions are stated as open, with the current direction and the consequence for the architecture. No </w:t>
      </w:r>
      <w:r>
        <w:rPr>
          <w:rStyle w:val="VerbatimChar"/>
        </w:rPr>
        <w:t>TBD</w:t>
      </w:r>
      <w:r>
        <w:rPr/>
        <w:t xml:space="preserve"> or placeholder language is used.</w:t>
      </w:r>
      <w:bookmarkEnd w:id="191"/>
    </w:p>
    <w:p>
      <w:pPr>
        <w:pStyle w:val="Heading2"/>
        <w:pBdr>
          <w:bottom w:val="single" w:sz="12" w:space="0" w:color="228B22"/>
        </w:pBdr>
        <w:spacing w:before="280" w:after="80"/>
        <w:rPr/>
      </w:pPr>
      <w:bookmarkStart w:id="192" w:name="__RefHeading___Toc14858_888288119"/>
      <w:bookmarkStart w:id="193" w:name="diagram-conventions"/>
      <w:bookmarkEnd w:id="192"/>
      <w:r>
        <w:rPr>
          <w:rStyle w:val="SectionNumber"/>
          <w:b/>
          <w:color w:val="228B22"/>
          <w:sz w:val="28"/>
        </w:rPr>
        <w:t>7.4</w:t>
      </w:r>
      <w:r>
        <w:rPr>
          <w:b/>
          <w:color w:val="228B22"/>
          <w:sz w:val="28"/>
        </w:rPr>
        <w:tab/>
        <w:t>Diagram conventions</w:t>
      </w:r>
    </w:p>
    <w:p>
      <w:pPr>
        <w:pStyle w:val="Compact"/>
        <w:numPr>
          <w:ilvl w:val="0"/>
          <w:numId w:val="131"/>
        </w:numPr>
        <w:rPr/>
      </w:pPr>
      <w:r>
        <w:rPr/>
        <w:t>Block diagrams show data flow and module ownership; they are not cycle-accurate timing diagrams.</w:t>
      </w:r>
    </w:p>
    <w:p>
      <w:pPr>
        <w:pStyle w:val="Compact"/>
        <w:numPr>
          <w:ilvl w:val="0"/>
          <w:numId w:val="132"/>
        </w:numPr>
        <w:rPr/>
      </w:pPr>
      <w:r>
        <w:rPr/>
        <w:t xml:space="preserve">Mermaid source is inlined in the chapter and also stored under </w:t>
      </w:r>
      <w:r>
        <w:rPr>
          <w:rStyle w:val="VerbatimChar"/>
        </w:rPr>
        <w:t>assets/mermaid/</w:t>
      </w:r>
      <w:r>
        <w:rPr/>
        <w:t>; the trailing source line in each chapter gives the asset path.</w:t>
      </w:r>
      <w:bookmarkEnd w:id="193"/>
    </w:p>
    <w:p>
      <w:pPr>
        <w:pStyle w:val="Heading2"/>
        <w:pBdr>
          <w:bottom w:val="single" w:sz="12" w:space="0" w:color="228B22"/>
        </w:pBdr>
        <w:spacing w:before="280" w:after="80"/>
        <w:rPr/>
      </w:pPr>
      <w:bookmarkStart w:id="194" w:name="__RefHeading___Toc14860_888288119"/>
      <w:bookmarkStart w:id="195" w:name="voice"/>
      <w:bookmarkEnd w:id="194"/>
      <w:r>
        <w:rPr>
          <w:rStyle w:val="SectionNumber"/>
          <w:b/>
          <w:color w:val="228B22"/>
          <w:sz w:val="28"/>
        </w:rPr>
        <w:t>7.5</w:t>
      </w:r>
      <w:r>
        <w:rPr>
          <w:b/>
          <w:color w:val="228B22"/>
          <w:sz w:val="28"/>
        </w:rPr>
        <w:tab/>
        <w:t>Voice</w:t>
      </w:r>
    </w:p>
    <w:p>
      <w:pPr>
        <w:pStyle w:val="FirstParagraph"/>
        <w:rPr/>
      </w:pPr>
      <w:r>
        <w:rPr>
          <w:sz w:val="20"/>
        </w:rPr>
        <w:t>This specification uses first-person-plural engineering voice: “amber does X because Y.” Every architectural claim is traceable to a PRD row, an F-item, a GLOBAL_REQUIREMENTS rule, or a real RTL port list.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6" w:name="document-conventions"/>
      <w:bookmarkStart w:id="197" w:name="voice"/>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6"/>
      <w:bookmarkEnd w:id="197"/>
      <w:r>
        <w:br w:type="page"/>
      </w:r>
    </w:p>
    <w:p>
      <w:pPr>
        <w:pStyle w:val="Heading1"/>
        <w:shd w:val="clear" w:color="auto" w:fill="404040"/>
        <w:spacing w:before="360" w:after="120"/>
        <w:rPr/>
      </w:pPr>
      <w:bookmarkStart w:id="198" w:name="__RefHeading___Toc14862_888288119"/>
      <w:bookmarkStart w:id="199" w:name="definitions-and-acronyms"/>
      <w:bookmarkEnd w:id="198"/>
      <w:r>
        <w:rPr>
          <w:rStyle w:val="SectionNumber"/>
          <w:b/>
          <w:color w:val="FFFFFF"/>
          <w:sz w:val="32"/>
        </w:rPr>
        <w:t>8</w:t>
      </w:r>
      <w:r>
        <w:rPr>
          <w:b/>
          <w:color w:val="FFFFFF"/>
          <w:sz w:val="32"/>
        </w:rPr>
        <w:tab/>
        <w:t>Definitions and Acronyms</w:t>
      </w:r>
    </w:p>
    <w:p>
      <w:pPr>
        <w:pStyle w:val="TableCaption"/>
        <w:rPr/>
      </w:pPr>
      <w:bookmarkStart w:id="200" w:name="_Tab_4_Table_1_0__Definitio"/>
      <w:r>
        <w:rPr/>
        <w:t>Table 1.0: Definitions and acronyms</w:t>
      </w:r>
      <w:bookmarkEnd w:id="2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Coherency Extensions (Arm IHI 0022); the protocol shape used for the snoop port and, in the onyx rig, for coherent fabric transactions.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 / CR / CD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snoop channels: Address, Response, Data.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ARSNOOP / AWSNOOP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transaction-type fields on read and write address channels.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Five-bit snoop response: </w:t>
            </w:r>
            <w:r>
              <w:rPr>
                <w:rStyle w:val="VerbatimChar"/>
                <w:rFonts w:eastAsia="Cambria" w:cs=""/>
                <w:kern w:val="0"/>
                <w:szCs w:val="24"/>
                <w:lang w:val="en-US" w:eastAsia="en-US" w:bidi="ar-SA"/>
              </w:rPr>
              <w:t>DataTransfer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PassDirty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IsShared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WasUnique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MESI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Cache-coherence states: Modified, Exclusive, Shared, Invalid.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MOESI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plus Owned state; amber reserves encoding headroom but does not implement O in v1.0.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cache allocation unit, parameterized but defaulting to 64 bytes.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group of ways indexed by the set portion of the address.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associative entry within a 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cache accepts no new CPU request while a miss is outstanding.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MSHR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 Status Holding Register; amber deliberately has none.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memory/peer response that writes a missing line into the data array.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write-back of a dirty victim line to memory or the CCU.</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Pending-fill bypass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register that lets a snoop probe observe the post-fill state while the fill is still in flight (F9).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Victim buffer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small staging buffer for a dirty line waiting to drain; amber uses depth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GAXI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house generic AXI-like valid/ready streaming bus used for the CPU-side port.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128-bit observation packet bus emitted by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Pair rig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instances plus shared memory, the gated deliverable (D10).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Onyx rig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instance attached to the </w:t>
            </w:r>
            <w:r>
              <w:rPr>
                <w:rStyle w:val="VerbatimChar"/>
                <w:rFonts w:eastAsia="Cambria" w:cs=""/>
                <w:kern w:val="0"/>
                <w:szCs w:val="24"/>
                <w:lang w:val="en-US" w:eastAsia="en-US" w:bidi="ar-SA"/>
              </w:rPr>
              <w:t>onyx</w:t>
            </w:r>
            <w:r>
              <w:rPr>
                <w:rFonts w:eastAsia="Cambria" w:cs=""/>
                <w:kern w:val="0"/>
                <w:sz w:val="24"/>
                <w:szCs w:val="24"/>
                <w:lang w:val="en-US" w:eastAsia="en-US" w:bidi="ar-SA"/>
              </w:rPr>
              <w:t xml:space="preserve"> coherency manager.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Pattern-B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repo’s cocotb GATE/FUNC/FULL verification grid naming.</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1" w:name="definitions-and-acronyms"/>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r>
        <w:br w:type="page"/>
      </w:r>
    </w:p>
    <w:p>
      <w:pPr>
        <w:pStyle w:val="Heading1"/>
        <w:shd w:val="clear" w:color="auto" w:fill="404040"/>
        <w:spacing w:before="360" w:after="120"/>
        <w:rPr/>
      </w:pPr>
      <w:bookmarkStart w:id="202" w:name="__RefHeading___Toc14864_888288119"/>
      <w:bookmarkStart w:id="203" w:name="use-cases"/>
      <w:bookmarkEnd w:id="202"/>
      <w:r>
        <w:rPr>
          <w:rStyle w:val="SectionNumber"/>
          <w:b/>
          <w:color w:val="FFFFFF"/>
          <w:sz w:val="32"/>
        </w:rPr>
        <w:t>9</w:t>
      </w:r>
      <w:r>
        <w:rPr>
          <w:b/>
          <w:color w:val="FFFFFF"/>
          <w:sz w:val="32"/>
        </w:rPr>
        <w:tab/>
        <w:t>Use Cases</w:t>
      </w:r>
    </w:p>
    <w:p>
      <w:pPr>
        <w:pStyle w:val="Heading2"/>
        <w:pBdr>
          <w:bottom w:val="single" w:sz="12" w:space="0" w:color="228B22"/>
        </w:pBdr>
        <w:spacing w:before="280" w:after="80"/>
        <w:rPr/>
      </w:pPr>
      <w:bookmarkStart w:id="204" w:name="__RefHeading___Toc14866_888288119"/>
      <w:bookmarkStart w:id="205" w:name="X433851173ecedd1780dc8a0a40b98ba010f36c2"/>
      <w:bookmarkEnd w:id="204"/>
      <w:r>
        <w:rPr>
          <w:rStyle w:val="SectionNumber"/>
          <w:b/>
          <w:color w:val="228B22"/>
          <w:sz w:val="28"/>
        </w:rPr>
        <w:t>9.1</w:t>
      </w:r>
      <w:r>
        <w:rPr>
          <w:b/>
          <w:color w:val="228B22"/>
          <w:sz w:val="28"/>
        </w:rPr>
        <w:tab/>
        <w:t>Primary use case: a correct, observable, provable L1 cache baseline</w:t>
      </w:r>
    </w:p>
    <w:p>
      <w:pPr>
        <w:pStyle w:val="FirstParagraph"/>
        <w:rPr/>
      </w:pPr>
      <w:bookmarkStart w:id="206" w:name="X433851173ecedd1780dc8a0a40b98ba010f36c2"/>
      <w:r>
        <w:rPr>
          <w:sz w:val="20"/>
        </w:rPr>
        <w:t>amber exists so the repo has a first cache IP whose correctness can be checked end-to-end: against a software golden model, against formal proofs, and against hardware cost measurements. The blocking design keeps the coherence protocol in the foreground and the miss-handling mechanics in the background, which is exactly the research posture.</w:t>
      </w:r>
      <w:bookmarkEnd w:id="206"/>
    </w:p>
    <w:p>
      <w:pPr>
        <w:pStyle w:val="Heading2"/>
        <w:pBdr>
          <w:bottom w:val="single" w:sz="12" w:space="0" w:color="228B22"/>
        </w:pBdr>
        <w:spacing w:before="280" w:after="80"/>
        <w:rPr/>
      </w:pPr>
      <w:bookmarkStart w:id="207" w:name="__RefHeading___Toc14868_888288119"/>
      <w:bookmarkStart w:id="208" w:name="secondary-use-cases"/>
      <w:bookmarkEnd w:id="207"/>
      <w:r>
        <w:rPr>
          <w:rStyle w:val="SectionNumber"/>
          <w:b/>
          <w:color w:val="228B22"/>
          <w:sz w:val="28"/>
        </w:rPr>
        <w:t>9.2</w:t>
      </w:r>
      <w:r>
        <w:rPr>
          <w:b/>
          <w:color w:val="228B22"/>
          <w:sz w:val="28"/>
        </w:rPr>
        <w:tab/>
        <w:t>Secondary use cases</w:t>
      </w:r>
    </w:p>
    <w:p>
      <w:pPr>
        <w:pStyle w:val="Compact"/>
        <w:numPr>
          <w:ilvl w:val="0"/>
          <w:numId w:val="133"/>
        </w:numPr>
        <w:rPr/>
      </w:pPr>
      <w:r>
        <w:rPr>
          <w:b/>
          <w:bCs/>
        </w:rPr>
        <w:t>Pair-rig coherence research.</w:t>
      </w:r>
      <w:r>
        <w:rPr/>
        <w:t xml:space="preserve"> Two </w:t>
      </w:r>
      <w:r>
        <w:rPr>
          <w:rStyle w:val="VerbatimChar"/>
        </w:rPr>
        <w:t>amber</w:t>
      </w:r>
      <w:r>
        <w:rPr/>
        <w:t xml:space="preserve"> instances plus shared memory form the smallest coherent system in which snoop responses, dirty write-backs, and exclusive-to-shared transitions can be observed and measured (D10).</w:t>
      </w:r>
    </w:p>
    <w:p>
      <w:pPr>
        <w:pStyle w:val="Compact"/>
        <w:numPr>
          <w:ilvl w:val="0"/>
          <w:numId w:val="134"/>
        </w:numPr>
        <w:rPr/>
      </w:pPr>
      <w:r>
        <w:rPr>
          <w:b/>
          <w:bCs/>
        </w:rPr>
        <w:t>Onyx-rig CCU attachment.</w:t>
      </w:r>
      <w:r>
        <w:rPr/>
        <w:t xml:space="preserve"> </w:t>
      </w:r>
      <w:r>
        <w:rPr>
          <w:rStyle w:val="VerbatimChar"/>
        </w:rPr>
        <w:t>amber_ace</w:t>
      </w:r>
      <w:r>
        <w:rPr/>
        <w:t xml:space="preserve"> attaches to the </w:t>
      </w:r>
      <w:r>
        <w:rPr>
          <w:rStyle w:val="VerbatimChar"/>
        </w:rPr>
        <w:t>onyx</w:t>
      </w:r>
      <w:r>
        <w:rPr/>
        <w:t xml:space="preserve"> coherency manager and exercises the onyx D2 coherent-transaction subset, so the manager side can be built and verified against a real cache (F12).</w:t>
      </w:r>
    </w:p>
    <w:p>
      <w:pPr>
        <w:pStyle w:val="Compact"/>
        <w:numPr>
          <w:ilvl w:val="0"/>
          <w:numId w:val="135"/>
        </w:numPr>
        <w:rPr/>
      </w:pPr>
      <w:r>
        <w:rPr>
          <w:b/>
          <w:bCs/>
        </w:rPr>
        <w:t>STREAM attachment.</w:t>
      </w:r>
      <w:r>
        <w:rPr/>
        <w:t xml:space="preserve"> The GAXI CPU-side port lets STREAM attach without an adapter; this is the documented future integration hook (D2).</w:t>
      </w:r>
    </w:p>
    <w:p>
      <w:pPr>
        <w:pStyle w:val="Compact"/>
        <w:numPr>
          <w:ilvl w:val="0"/>
          <w:numId w:val="136"/>
        </w:numPr>
        <w:rPr/>
      </w:pPr>
      <w:r>
        <w:rPr>
          <w:b/>
          <w:bCs/>
        </w:rPr>
        <w:t>Teaching and trace parity.</w:t>
      </w:r>
      <w:r>
        <w:rPr/>
        <w:t xml:space="preserve"> The cache_sim trace-replay cross-check makes amber a runnable illustration of how geometry and replacement policy combine into hit/miss behavior.</w:t>
      </w:r>
      <w:bookmarkEnd w:id="208"/>
    </w:p>
    <w:p>
      <w:pPr>
        <w:pStyle w:val="Heading2"/>
        <w:pBdr>
          <w:bottom w:val="single" w:sz="12" w:space="0" w:color="228B22"/>
        </w:pBdr>
        <w:spacing w:before="280" w:after="80"/>
        <w:rPr/>
      </w:pPr>
      <w:bookmarkStart w:id="209" w:name="__RefHeading___Toc14870_888288119"/>
      <w:bookmarkStart w:id="210" w:name="what-amber-is-not-designed-for"/>
      <w:bookmarkEnd w:id="209"/>
      <w:r>
        <w:rPr>
          <w:rStyle w:val="SectionNumber"/>
          <w:b/>
          <w:color w:val="228B22"/>
          <w:sz w:val="28"/>
        </w:rPr>
        <w:t>9.3</w:t>
      </w:r>
      <w:r>
        <w:rPr>
          <w:b/>
          <w:color w:val="228B22"/>
          <w:sz w:val="28"/>
        </w:rPr>
        <w:tab/>
        <w:t>What amber is not designed for</w:t>
      </w:r>
    </w:p>
    <w:p>
      <w:pPr>
        <w:pStyle w:val="FirstParagraph"/>
        <w:rPr/>
      </w:pPr>
      <w:r>
        <w:rPr>
          <w:sz w:val="20"/>
        </w:rPr>
        <w:t xml:space="preserve">High-throughput single-core execution, multiprocessor systems larger than the pair rig, or any workload that depends on hit-under-miss concurrency. Those belong to </w:t>
      </w:r>
      <w:r>
        <w:rPr>
          <w:rStyle w:val="VerbatimChar"/>
          <w:sz w:val="20"/>
        </w:rPr>
        <w:t>jet</w:t>
      </w:r>
      <w:r>
        <w:rPr>
          <w:sz w:val="20"/>
        </w:rPr>
        <w:t xml:space="preserve"> or to future IPs.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1" w:name="use-cases"/>
      <w:bookmarkStart w:id="212" w:name="what-amber-is-not-designed-for"/>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1"/>
      <w:bookmarkEnd w:id="212"/>
      <w:r>
        <w:br w:type="page"/>
      </w:r>
    </w:p>
    <w:p>
      <w:pPr>
        <w:pStyle w:val="Heading1"/>
        <w:shd w:val="clear" w:color="auto" w:fill="404040"/>
        <w:spacing w:before="360" w:after="120"/>
        <w:rPr/>
      </w:pPr>
      <w:bookmarkStart w:id="213" w:name="__RefHeading___Toc14872_888288119"/>
      <w:bookmarkStart w:id="214" w:name="key-features"/>
      <w:bookmarkEnd w:id="213"/>
      <w:r>
        <w:rPr>
          <w:rStyle w:val="SectionNumber"/>
          <w:b/>
          <w:color w:val="FFFFFF"/>
          <w:sz w:val="32"/>
        </w:rPr>
        <w:t>10</w:t>
      </w:r>
      <w:r>
        <w:rPr>
          <w:b/>
          <w:color w:val="FFFFFF"/>
          <w:sz w:val="32"/>
        </w:rPr>
        <w:tab/>
        <w:t>Key Features</w:t>
      </w:r>
    </w:p>
    <w:p>
      <w:pPr>
        <w:pStyle w:val="TableCaption"/>
        <w:rPr/>
      </w:pPr>
      <w:bookmarkStart w:id="215" w:name="_Tab_5_Table_2_0__Key_featu"/>
      <w:r>
        <w:rPr/>
        <w:t>Table 2.0: Key features and their decisions</w:t>
      </w:r>
      <w:bookmarkEnd w:id="2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amber does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 F 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single-outstanding 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miss at a time; the front end freezes until fill + replay complete.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Parameterized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4–32 KiB capacity, 32–64 B lines, 2–8 ways; default 32 KiB / 64 B / 4-way (128 sets); tiny 16-set / 2-way config reserved for proofs.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CPU-side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House valid/ready streaming port with skid/FIFO plumbing; STREAM attaches without an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 write-allocate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policy; write-through/no-allocate retained as a bring-up mode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Plain MESI on a 3-bit state field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M/E/S/I; headroom for MOESI O-state as a later elaboration upgrade.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(default), tree-PLRU, FIFO, RANDOM; LRU/FIFO/RANDOM have cache_sim golden parity; tree-PLRU is the timing-tight fallback without a sim golden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ACE-shaped snoop responder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AC/CR/CD adapter facing peer or onyx; bus-agnostic inside.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Pending-fill bypass 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Probe-during-fill answered from the register, bounded and state-accurate.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tops on one 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for the pair rig,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for the onyx rig; no mode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observation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r>
              <w:rPr>
                <w:rFonts w:eastAsia="Cambria" w:cs=""/>
                <w:kern w:val="0"/>
                <w:sz w:val="24"/>
                <w:szCs w:val="24"/>
                <w:lang w:val="en-US" w:eastAsia="en-US" w:bidi="ar-SA"/>
              </w:rPr>
              <w:t xml:space="preserve"> emits 128-bit packets; drop-and-count, never stalls the observed path.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bl>
    <w:p>
      <w:pPr>
        <w:pStyle w:val="BodyText"/>
        <w:rPr/>
      </w:pPr>
      <w:r>
        <w:rPr>
          <w:sz w:val="20"/>
        </w:rPr>
        <w:t>The feature set is intentionally narrow. Every item that is not listed is a non-goal: no MSHRs, no prefetch, no ECC, no multi-port issue, no directory filter, no barrier/DVM support. That narrowness is the design.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6" w:name="key-features"/>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6"/>
      <w:r>
        <w:br w:type="page"/>
      </w:r>
    </w:p>
    <w:p>
      <w:pPr>
        <w:pStyle w:val="Heading1"/>
        <w:shd w:val="clear" w:color="auto" w:fill="404040"/>
        <w:spacing w:before="360" w:after="120"/>
        <w:rPr/>
      </w:pPr>
      <w:bookmarkStart w:id="217" w:name="__RefHeading___Toc14874_888288119"/>
      <w:bookmarkStart w:id="218" w:name="system-context"/>
      <w:bookmarkEnd w:id="217"/>
      <w:r>
        <w:rPr>
          <w:rStyle w:val="SectionNumber"/>
          <w:b/>
          <w:color w:val="FFFFFF"/>
          <w:sz w:val="32"/>
        </w:rPr>
        <w:t>11</w:t>
      </w:r>
      <w:r>
        <w:rPr>
          <w:b/>
          <w:color w:val="FFFFFF"/>
          <w:sz w:val="32"/>
        </w:rPr>
        <w:tab/>
        <w:t>System Context</w:t>
      </w:r>
    </w:p>
    <w:p>
      <w:pPr>
        <w:pStyle w:val="Heading2"/>
        <w:pBdr>
          <w:bottom w:val="single" w:sz="12" w:space="0" w:color="228B22"/>
        </w:pBdr>
        <w:spacing w:before="280" w:after="80"/>
        <w:rPr/>
      </w:pPr>
      <w:bookmarkStart w:id="219" w:name="__RefHeading___Toc14876_888288119"/>
      <w:bookmarkStart w:id="220" w:name="where-amber-sits"/>
      <w:bookmarkEnd w:id="219"/>
      <w:r>
        <w:rPr>
          <w:rStyle w:val="SectionNumber"/>
          <w:b/>
          <w:color w:val="228B22"/>
          <w:sz w:val="28"/>
        </w:rPr>
        <w:t>11.1</w:t>
      </w:r>
      <w:r>
        <w:rPr>
          <w:b/>
          <w:color w:val="228B22"/>
          <w:sz w:val="28"/>
        </w:rPr>
        <w:tab/>
        <w:t>Where amber sits</w:t>
      </w:r>
    </w:p>
    <w:p>
      <w:pPr>
        <w:pStyle w:val="FirstParagraph"/>
        <w:rPr/>
      </w:pPr>
      <w:r>
        <w:rPr>
          <w:sz w:val="20"/>
        </w:rPr>
        <w:t xml:space="preserve">amber is a cache IP on the AMBA fabric. It consumes GAXI transactions from a CPU or DMA master on one side and issues AXI4 or ACE transactions toward memory or a coherency manager on the other. A third ACE-shaped port receives snoops from a peer cache or from </w:t>
      </w:r>
      <w:r>
        <w:rPr>
          <w:rStyle w:val="VerbatimChar"/>
          <w:sz w:val="20"/>
        </w:rPr>
        <w:t>onyx</w:t>
      </w:r>
      <w:r>
        <w:rPr>
          <w:sz w:val="20"/>
        </w:rPr>
        <w:t>. Observation leaves through a fourth MonBus tap.</w:t>
      </w:r>
      <w:bookmarkEnd w:id="220"/>
    </w:p>
    <w:p>
      <w:pPr>
        <w:pStyle w:val="Heading2"/>
        <w:pBdr>
          <w:bottom w:val="single" w:sz="12" w:space="0" w:color="228B22"/>
        </w:pBdr>
        <w:spacing w:before="280" w:after="80"/>
        <w:rPr/>
      </w:pPr>
      <w:bookmarkStart w:id="221" w:name="__RefHeading___Toc14878_888288119"/>
      <w:bookmarkStart w:id="222" w:name="pair-rig-amber-top"/>
      <w:bookmarkEnd w:id="221"/>
      <w:r>
        <w:rPr>
          <w:rStyle w:val="SectionNumber"/>
          <w:b/>
          <w:color w:val="228B22"/>
          <w:sz w:val="28"/>
        </w:rPr>
        <w:t>11.2</w:t>
      </w:r>
      <w:r>
        <w:rPr>
          <w:b/>
          <w:color w:val="228B22"/>
          <w:sz w:val="28"/>
        </w:rPr>
        <w:tab/>
        <w:t>Pair rig (</w:t>
      </w:r>
      <w:r>
        <w:rPr>
          <w:rStyle w:val="VerbatimChar"/>
          <w:b/>
          <w:color w:val="228B22"/>
          <w:sz w:val="28"/>
        </w:rPr>
        <w:t>amber</w:t>
      </w:r>
      <w:r>
        <w:rPr>
          <w:b/>
          <w:color w:val="228B22"/>
          <w:sz w:val="28"/>
        </w:rPr>
        <w:t xml:space="preserve"> top)</w:t>
      </w:r>
    </w:p>
    <w:p>
      <w:pPr>
        <w:pStyle w:val="SourceCode"/>
        <w:rPr/>
      </w:pPr>
      <w:r>
        <w:rPr>
          <w:rStyle w:val="VerbatimChar"/>
        </w:rPr>
        <w:t>CPU/STREAM --GAXI--&gt; amber --AXI4--&gt; memory</w:t>
      </w:r>
      <w:r>
        <w:rPr/>
        <w:br/>
      </w:r>
      <w:r>
        <w:rPr>
          <w:rStyle w:val="VerbatimChar"/>
        </w:rPr>
        <w:t xml:space="preserve">                        ^--AC/CR/CD-- peer amber</w:t>
      </w:r>
    </w:p>
    <w:p>
      <w:pPr>
        <w:pStyle w:val="FirstParagraph"/>
        <w:rPr/>
      </w:pPr>
      <w:r>
        <w:rPr>
          <w:sz w:val="20"/>
        </w:rPr>
        <w:t xml:space="preserve">The pair rig is the gated deliverable (D10). Each </w:t>
      </w:r>
      <w:r>
        <w:rPr>
          <w:rStyle w:val="VerbatimChar"/>
          <w:sz w:val="20"/>
        </w:rPr>
        <w:t>amber</w:t>
      </w:r>
      <w:r>
        <w:rPr>
          <w:sz w:val="20"/>
        </w:rPr>
        <w:t xml:space="preserve"> has its own tag/data arrays and its own replacement state. Coherence is snoopy and peer-to-peer: when one cache misses on a line the other holds, the response is delivered through the ACE-shaped snoop port, not through memory. Dirty victims write back to memory over the plain AXI4 master.</w:t>
      </w:r>
      <w:bookmarkEnd w:id="222"/>
    </w:p>
    <w:p>
      <w:pPr>
        <w:pStyle w:val="Heading2"/>
        <w:pBdr>
          <w:bottom w:val="single" w:sz="12" w:space="0" w:color="228B22"/>
        </w:pBdr>
        <w:spacing w:before="280" w:after="80"/>
        <w:rPr/>
      </w:pPr>
      <w:bookmarkStart w:id="223" w:name="__RefHeading___Toc14880_888288119"/>
      <w:bookmarkStart w:id="224" w:name="onyx-rig-amber_ace-top"/>
      <w:bookmarkEnd w:id="223"/>
      <w:r>
        <w:rPr>
          <w:rStyle w:val="SectionNumber"/>
          <w:b/>
          <w:color w:val="228B22"/>
          <w:sz w:val="28"/>
        </w:rPr>
        <w:t>11.3</w:t>
      </w:r>
      <w:r>
        <w:rPr>
          <w:b/>
          <w:color w:val="228B22"/>
          <w:sz w:val="28"/>
        </w:rPr>
        <w:tab/>
        <w:t>Onyx rig (</w:t>
      </w:r>
      <w:r>
        <w:rPr>
          <w:rStyle w:val="VerbatimChar"/>
          <w:b/>
          <w:color w:val="228B22"/>
          <w:sz w:val="28"/>
        </w:rPr>
        <w:t>amber_ace</w:t>
      </w:r>
      <w:r>
        <w:rPr>
          <w:b/>
          <w:color w:val="228B22"/>
          <w:sz w:val="28"/>
        </w:rPr>
        <w:t xml:space="preserve"> top)</w:t>
      </w:r>
    </w:p>
    <w:p>
      <w:pPr>
        <w:pStyle w:val="SourceCode"/>
        <w:rPr/>
      </w:pPr>
      <w:r>
        <w:rPr>
          <w:rStyle w:val="VerbatimChar"/>
        </w:rPr>
        <w:t>CPU/STREAM --GAXI--&gt; amber_ace --ACE--&gt; onyx --AXI4--&gt; memory</w:t>
      </w:r>
      <w:r>
        <w:rPr/>
        <w:br/>
      </w:r>
      <w:r>
        <w:rPr>
          <w:rStyle w:val="VerbatimChar"/>
        </w:rPr>
        <w:t xml:space="preserve">                                      ^--AC/CR/CD--</w:t>
      </w:r>
    </w:p>
    <w:p>
      <w:pPr>
        <w:pStyle w:val="FirstParagraph"/>
        <w:rPr/>
      </w:pPr>
      <w:r>
        <w:rPr>
          <w:sz w:val="20"/>
        </w:rPr>
        <w:t xml:space="preserve">In the onyx rig, </w:t>
      </w:r>
      <w:r>
        <w:rPr>
          <w:rStyle w:val="VerbatimChar"/>
          <w:sz w:val="20"/>
        </w:rPr>
        <w:t>amber_ace</w:t>
      </w:r>
      <w:r>
        <w:rPr>
          <w:sz w:val="20"/>
        </w:rPr>
        <w:t xml:space="preserve"> behaves as an ACE master toward </w:t>
      </w:r>
      <w:r>
        <w:rPr>
          <w:rStyle w:val="VerbatimChar"/>
          <w:sz w:val="20"/>
        </w:rPr>
        <w:t>onyx</w:t>
      </w:r>
      <w:r>
        <w:rPr>
          <w:sz w:val="20"/>
        </w:rPr>
        <w:t xml:space="preserve"> and a snoop responder toward </w:t>
      </w:r>
      <w:r>
        <w:rPr>
          <w:rStyle w:val="VerbatimChar"/>
          <w:sz w:val="20"/>
        </w:rPr>
        <w:t>onyx</w:t>
      </w:r>
      <w:r>
        <w:rPr>
          <w:sz w:val="20"/>
        </w:rPr>
        <w:t xml:space="preserve">. Coherent read misses become </w:t>
      </w:r>
      <w:r>
        <w:rPr>
          <w:rStyle w:val="VerbatimChar"/>
          <w:sz w:val="20"/>
        </w:rPr>
        <w:t>ReadShared</w:t>
      </w:r>
      <w:r>
        <w:rPr>
          <w:sz w:val="20"/>
        </w:rPr>
        <w:t xml:space="preserve"> or </w:t>
      </w:r>
      <w:r>
        <w:rPr>
          <w:rStyle w:val="VerbatimChar"/>
          <w:sz w:val="20"/>
        </w:rPr>
        <w:t>ReadUnique</w:t>
      </w:r>
      <w:r>
        <w:rPr>
          <w:sz w:val="20"/>
        </w:rPr>
        <w:t xml:space="preserve">; write promotions become </w:t>
      </w:r>
      <w:r>
        <w:rPr>
          <w:rStyle w:val="VerbatimChar"/>
          <w:sz w:val="20"/>
        </w:rPr>
        <w:t>CleanUnique</w:t>
      </w:r>
      <w:r>
        <w:rPr>
          <w:sz w:val="20"/>
        </w:rPr>
        <w:t xml:space="preserve"> or </w:t>
      </w:r>
      <w:r>
        <w:rPr>
          <w:rStyle w:val="VerbatimChar"/>
          <w:sz w:val="20"/>
        </w:rPr>
        <w:t>MakeUnique</w:t>
      </w:r>
      <w:r>
        <w:rPr>
          <w:sz w:val="20"/>
        </w:rPr>
        <w:t xml:space="preserve">; dirty evictions become </w:t>
      </w:r>
      <w:r>
        <w:rPr>
          <w:rStyle w:val="VerbatimChar"/>
          <w:sz w:val="20"/>
        </w:rPr>
        <w:t>WriteBack</w:t>
      </w:r>
      <w:r>
        <w:rPr>
          <w:sz w:val="20"/>
        </w:rPr>
        <w:t xml:space="preserve">; clean evictions become </w:t>
      </w:r>
      <w:r>
        <w:rPr>
          <w:rStyle w:val="VerbatimChar"/>
          <w:sz w:val="20"/>
        </w:rPr>
        <w:t>Evict</w:t>
      </w:r>
      <w:r>
        <w:rPr>
          <w:sz w:val="20"/>
        </w:rPr>
        <w:t xml:space="preserve"> (onyx D2 subset). Memory is on the far side of </w:t>
      </w:r>
      <w:r>
        <w:rPr>
          <w:rStyle w:val="VerbatimChar"/>
          <w:sz w:val="20"/>
        </w:rPr>
        <w:t>onyx</w:t>
      </w:r>
      <w:r>
        <w:rPr>
          <w:sz w:val="20"/>
        </w:rPr>
        <w:t xml:space="preserve">, not directly reachable by </w:t>
      </w:r>
      <w:r>
        <w:rPr>
          <w:rStyle w:val="VerbatimChar"/>
          <w:sz w:val="20"/>
        </w:rPr>
        <w:t>amber_ace</w:t>
      </w:r>
      <w:r>
        <w:rPr>
          <w:sz w:val="20"/>
        </w:rPr>
        <w:t>.</w:t>
      </w:r>
      <w:bookmarkEnd w:id="224"/>
    </w:p>
    <w:p>
      <w:pPr>
        <w:pStyle w:val="Heading2"/>
        <w:pBdr>
          <w:bottom w:val="single" w:sz="12" w:space="0" w:color="228B22"/>
        </w:pBdr>
        <w:spacing w:before="280" w:after="80"/>
        <w:rPr/>
      </w:pPr>
      <w:bookmarkStart w:id="225" w:name="__RefHeading___Toc14882_888288119"/>
      <w:bookmarkStart w:id="226" w:name="shared-core-different-tops"/>
      <w:bookmarkEnd w:id="225"/>
      <w:r>
        <w:rPr>
          <w:rStyle w:val="SectionNumber"/>
          <w:b/>
          <w:color w:val="228B22"/>
          <w:sz w:val="28"/>
        </w:rPr>
        <w:t>11.4</w:t>
      </w:r>
      <w:r>
        <w:rPr>
          <w:b/>
          <w:color w:val="228B22"/>
          <w:sz w:val="28"/>
        </w:rPr>
        <w:tab/>
        <w:t>Shared core, different tops</w:t>
      </w:r>
    </w:p>
    <w:p>
      <w:pPr>
        <w:pStyle w:val="FirstParagraph"/>
        <w:rPr/>
      </w:pPr>
      <w:r>
        <w:rPr>
          <w:sz w:val="20"/>
        </w:rPr>
        <w:t xml:space="preserve">Both rigs instantiate the same </w:t>
      </w:r>
      <w:r>
        <w:rPr>
          <w:rStyle w:val="VerbatimChar"/>
          <w:sz w:val="20"/>
        </w:rPr>
        <w:t>amber_core</w:t>
      </w:r>
      <w:r>
        <w:rPr>
          <w:sz w:val="20"/>
        </w:rPr>
        <w:t>. The CPU-side front end, the tag/data arrays, the control FSM, the replacement engine, and the snoop responder are identical. Only the fabric master stack and the coherent-transaction issuer differ, and that difference lives in the top wrapper, not in the core.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7" w:name="system-context"/>
      <w:bookmarkStart w:id="228" w:name="shared-core-different-top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bookmarkEnd w:id="228"/>
      <w:r>
        <w:br w:type="page"/>
      </w:r>
    </w:p>
    <w:p>
      <w:pPr>
        <w:pStyle w:val="Heading1"/>
        <w:shd w:val="clear" w:color="auto" w:fill="404040"/>
        <w:spacing w:before="360" w:after="120"/>
        <w:rPr/>
      </w:pPr>
      <w:bookmarkStart w:id="229" w:name="__RefHeading___Toc14884_888288119"/>
      <w:bookmarkStart w:id="230" w:name="block-diagram"/>
      <w:bookmarkEnd w:id="229"/>
      <w:r>
        <w:rPr>
          <w:rStyle w:val="SectionNumber"/>
          <w:b/>
          <w:color w:val="FFFFFF"/>
          <w:sz w:val="32"/>
        </w:rPr>
        <w:t>12</w:t>
      </w:r>
      <w:r>
        <w:rPr>
          <w:b/>
          <w:color w:val="FFFFFF"/>
          <w:sz w:val="32"/>
        </w:rPr>
        <w:tab/>
        <w:t>Block Diagram</w:t>
      </w:r>
    </w:p>
    <w:p>
      <w:pPr>
        <w:pStyle w:val="FirstParagraph"/>
        <w:rPr/>
      </w:pPr>
      <w:r>
        <w:rPr>
          <w:sz w:val="20"/>
        </w:rPr>
        <w:t xml:space="preserve">Figure 2.1 shows the shared </w:t>
      </w:r>
      <w:r>
        <w:rPr>
          <w:rStyle w:val="VerbatimChar"/>
          <w:sz w:val="20"/>
        </w:rPr>
        <w:t>amber_core</w:t>
      </w:r>
      <w:r>
        <w:rPr>
          <w:sz w:val="20"/>
        </w:rPr>
        <w:t xml:space="preserve"> and the two rig tops that instantiate it. The core is rig-agnostic: the CPU-side front end, control FSM, arrays, replacement engine, fill/drain engines, snoop responder, and observation wrapper are identical in both configurations. The pair-rig top adds plain AXI4 masters to memory; the onyx-rig top adds ACE masters and the </w:t>
      </w:r>
      <w:r>
        <w:rPr>
          <w:rStyle w:val="VerbatimChar"/>
          <w:sz w:val="20"/>
        </w:rPr>
        <w:t>amber_ace_issue</w:t>
      </w:r>
      <w:r>
        <w:rPr>
          <w:sz w:val="20"/>
        </w:rPr>
        <w:t xml:space="preserve"> coherent-transaction issuer.</w:t>
      </w:r>
    </w:p>
    <w:p>
      <w:pPr>
        <w:pStyle w:val="CaptionedFigure"/>
        <w:rPr/>
      </w:pPr>
      <w:r>
        <w:rPr/>
        <w:drawing>
          <wp:inline distT="0" distB="0" distL="0" distR="0">
            <wp:extent cx="5334000" cy="1823085"/>
            <wp:effectExtent l="0" t="0" r="0" b="0"/>
            <wp:docPr id="80" name="Picture"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descr="Diagram 1"/>
                    <pic:cNvPicPr>
                      <a:picLocks noChangeAspect="1" noChangeArrowheads="1"/>
                    </pic:cNvPicPr>
                  </pic:nvPicPr>
                  <pic:blipFill>
                    <a:blip r:embed="rId56"/>
                    <a:stretch>
                      <a:fillRect/>
                    </a:stretch>
                  </pic:blipFill>
                  <pic:spPr bwMode="auto">
                    <a:xfrm>
                      <a:off x="0" y="0"/>
                      <a:ext cx="5334000" cy="1823085"/>
                    </a:xfrm>
                    <a:prstGeom prst="rect">
                      <a:avLst/>
                    </a:prstGeom>
                  </pic:spPr>
                </pic:pic>
              </a:graphicData>
            </a:graphic>
          </wp:inline>
        </w:drawing>
      </w:r>
    </w:p>
    <w:p>
      <w:pPr>
        <w:pStyle w:val="ImageCaption"/>
        <w:rPr/>
      </w:pPr>
      <w:r>
        <w:rPr/>
        <w:t>Diagram 1</w:t>
      </w:r>
    </w:p>
    <w:p>
      <w:pPr>
        <w:pStyle w:val="BodyText"/>
        <w:rPr/>
      </w:pPr>
      <w:r>
        <w:rPr>
          <w:b/>
          <w:bCs/>
          <w:sz w:val="20"/>
        </w:rPr>
        <w:t>Source:</w:t>
      </w:r>
      <w:r>
        <w:rPr>
          <w:sz w:val="20"/>
        </w:rPr>
        <w:t xml:space="preserve"> </w:t>
      </w:r>
      <w:hyperlink r:id="rId57">
        <w:r>
          <w:rPr>
            <w:rStyle w:val="Hyperlink"/>
          </w:rPr>
          <w:t>01_block_diagram.mmd</w:t>
        </w:r>
      </w:hyperlink>
      <w:r>
        <w:rPr>
          <w:sz w:val="20"/>
        </w:rPr>
        <w:t xml:space="preserve"> — the fence above mirrors it.</w:t>
      </w:r>
    </w:p>
    <w:p>
      <w:pPr>
        <w:pStyle w:val="Heading2"/>
        <w:pBdr>
          <w:bottom w:val="single" w:sz="12" w:space="0" w:color="228B22"/>
        </w:pBdr>
        <w:spacing w:before="280" w:after="80"/>
        <w:rPr/>
      </w:pPr>
      <w:bookmarkStart w:id="231" w:name="__RefHeading___Toc14886_888288119"/>
      <w:bookmarkStart w:id="232" w:name="module-roles"/>
      <w:bookmarkEnd w:id="231"/>
      <w:r>
        <w:rPr>
          <w:rStyle w:val="SectionNumber"/>
          <w:b/>
          <w:color w:val="228B22"/>
          <w:sz w:val="28"/>
        </w:rPr>
        <w:t>12.1</w:t>
      </w:r>
      <w:r>
        <w:rPr>
          <w:b/>
          <w:color w:val="228B22"/>
          <w:sz w:val="28"/>
        </w:rPr>
        <w:tab/>
        <w:t>Module roles</w:t>
      </w:r>
    </w:p>
    <w:p>
      <w:pPr>
        <w:pStyle w:val="TableCaption"/>
        <w:rPr/>
      </w:pPr>
      <w:bookmarkStart w:id="233" w:name="_Tab_6_Table_2_1__Module_ro"/>
      <w:r>
        <w:rPr/>
        <w:t>Table 2.1: Module roles</w:t>
      </w:r>
      <w:bookmarkEnd w:id="2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Pair-rig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plain AXI4 masters + snoop responder toward peer.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Onyx-rig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ACE masters +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 snoop responder toward onyx.</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rig-agnostic core instantiated by both tops.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request acceptance, response return, replay latch.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amber_control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owns tag-array control arbitration and the pending-fill bypass register.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amber_tag_array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amber_data_array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Dual-port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stores; port A CPU/fill, port B snoop.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 policy engine.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amber_victim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 drain trigger; depth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amber_fill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amber_drain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Read/write engines; plain AXI4 under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ACE under </w:t>
            </w:r>
            <w:r>
              <w:rPr>
                <w:rStyle w:val="VerbatimChar"/>
                <w:rFonts w:eastAsia="Cambria" w:cs=""/>
                <w:kern w:val="0"/>
                <w:szCs w:val="24"/>
                <w:lang w:val="en-US" w:eastAsia="en-US" w:bidi="ar-SA"/>
              </w:rPr>
              <w:t>amber_ace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AC/CR/CD adapter; bus-agnostic inside.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Maps cache events to the onyx D2 coherent-transaction subset.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wrapper; emits MonBus packets, never stalls.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4" w:name="block-diagram"/>
      <w:bookmarkStart w:id="235" w:name="module-roles"/>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
      <w:bookmarkEnd w:id="235"/>
      <w:r>
        <w:br w:type="page"/>
      </w:r>
    </w:p>
    <w:p>
      <w:pPr>
        <w:pStyle w:val="Heading1"/>
        <w:shd w:val="clear" w:color="auto" w:fill="404040"/>
        <w:spacing w:before="360" w:after="120"/>
        <w:rPr/>
      </w:pPr>
      <w:bookmarkStart w:id="236" w:name="__RefHeading___Toc14888_888288119"/>
      <w:bookmarkStart w:id="237" w:name="top-structure-and-the-two-rigs"/>
      <w:bookmarkEnd w:id="236"/>
      <w:r>
        <w:rPr>
          <w:rStyle w:val="SectionNumber"/>
          <w:b/>
          <w:color w:val="FFFFFF"/>
          <w:sz w:val="32"/>
        </w:rPr>
        <w:t>13</w:t>
      </w:r>
      <w:r>
        <w:rPr>
          <w:b/>
          <w:color w:val="FFFFFF"/>
          <w:sz w:val="32"/>
        </w:rPr>
        <w:tab/>
        <w:t>Top Structure and the Two Rigs</w:t>
      </w:r>
    </w:p>
    <w:p>
      <w:pPr>
        <w:pStyle w:val="Heading2"/>
        <w:pBdr>
          <w:bottom w:val="single" w:sz="12" w:space="0" w:color="228B22"/>
        </w:pBdr>
        <w:spacing w:before="280" w:after="80"/>
        <w:rPr/>
      </w:pPr>
      <w:bookmarkStart w:id="238" w:name="__RefHeading___Toc14890_888288119"/>
      <w:bookmarkStart w:id="239" w:name="no-rig-parameter"/>
      <w:bookmarkEnd w:id="238"/>
      <w:r>
        <w:rPr>
          <w:rStyle w:val="SectionNumber"/>
          <w:b/>
          <w:color w:val="228B22"/>
          <w:sz w:val="28"/>
        </w:rPr>
        <w:t>13.1</w:t>
      </w:r>
      <w:r>
        <w:rPr>
          <w:b/>
          <w:color w:val="228B22"/>
          <w:sz w:val="28"/>
        </w:rPr>
        <w:tab/>
        <w:t>No rig parameter</w:t>
      </w:r>
    </w:p>
    <w:p>
      <w:pPr>
        <w:pStyle w:val="FirstParagraph"/>
        <w:rPr/>
      </w:pPr>
      <w:r>
        <w:rPr>
          <w:sz w:val="20"/>
        </w:rPr>
        <w:t xml:space="preserve">amber does not use a </w:t>
      </w:r>
      <w:r>
        <w:rPr>
          <w:rStyle w:val="VerbatimChar"/>
          <w:sz w:val="20"/>
        </w:rPr>
        <w:t>RIG</w:t>
      </w:r>
      <w:r>
        <w:rPr>
          <w:sz w:val="20"/>
        </w:rPr>
        <w:t xml:space="preserve"> elaboration parameter. The rig is the top you instantiate: instantiate </w:t>
      </w:r>
      <w:r>
        <w:rPr>
          <w:rStyle w:val="VerbatimChar"/>
          <w:sz w:val="20"/>
        </w:rPr>
        <w:t>amber</w:t>
      </w:r>
      <w:r>
        <w:rPr>
          <w:sz w:val="20"/>
        </w:rPr>
        <w:t xml:space="preserve"> for the pair rig, instantiate </w:t>
      </w:r>
      <w:r>
        <w:rPr>
          <w:rStyle w:val="VerbatimChar"/>
          <w:sz w:val="20"/>
        </w:rPr>
        <w:t>amber_ace</w:t>
      </w:r>
      <w:r>
        <w:rPr>
          <w:sz w:val="20"/>
        </w:rPr>
        <w:t xml:space="preserve"> for the onyx rig (F12). Both tops compile; both are exercised in the DV matrix. This keeps the rig-specific wiring out of the shared core and avoids a mode signal that would broaden the formal surface for no benefit.</w:t>
      </w:r>
      <w:bookmarkEnd w:id="239"/>
    </w:p>
    <w:p>
      <w:pPr>
        <w:pStyle w:val="Heading2"/>
        <w:pBdr>
          <w:bottom w:val="single" w:sz="12" w:space="0" w:color="228B22"/>
        </w:pBdr>
        <w:spacing w:before="280" w:after="80"/>
        <w:rPr/>
      </w:pPr>
      <w:bookmarkStart w:id="240" w:name="__RefHeading___Toc14892_888288119"/>
      <w:bookmarkStart w:id="241" w:name="amber-pair-rig-top"/>
      <w:bookmarkEnd w:id="240"/>
      <w:r>
        <w:rPr>
          <w:rStyle w:val="SectionNumber"/>
          <w:b/>
          <w:color w:val="228B22"/>
          <w:sz w:val="28"/>
        </w:rPr>
        <w:t>13.2</w:t>
      </w:r>
      <w:r>
        <w:rPr>
          <w:b/>
          <w:color w:val="228B22"/>
          <w:sz w:val="28"/>
        </w:rPr>
        <w:tab/>
      </w:r>
      <w:r>
        <w:rPr>
          <w:rStyle w:val="VerbatimChar"/>
          <w:b/>
          <w:color w:val="228B22"/>
          <w:sz w:val="28"/>
        </w:rPr>
        <w:t>amber</w:t>
      </w:r>
      <w:r>
        <w:rPr>
          <w:b/>
          <w:color w:val="228B22"/>
          <w:sz w:val="28"/>
        </w:rPr>
        <w:t xml:space="preserve"> — pair-rig top</w:t>
      </w:r>
    </w:p>
    <w:p>
      <w:pPr>
        <w:pStyle w:val="FirstParagraph"/>
        <w:rPr/>
      </w:pPr>
      <w:r>
        <w:rPr>
          <w:rStyle w:val="VerbatimChar"/>
          <w:sz w:val="20"/>
        </w:rPr>
        <w:t>amber</w:t>
      </w:r>
      <w:r>
        <w:rPr>
          <w:sz w:val="20"/>
        </w:rPr>
        <w:t xml:space="preserve"> wraps </w:t>
      </w:r>
      <w:r>
        <w:rPr>
          <w:rStyle w:val="VerbatimChar"/>
          <w:sz w:val="20"/>
        </w:rPr>
        <w:t>amber_core</w:t>
      </w:r>
      <w:r>
        <w:rPr>
          <w:sz w:val="20"/>
        </w:rPr>
        <w:t xml:space="preserve"> with:</w:t>
      </w:r>
    </w:p>
    <w:p>
      <w:pPr>
        <w:pStyle w:val="Compact"/>
        <w:numPr>
          <w:ilvl w:val="0"/>
          <w:numId w:val="137"/>
        </w:numPr>
        <w:rPr/>
      </w:pPr>
      <w:r>
        <w:rPr/>
        <w:t xml:space="preserve">House </w:t>
      </w:r>
      <w:r>
        <w:rPr>
          <w:rStyle w:val="VerbatimChar"/>
        </w:rPr>
        <w:t>axi4_master_rd</w:t>
      </w:r>
      <w:r>
        <w:rPr/>
        <w:t xml:space="preserve"> and </w:t>
      </w:r>
      <w:r>
        <w:rPr>
          <w:rStyle w:val="VerbatimChar"/>
        </w:rPr>
        <w:t>axi4_master_wr</w:t>
      </w:r>
      <w:r>
        <w:rPr/>
        <w:t xml:space="preserve"> for plain AXI4 memory access (D3 direction).</w:t>
      </w:r>
    </w:p>
    <w:p>
      <w:pPr>
        <w:pStyle w:val="Compact"/>
        <w:numPr>
          <w:ilvl w:val="0"/>
          <w:numId w:val="138"/>
        </w:numPr>
        <w:rPr/>
      </w:pPr>
      <w:r>
        <w:rPr/>
        <w:t xml:space="preserve">The </w:t>
      </w:r>
      <w:r>
        <w:rPr>
          <w:rStyle w:val="VerbatimChar"/>
        </w:rPr>
        <w:t>amber_snoop_resp</w:t>
      </w:r>
      <w:r>
        <w:rPr/>
        <w:t xml:space="preserve"> ACE adapter facing the peer cache.</w:t>
      </w:r>
    </w:p>
    <w:p>
      <w:pPr>
        <w:pStyle w:val="Compact"/>
        <w:numPr>
          <w:ilvl w:val="0"/>
          <w:numId w:val="139"/>
        </w:numPr>
        <w:rPr/>
      </w:pPr>
      <w:r>
        <w:rPr/>
        <w:t>No coherent-transaction issuer; memory-side misses are ordinary AR/AW bursts.</w:t>
      </w:r>
    </w:p>
    <w:p>
      <w:pPr>
        <w:pStyle w:val="FirstParagraph"/>
        <w:rPr/>
      </w:pPr>
      <w:bookmarkStart w:id="242" w:name="amber-pair-rig-top"/>
      <w:r>
        <w:rPr>
          <w:sz w:val="20"/>
        </w:rPr>
        <w:t>The snoop responder sees the peer’s AC/CR/CD even though the memory side is plain AXI4. That is exactly the pair-rig shape: coherence is handled cache-to-cache; memory only supplies cold misses and absorbs dirty write-backs.</w:t>
      </w:r>
      <w:bookmarkEnd w:id="242"/>
    </w:p>
    <w:p>
      <w:pPr>
        <w:pStyle w:val="Heading2"/>
        <w:pBdr>
          <w:bottom w:val="single" w:sz="12" w:space="0" w:color="228B22"/>
        </w:pBdr>
        <w:spacing w:before="280" w:after="80"/>
        <w:rPr/>
      </w:pPr>
      <w:bookmarkStart w:id="243" w:name="__RefHeading___Toc14894_888288119"/>
      <w:bookmarkStart w:id="244" w:name="amber_ace-onyx-rig-top"/>
      <w:bookmarkEnd w:id="243"/>
      <w:r>
        <w:rPr>
          <w:rStyle w:val="SectionNumber"/>
          <w:b/>
          <w:color w:val="228B22"/>
          <w:sz w:val="28"/>
        </w:rPr>
        <w:t>13.3</w:t>
      </w:r>
      <w:r>
        <w:rPr>
          <w:b/>
          <w:color w:val="228B22"/>
          <w:sz w:val="28"/>
        </w:rPr>
        <w:tab/>
      </w:r>
      <w:r>
        <w:rPr>
          <w:rStyle w:val="VerbatimChar"/>
          <w:b/>
          <w:color w:val="228B22"/>
          <w:sz w:val="28"/>
        </w:rPr>
        <w:t>amber_ace</w:t>
      </w:r>
      <w:r>
        <w:rPr>
          <w:b/>
          <w:color w:val="228B22"/>
          <w:sz w:val="28"/>
        </w:rPr>
        <w:t xml:space="preserve"> — onyx-rig top</w:t>
      </w:r>
    </w:p>
    <w:p>
      <w:pPr>
        <w:pStyle w:val="FirstParagraph"/>
        <w:rPr/>
      </w:pPr>
      <w:r>
        <w:rPr>
          <w:rStyle w:val="VerbatimChar"/>
          <w:sz w:val="20"/>
        </w:rPr>
        <w:t>amber_ace</w:t>
      </w:r>
      <w:r>
        <w:rPr>
          <w:sz w:val="20"/>
        </w:rPr>
        <w:t xml:space="preserve"> wraps the same </w:t>
      </w:r>
      <w:r>
        <w:rPr>
          <w:rStyle w:val="VerbatimChar"/>
          <w:sz w:val="20"/>
        </w:rPr>
        <w:t>amber_core</w:t>
      </w:r>
      <w:r>
        <w:rPr>
          <w:sz w:val="20"/>
        </w:rPr>
        <w:t xml:space="preserve"> with:</w:t>
      </w:r>
    </w:p>
    <w:p>
      <w:pPr>
        <w:pStyle w:val="Compact"/>
        <w:numPr>
          <w:ilvl w:val="0"/>
          <w:numId w:val="140"/>
        </w:numPr>
        <w:rPr/>
      </w:pPr>
      <w:r>
        <w:rPr>
          <w:rStyle w:val="VerbatimChar"/>
        </w:rPr>
        <w:t>axi4ace_master_rd</w:t>
      </w:r>
      <w:r>
        <w:rPr/>
        <w:t xml:space="preserve"> and </w:t>
      </w:r>
      <w:r>
        <w:rPr>
          <w:rStyle w:val="VerbatimChar"/>
        </w:rPr>
        <w:t>axi4ace_master_wr</w:t>
      </w:r>
      <w:r>
        <w:rPr/>
        <w:t xml:space="preserve"> toward </w:t>
      </w:r>
      <w:r>
        <w:rPr>
          <w:rStyle w:val="VerbatimChar"/>
        </w:rPr>
        <w:t>onyx</w:t>
      </w:r>
      <w:r>
        <w:rPr/>
        <w:t>.</w:t>
      </w:r>
    </w:p>
    <w:p>
      <w:pPr>
        <w:pStyle w:val="Compact"/>
        <w:numPr>
          <w:ilvl w:val="0"/>
          <w:numId w:val="141"/>
        </w:numPr>
        <w:rPr/>
      </w:pPr>
      <w:r>
        <w:rPr>
          <w:rStyle w:val="VerbatimChar"/>
        </w:rPr>
        <w:t>amber_ace_issue</w:t>
      </w:r>
      <w:r>
        <w:rPr/>
        <w:t xml:space="preserve">, which maps cache-side events to the onyx D2 subset: read miss → </w:t>
      </w:r>
      <w:r>
        <w:rPr>
          <w:rStyle w:val="VerbatimChar"/>
        </w:rPr>
        <w:t>ReadShared</w:t>
      </w:r>
      <w:r>
        <w:rPr/>
        <w:t>/</w:t>
      </w:r>
      <w:r>
        <w:rPr>
          <w:rStyle w:val="VerbatimChar"/>
        </w:rPr>
        <w:t>ReadUnique</w:t>
      </w:r>
      <w:r>
        <w:rPr/>
        <w:t xml:space="preserve">, write promotion → </w:t>
      </w:r>
      <w:r>
        <w:rPr>
          <w:rStyle w:val="VerbatimChar"/>
        </w:rPr>
        <w:t>CleanUnique</w:t>
      </w:r>
      <w:r>
        <w:rPr/>
        <w:t>/</w:t>
      </w:r>
      <w:r>
        <w:rPr>
          <w:rStyle w:val="VerbatimChar"/>
        </w:rPr>
        <w:t>MakeUnique</w:t>
      </w:r>
      <w:r>
        <w:rPr/>
        <w:t xml:space="preserve">, dirty eviction → </w:t>
      </w:r>
      <w:r>
        <w:rPr>
          <w:rStyle w:val="VerbatimChar"/>
        </w:rPr>
        <w:t>WriteBack</w:t>
      </w:r>
      <w:r>
        <w:rPr/>
        <w:t xml:space="preserve">, clean eviction → </w:t>
      </w:r>
      <w:r>
        <w:rPr>
          <w:rStyle w:val="VerbatimChar"/>
        </w:rPr>
        <w:t>Evict</w:t>
      </w:r>
      <w:r>
        <w:rPr/>
        <w:t>.</w:t>
      </w:r>
    </w:p>
    <w:p>
      <w:pPr>
        <w:pStyle w:val="Compact"/>
        <w:numPr>
          <w:ilvl w:val="0"/>
          <w:numId w:val="142"/>
        </w:numPr>
        <w:rPr/>
      </w:pPr>
      <w:r>
        <w:rPr/>
        <w:t xml:space="preserve">The same </w:t>
      </w:r>
      <w:r>
        <w:rPr>
          <w:rStyle w:val="VerbatimChar"/>
        </w:rPr>
        <w:t>amber_snoop_resp</w:t>
      </w:r>
      <w:r>
        <w:rPr/>
        <w:t xml:space="preserve"> adapter, but facing </w:t>
      </w:r>
      <w:r>
        <w:rPr>
          <w:rStyle w:val="VerbatimChar"/>
        </w:rPr>
        <w:t>onyx</w:t>
      </w:r>
      <w:r>
        <w:rPr/>
        <w:t xml:space="preserve"> rather than a peer.</w:t>
      </w:r>
    </w:p>
    <w:p>
      <w:pPr>
        <w:pStyle w:val="FirstParagraph"/>
        <w:rPr/>
      </w:pPr>
      <w:r>
        <w:rPr>
          <w:sz w:val="20"/>
        </w:rPr>
        <w:t xml:space="preserve">Memory is not directly reachable; all fabric traffic is coherent and routed through </w:t>
      </w:r>
      <w:r>
        <w:rPr>
          <w:rStyle w:val="VerbatimChar"/>
          <w:sz w:val="20"/>
        </w:rPr>
        <w:t>onyx</w:t>
      </w:r>
      <w:r>
        <w:rPr>
          <w:sz w:val="20"/>
        </w:rPr>
        <w:t>.</w:t>
      </w:r>
      <w:bookmarkEnd w:id="244"/>
    </w:p>
    <w:p>
      <w:pPr>
        <w:pStyle w:val="Heading2"/>
        <w:pBdr>
          <w:bottom w:val="single" w:sz="12" w:space="0" w:color="228B22"/>
        </w:pBdr>
        <w:spacing w:before="280" w:after="80"/>
        <w:rPr/>
      </w:pPr>
      <w:bookmarkStart w:id="245" w:name="__RefHeading___Toc14896_888288119"/>
      <w:bookmarkStart w:id="246" w:name="what-is-inside-amber_core"/>
      <w:bookmarkEnd w:id="245"/>
      <w:r>
        <w:rPr>
          <w:rStyle w:val="SectionNumber"/>
          <w:b/>
          <w:color w:val="228B22"/>
          <w:sz w:val="28"/>
        </w:rPr>
        <w:t>13.4</w:t>
      </w:r>
      <w:r>
        <w:rPr>
          <w:b/>
          <w:color w:val="228B22"/>
          <w:sz w:val="28"/>
        </w:rPr>
        <w:tab/>
        <w:t xml:space="preserve">What is inside </w:t>
      </w:r>
      <w:r>
        <w:rPr>
          <w:rStyle w:val="VerbatimChar"/>
          <w:b/>
          <w:color w:val="228B22"/>
          <w:sz w:val="28"/>
        </w:rPr>
        <w:t>amber_core</w:t>
      </w:r>
    </w:p>
    <w:p>
      <w:pPr>
        <w:pStyle w:val="FirstParagraph"/>
        <w:rPr/>
      </w:pPr>
      <w:r>
        <w:rPr>
          <w:rStyle w:val="VerbatimChar"/>
          <w:sz w:val="20"/>
        </w:rPr>
        <w:t>amber_core</w:t>
      </w:r>
      <w:r>
        <w:rPr>
          <w:sz w:val="20"/>
        </w:rPr>
        <w:t xml:space="preserve"> contains everything that does not change between rigs: </w:t>
      </w:r>
      <w:r>
        <w:rPr>
          <w:rStyle w:val="VerbatimChar"/>
          <w:sz w:val="20"/>
        </w:rPr>
        <w:t>amber_cpu_frontend</w:t>
      </w:r>
      <w:r>
        <w:rPr>
          <w:sz w:val="20"/>
        </w:rPr>
        <w:t xml:space="preserve">, </w:t>
      </w:r>
      <w:r>
        <w:rPr>
          <w:rStyle w:val="VerbatimChar"/>
          <w:sz w:val="20"/>
        </w:rPr>
        <w:t>amber_control</w:t>
      </w:r>
      <w:r>
        <w:rPr>
          <w:sz w:val="20"/>
        </w:rPr>
        <w:t xml:space="preserve">, </w:t>
      </w:r>
      <w:r>
        <w:rPr>
          <w:rStyle w:val="VerbatimChar"/>
          <w:sz w:val="20"/>
        </w:rPr>
        <w:t>amber_tag_array</w:t>
      </w:r>
      <w:r>
        <w:rPr>
          <w:sz w:val="20"/>
        </w:rPr>
        <w:t xml:space="preserve">, </w:t>
      </w:r>
      <w:r>
        <w:rPr>
          <w:rStyle w:val="VerbatimChar"/>
          <w:sz w:val="20"/>
        </w:rPr>
        <w:t>amber_data_array</w:t>
      </w:r>
      <w:r>
        <w:rPr>
          <w:sz w:val="20"/>
        </w:rPr>
        <w:t xml:space="preserve">, </w:t>
      </w:r>
      <w:r>
        <w:rPr>
          <w:rStyle w:val="VerbatimChar"/>
          <w:sz w:val="20"/>
        </w:rPr>
        <w:t>amber_repl</w:t>
      </w:r>
      <w:r>
        <w:rPr>
          <w:sz w:val="20"/>
        </w:rPr>
        <w:t xml:space="preserve">, </w:t>
      </w:r>
      <w:r>
        <w:rPr>
          <w:rStyle w:val="VerbatimChar"/>
          <w:sz w:val="20"/>
        </w:rPr>
        <w:t>amber_victim</w:t>
      </w:r>
      <w:r>
        <w:rPr>
          <w:sz w:val="20"/>
        </w:rPr>
        <w:t xml:space="preserve">, </w:t>
      </w:r>
      <w:r>
        <w:rPr>
          <w:rStyle w:val="VerbatimChar"/>
          <w:sz w:val="20"/>
        </w:rPr>
        <w:t>amber_fill</w:t>
      </w:r>
      <w:r>
        <w:rPr>
          <w:sz w:val="20"/>
        </w:rPr>
        <w:t xml:space="preserve">, </w:t>
      </w:r>
      <w:r>
        <w:rPr>
          <w:rStyle w:val="VerbatimChar"/>
          <w:sz w:val="20"/>
        </w:rPr>
        <w:t>amber_drain</w:t>
      </w:r>
      <w:r>
        <w:rPr>
          <w:sz w:val="20"/>
        </w:rPr>
        <w:t xml:space="preserve">, </w:t>
      </w:r>
      <w:r>
        <w:rPr>
          <w:rStyle w:val="VerbatimChar"/>
          <w:sz w:val="20"/>
        </w:rPr>
        <w:t>amber_snoop_resp</w:t>
      </w:r>
      <w:r>
        <w:rPr>
          <w:sz w:val="20"/>
        </w:rPr>
        <w:t xml:space="preserve">, and </w:t>
      </w:r>
      <w:r>
        <w:rPr>
          <w:rStyle w:val="VerbatimChar"/>
          <w:sz w:val="20"/>
        </w:rPr>
        <w:t>amber_monlite</w:t>
      </w:r>
      <w:r>
        <w:rPr>
          <w:sz w:val="20"/>
        </w:rPr>
        <w:t>. The fill/drain modules expose a rig-agnostic internal interface; the top selects the AXI4 or ACE transport adapter that drives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7" w:name="top-structure-and-the-two-rigs"/>
      <w:bookmarkStart w:id="248" w:name="what-is-inside-amber_core"/>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
      <w:bookmarkEnd w:id="248"/>
      <w:r>
        <w:br w:type="page"/>
      </w:r>
    </w:p>
    <w:p>
      <w:pPr>
        <w:pStyle w:val="Heading1"/>
        <w:shd w:val="clear" w:color="auto" w:fill="404040"/>
        <w:spacing w:before="360" w:after="120"/>
        <w:rPr/>
      </w:pPr>
      <w:bookmarkStart w:id="249" w:name="__RefHeading___Toc14898_888288119"/>
      <w:bookmarkStart w:id="250" w:name="data-flow-hits-misses-fills-and-drains"/>
      <w:bookmarkEnd w:id="249"/>
      <w:r>
        <w:rPr>
          <w:rStyle w:val="SectionNumber"/>
          <w:b/>
          <w:color w:val="FFFFFF"/>
          <w:sz w:val="32"/>
        </w:rPr>
        <w:t>14</w:t>
      </w:r>
      <w:r>
        <w:rPr>
          <w:b/>
          <w:color w:val="FFFFFF"/>
          <w:sz w:val="32"/>
        </w:rPr>
        <w:tab/>
        <w:t>Data Flow: Hits, Misses, Fills, and Drains</w:t>
      </w:r>
    </w:p>
    <w:p>
      <w:pPr>
        <w:pStyle w:val="Heading2"/>
        <w:pBdr>
          <w:bottom w:val="single" w:sz="12" w:space="0" w:color="228B22"/>
        </w:pBdr>
        <w:spacing w:before="280" w:after="80"/>
        <w:rPr/>
      </w:pPr>
      <w:bookmarkStart w:id="251" w:name="__RefHeading___Toc14900_888288119"/>
      <w:bookmarkStart w:id="252" w:name="hit-path"/>
      <w:bookmarkEnd w:id="251"/>
      <w:r>
        <w:rPr>
          <w:rStyle w:val="SectionNumber"/>
          <w:b/>
          <w:color w:val="228B22"/>
          <w:sz w:val="28"/>
        </w:rPr>
        <w:t>14.1</w:t>
      </w:r>
      <w:r>
        <w:rPr>
          <w:b/>
          <w:color w:val="228B22"/>
          <w:sz w:val="28"/>
        </w:rPr>
        <w:tab/>
        <w:t>Hit path</w:t>
      </w:r>
    </w:p>
    <w:p>
      <w:pPr>
        <w:pStyle w:val="FirstParagraph"/>
        <w:rPr/>
      </w:pPr>
      <w:r>
        <w:rPr>
          <w:sz w:val="20"/>
        </w:rPr>
        <w:t xml:space="preserve">A CPU request accepted by </w:t>
      </w:r>
      <w:r>
        <w:rPr>
          <w:rStyle w:val="VerbatimChar"/>
          <w:sz w:val="20"/>
        </w:rPr>
        <w:t>amber_cpu_frontend</w:t>
      </w:r>
      <w:r>
        <w:rPr>
          <w:sz w:val="20"/>
        </w:rPr>
        <w:t xml:space="preserve"> is latched and presented to </w:t>
      </w:r>
      <w:r>
        <w:rPr>
          <w:rStyle w:val="VerbatimChar"/>
          <w:sz w:val="20"/>
        </w:rPr>
        <w:t>amber_control</w:t>
      </w:r>
      <w:r>
        <w:rPr>
          <w:sz w:val="20"/>
        </w:rPr>
        <w:t xml:space="preserve">. The control FSM drives a tag lookup on port A of </w:t>
      </w:r>
      <w:r>
        <w:rPr>
          <w:rStyle w:val="VerbatimChar"/>
          <w:sz w:val="20"/>
        </w:rPr>
        <w:t>amber_tag_array</w:t>
      </w:r>
      <w:r>
        <w:rPr>
          <w:sz w:val="20"/>
        </w:rPr>
        <w:t xml:space="preserve">. On a hit, the state field is checked: read returns data from </w:t>
      </w:r>
      <w:r>
        <w:rPr>
          <w:rStyle w:val="VerbatimChar"/>
          <w:sz w:val="20"/>
        </w:rPr>
        <w:t>amber_data_array</w:t>
      </w:r>
      <w:r>
        <w:rPr>
          <w:sz w:val="20"/>
        </w:rPr>
        <w:t xml:space="preserve"> port A; write updates data and promotes the line to Modified. The response returns through the front end in the same transaction.</w:t>
      </w:r>
      <w:bookmarkEnd w:id="252"/>
    </w:p>
    <w:p>
      <w:pPr>
        <w:pStyle w:val="Heading2"/>
        <w:pBdr>
          <w:bottom w:val="single" w:sz="12" w:space="0" w:color="228B22"/>
        </w:pBdr>
        <w:spacing w:before="280" w:after="80"/>
        <w:rPr/>
      </w:pPr>
      <w:bookmarkStart w:id="253" w:name="__RefHeading___Toc14902_888288119"/>
      <w:bookmarkStart w:id="254" w:name="miss-path"/>
      <w:bookmarkEnd w:id="253"/>
      <w:r>
        <w:rPr>
          <w:rStyle w:val="SectionNumber"/>
          <w:b/>
          <w:color w:val="228B22"/>
          <w:sz w:val="28"/>
        </w:rPr>
        <w:t>14.2</w:t>
      </w:r>
      <w:r>
        <w:rPr>
          <w:b/>
          <w:color w:val="228B22"/>
          <w:sz w:val="28"/>
        </w:rPr>
        <w:tab/>
        <w:t>Miss path</w:t>
      </w:r>
    </w:p>
    <w:p>
      <w:pPr>
        <w:pStyle w:val="FirstParagraph"/>
        <w:rPr/>
      </w:pPr>
      <w:r>
        <w:rPr>
          <w:sz w:val="20"/>
        </w:rPr>
        <w:t xml:space="preserve">On a miss, </w:t>
      </w:r>
      <w:r>
        <w:rPr>
          <w:rStyle w:val="VerbatimChar"/>
          <w:sz w:val="20"/>
        </w:rPr>
        <w:t>amber_repl</w:t>
      </w:r>
      <w:r>
        <w:rPr>
          <w:sz w:val="20"/>
        </w:rPr>
        <w:t xml:space="preserve"> selects the victim way. If the victim is dirty, it is moved to </w:t>
      </w:r>
      <w:r>
        <w:rPr>
          <w:rStyle w:val="VerbatimChar"/>
          <w:sz w:val="20"/>
        </w:rPr>
        <w:t>amber_victim</w:t>
      </w:r>
      <w:r>
        <w:rPr>
          <w:sz w:val="20"/>
        </w:rPr>
        <w:t xml:space="preserve"> and </w:t>
      </w:r>
      <w:r>
        <w:rPr>
          <w:rStyle w:val="VerbatimChar"/>
          <w:sz w:val="20"/>
        </w:rPr>
        <w:t>amber_drain</w:t>
      </w:r>
      <w:r>
        <w:rPr>
          <w:sz w:val="20"/>
        </w:rPr>
        <w:t xml:space="preserve"> issues a write-back burst. Once the victim path is clear, </w:t>
      </w:r>
      <w:r>
        <w:rPr>
          <w:rStyle w:val="VerbatimChar"/>
          <w:sz w:val="20"/>
        </w:rPr>
        <w:t>amber_fill</w:t>
      </w:r>
      <w:r>
        <w:rPr>
          <w:sz w:val="20"/>
        </w:rPr>
        <w:t xml:space="preserve"> issues a read burst. Returned beats write </w:t>
      </w:r>
      <w:r>
        <w:rPr>
          <w:rStyle w:val="VerbatimChar"/>
          <w:sz w:val="20"/>
        </w:rPr>
        <w:t>amber_data_array</w:t>
      </w:r>
      <w:r>
        <w:rPr>
          <w:sz w:val="20"/>
        </w:rPr>
        <w:t xml:space="preserve"> port A; the tag and MESI state are installed; the original request replays from the front-end latch. Figure 3.1 shows the sequence.</w:t>
      </w:r>
    </w:p>
    <w:p>
      <w:pPr>
        <w:pStyle w:val="CaptionedFigure"/>
        <w:rPr/>
      </w:pPr>
      <w:r>
        <w:rPr/>
        <w:drawing>
          <wp:inline distT="0" distB="0" distL="0" distR="0">
            <wp:extent cx="5334000" cy="2265680"/>
            <wp:effectExtent l="0" t="0" r="0" b="0"/>
            <wp:docPr id="85" name="Image2"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2" descr="Diagram 2"/>
                    <pic:cNvPicPr>
                      <a:picLocks noChangeAspect="1" noChangeArrowheads="1"/>
                    </pic:cNvPicPr>
                  </pic:nvPicPr>
                  <pic:blipFill>
                    <a:blip r:embed="rId58"/>
                    <a:stretch>
                      <a:fillRect/>
                    </a:stretch>
                  </pic:blipFill>
                  <pic:spPr bwMode="auto">
                    <a:xfrm>
                      <a:off x="0" y="0"/>
                      <a:ext cx="5334000" cy="2265680"/>
                    </a:xfrm>
                    <a:prstGeom prst="rect">
                      <a:avLst/>
                    </a:prstGeom>
                  </pic:spPr>
                </pic:pic>
              </a:graphicData>
            </a:graphic>
          </wp:inline>
        </w:drawing>
      </w:r>
    </w:p>
    <w:p>
      <w:pPr>
        <w:pStyle w:val="ImageCaption"/>
        <w:rPr/>
      </w:pPr>
      <w:r>
        <w:rPr/>
        <w:t>Diagram 2</w:t>
      </w:r>
    </w:p>
    <w:p>
      <w:pPr>
        <w:pStyle w:val="BodyText"/>
        <w:rPr/>
      </w:pPr>
      <w:r>
        <w:rPr>
          <w:b/>
          <w:bCs/>
          <w:sz w:val="20"/>
        </w:rPr>
        <w:t>Source:</w:t>
      </w:r>
      <w:r>
        <w:rPr>
          <w:sz w:val="20"/>
        </w:rPr>
        <w:t xml:space="preserve"> </w:t>
      </w:r>
      <w:hyperlink r:id="rId59">
        <w:r>
          <w:rPr>
            <w:rStyle w:val="Hyperlink"/>
          </w:rPr>
          <w:t>02_miss_flow.mmd</w:t>
        </w:r>
      </w:hyperlink>
      <w:r>
        <w:rPr>
          <w:sz w:val="20"/>
        </w:rPr>
        <w:t xml:space="preserve"> — the fence above mirrors it.</w:t>
      </w:r>
      <w:bookmarkEnd w:id="254"/>
    </w:p>
    <w:p>
      <w:pPr>
        <w:pStyle w:val="Heading2"/>
        <w:pBdr>
          <w:bottom w:val="single" w:sz="12" w:space="0" w:color="228B22"/>
        </w:pBdr>
        <w:spacing w:before="280" w:after="80"/>
        <w:rPr/>
      </w:pPr>
      <w:bookmarkStart w:id="255" w:name="__RefHeading___Toc14904_888288119"/>
      <w:bookmarkStart w:id="256" w:name="snoop-path"/>
      <w:bookmarkEnd w:id="255"/>
      <w:r>
        <w:rPr>
          <w:rStyle w:val="SectionNumber"/>
          <w:b/>
          <w:color w:val="228B22"/>
          <w:sz w:val="28"/>
        </w:rPr>
        <w:t>14.3</w:t>
      </w:r>
      <w:r>
        <w:rPr>
          <w:b/>
          <w:color w:val="228B22"/>
          <w:sz w:val="28"/>
        </w:rPr>
        <w:tab/>
        <w:t>Snoop path</w:t>
      </w:r>
    </w:p>
    <w:p>
      <w:pPr>
        <w:pStyle w:val="FirstParagraph"/>
        <w:rPr/>
      </w:pPr>
      <w:r>
        <w:rPr>
          <w:sz w:val="20"/>
        </w:rPr>
        <w:t xml:space="preserve">A snoop arrives at </w:t>
      </w:r>
      <w:r>
        <w:rPr>
          <w:rStyle w:val="VerbatimChar"/>
          <w:sz w:val="20"/>
        </w:rPr>
        <w:t>amber_snoop_resp</w:t>
      </w:r>
      <w:r>
        <w:rPr>
          <w:sz w:val="20"/>
        </w:rPr>
        <w:t xml:space="preserve">, is buffered, and is presented to </w:t>
      </w:r>
      <w:r>
        <w:rPr>
          <w:rStyle w:val="VerbatimChar"/>
          <w:sz w:val="20"/>
        </w:rPr>
        <w:t>amber_control</w:t>
      </w:r>
      <w:r>
        <w:rPr>
          <w:sz w:val="20"/>
        </w:rPr>
        <w:t xml:space="preserve">. The control FSM reads </w:t>
      </w:r>
      <w:r>
        <w:rPr>
          <w:rStyle w:val="VerbatimChar"/>
          <w:sz w:val="20"/>
        </w:rPr>
        <w:t>amber_tag_array</w:t>
      </w:r>
      <w:r>
        <w:rPr>
          <w:sz w:val="20"/>
        </w:rPr>
        <w:t xml:space="preserve"> port B. If the address matches the pending-fill bypass register, the response is composed from the register’s post-fill state and any fill beats already received. Otherwise the tag state determines </w:t>
      </w:r>
      <w:r>
        <w:rPr>
          <w:rStyle w:val="VerbatimChar"/>
          <w:sz w:val="20"/>
        </w:rPr>
        <w:t>CRRESP</w:t>
      </w:r>
      <w:r>
        <w:rPr>
          <w:sz w:val="20"/>
        </w:rPr>
        <w:t xml:space="preserve"> and whether </w:t>
      </w:r>
      <w:r>
        <w:rPr>
          <w:rStyle w:val="VerbatimChar"/>
          <w:sz w:val="20"/>
        </w:rPr>
        <w:t>amber_data_array</w:t>
      </w:r>
      <w:r>
        <w:rPr>
          <w:sz w:val="20"/>
        </w:rPr>
        <w:t xml:space="preserve"> port B supplies CD beats. The adapter returns CR and CD in order to the requester.</w:t>
      </w:r>
      <w:bookmarkEnd w:id="256"/>
    </w:p>
    <w:p>
      <w:pPr>
        <w:pStyle w:val="Heading2"/>
        <w:pBdr>
          <w:bottom w:val="single" w:sz="12" w:space="0" w:color="228B22"/>
        </w:pBdr>
        <w:spacing w:before="280" w:after="80"/>
        <w:rPr/>
      </w:pPr>
      <w:bookmarkStart w:id="257" w:name="__RefHeading___Toc14906_888288119"/>
      <w:bookmarkStart w:id="258" w:name="open-shape-memory-side-masters-d3"/>
      <w:bookmarkEnd w:id="257"/>
      <w:r>
        <w:rPr>
          <w:rStyle w:val="SectionNumber"/>
          <w:b/>
          <w:color w:val="228B22"/>
          <w:sz w:val="28"/>
        </w:rPr>
        <w:t>14.4</w:t>
      </w:r>
      <w:r>
        <w:rPr>
          <w:b/>
          <w:color w:val="228B22"/>
          <w:sz w:val="28"/>
        </w:rPr>
        <w:tab/>
        <w:t>Open shape: memory-side masters (D3)</w:t>
      </w:r>
    </w:p>
    <w:p>
      <w:pPr>
        <w:pStyle w:val="FirstParagraph"/>
        <w:rPr/>
      </w:pPr>
      <w:r>
        <w:rPr>
          <w:sz w:val="20"/>
        </w:rPr>
        <w:t xml:space="preserve">D3 is open at the time of this writing. The direction is plain AXI4 read/write masters on the house </w:t>
      </w:r>
      <w:r>
        <w:rPr>
          <w:rStyle w:val="VerbatimChar"/>
          <w:sz w:val="20"/>
        </w:rPr>
        <w:t>axi4_master_rd/wr</w:t>
      </w:r>
      <w:r>
        <w:rPr>
          <w:sz w:val="20"/>
        </w:rPr>
        <w:t xml:space="preserve"> wrappers for the pair rig, and the existing </w:t>
      </w:r>
      <w:r>
        <w:rPr>
          <w:rStyle w:val="VerbatimChar"/>
          <w:sz w:val="20"/>
        </w:rPr>
        <w:t>axi4ace_master_rd/wr</w:t>
      </w:r>
      <w:r>
        <w:rPr>
          <w:sz w:val="20"/>
        </w:rPr>
        <w:t xml:space="preserve"> for the onyx rig. The exact skid depths, ID width, and user-width defaults follow the wrappers’ own parameters; the cache does not override them except where geometry or bus width requires it. Finalizing D3 means pinning those defaults and the AW/AR burst length calculation in the fill/drain modules.</w:t>
      </w:r>
      <w:bookmarkEnd w:id="258"/>
    </w:p>
    <w:p>
      <w:pPr>
        <w:pStyle w:val="Heading2"/>
        <w:pBdr>
          <w:bottom w:val="single" w:sz="12" w:space="0" w:color="228B22"/>
        </w:pBdr>
        <w:spacing w:before="280" w:after="80"/>
        <w:rPr/>
      </w:pPr>
      <w:bookmarkStart w:id="259" w:name="__RefHeading___Toc14908_888288119"/>
      <w:bookmarkStart w:id="260" w:name="open-shape-array-construction-d11"/>
      <w:bookmarkEnd w:id="259"/>
      <w:r>
        <w:rPr>
          <w:rStyle w:val="SectionNumber"/>
          <w:b/>
          <w:color w:val="228B22"/>
          <w:sz w:val="28"/>
        </w:rPr>
        <w:t>14.5</w:t>
      </w:r>
      <w:r>
        <w:rPr>
          <w:b/>
          <w:color w:val="228B22"/>
          <w:sz w:val="28"/>
        </w:rPr>
        <w:tab/>
        <w:t>Open shape: array construction (D11)</w:t>
      </w:r>
    </w:p>
    <w:p>
      <w:pPr>
        <w:pStyle w:val="FirstParagraph"/>
        <w:rPr/>
      </w:pPr>
      <w:r>
        <w:rPr>
          <w:sz w:val="20"/>
        </w:rPr>
        <w:t xml:space="preserve">D11 is open: tag and data stores will be built from the shared </w:t>
      </w:r>
      <w:r>
        <w:rPr>
          <w:rStyle w:val="VerbatimChar"/>
          <w:sz w:val="20"/>
        </w:rPr>
        <w:t>sdpram_core</w:t>
      </w:r>
      <w:r>
        <w:rPr>
          <w:sz w:val="20"/>
        </w:rPr>
        <w:t xml:space="preserve"> primitive, with FPGA synthesis attributes per </w:t>
      </w:r>
      <w:r>
        <w:rPr>
          <w:rStyle w:val="VerbatimChar"/>
          <w:sz w:val="20"/>
        </w:rPr>
        <w:t>GLOBAL_REQUIREMENTS.md</w:t>
      </w:r>
      <w:r>
        <w:rPr>
          <w:sz w:val="20"/>
        </w:rPr>
        <w:t xml:space="preserve"> and the </w:t>
      </w:r>
      <w:r>
        <w:rPr>
          <w:rStyle w:val="VerbatimChar"/>
          <w:sz w:val="20"/>
        </w:rPr>
        <w:t>[DEPTH]</w:t>
      </w:r>
      <w:r>
        <w:rPr>
          <w:sz w:val="20"/>
        </w:rPr>
        <w:t xml:space="preserve"> array syntax. The dual-port behavior (port A CPU/fill, port B snoop) is fixed; the exact banking, write-masking, and byte-enable plumbing are micro-architecture details for the MAS.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1" w:name="data-flow-hits-misses-fills-and-drains"/>
      <w:bookmarkStart w:id="262" w:name="open-shape-array-construction-d11"/>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
      <w:bookmarkEnd w:id="262"/>
      <w:r>
        <w:br w:type="page"/>
      </w:r>
    </w:p>
    <w:p>
      <w:pPr>
        <w:pStyle w:val="Heading1"/>
        <w:shd w:val="clear" w:color="auto" w:fill="404040"/>
        <w:spacing w:before="360" w:after="120"/>
        <w:rPr/>
      </w:pPr>
      <w:bookmarkStart w:id="263" w:name="__RefHeading___Toc14910_888288119"/>
      <w:bookmarkStart w:id="264" w:name="Xf32316f96de6dabe53d0262cf30cbf1eb3d933e"/>
      <w:bookmarkEnd w:id="263"/>
      <w:r>
        <w:rPr>
          <w:rStyle w:val="SectionNumber"/>
          <w:b/>
          <w:color w:val="FFFFFF"/>
          <w:sz w:val="32"/>
        </w:rPr>
        <w:t>15</w:t>
      </w:r>
      <w:r>
        <w:rPr>
          <w:b/>
          <w:color w:val="FFFFFF"/>
          <w:sz w:val="32"/>
        </w:rPr>
        <w:tab/>
        <w:t>Control FSM: Blocking Pipeline and Pending-Fill Bypass</w:t>
      </w:r>
    </w:p>
    <w:p>
      <w:pPr>
        <w:pStyle w:val="Heading2"/>
        <w:pBdr>
          <w:bottom w:val="single" w:sz="12" w:space="0" w:color="228B22"/>
        </w:pBdr>
        <w:spacing w:before="280" w:after="80"/>
        <w:rPr/>
      </w:pPr>
      <w:bookmarkStart w:id="265" w:name="__RefHeading___Toc14912_888288119"/>
      <w:bookmarkStart w:id="266" w:name="the-blocking-pipeline"/>
      <w:bookmarkEnd w:id="265"/>
      <w:r>
        <w:rPr>
          <w:rStyle w:val="SectionNumber"/>
          <w:b/>
          <w:color w:val="228B22"/>
          <w:sz w:val="28"/>
        </w:rPr>
        <w:t>15.1</w:t>
      </w:r>
      <w:r>
        <w:rPr>
          <w:b/>
          <w:color w:val="228B22"/>
          <w:sz w:val="28"/>
        </w:rPr>
        <w:tab/>
        <w:t>The blocking pipeline</w:t>
      </w:r>
    </w:p>
    <w:p>
      <w:pPr>
        <w:pStyle w:val="FirstParagraph"/>
        <w:rPr/>
      </w:pPr>
      <w:r>
        <w:rPr>
          <w:rStyle w:val="VerbatimChar"/>
          <w:sz w:val="20"/>
        </w:rPr>
        <w:t>amber_control</w:t>
      </w:r>
      <w:r>
        <w:rPr>
          <w:sz w:val="20"/>
        </w:rPr>
        <w:t xml:space="preserve"> implements the cache’s only state machine. It moves through a fixed sequence per request:</w:t>
      </w:r>
    </w:p>
    <w:p>
      <w:pPr>
        <w:pStyle w:val="Compact"/>
        <w:numPr>
          <w:ilvl w:val="0"/>
          <w:numId w:val="143"/>
        </w:numPr>
        <w:rPr/>
      </w:pPr>
      <w:r>
        <w:rPr>
          <w:b/>
          <w:bCs/>
        </w:rPr>
        <w:t>Lookup</w:t>
      </w:r>
      <w:r>
        <w:rPr/>
        <w:t xml:space="preserve"> — read tag and state for the request’s set on port A.</w:t>
      </w:r>
    </w:p>
    <w:p>
      <w:pPr>
        <w:pStyle w:val="Compact"/>
        <w:numPr>
          <w:ilvl w:val="0"/>
          <w:numId w:val="144"/>
        </w:numPr>
        <w:rPr/>
      </w:pPr>
      <w:r>
        <w:rPr>
          <w:b/>
          <w:bCs/>
        </w:rPr>
        <w:t>Hit service</w:t>
      </w:r>
      <w:r>
        <w:rPr/>
        <w:t xml:space="preserve"> — read or write the data array and return the response.</w:t>
      </w:r>
    </w:p>
    <w:p>
      <w:pPr>
        <w:pStyle w:val="Compact"/>
        <w:numPr>
          <w:ilvl w:val="0"/>
          <w:numId w:val="145"/>
        </w:numPr>
        <w:rPr/>
      </w:pPr>
      <w:r>
        <w:rPr>
          <w:b/>
          <w:bCs/>
        </w:rPr>
        <w:t>Miss resolution</w:t>
      </w:r>
      <w:r>
        <w:rPr/>
        <w:t xml:space="preserve"> — on a miss, ask </w:t>
      </w:r>
      <w:r>
        <w:rPr>
          <w:rStyle w:val="VerbatimChar"/>
        </w:rPr>
        <w:t>amber_repl</w:t>
      </w:r>
      <w:r>
        <w:rPr/>
        <w:t xml:space="preserve"> for a victim way.</w:t>
      </w:r>
    </w:p>
    <w:p>
      <w:pPr>
        <w:pStyle w:val="Compact"/>
        <w:numPr>
          <w:ilvl w:val="0"/>
          <w:numId w:val="146"/>
        </w:numPr>
        <w:rPr/>
      </w:pPr>
      <w:r>
        <w:rPr>
          <w:b/>
          <w:bCs/>
        </w:rPr>
        <w:t>Victim drain</w:t>
      </w:r>
      <w:r>
        <w:rPr/>
        <w:t xml:space="preserve"> — if the victim is dirty, stage it in </w:t>
      </w:r>
      <w:r>
        <w:rPr>
          <w:rStyle w:val="VerbatimChar"/>
        </w:rPr>
        <w:t>amber_victim</w:t>
      </w:r>
      <w:r>
        <w:rPr/>
        <w:t xml:space="preserve"> and hand it to </w:t>
      </w:r>
      <w:r>
        <w:rPr>
          <w:rStyle w:val="VerbatimChar"/>
        </w:rPr>
        <w:t>amber_drain</w:t>
      </w:r>
      <w:r>
        <w:rPr/>
        <w:t>.</w:t>
      </w:r>
    </w:p>
    <w:p>
      <w:pPr>
        <w:pStyle w:val="Compact"/>
        <w:numPr>
          <w:ilvl w:val="0"/>
          <w:numId w:val="147"/>
        </w:numPr>
        <w:rPr/>
      </w:pPr>
      <w:r>
        <w:rPr>
          <w:b/>
          <w:bCs/>
        </w:rPr>
        <w:t>Fill request</w:t>
      </w:r>
      <w:r>
        <w:rPr/>
        <w:t xml:space="preserve"> — launch </w:t>
      </w:r>
      <w:r>
        <w:rPr>
          <w:rStyle w:val="VerbatimChar"/>
        </w:rPr>
        <w:t>amber_fill</w:t>
      </w:r>
      <w:r>
        <w:rPr/>
        <w:t xml:space="preserve"> for a whole-line burst.</w:t>
      </w:r>
    </w:p>
    <w:p>
      <w:pPr>
        <w:pStyle w:val="Compact"/>
        <w:numPr>
          <w:ilvl w:val="0"/>
          <w:numId w:val="148"/>
        </w:numPr>
        <w:rPr/>
      </w:pPr>
      <w:r>
        <w:rPr>
          <w:b/>
          <w:bCs/>
        </w:rPr>
        <w:t>Fill completion</w:t>
      </w:r>
      <w:r>
        <w:rPr/>
        <w:t xml:space="preserve"> — write data and install tag + MESI state.</w:t>
      </w:r>
    </w:p>
    <w:p>
      <w:pPr>
        <w:pStyle w:val="Compact"/>
        <w:numPr>
          <w:ilvl w:val="0"/>
          <w:numId w:val="149"/>
        </w:numPr>
        <w:rPr/>
      </w:pPr>
      <w:r>
        <w:rPr>
          <w:b/>
          <w:bCs/>
        </w:rPr>
        <w:t>Replay</w:t>
      </w:r>
      <w:r>
        <w:rPr/>
        <w:t xml:space="preserve"> — re-present the original request from the front-end latch; it now hits.</w:t>
      </w:r>
    </w:p>
    <w:p>
      <w:pPr>
        <w:pStyle w:val="FirstParagraph"/>
        <w:rPr/>
      </w:pPr>
      <w:bookmarkStart w:id="267" w:name="the-blocking-pipeline"/>
      <w:r>
        <w:rPr>
          <w:sz w:val="20"/>
        </w:rPr>
        <w:t>Because the pipeline is blocking, no new CPU request is accepted while a miss is in flight. That single-outstanding property is what makes the pending-fill bypass tractable.</w:t>
      </w:r>
      <w:bookmarkEnd w:id="267"/>
    </w:p>
    <w:p>
      <w:pPr>
        <w:pStyle w:val="Heading2"/>
        <w:pBdr>
          <w:bottom w:val="single" w:sz="12" w:space="0" w:color="228B22"/>
        </w:pBdr>
        <w:spacing w:before="280" w:after="80"/>
        <w:rPr/>
      </w:pPr>
      <w:bookmarkStart w:id="268" w:name="__RefHeading___Toc14914_888288119"/>
      <w:bookmarkStart w:id="269" w:name="pending-fill-bypass-register"/>
      <w:bookmarkEnd w:id="268"/>
      <w:r>
        <w:rPr>
          <w:rStyle w:val="SectionNumber"/>
          <w:b/>
          <w:color w:val="228B22"/>
          <w:sz w:val="28"/>
        </w:rPr>
        <w:t>15.2</w:t>
      </w:r>
      <w:r>
        <w:rPr>
          <w:b/>
          <w:color w:val="228B22"/>
          <w:sz w:val="28"/>
        </w:rPr>
        <w:tab/>
        <w:t>Pending-fill bypass register</w:t>
      </w:r>
    </w:p>
    <w:p>
      <w:pPr>
        <w:pStyle w:val="FirstParagraph"/>
        <w:rPr/>
      </w:pPr>
      <w:r>
        <w:rPr>
          <w:sz w:val="20"/>
        </w:rPr>
        <w:t xml:space="preserve">While a fill is outstanding, a snoop may arrive for the same line. </w:t>
      </w:r>
      <w:r>
        <w:rPr>
          <w:rStyle w:val="VerbatimChar"/>
          <w:sz w:val="20"/>
        </w:rPr>
        <w:t>amber_control</w:t>
      </w:r>
      <w:r>
        <w:rPr>
          <w:sz w:val="20"/>
        </w:rPr>
        <w:t xml:space="preserve"> keeps one pending-fill register holding </w:t>
      </w:r>
      <w:r>
        <w:rPr>
          <w:rStyle w:val="VerbatimChar"/>
          <w:sz w:val="20"/>
        </w:rPr>
        <w:t>{line_address, state_being_installed, data_available_mask}</w:t>
      </w:r>
      <w:r>
        <w:rPr>
          <w:sz w:val="20"/>
        </w:rPr>
        <w:t>. A snoop matching the pending line is answered from the register:</w:t>
      </w:r>
    </w:p>
    <w:p>
      <w:pPr>
        <w:pStyle w:val="Compact"/>
        <w:numPr>
          <w:ilvl w:val="0"/>
          <w:numId w:val="150"/>
        </w:numPr>
        <w:rPr/>
      </w:pPr>
      <w:r>
        <w:rPr>
          <w:rStyle w:val="VerbatimChar"/>
        </w:rPr>
        <w:t>CRRESP</w:t>
      </w:r>
      <w:r>
        <w:rPr/>
        <w:t xml:space="preserve"> reflects the post-fill state (e.g., Shared for a read-shared fill, Exclusive for a read-unique fill, Invalid for a line that will be invalidated by the requester’s MakeUnique).</w:t>
      </w:r>
    </w:p>
    <w:p>
      <w:pPr>
        <w:pStyle w:val="Compact"/>
        <w:numPr>
          <w:ilvl w:val="0"/>
          <w:numId w:val="151"/>
        </w:numPr>
        <w:rPr/>
      </w:pPr>
      <w:r>
        <w:rPr/>
        <w:t>Required CD beats are forwarded from the fill stream as the beats arrive, so the response is bounded both for hits and for misses.</w:t>
      </w:r>
    </w:p>
    <w:p>
      <w:pPr>
        <w:pStyle w:val="FirstParagraph"/>
        <w:rPr/>
      </w:pPr>
      <w:r>
        <w:rPr>
          <w:sz w:val="20"/>
        </w:rPr>
        <w:t xml:space="preserve">The correctness target is </w:t>
      </w:r>
      <w:r>
        <w:rPr>
          <w:i/>
          <w:iCs/>
          <w:sz w:val="20"/>
        </w:rPr>
        <w:t>state-accuracy</w:t>
      </w:r>
      <w:r>
        <w:rPr>
          <w:sz w:val="20"/>
        </w:rPr>
        <w:t>: a probe against a pending fill must observe exactly the post-fill state, never pre-fill. This is one of the SymbiYosys proof targets (D9).</w:t>
      </w:r>
      <w:bookmarkEnd w:id="269"/>
    </w:p>
    <w:p>
      <w:pPr>
        <w:pStyle w:val="Heading2"/>
        <w:pBdr>
          <w:bottom w:val="single" w:sz="12" w:space="0" w:color="228B22"/>
        </w:pBdr>
        <w:spacing w:before="280" w:after="80"/>
        <w:rPr/>
      </w:pPr>
      <w:bookmarkStart w:id="270" w:name="__RefHeading___Toc14916_888288119"/>
      <w:bookmarkStart w:id="271" w:name="fsm-oracle-derivation"/>
      <w:bookmarkEnd w:id="270"/>
      <w:r>
        <w:rPr>
          <w:rStyle w:val="SectionNumber"/>
          <w:b/>
          <w:color w:val="228B22"/>
          <w:sz w:val="28"/>
        </w:rPr>
        <w:t>15.3</w:t>
      </w:r>
      <w:r>
        <w:rPr>
          <w:b/>
          <w:color w:val="228B22"/>
          <w:sz w:val="28"/>
        </w:rPr>
        <w:tab/>
        <w:t>FSM oracle derivation</w:t>
      </w:r>
    </w:p>
    <w:p>
      <w:pPr>
        <w:pStyle w:val="FirstParagraph"/>
        <w:rPr/>
      </w:pPr>
      <w:r>
        <w:rPr>
          <w:sz w:val="20"/>
        </w:rPr>
        <w:t xml:space="preserve">The control FSM’s stable and transient states are derived from the gem5 Ruby </w:t>
      </w:r>
      <w:r>
        <w:rPr>
          <w:rStyle w:val="VerbatimChar"/>
          <w:sz w:val="20"/>
        </w:rPr>
        <w:t>MESI_Two_Level</w:t>
      </w:r>
      <w:r>
        <w:rPr>
          <w:sz w:val="20"/>
        </w:rPr>
        <w:t xml:space="preserve"> SLICC tables, specifically </w:t>
      </w:r>
      <w:r>
        <w:rPr>
          <w:rStyle w:val="VerbatimChar"/>
          <w:sz w:val="20"/>
        </w:rPr>
        <w:t>L1cache.sm</w:t>
      </w:r>
      <w:r>
        <w:rPr>
          <w:sz w:val="20"/>
        </w:rPr>
        <w:t xml:space="preserve"> (D9). The Python reference model and the formal oracles replay the same state transitions, so the protocol is cross-checked against an executable spec rather than prose. MOESI headroom is reserved in the encoding but the FSM v1.0 implements only M/E/S/I.</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2" w:name="Xf32316f96de6dabe53d0262cf30cbf1eb3d933e"/>
      <w:bookmarkStart w:id="273" w:name="fsm-oracle-derivation"/>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r>
        <w:br w:type="page"/>
      </w:r>
    </w:p>
    <w:p>
      <w:pPr>
        <w:pStyle w:val="Heading1"/>
        <w:shd w:val="clear" w:color="auto" w:fill="404040"/>
        <w:spacing w:before="360" w:after="120"/>
        <w:rPr/>
      </w:pPr>
      <w:bookmarkStart w:id="274" w:name="__RefHeading___Toc14918_888288119"/>
      <w:bookmarkStart w:id="275" w:name="coherence-fsm-and-the-snoop-responder"/>
      <w:bookmarkEnd w:id="274"/>
      <w:r>
        <w:rPr>
          <w:rStyle w:val="SectionNumber"/>
          <w:b/>
          <w:color w:val="FFFFFF"/>
          <w:sz w:val="32"/>
        </w:rPr>
        <w:t>16</w:t>
      </w:r>
      <w:r>
        <w:rPr>
          <w:b/>
          <w:color w:val="FFFFFF"/>
          <w:sz w:val="32"/>
        </w:rPr>
        <w:tab/>
        <w:t>Coherence FSM and the Snoop Responder</w:t>
      </w:r>
    </w:p>
    <w:p>
      <w:pPr>
        <w:pStyle w:val="Heading2"/>
        <w:pBdr>
          <w:bottom w:val="single" w:sz="12" w:space="0" w:color="228B22"/>
        </w:pBdr>
        <w:spacing w:before="280" w:after="80"/>
        <w:rPr/>
      </w:pPr>
      <w:bookmarkStart w:id="276" w:name="__RefHeading___Toc14920_888288119"/>
      <w:bookmarkStart w:id="277" w:name="mesi-state-handling"/>
      <w:bookmarkEnd w:id="276"/>
      <w:r>
        <w:rPr>
          <w:rStyle w:val="SectionNumber"/>
          <w:b/>
          <w:color w:val="228B22"/>
          <w:sz w:val="28"/>
        </w:rPr>
        <w:t>16.1</w:t>
      </w:r>
      <w:r>
        <w:rPr>
          <w:b/>
          <w:color w:val="228B22"/>
          <w:sz w:val="28"/>
        </w:rPr>
        <w:tab/>
        <w:t>MESI state handling</w:t>
      </w:r>
    </w:p>
    <w:p>
      <w:pPr>
        <w:pStyle w:val="FirstParagraph"/>
        <w:rPr/>
      </w:pPr>
      <w:r>
        <w:rPr>
          <w:sz w:val="20"/>
        </w:rPr>
        <w:t xml:space="preserve">Each tag entry carries a 3-bit state field. Only M/E/S/I are used in v1.0; the extra bit is reserved for MOESI O-state as a later elaboration upgrade (D6). State transitions follow the gem5 Ruby </w:t>
      </w:r>
      <w:r>
        <w:rPr>
          <w:rStyle w:val="VerbatimChar"/>
          <w:sz w:val="20"/>
        </w:rPr>
        <w:t>MESI_Two_Level</w:t>
      </w:r>
      <w:r>
        <w:rPr>
          <w:sz w:val="20"/>
        </w:rPr>
        <w:t xml:space="preserve"> SLICC tables and are cross-checked by the Python reference model and formal oracles (D9).</w:t>
      </w:r>
    </w:p>
    <w:p>
      <w:pPr>
        <w:pStyle w:val="TableCaption"/>
        <w:rPr/>
      </w:pPr>
      <w:bookmarkStart w:id="278" w:name="_Tab_7_Table_3_0__MESI_snoo"/>
      <w:r>
        <w:rPr/>
        <w:t xml:space="preserve">Table 3.0: MESI snoop CRRESP matrix — DT=DataTransfer, PD=PassDirty, IS=IsShared, WU=WasUnique. Snoop encodings are the six IHI0022 AC types; CleanUnique and MakeUnique are </w:t>
      </w:r>
      <w:r>
        <w:rPr>
          <w:i/>
          <w:iCs/>
        </w:rPr>
        <w:t>transactions a master issues</w:t>
      </w:r>
      <w:r>
        <w:rPr/>
        <w:t xml:space="preserve"> (the onyx D2 subset), not snoop encodings, so they do not appear here.</w:t>
      </w:r>
      <w:bookmarkEnd w:id="2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Snoop 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CRRESP (DT/PD/IS/WU/Err)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ReadUnique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Invalidate without data transfer (IHI0022 forbids DT here)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clean data,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0 / 1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clean data,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0 / 1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ReadUnique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clean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0 / 0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Already clean; no transfer, no change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1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keep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keep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ReadUnique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keep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miss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bl>
    <w:p>
      <w:pPr>
        <w:pStyle w:val="BodyText"/>
        <w:rPr/>
      </w:pPr>
      <w:r>
        <w:rPr>
          <w:sz w:val="20"/>
        </w:rPr>
        <w:t xml:space="preserve">This matrix is the amber MESI interpretation of the cocotb-framework 1.2.0 ACE BFM default handler, bit for bit — including the release-corrected </w:t>
      </w:r>
      <w:r>
        <w:rPr>
          <w:rStyle w:val="VerbatimChar"/>
          <w:sz w:val="20"/>
        </w:rPr>
        <w:t>MakeInvalid</w:t>
      </w:r>
      <w:r>
        <w:rPr>
          <w:sz w:val="20"/>
        </w:rPr>
        <w:t xml:space="preserve"> behavior on Modified/Owned lines (invalidate, no data transfer, IHI0022 forbids DataTransfer there). Where a textbook MESI next-state could be argued either way (e.g. </w:t>
      </w:r>
      <w:r>
        <w:rPr>
          <w:rStyle w:val="VerbatimChar"/>
          <w:sz w:val="20"/>
        </w:rPr>
        <w:t>Exclusive</w:t>
      </w:r>
      <w:r>
        <w:rPr>
          <w:sz w:val="20"/>
        </w:rPr>
        <w:t xml:space="preserve"> + CleanShared: already clean, so the line stays </w:t>
      </w:r>
      <w:r>
        <w:rPr>
          <w:rStyle w:val="VerbatimChar"/>
          <w:sz w:val="20"/>
        </w:rPr>
        <w:t>Exclusive</w:t>
      </w:r>
      <w:r>
        <w:rPr>
          <w:sz w:val="20"/>
        </w:rPr>
        <w:t xml:space="preserve"> while the response carries </w:t>
      </w:r>
      <w:r>
        <w:rPr>
          <w:rStyle w:val="VerbatimChar"/>
          <w:sz w:val="20"/>
        </w:rPr>
        <w:t>IsShared</w:t>
      </w:r>
      <w:r>
        <w:rPr>
          <w:sz w:val="20"/>
        </w:rPr>
        <w:t xml:space="preserve"> per the family matrix), amber follows the BFM response bits and the gem5 </w:t>
      </w:r>
      <w:r>
        <w:rPr>
          <w:rStyle w:val="VerbatimChar"/>
          <w:sz w:val="20"/>
        </w:rPr>
        <w:t>MESI_Two_Level</w:t>
      </w:r>
      <w:r>
        <w:rPr>
          <w:sz w:val="20"/>
        </w:rPr>
        <w:t xml:space="preserve"> transient-state tables for the transitions. The DV scoreboard checks every CRRESP against this table, and </w:t>
      </w:r>
      <w:r>
        <w:rPr>
          <w:rStyle w:val="VerbatimChar"/>
          <w:sz w:val="20"/>
        </w:rPr>
        <w:t>CRRESP.validate_for_snoop</w:t>
      </w:r>
      <w:r>
        <w:rPr>
          <w:sz w:val="20"/>
        </w:rPr>
        <w:t xml:space="preserve"> is the in-BFM guard for the same rules.</w:t>
      </w:r>
      <w:bookmarkEnd w:id="277"/>
    </w:p>
    <w:p>
      <w:pPr>
        <w:pStyle w:val="Heading2"/>
        <w:pBdr>
          <w:bottom w:val="single" w:sz="12" w:space="0" w:color="228B22"/>
        </w:pBdr>
        <w:spacing w:before="280" w:after="80"/>
        <w:rPr/>
      </w:pPr>
      <w:bookmarkStart w:id="279" w:name="__RefHeading___Toc14922_888288119"/>
      <w:bookmarkStart w:id="280" w:name="snoop-flow"/>
      <w:bookmarkEnd w:id="279"/>
      <w:r>
        <w:rPr>
          <w:rStyle w:val="SectionNumber"/>
          <w:b/>
          <w:color w:val="228B22"/>
          <w:sz w:val="28"/>
        </w:rPr>
        <w:t>16.2</w:t>
      </w:r>
      <w:r>
        <w:rPr>
          <w:b/>
          <w:color w:val="228B22"/>
          <w:sz w:val="28"/>
        </w:rPr>
        <w:tab/>
        <w:t>Snoop flow</w:t>
      </w:r>
    </w:p>
    <w:p>
      <w:pPr>
        <w:pStyle w:val="FirstParagraph"/>
        <w:rPr/>
      </w:pPr>
      <w:r>
        <w:rPr>
          <w:sz w:val="20"/>
        </w:rPr>
        <w:t xml:space="preserve">Figure 3.2 shows the probe path. The ACE adapter decouples ACE signaling from the cache core: inside </w:t>
      </w:r>
      <w:r>
        <w:rPr>
          <w:rStyle w:val="VerbatimChar"/>
          <w:sz w:val="20"/>
        </w:rPr>
        <w:t>amber_core</w:t>
      </w:r>
      <w:r>
        <w:rPr>
          <w:sz w:val="20"/>
        </w:rPr>
        <w:t xml:space="preserve"> the snoop is a bus-agnostic </w:t>
      </w:r>
      <w:r>
        <w:rPr>
          <w:rStyle w:val="VerbatimChar"/>
          <w:sz w:val="20"/>
        </w:rPr>
        <w:t>{address, type, response, data}</w:t>
      </w:r>
      <w:r>
        <w:rPr>
          <w:sz w:val="20"/>
        </w:rPr>
        <w:t xml:space="preserve"> transaction; only </w:t>
      </w:r>
      <w:r>
        <w:rPr>
          <w:rStyle w:val="VerbatimChar"/>
          <w:sz w:val="20"/>
        </w:rPr>
        <w:t>amber_snoop_resp</w:t>
      </w:r>
      <w:r>
        <w:rPr>
          <w:sz w:val="20"/>
        </w:rPr>
        <w:t xml:space="preserve"> speaks ACE.</w:t>
      </w:r>
    </w:p>
    <w:p>
      <w:pPr>
        <w:pStyle w:val="CaptionedFigure"/>
        <w:rPr/>
      </w:pPr>
      <w:r>
        <w:rPr/>
        <w:drawing>
          <wp:inline distT="0" distB="0" distL="0" distR="0">
            <wp:extent cx="5334000" cy="3483610"/>
            <wp:effectExtent l="0" t="0" r="0" b="0"/>
            <wp:docPr id="90" name="Image3"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 descr="Diagram 3"/>
                    <pic:cNvPicPr>
                      <a:picLocks noChangeAspect="1" noChangeArrowheads="1"/>
                    </pic:cNvPicPr>
                  </pic:nvPicPr>
                  <pic:blipFill>
                    <a:blip r:embed="rId60"/>
                    <a:stretch>
                      <a:fillRect/>
                    </a:stretch>
                  </pic:blipFill>
                  <pic:spPr bwMode="auto">
                    <a:xfrm>
                      <a:off x="0" y="0"/>
                      <a:ext cx="5334000" cy="3483610"/>
                    </a:xfrm>
                    <a:prstGeom prst="rect">
                      <a:avLst/>
                    </a:prstGeom>
                  </pic:spPr>
                </pic:pic>
              </a:graphicData>
            </a:graphic>
          </wp:inline>
        </w:drawing>
      </w:r>
    </w:p>
    <w:p>
      <w:pPr>
        <w:pStyle w:val="ImageCaption"/>
        <w:rPr/>
      </w:pPr>
      <w:r>
        <w:rPr/>
        <w:t>Diagram 3</w:t>
      </w:r>
    </w:p>
    <w:p>
      <w:pPr>
        <w:pStyle w:val="BodyText"/>
        <w:rPr/>
      </w:pPr>
      <w:r>
        <w:rPr>
          <w:b/>
          <w:bCs/>
          <w:sz w:val="20"/>
        </w:rPr>
        <w:t>Source:</w:t>
      </w:r>
      <w:r>
        <w:rPr>
          <w:sz w:val="20"/>
        </w:rPr>
        <w:t xml:space="preserve"> </w:t>
      </w:r>
      <w:hyperlink r:id="rId61">
        <w:r>
          <w:rPr>
            <w:rStyle w:val="Hyperlink"/>
          </w:rPr>
          <w:t>03_snoop_flow.mmd</w:t>
        </w:r>
      </w:hyperlink>
      <w:r>
        <w:rPr>
          <w:sz w:val="20"/>
        </w:rPr>
        <w:t xml:space="preserve"> — the fence above mirrors it.</w:t>
      </w:r>
      <w:bookmarkEnd w:id="280"/>
    </w:p>
    <w:p>
      <w:pPr>
        <w:pStyle w:val="Heading2"/>
        <w:pBdr>
          <w:bottom w:val="single" w:sz="12" w:space="0" w:color="228B22"/>
        </w:pBdr>
        <w:spacing w:before="280" w:after="80"/>
        <w:rPr/>
      </w:pPr>
      <w:bookmarkStart w:id="281" w:name="__RefHeading___Toc14924_888288119"/>
      <w:bookmarkStart w:id="282" w:name="ordering-convention"/>
      <w:bookmarkEnd w:id="281"/>
      <w:r>
        <w:rPr>
          <w:rStyle w:val="SectionNumber"/>
          <w:b/>
          <w:color w:val="228B22"/>
          <w:sz w:val="28"/>
        </w:rPr>
        <w:t>16.3</w:t>
      </w:r>
      <w:r>
        <w:rPr>
          <w:b/>
          <w:color w:val="228B22"/>
          <w:sz w:val="28"/>
        </w:rPr>
        <w:tab/>
        <w:t>Ordering convention</w:t>
      </w:r>
    </w:p>
    <w:p>
      <w:pPr>
        <w:pStyle w:val="FirstParagraph"/>
        <w:rPr/>
      </w:pPr>
      <w:r>
        <w:rPr>
          <w:sz w:val="20"/>
        </w:rPr>
        <w:t>amber’s adapter completes a transaction’s CD beats before asserting its CR. That is not amber being stricter than the protocol — IHI0022 requires the snoop response only after the final CD beat, and the cocotb-framework 1.2.0 compliance checker (</w:t>
      </w:r>
      <w:r>
        <w:rPr>
          <w:rStyle w:val="VerbatimChar"/>
          <w:sz w:val="20"/>
        </w:rPr>
        <w:t>check_cr_order</w:t>
      </w:r>
      <w:r>
        <w:rPr>
          <w:sz w:val="20"/>
        </w:rPr>
        <w:t xml:space="preserve"> / </w:t>
      </w:r>
      <w:r>
        <w:rPr>
          <w:rStyle w:val="VerbatimChar"/>
          <w:sz w:val="20"/>
        </w:rPr>
        <w:t>check_cd_order</w:t>
      </w:r>
      <w:r>
        <w:rPr>
          <w:sz w:val="20"/>
        </w:rPr>
        <w:t>) enforces exactly this on every gather. The convention matches the family decision recorded with onyx D4 and keeps the gather logic simple to verify.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3" w:name="coherence-fsm-and-the-snoop-responder"/>
      <w:bookmarkStart w:id="284" w:name="ordering-convention"/>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
      <w:bookmarkEnd w:id="284"/>
      <w:r>
        <w:br w:type="page"/>
      </w:r>
    </w:p>
    <w:p>
      <w:pPr>
        <w:pStyle w:val="Heading1"/>
        <w:shd w:val="clear" w:color="auto" w:fill="404040"/>
        <w:spacing w:before="360" w:after="120"/>
        <w:rPr/>
      </w:pPr>
      <w:bookmarkStart w:id="285" w:name="__RefHeading___Toc14926_888288119"/>
      <w:bookmarkStart w:id="286" w:name="arbitration-and-the-victim-bypass"/>
      <w:bookmarkEnd w:id="285"/>
      <w:r>
        <w:rPr>
          <w:rStyle w:val="SectionNumber"/>
          <w:b/>
          <w:color w:val="FFFFFF"/>
          <w:sz w:val="32"/>
        </w:rPr>
        <w:t>17</w:t>
      </w:r>
      <w:r>
        <w:rPr>
          <w:b/>
          <w:color w:val="FFFFFF"/>
          <w:sz w:val="32"/>
        </w:rPr>
        <w:tab/>
        <w:t>Arbitration and the Victim Bypass</w:t>
      </w:r>
    </w:p>
    <w:p>
      <w:pPr>
        <w:pStyle w:val="Heading2"/>
        <w:pBdr>
          <w:bottom w:val="single" w:sz="12" w:space="0" w:color="228B22"/>
        </w:pBdr>
        <w:spacing w:before="280" w:after="80"/>
        <w:rPr/>
      </w:pPr>
      <w:bookmarkStart w:id="287" w:name="__RefHeading___Toc14928_888288119"/>
      <w:bookmarkStart w:id="288" w:name="dual-port-array-arbitration"/>
      <w:bookmarkEnd w:id="287"/>
      <w:r>
        <w:rPr>
          <w:rStyle w:val="SectionNumber"/>
          <w:b/>
          <w:color w:val="228B22"/>
          <w:sz w:val="28"/>
        </w:rPr>
        <w:t>17.1</w:t>
      </w:r>
      <w:r>
        <w:rPr>
          <w:b/>
          <w:color w:val="228B22"/>
          <w:sz w:val="28"/>
        </w:rPr>
        <w:tab/>
        <w:t>Dual-port array arbitration</w:t>
      </w:r>
    </w:p>
    <w:p>
      <w:pPr>
        <w:pStyle w:val="FirstParagraph"/>
        <w:rPr/>
      </w:pPr>
      <w:r>
        <w:rPr>
          <w:rStyle w:val="VerbatimChar"/>
          <w:sz w:val="20"/>
        </w:rPr>
        <w:t>amber_tag_array</w:t>
      </w:r>
      <w:r>
        <w:rPr>
          <w:sz w:val="20"/>
        </w:rPr>
        <w:t xml:space="preserve"> and </w:t>
      </w:r>
      <w:r>
        <w:rPr>
          <w:rStyle w:val="VerbatimChar"/>
          <w:sz w:val="20"/>
        </w:rPr>
        <w:t>amber_data_array</w:t>
      </w:r>
      <w:r>
        <w:rPr>
          <w:sz w:val="20"/>
        </w:rPr>
        <w:t xml:space="preserve"> are dual-port </w:t>
      </w:r>
      <w:r>
        <w:rPr>
          <w:rStyle w:val="VerbatimChar"/>
          <w:sz w:val="20"/>
        </w:rPr>
        <w:t>sdpram_core</w:t>
      </w:r>
      <w:r>
        <w:rPr>
          <w:sz w:val="20"/>
        </w:rPr>
        <w:t xml:space="preserve"> instances:</w:t>
      </w:r>
    </w:p>
    <w:p>
      <w:pPr>
        <w:pStyle w:val="Compact"/>
        <w:numPr>
          <w:ilvl w:val="0"/>
          <w:numId w:val="152"/>
        </w:numPr>
        <w:rPr/>
      </w:pPr>
      <w:r>
        <w:rPr>
          <w:b/>
          <w:bCs/>
        </w:rPr>
        <w:t>Port A</w:t>
      </w:r>
      <w:r>
        <w:rPr/>
        <w:t xml:space="preserve"> serves CPU lookups, fill writes, and replay reads.</w:t>
      </w:r>
    </w:p>
    <w:p>
      <w:pPr>
        <w:pStyle w:val="Compact"/>
        <w:numPr>
          <w:ilvl w:val="0"/>
          <w:numId w:val="153"/>
        </w:numPr>
        <w:rPr/>
      </w:pPr>
      <w:r>
        <w:rPr>
          <w:b/>
          <w:bCs/>
        </w:rPr>
        <w:t>Port B</w:t>
      </w:r>
      <w:r>
        <w:rPr/>
        <w:t xml:space="preserve"> serves snoop lookups and snoop data readout.</w:t>
      </w:r>
    </w:p>
    <w:p>
      <w:pPr>
        <w:pStyle w:val="FirstParagraph"/>
        <w:rPr/>
      </w:pPr>
      <w:r>
        <w:rPr>
          <w:sz w:val="20"/>
        </w:rPr>
        <w:t xml:space="preserve">The arrays themselves need no arbitration in the common case because CPU and snoop use separate ports. The arbitration problem is at the control level: the miss FSM and the snoop FSM may both need to advance tag state or start a fill/drain in the same cycle. </w:t>
      </w:r>
      <w:r>
        <w:rPr>
          <w:rStyle w:val="VerbatimChar"/>
          <w:sz w:val="20"/>
        </w:rPr>
        <w:t>amber_control</w:t>
      </w:r>
      <w:r>
        <w:rPr>
          <w:sz w:val="20"/>
        </w:rPr>
        <w:t xml:space="preserve"> resolves this with snoop-priority round-robin: a snoop is never starved, and a CPU miss waits a bounded number of cycles.</w:t>
      </w:r>
      <w:bookmarkEnd w:id="288"/>
    </w:p>
    <w:p>
      <w:pPr>
        <w:pStyle w:val="Heading2"/>
        <w:pBdr>
          <w:bottom w:val="single" w:sz="12" w:space="0" w:color="228B22"/>
        </w:pBdr>
        <w:spacing w:before="280" w:after="80"/>
        <w:rPr/>
      </w:pPr>
      <w:bookmarkStart w:id="289" w:name="__RefHeading___Toc14930_888288119"/>
      <w:bookmarkStart w:id="290" w:name="victim-bypass"/>
      <w:bookmarkEnd w:id="289"/>
      <w:r>
        <w:rPr>
          <w:rStyle w:val="SectionNumber"/>
          <w:b/>
          <w:color w:val="228B22"/>
          <w:sz w:val="28"/>
        </w:rPr>
        <w:t>17.2</w:t>
      </w:r>
      <w:r>
        <w:rPr>
          <w:b/>
          <w:color w:val="228B22"/>
          <w:sz w:val="28"/>
        </w:rPr>
        <w:tab/>
        <w:t>Victim bypass</w:t>
      </w:r>
    </w:p>
    <w:p>
      <w:pPr>
        <w:pStyle w:val="FirstParagraph"/>
        <w:rPr/>
      </w:pPr>
      <w:r>
        <w:rPr>
          <w:rStyle w:val="VerbatimChar"/>
          <w:sz w:val="20"/>
        </w:rPr>
        <w:t>amber_victim</w:t>
      </w:r>
      <w:r>
        <w:rPr>
          <w:sz w:val="20"/>
        </w:rPr>
        <w:t xml:space="preserve"> is a depth-1 buffer. When a miss evicts a dirty line, the line is staged while the fill is outstanding. If a snoop arrives for that victim line before the drain completes, the buffer can supply the data without re-reading the array. This is the victim bypass. It is shallow by design: depth 1 matches the single-outstanding miss model and keeps the formal surface small.</w:t>
      </w:r>
      <w:bookmarkEnd w:id="290"/>
    </w:p>
    <w:p>
      <w:pPr>
        <w:pStyle w:val="Heading2"/>
        <w:pBdr>
          <w:bottom w:val="single" w:sz="12" w:space="0" w:color="228B22"/>
        </w:pBdr>
        <w:spacing w:before="280" w:after="80"/>
        <w:rPr/>
      </w:pPr>
      <w:bookmarkStart w:id="291" w:name="__RefHeading___Toc14932_888288119"/>
      <w:bookmarkStart w:id="292" w:name="liveness-target"/>
      <w:bookmarkEnd w:id="291"/>
      <w:r>
        <w:rPr>
          <w:rStyle w:val="SectionNumber"/>
          <w:b/>
          <w:color w:val="228B22"/>
          <w:sz w:val="28"/>
        </w:rPr>
        <w:t>17.3</w:t>
      </w:r>
      <w:r>
        <w:rPr>
          <w:b/>
          <w:color w:val="228B22"/>
          <w:sz w:val="28"/>
        </w:rPr>
        <w:tab/>
        <w:t>Liveness target</w:t>
      </w:r>
    </w:p>
    <w:p>
      <w:pPr>
        <w:pStyle w:val="FirstParagraph"/>
        <w:rPr/>
      </w:pPr>
      <w:r>
        <w:rPr>
          <w:sz w:val="20"/>
        </w:rPr>
        <w:t xml:space="preserve">Under fair arbitration, neither snoops nor CPU misses can deadlock. The SymbiYosys proof set (D9) includes a no-deadlock / no-livelock target scoped to </w:t>
      </w:r>
      <w:r>
        <w:rPr>
          <w:rStyle w:val="VerbatimChar"/>
          <w:sz w:val="20"/>
        </w:rPr>
        <w:t>amber_control</w:t>
      </w:r>
      <w:r>
        <w:rPr>
          <w:sz w:val="20"/>
        </w:rPr>
        <w:t xml:space="preserve">, </w:t>
      </w:r>
      <w:r>
        <w:rPr>
          <w:rStyle w:val="VerbatimChar"/>
          <w:sz w:val="20"/>
        </w:rPr>
        <w:t>amber_snoop_resp</w:t>
      </w:r>
      <w:r>
        <w:rPr>
          <w:sz w:val="20"/>
        </w:rPr>
        <w:t>, the pending-fill bypass, and the victim handoff, proven at the tiny 16-set / 2-way geometry.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3" w:name="arbitration-and-the-victim-bypass"/>
      <w:bookmarkStart w:id="294" w:name="liveness-target"/>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3"/>
      <w:bookmarkEnd w:id="294"/>
      <w:r>
        <w:br w:type="page"/>
      </w:r>
    </w:p>
    <w:p>
      <w:pPr>
        <w:pStyle w:val="Heading1"/>
        <w:shd w:val="clear" w:color="auto" w:fill="404040"/>
        <w:spacing w:before="360" w:after="120"/>
        <w:rPr/>
      </w:pPr>
      <w:bookmarkStart w:id="295" w:name="__RefHeading___Toc14934_888288119"/>
      <w:bookmarkStart w:id="296" w:name="cpu-side-gaxi-slave"/>
      <w:bookmarkEnd w:id="295"/>
      <w:r>
        <w:rPr>
          <w:rStyle w:val="SectionNumber"/>
          <w:b/>
          <w:color w:val="FFFFFF"/>
          <w:sz w:val="32"/>
        </w:rPr>
        <w:t>18</w:t>
      </w:r>
      <w:r>
        <w:rPr>
          <w:b/>
          <w:color w:val="FFFFFF"/>
          <w:sz w:val="32"/>
        </w:rPr>
        <w:tab/>
        <w:t>CPU-Side GAXI Slave</w:t>
      </w:r>
    </w:p>
    <w:p>
      <w:pPr>
        <w:pStyle w:val="Heading2"/>
        <w:pBdr>
          <w:bottom w:val="single" w:sz="12" w:space="0" w:color="228B22"/>
        </w:pBdr>
        <w:spacing w:before="280" w:after="80"/>
        <w:rPr/>
      </w:pPr>
      <w:bookmarkStart w:id="297" w:name="__RefHeading___Toc14936_888288119"/>
      <w:bookmarkStart w:id="298" w:name="interface-decision"/>
      <w:bookmarkEnd w:id="297"/>
      <w:r>
        <w:rPr>
          <w:rStyle w:val="SectionNumber"/>
          <w:b/>
          <w:color w:val="228B22"/>
          <w:sz w:val="28"/>
        </w:rPr>
        <w:t>18.1</w:t>
      </w:r>
      <w:r>
        <w:rPr>
          <w:b/>
          <w:color w:val="228B22"/>
          <w:sz w:val="28"/>
        </w:rPr>
        <w:tab/>
        <w:t>Interface decision</w:t>
      </w:r>
    </w:p>
    <w:p>
      <w:pPr>
        <w:pStyle w:val="FirstParagraph"/>
        <w:rPr/>
      </w:pPr>
      <w:bookmarkStart w:id="299" w:name="interface-decision"/>
      <w:r>
        <w:rPr>
          <w:sz w:val="20"/>
        </w:rPr>
        <w:t>The CPU-side port is a GAXI slave (amber D2). We chose GAXI over a plain valid/ready native port and over an AXI4 slave because the house BFM/monitor coverage and skid/FIFO plumbing already exist, and STREAM can attach later without an adapter.</w:t>
      </w:r>
      <w:bookmarkEnd w:id="299"/>
    </w:p>
    <w:p>
      <w:pPr>
        <w:pStyle w:val="Heading2"/>
        <w:pBdr>
          <w:bottom w:val="single" w:sz="12" w:space="0" w:color="228B22"/>
        </w:pBdr>
        <w:spacing w:before="280" w:after="80"/>
        <w:rPr/>
      </w:pPr>
      <w:bookmarkStart w:id="300" w:name="__RefHeading___Toc14938_888288119"/>
      <w:bookmarkStart w:id="301" w:name="channel-structure"/>
      <w:bookmarkEnd w:id="300"/>
      <w:r>
        <w:rPr>
          <w:rStyle w:val="SectionNumber"/>
          <w:b/>
          <w:color w:val="228B22"/>
          <w:sz w:val="28"/>
        </w:rPr>
        <w:t>18.2</w:t>
      </w:r>
      <w:r>
        <w:rPr>
          <w:b/>
          <w:color w:val="228B22"/>
          <w:sz w:val="28"/>
        </w:rPr>
        <w:tab/>
        <w:t>Channel structure</w:t>
      </w:r>
    </w:p>
    <w:p>
      <w:pPr>
        <w:pStyle w:val="FirstParagraph"/>
        <w:rPr/>
      </w:pPr>
      <w:r>
        <w:rPr>
          <w:sz w:val="20"/>
        </w:rPr>
        <w:t xml:space="preserve">The CPU-side port is </w:t>
      </w:r>
      <w:r>
        <w:rPr>
          <w:b/>
          <w:bCs/>
          <w:sz w:val="20"/>
        </w:rPr>
        <w:t>two house-GAXI streams</w:t>
      </w:r>
      <w:r>
        <w:rPr>
          <w:sz w:val="20"/>
        </w:rPr>
        <w:t xml:space="preserve"> (amber D2) — the packed-payload valid/ready pattern of </w:t>
      </w:r>
      <w:r>
        <w:rPr>
          <w:rStyle w:val="VerbatimChar"/>
          <w:sz w:val="20"/>
        </w:rPr>
        <w:t>rtl/amba/gaxi/</w:t>
      </w:r>
      <w:r>
        <w:rPr>
          <w:sz w:val="20"/>
        </w:rPr>
        <w:t xml:space="preserve"> (</w:t>
      </w:r>
      <w:r>
        <w:rPr>
          <w:rStyle w:val="VerbatimChar"/>
          <w:sz w:val="20"/>
        </w:rPr>
        <w:t>gaxi_skid_buffer</w:t>
      </w:r>
      <w:r>
        <w:rPr>
          <w:sz w:val="20"/>
        </w:rPr>
        <w:t xml:space="preserve">, </w:t>
      </w:r>
      <w:r>
        <w:rPr>
          <w:rStyle w:val="VerbatimChar"/>
          <w:sz w:val="20"/>
        </w:rPr>
        <w:t>gaxi_fifo_sync</w:t>
      </w:r>
      <w:r>
        <w:rPr>
          <w:sz w:val="20"/>
        </w:rPr>
        <w:t xml:space="preserve">: </w:t>
      </w:r>
      <w:r>
        <w:rPr>
          <w:rStyle w:val="VerbatimChar"/>
          <w:sz w:val="20"/>
        </w:rPr>
        <w:t>wr_valid</w:t>
      </w:r>
      <w:r>
        <w:rPr>
          <w:sz w:val="20"/>
        </w:rPr>
        <w:t>/</w:t>
      </w:r>
      <w:r>
        <w:rPr>
          <w:rStyle w:val="VerbatimChar"/>
          <w:sz w:val="20"/>
        </w:rPr>
        <w:t>wr_ready</w:t>
      </w:r>
      <w:r>
        <w:rPr>
          <w:sz w:val="20"/>
        </w:rPr>
        <w:t>/</w:t>
      </w:r>
      <w:r>
        <w:rPr>
          <w:rStyle w:val="VerbatimChar"/>
          <w:sz w:val="20"/>
        </w:rPr>
        <w:t>wr_data</w:t>
      </w:r>
      <w:r>
        <w:rPr>
          <w:sz w:val="20"/>
        </w:rPr>
        <w:t xml:space="preserve"> in, </w:t>
      </w:r>
      <w:r>
        <w:rPr>
          <w:rStyle w:val="VerbatimChar"/>
          <w:sz w:val="20"/>
        </w:rPr>
        <w:t>rd_valid</w:t>
      </w:r>
      <w:r>
        <w:rPr>
          <w:sz w:val="20"/>
        </w:rPr>
        <w:t>/</w:t>
      </w:r>
      <w:r>
        <w:rPr>
          <w:rStyle w:val="VerbatimChar"/>
          <w:sz w:val="20"/>
        </w:rPr>
        <w:t>rd_ready</w:t>
      </w:r>
      <w:r>
        <w:rPr>
          <w:sz w:val="20"/>
        </w:rPr>
        <w:t>/</w:t>
      </w:r>
      <w:r>
        <w:rPr>
          <w:rStyle w:val="VerbatimChar"/>
          <w:sz w:val="20"/>
        </w:rPr>
        <w:t>rd_data</w:t>
      </w:r>
      <w:r>
        <w:rPr>
          <w:sz w:val="20"/>
        </w:rPr>
        <w:t xml:space="preserve"> out), which is exactly the house plumbing D2’s rationale points at. </w:t>
      </w:r>
      <w:r>
        <w:rPr>
          <w:rStyle w:val="VerbatimChar"/>
          <w:sz w:val="20"/>
        </w:rPr>
        <w:t>amber_cpu_frontend</w:t>
      </w:r>
      <w:r>
        <w:rPr>
          <w:sz w:val="20"/>
        </w:rPr>
        <w:t xml:space="preserve"> is the slave: it receives the request stream and drives the response stream.</w:t>
      </w:r>
    </w:p>
    <w:p>
      <w:pPr>
        <w:pStyle w:val="BodyText"/>
        <w:rPr/>
      </w:pPr>
      <w:r>
        <w:rPr>
          <w:sz w:val="20"/>
        </w:rPr>
        <w:t>Request stream (CPU → amber, slave input):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accepted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w:t>
            </w:r>
            <w:r>
              <w:rPr>
                <w:rStyle w:val="VerbatimChar"/>
                <w:rFonts w:eastAsia="Cambria" w:cs=""/>
                <w:kern w:val="0"/>
                <w:szCs w:val="24"/>
                <w:lang w:val="en-US" w:eastAsia="en-US" w:bidi="ar-SA"/>
              </w:rPr>
              <w:t>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wdata</w:t>
            </w:r>
            <w:r>
              <w:rPr>
                <w:rFonts w:eastAsia="Cambria" w:cs=""/>
                <w:kern w:val="0"/>
                <w:sz w:val="24"/>
                <w:szCs w:val="24"/>
                <w:lang w:val="en-US" w:eastAsia="en-US" w:bidi="ar-SA"/>
              </w:rPr>
              <w:t>}</w:t>
            </w:r>
          </w:p>
        </w:tc>
      </w:tr>
    </w:tbl>
    <w:p>
      <w:pPr>
        <w:pStyle w:val="BodyText"/>
        <w:rPr/>
      </w:pPr>
      <w:r>
        <w:rPr>
          <w:sz w:val="20"/>
        </w:rPr>
        <w:t>Response stream (amber → CPU, slave output):</w:t>
      </w:r>
    </w:p>
    <w:p>
      <w:pPr>
        <w:pStyle w:val="TableCaption"/>
        <w:rPr/>
      </w:pPr>
      <w:bookmarkStart w:id="302" w:name="_Tab_8_Table_4_0__CPU_side_"/>
      <w:r>
        <w:rPr/>
        <w:t>Table 4.0: CPU-side GAXI slave channels</w:t>
      </w:r>
      <w:bookmarkEnd w:id="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accepted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w:t>
            </w:r>
            <w:r>
              <w:rPr>
                <w:rStyle w:val="VerbatimChar"/>
                <w:rFonts w:eastAsia="Cambria" w:cs=""/>
                <w:kern w:val="0"/>
                <w:szCs w:val="24"/>
                <w:lang w:val="en-US" w:eastAsia="en-US" w:bidi="ar-SA"/>
              </w:rPr>
              <w:t>rdata</w:t>
            </w:r>
            <w:r>
              <w:rPr>
                <w:rFonts w:eastAsia="Cambria" w:cs=""/>
                <w:kern w:val="0"/>
                <w:sz w:val="24"/>
                <w:szCs w:val="24"/>
                <w:lang w:val="en-US" w:eastAsia="en-US" w:bidi="ar-SA"/>
              </w:rPr>
              <w:t>}</w:t>
            </w:r>
          </w:p>
        </w:tc>
      </w:tr>
    </w:tbl>
    <w:p>
      <w:pPr>
        <w:pStyle w:val="BodyText"/>
        <w:rPr/>
      </w:pPr>
      <w:r>
        <w:rPr>
          <w:sz w:val="20"/>
        </w:rPr>
        <w:t>Field packing follows the house field-width convention the AMBA wrappers use (</w:t>
      </w:r>
      <w:r>
        <w:rPr>
          <w:rStyle w:val="VerbatimChar"/>
          <w:sz w:val="20"/>
        </w:rPr>
        <w:t>CPU_REQ_W = ADDR_WIDTH + 1 + BUS_WIDTH/8 + BUS_WIDTH</w:t>
      </w:r>
      <w:r>
        <w:rPr>
          <w:sz w:val="20"/>
        </w:rPr>
        <w:t xml:space="preserve">, </w:t>
      </w:r>
      <w:r>
        <w:rPr>
          <w:rStyle w:val="VerbatimChar"/>
          <w:sz w:val="20"/>
        </w:rPr>
        <w:t>CPU_RSP_W = BUS_WIDTH</w:t>
      </w:r>
      <w:r>
        <w:rPr>
          <w:sz w:val="20"/>
        </w:rPr>
        <w:t>; the frontend’s field config fixes the bit ranges). If the CPU agent prefers named fields at the boundary, the flattened per-field view (</w:t>
      </w:r>
      <w:r>
        <w:rPr>
          <w:rStyle w:val="VerbatimChar"/>
          <w:sz w:val="20"/>
        </w:rPr>
        <w:t>fub_*</w:t>
      </w:r>
      <w:r>
        <w:rPr>
          <w:sz w:val="20"/>
        </w:rPr>
        <w:t>-style, the way the AMBA wrappers expose their FUB side) carries the same payload — the packed GAXI streams are the contract; naming is RTL bring-up detail.</w:t>
      </w:r>
    </w:p>
    <w:p>
      <w:pPr>
        <w:pStyle w:val="BodyText"/>
        <w:rPr/>
      </w:pPr>
      <w:r>
        <w:rPr>
          <w:sz w:val="20"/>
        </w:rPr>
        <w:t xml:space="preserve">The frontend latches the accepted request and holds it until </w:t>
      </w:r>
      <w:r>
        <w:rPr>
          <w:rStyle w:val="VerbatimChar"/>
          <w:sz w:val="20"/>
        </w:rPr>
        <w:t>amber_control</w:t>
      </w:r>
      <w:r>
        <w:rPr>
          <w:sz w:val="20"/>
        </w:rPr>
        <w:t xml:space="preserve"> returns the response. Because the cache is blocking, the response stream is naturally in-order and carries no ID tags. Write-allocate fills are read-modify-write sequences inside </w:t>
      </w:r>
      <w:r>
        <w:rPr>
          <w:rStyle w:val="VerbatimChar"/>
          <w:sz w:val="20"/>
        </w:rPr>
        <w:t>amber_control</w:t>
      </w:r>
      <w:r>
        <w:rPr>
          <w:sz w:val="20"/>
        </w:rPr>
        <w:t>; the GAXI slave itself sees only single-beat reads and writes.</w:t>
      </w:r>
      <w:bookmarkEnd w:id="301"/>
    </w:p>
    <w:p>
      <w:pPr>
        <w:pStyle w:val="Heading2"/>
        <w:pBdr>
          <w:bottom w:val="single" w:sz="12" w:space="0" w:color="228B22"/>
        </w:pBdr>
        <w:spacing w:before="280" w:after="80"/>
        <w:rPr/>
      </w:pPr>
      <w:bookmarkStart w:id="303" w:name="__RefHeading___Toc14940_888288119"/>
      <w:bookmarkStart w:id="304" w:name="no-register-block"/>
      <w:bookmarkEnd w:id="303"/>
      <w:r>
        <w:rPr>
          <w:rStyle w:val="SectionNumber"/>
          <w:b/>
          <w:color w:val="228B22"/>
          <w:sz w:val="28"/>
        </w:rPr>
        <w:t>18.3</w:t>
      </w:r>
      <w:r>
        <w:rPr>
          <w:b/>
          <w:color w:val="228B22"/>
          <w:sz w:val="28"/>
        </w:rPr>
        <w:tab/>
        <w:t>No register block</w:t>
      </w:r>
    </w:p>
    <w:p>
      <w:pPr>
        <w:pStyle w:val="FirstParagraph"/>
        <w:rPr/>
      </w:pPr>
      <w:r>
        <w:rPr>
          <w:sz w:val="20"/>
        </w:rPr>
        <w:t>amber is a parameter-only IP. There is no APB CSR or register block. All visibility — configuration, event counting, and debug — comes through the MonBus observation fabric (</w:t>
      </w:r>
      <w:r>
        <w:rPr>
          <w:rStyle w:val="VerbatimChar"/>
          <w:sz w:val="20"/>
        </w:rPr>
        <w:t>amber_monlite</w:t>
      </w:r>
      <w:r>
        <w:rPr>
          <w:sz w:val="20"/>
        </w:rPr>
        <w:t>). This is a deliberate decision, not an omission, and it keeps the CPU-side port the only software-visible surface.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5" w:name="cpu-side-gaxi-slave"/>
      <w:bookmarkStart w:id="306" w:name="no-register-block"/>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
      <w:bookmarkEnd w:id="306"/>
      <w:r>
        <w:br w:type="page"/>
      </w:r>
    </w:p>
    <w:p>
      <w:pPr>
        <w:pStyle w:val="Heading1"/>
        <w:shd w:val="clear" w:color="auto" w:fill="404040"/>
        <w:spacing w:before="360" w:after="120"/>
        <w:rPr/>
      </w:pPr>
      <w:bookmarkStart w:id="307" w:name="__RefHeading___Toc14942_888288119"/>
      <w:bookmarkStart w:id="308" w:name="fabric-side-axi4-masters"/>
      <w:bookmarkEnd w:id="307"/>
      <w:r>
        <w:rPr>
          <w:rStyle w:val="SectionNumber"/>
          <w:b/>
          <w:color w:val="FFFFFF"/>
          <w:sz w:val="32"/>
        </w:rPr>
        <w:t>19</w:t>
      </w:r>
      <w:r>
        <w:rPr>
          <w:b/>
          <w:color w:val="FFFFFF"/>
          <w:sz w:val="32"/>
        </w:rPr>
        <w:tab/>
        <w:t>Fabric-Side AXI4 Masters</w:t>
      </w:r>
    </w:p>
    <w:p>
      <w:pPr>
        <w:pStyle w:val="Heading2"/>
        <w:pBdr>
          <w:bottom w:val="single" w:sz="12" w:space="0" w:color="228B22"/>
        </w:pBdr>
        <w:spacing w:before="280" w:after="80"/>
        <w:rPr/>
      </w:pPr>
      <w:bookmarkStart w:id="309" w:name="__RefHeading___Toc14944_888288119"/>
      <w:bookmarkStart w:id="310" w:name="where-they-live"/>
      <w:bookmarkEnd w:id="309"/>
      <w:r>
        <w:rPr>
          <w:rStyle w:val="SectionNumber"/>
          <w:b/>
          <w:color w:val="228B22"/>
          <w:sz w:val="28"/>
        </w:rPr>
        <w:t>19.1</w:t>
      </w:r>
      <w:r>
        <w:rPr>
          <w:b/>
          <w:color w:val="228B22"/>
          <w:sz w:val="28"/>
        </w:rPr>
        <w:tab/>
        <w:t>Where they live</w:t>
      </w:r>
    </w:p>
    <w:p>
      <w:pPr>
        <w:pStyle w:val="FirstParagraph"/>
        <w:rPr/>
      </w:pPr>
      <w:r>
        <w:rPr>
          <w:sz w:val="20"/>
        </w:rPr>
        <w:t xml:space="preserve">The </w:t>
      </w:r>
      <w:r>
        <w:rPr>
          <w:rStyle w:val="VerbatimChar"/>
          <w:sz w:val="20"/>
        </w:rPr>
        <w:t>amber</w:t>
      </w:r>
      <w:r>
        <w:rPr>
          <w:sz w:val="20"/>
        </w:rPr>
        <w:t xml:space="preserve"> top uses the house </w:t>
      </w:r>
      <w:r>
        <w:rPr>
          <w:rStyle w:val="VerbatimChar"/>
          <w:sz w:val="20"/>
        </w:rPr>
        <w:t>axi4_master_rd</w:t>
      </w:r>
      <w:r>
        <w:rPr>
          <w:sz w:val="20"/>
        </w:rPr>
        <w:t xml:space="preserve"> and </w:t>
      </w:r>
      <w:r>
        <w:rPr>
          <w:rStyle w:val="VerbatimChar"/>
          <w:sz w:val="20"/>
        </w:rPr>
        <w:t>axi4_master_wr</w:t>
      </w:r>
      <w:r>
        <w:rPr>
          <w:sz w:val="20"/>
        </w:rPr>
        <w:t xml:space="preserve"> wrappers for plain AXI4 memory access. These masters are functionally AXI4; they carry no ACE fields and no snoop channels. Fill requests become AR bursts; dirty victim drains become AW/W/B bursts.</w:t>
      </w:r>
      <w:bookmarkEnd w:id="310"/>
    </w:p>
    <w:p>
      <w:pPr>
        <w:pStyle w:val="Heading2"/>
        <w:pBdr>
          <w:bottom w:val="single" w:sz="12" w:space="0" w:color="228B22"/>
        </w:pBdr>
        <w:spacing w:before="280" w:after="80"/>
        <w:rPr/>
      </w:pPr>
      <w:bookmarkStart w:id="311" w:name="__RefHeading___Toc14946_888288119"/>
      <w:bookmarkStart w:id="312" w:name="burst-behavior"/>
      <w:bookmarkEnd w:id="311"/>
      <w:r>
        <w:rPr>
          <w:rStyle w:val="SectionNumber"/>
          <w:b/>
          <w:color w:val="228B22"/>
          <w:sz w:val="28"/>
        </w:rPr>
        <w:t>19.2</w:t>
      </w:r>
      <w:r>
        <w:rPr>
          <w:b/>
          <w:color w:val="228B22"/>
          <w:sz w:val="28"/>
        </w:rPr>
        <w:tab/>
        <w:t>Burst behavior</w:t>
      </w:r>
    </w:p>
    <w:p>
      <w:pPr>
        <w:pStyle w:val="FirstParagraph"/>
        <w:rPr/>
      </w:pPr>
      <w:r>
        <w:rPr>
          <w:sz w:val="20"/>
        </w:rPr>
        <w:t xml:space="preserve">amber issues whole-line fills and whole-line drains. The burst length is </w:t>
      </w:r>
      <w:r>
        <w:rPr>
          <w:rStyle w:val="VerbatimChar"/>
          <w:sz w:val="20"/>
        </w:rPr>
        <w:t>LINE_BYTES / (BUS_WIDTH/8)</w:t>
      </w:r>
      <w:r>
        <w:rPr>
          <w:sz w:val="20"/>
        </w:rPr>
        <w:t xml:space="preserve"> beats. The address is aligned to the line size; </w:t>
      </w:r>
      <w:r>
        <w:rPr>
          <w:rStyle w:val="VerbatimChar"/>
          <w:sz w:val="20"/>
        </w:rPr>
        <w:t>ARSIZE</w:t>
      </w:r>
      <w:r>
        <w:rPr>
          <w:sz w:val="20"/>
        </w:rPr>
        <w:t xml:space="preserve"> and </w:t>
      </w:r>
      <w:r>
        <w:rPr>
          <w:rStyle w:val="VerbatimChar"/>
          <w:sz w:val="20"/>
        </w:rPr>
        <w:t>AWSIZE</w:t>
      </w:r>
      <w:r>
        <w:rPr>
          <w:sz w:val="20"/>
        </w:rPr>
        <w:t xml:space="preserve"> are derived from </w:t>
      </w:r>
      <w:r>
        <w:rPr>
          <w:rStyle w:val="VerbatimChar"/>
          <w:sz w:val="20"/>
        </w:rPr>
        <w:t>BUS_WIDTH</w:t>
      </w:r>
      <w:r>
        <w:rPr>
          <w:sz w:val="20"/>
        </w:rPr>
        <w:t xml:space="preserve">; </w:t>
      </w:r>
      <w:r>
        <w:rPr>
          <w:rStyle w:val="VerbatimChar"/>
          <w:sz w:val="20"/>
        </w:rPr>
        <w:t>ARBURST</w:t>
      </w:r>
      <w:r>
        <w:rPr>
          <w:sz w:val="20"/>
        </w:rPr>
        <w:t>/</w:t>
      </w:r>
      <w:r>
        <w:rPr>
          <w:rStyle w:val="VerbatimChar"/>
          <w:sz w:val="20"/>
        </w:rPr>
        <w:t>AWBURST</w:t>
      </w:r>
      <w:r>
        <w:rPr>
          <w:sz w:val="20"/>
        </w:rPr>
        <w:t xml:space="preserve"> are </w:t>
      </w:r>
      <w:r>
        <w:rPr>
          <w:rStyle w:val="VerbatimChar"/>
          <w:sz w:val="20"/>
        </w:rPr>
        <w:t>INCR</w:t>
      </w:r>
      <w:r>
        <w:rPr>
          <w:sz w:val="20"/>
        </w:rPr>
        <w:t>. Single-outstanding operation means there is one AR transaction and one AW transaction in flight at any time, so no reorder buffer is needed.</w:t>
      </w:r>
      <w:bookmarkEnd w:id="312"/>
    </w:p>
    <w:p>
      <w:pPr>
        <w:pStyle w:val="Heading2"/>
        <w:pBdr>
          <w:bottom w:val="single" w:sz="12" w:space="0" w:color="228B22"/>
        </w:pBdr>
        <w:spacing w:before="280" w:after="80"/>
        <w:rPr/>
      </w:pPr>
      <w:bookmarkStart w:id="313" w:name="__RefHeading___Toc14948_888288119"/>
      <w:bookmarkStart w:id="314" w:name="port-summary"/>
      <w:bookmarkEnd w:id="313"/>
      <w:r>
        <w:rPr>
          <w:rStyle w:val="SectionNumber"/>
          <w:b/>
          <w:color w:val="228B22"/>
          <w:sz w:val="28"/>
        </w:rPr>
        <w:t>19.3</w:t>
      </w:r>
      <w:r>
        <w:rPr>
          <w:b/>
          <w:color w:val="228B22"/>
          <w:sz w:val="28"/>
        </w:rPr>
        <w:tab/>
        <w:t>Port summary</w:t>
      </w:r>
    </w:p>
    <w:p>
      <w:pPr>
        <w:pStyle w:val="FirstParagraph"/>
        <w:rPr/>
      </w:pPr>
      <w:r>
        <w:rPr>
          <w:sz w:val="20"/>
        </w:rPr>
        <w:t>The plain AXI4 master stack exposes the standard five AXI4 channels toward memory:</w:t>
      </w:r>
    </w:p>
    <w:p>
      <w:pPr>
        <w:pStyle w:val="TableCaption"/>
        <w:rPr/>
      </w:pPr>
      <w:bookmarkStart w:id="315" w:name="_Tab_9_Table_4_1__Plain_AXI"/>
      <w:r>
        <w:rPr/>
        <w:t>Table 4.1: Plain AXI4 channels in the pair rig</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amber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for fill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for fill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for dirty victim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for dirty victim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for dirty victim drain</w:t>
            </w:r>
          </w:p>
        </w:tc>
      </w:tr>
    </w:tbl>
    <w:p>
      <w:pPr>
        <w:pStyle w:val="BodyText"/>
        <w:rPr/>
      </w:pPr>
      <w:r>
        <w:rPr>
          <w:sz w:val="20"/>
        </w:rPr>
        <w:t xml:space="preserve">The exact pin names and widths follow the </w:t>
      </w:r>
      <w:r>
        <w:rPr>
          <w:rStyle w:val="VerbatimChar"/>
          <w:sz w:val="20"/>
        </w:rPr>
        <w:t>axi4_master_rd</w:t>
      </w:r>
      <w:r>
        <w:rPr>
          <w:sz w:val="20"/>
        </w:rPr>
        <w:t xml:space="preserve"> and </w:t>
      </w:r>
      <w:r>
        <w:rPr>
          <w:rStyle w:val="VerbatimChar"/>
          <w:sz w:val="20"/>
        </w:rPr>
        <w:t>axi4_master_wr</w:t>
      </w:r>
      <w:r>
        <w:rPr>
          <w:sz w:val="20"/>
        </w:rPr>
        <w:t xml:space="preserve"> module parameters. The cache supplies address, length, size, and burst type; ID and user fields pass through or are tied to defaults configurable at the top.</w:t>
      </w:r>
      <w:bookmarkEnd w:id="314"/>
    </w:p>
    <w:p>
      <w:pPr>
        <w:pStyle w:val="Heading2"/>
        <w:pBdr>
          <w:bottom w:val="single" w:sz="12" w:space="0" w:color="228B22"/>
        </w:pBdr>
        <w:spacing w:before="280" w:after="80"/>
        <w:rPr/>
      </w:pPr>
      <w:bookmarkStart w:id="316" w:name="__RefHeading___Toc14950_888288119"/>
      <w:bookmarkStart w:id="317" w:name="open-point-d3"/>
      <w:bookmarkEnd w:id="316"/>
      <w:r>
        <w:rPr>
          <w:rStyle w:val="SectionNumber"/>
          <w:b/>
          <w:color w:val="228B22"/>
          <w:sz w:val="28"/>
        </w:rPr>
        <w:t>19.4</w:t>
      </w:r>
      <w:r>
        <w:rPr>
          <w:b/>
          <w:color w:val="228B22"/>
          <w:sz w:val="28"/>
        </w:rPr>
        <w:tab/>
        <w:t>Open point: D3</w:t>
      </w:r>
    </w:p>
    <w:p>
      <w:pPr>
        <w:pStyle w:val="FirstParagraph"/>
        <w:rPr/>
      </w:pPr>
      <w:r>
        <w:rPr>
          <w:sz w:val="20"/>
        </w:rPr>
        <w:t xml:space="preserve">The memory-side interface is D3, still open. The direction is AXI4 on the house wrappers, but the final parameter defaults (ID width, user width, skid depths) and the exact handoff from </w:t>
      </w:r>
      <w:r>
        <w:rPr>
          <w:rStyle w:val="VerbatimChar"/>
          <w:sz w:val="20"/>
        </w:rPr>
        <w:t>amber_fill</w:t>
      </w:r>
      <w:r>
        <w:rPr>
          <w:sz w:val="20"/>
        </w:rPr>
        <w:t>/</w:t>
      </w:r>
      <w:r>
        <w:rPr>
          <w:rStyle w:val="VerbatimChar"/>
          <w:sz w:val="20"/>
        </w:rPr>
        <w:t>amber_drain</w:t>
      </w:r>
      <w:r>
        <w:rPr>
          <w:sz w:val="20"/>
        </w:rPr>
        <w:t xml:space="preserve"> to the wrappers are part of closing D3 in RTL.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8" w:name="fabric-side-axi4-masters"/>
      <w:bookmarkStart w:id="319" w:name="open-point-d3"/>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
      <w:bookmarkEnd w:id="319"/>
      <w:r>
        <w:br w:type="page"/>
      </w:r>
    </w:p>
    <w:p>
      <w:pPr>
        <w:pStyle w:val="Heading1"/>
        <w:shd w:val="clear" w:color="auto" w:fill="404040"/>
        <w:spacing w:before="360" w:after="120"/>
        <w:rPr/>
      </w:pPr>
      <w:bookmarkStart w:id="320" w:name="__RefHeading___Toc14952_888288119"/>
      <w:bookmarkStart w:id="321" w:name="X64b356f408bc5ce253396f6076676205b242a30"/>
      <w:bookmarkEnd w:id="320"/>
      <w:r>
        <w:rPr>
          <w:rStyle w:val="SectionNumber"/>
          <w:b/>
          <w:color w:val="FFFFFF"/>
          <w:sz w:val="32"/>
        </w:rPr>
        <w:t>20</w:t>
      </w:r>
      <w:r>
        <w:rPr>
          <w:b/>
          <w:color w:val="FFFFFF"/>
          <w:sz w:val="32"/>
        </w:rPr>
        <w:tab/>
        <w:t>Fabric-Side ACE Masters and Coherent Issue</w:t>
      </w:r>
    </w:p>
    <w:p>
      <w:pPr>
        <w:pStyle w:val="Heading2"/>
        <w:pBdr>
          <w:bottom w:val="single" w:sz="12" w:space="0" w:color="228B22"/>
        </w:pBdr>
        <w:spacing w:before="280" w:after="80"/>
        <w:rPr/>
      </w:pPr>
      <w:bookmarkStart w:id="322" w:name="__RefHeading___Toc14954_888288119"/>
      <w:bookmarkStart w:id="323" w:name="onyx-rig-fabric"/>
      <w:bookmarkEnd w:id="322"/>
      <w:r>
        <w:rPr>
          <w:rStyle w:val="SectionNumber"/>
          <w:b/>
          <w:color w:val="228B22"/>
          <w:sz w:val="28"/>
        </w:rPr>
        <w:t>20.1</w:t>
      </w:r>
      <w:r>
        <w:rPr>
          <w:b/>
          <w:color w:val="228B22"/>
          <w:sz w:val="28"/>
        </w:rPr>
        <w:tab/>
        <w:t>Onyx-rig fabric</w:t>
      </w:r>
    </w:p>
    <w:p>
      <w:pPr>
        <w:pStyle w:val="FirstParagraph"/>
        <w:rPr/>
      </w:pPr>
      <w:r>
        <w:rPr>
          <w:rStyle w:val="VerbatimChar"/>
          <w:sz w:val="20"/>
        </w:rPr>
        <w:t>amber_ace</w:t>
      </w:r>
      <w:r>
        <w:rPr>
          <w:sz w:val="20"/>
        </w:rPr>
        <w:t xml:space="preserve"> uses the existing </w:t>
      </w:r>
      <w:r>
        <w:rPr>
          <w:rStyle w:val="VerbatimChar"/>
          <w:sz w:val="20"/>
        </w:rPr>
        <w:t>rtl/amba/ace/axi4ace_master_rd</w:t>
      </w:r>
      <w:r>
        <w:rPr>
          <w:sz w:val="20"/>
        </w:rPr>
        <w:t xml:space="preserve"> and </w:t>
      </w:r>
      <w:r>
        <w:rPr>
          <w:rStyle w:val="VerbatimChar"/>
          <w:sz w:val="20"/>
        </w:rPr>
        <w:t>axi4ace_master_wr</w:t>
      </w:r>
      <w:r>
        <w:rPr>
          <w:sz w:val="20"/>
        </w:rPr>
        <w:t xml:space="preserve"> modules toward </w:t>
      </w:r>
      <w:r>
        <w:rPr>
          <w:rStyle w:val="VerbatimChar"/>
          <w:sz w:val="20"/>
        </w:rPr>
        <w:t>onyx</w:t>
      </w:r>
      <w:r>
        <w:rPr>
          <w:sz w:val="20"/>
        </w:rPr>
        <w:t xml:space="preserve">. These are full ACE masters with </w:t>
      </w:r>
      <w:r>
        <w:rPr>
          <w:rStyle w:val="VerbatimChar"/>
          <w:sz w:val="20"/>
        </w:rPr>
        <w:t>ARSNOOP[3:0]</w:t>
      </w:r>
      <w:r>
        <w:rPr>
          <w:sz w:val="20"/>
        </w:rPr>
        <w:t xml:space="preserve"> and </w:t>
      </w:r>
      <w:r>
        <w:rPr>
          <w:rStyle w:val="VerbatimChar"/>
          <w:sz w:val="20"/>
        </w:rPr>
        <w:t>AWSNOOP[2:0]</w:t>
      </w:r>
      <w:r>
        <w:rPr>
          <w:sz w:val="20"/>
        </w:rPr>
        <w:t xml:space="preserve"> transaction-type fields and auto-pulsed </w:t>
      </w:r>
      <w:r>
        <w:rPr>
          <w:rStyle w:val="VerbatimChar"/>
          <w:sz w:val="20"/>
        </w:rPr>
        <w:t>RACK</w:t>
      </w:r>
      <w:r>
        <w:rPr>
          <w:sz w:val="20"/>
        </w:rPr>
        <w:t>/</w:t>
      </w:r>
      <w:r>
        <w:rPr>
          <w:rStyle w:val="VerbatimChar"/>
          <w:sz w:val="20"/>
        </w:rPr>
        <w:t>WACK</w:t>
      </w:r>
      <w:r>
        <w:rPr>
          <w:sz w:val="20"/>
        </w:rPr>
        <w:t xml:space="preserve"> outputs.</w:t>
      </w:r>
      <w:bookmarkEnd w:id="323"/>
    </w:p>
    <w:p>
      <w:pPr>
        <w:pStyle w:val="Heading2"/>
        <w:pBdr>
          <w:bottom w:val="single" w:sz="12" w:space="0" w:color="228B22"/>
        </w:pBdr>
        <w:spacing w:before="280" w:after="80"/>
        <w:rPr/>
      </w:pPr>
      <w:bookmarkStart w:id="324" w:name="__RefHeading___Toc14956_888288119"/>
      <w:bookmarkEnd w:id="324"/>
      <w:r>
        <w:rPr>
          <w:rStyle w:val="SectionNumber"/>
          <w:b/>
          <w:color w:val="228B22"/>
          <w:sz w:val="28"/>
        </w:rPr>
        <w:t>20.2</w:t>
      </w:r>
      <w:r>
        <w:rPr>
          <w:b/>
          <w:color w:val="228B22"/>
          <w:sz w:val="28"/>
        </w:rPr>
        <w:tab/>
      </w:r>
      <w:r>
        <w:rPr>
          <w:rStyle w:val="VerbatimChar"/>
          <w:b/>
          <w:color w:val="228B22"/>
          <w:sz w:val="28"/>
        </w:rPr>
        <w:t>amber_ace_issue</w:t>
      </w:r>
    </w:p>
    <w:p>
      <w:pPr>
        <w:pStyle w:val="FirstParagraph"/>
        <w:rPr/>
      </w:pPr>
      <w:r>
        <w:rPr>
          <w:rStyle w:val="VerbatimChar"/>
          <w:sz w:val="20"/>
        </w:rPr>
        <w:t>amber_ace_issue</w:t>
      </w:r>
      <w:r>
        <w:rPr>
          <w:sz w:val="20"/>
        </w:rPr>
        <w:t xml:space="preserve"> maps cache-side events to the onyx D2 coherent-transaction subset:</w:t>
      </w:r>
    </w:p>
    <w:p>
      <w:pPr>
        <w:pStyle w:val="TableCaption"/>
        <w:rPr/>
      </w:pPr>
      <w:bookmarkStart w:id="325" w:name="_Tab_10_Table_4_2__Cache_eve"/>
      <w:r>
        <w:rPr/>
        <w:t>Table 4.2: Cache events to ACE transactions</w:t>
      </w:r>
      <w:bookmarkEnd w:id="3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 event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ACE transaction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Snoop field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shared intent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ReadShared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ReadShared</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exclusive intent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ReadUnique</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Shared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CleanUnique</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Invalid line (whole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MakeUnique</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eviction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WriteBack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WriteBack</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eviction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Evict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encoding</w:t>
            </w:r>
            <w:bookmarkStart w:id="326" w:name="amber_ace_issue"/>
            <w:bookmarkEnd w:id="326"/>
          </w:p>
        </w:tc>
      </w:tr>
    </w:tbl>
    <w:p>
      <w:pPr>
        <w:pStyle w:val="Heading2"/>
        <w:pBdr>
          <w:bottom w:val="single" w:sz="12" w:space="0" w:color="228B22"/>
        </w:pBdr>
        <w:spacing w:before="280" w:after="80"/>
        <w:rPr/>
      </w:pPr>
      <w:bookmarkStart w:id="327" w:name="__RefHeading___Toc14958_888288119"/>
      <w:bookmarkEnd w:id="327"/>
      <w:r>
        <w:rPr>
          <w:rStyle w:val="SectionNumber"/>
          <w:b/>
          <w:color w:val="228B22"/>
          <w:sz w:val="28"/>
        </w:rPr>
        <w:t>20.3</w:t>
      </w:r>
      <w:r>
        <w:rPr>
          <w:b/>
          <w:color w:val="228B22"/>
          <w:sz w:val="28"/>
        </w:rPr>
        <w:tab/>
        <w:t>Real ACE master read port (</w:t>
      </w:r>
      <w:r>
        <w:rPr>
          <w:rStyle w:val="VerbatimChar"/>
          <w:b/>
          <w:color w:val="228B22"/>
          <w:sz w:val="28"/>
        </w:rPr>
        <w:t>axi4ace_master_rd</w:t>
      </w:r>
      <w:r>
        <w:rPr>
          <w:b/>
          <w:color w:val="228B22"/>
          <w:sz w:val="28"/>
        </w:rPr>
        <w:t>)</w:t>
      </w:r>
    </w:p>
    <w:p>
      <w:pPr>
        <w:pStyle w:val="FirstParagraph"/>
        <w:rPr/>
      </w:pPr>
      <w:r>
        <w:rPr>
          <w:sz w:val="20"/>
        </w:rPr>
        <w:t xml:space="preserve">The upstream (cache) side uses the </w:t>
      </w:r>
      <w:r>
        <w:rPr>
          <w:rStyle w:val="VerbatimChar"/>
          <w:sz w:val="20"/>
        </w:rPr>
        <w:t>fub_axi_*</w:t>
      </w:r>
      <w:r>
        <w:rPr>
          <w:sz w:val="20"/>
        </w:rPr>
        <w:t xml:space="preserve"> prefix; the master side uses </w:t>
      </w:r>
      <w:r>
        <w:rPr>
          <w:rStyle w:val="VerbatimChar"/>
          <w:sz w:val="20"/>
        </w:rPr>
        <w:t>m_axi_*</w:t>
      </w:r>
      <w:r>
        <w:rPr>
          <w:sz w:val="20"/>
        </w:rPr>
        <w:t>:</w:t>
      </w:r>
    </w:p>
    <w:p>
      <w:pPr>
        <w:pStyle w:val="TableCaption"/>
        <w:rPr/>
      </w:pPr>
      <w:bookmarkStart w:id="328" w:name="_Tab_11_Table_4_3__axi4ace_m"/>
      <w:r>
        <w:rPr/>
        <w:t xml:space="preserve">Table 4.3: </w:t>
      </w:r>
      <w:r>
        <w:rPr>
          <w:rStyle w:val="VerbatimChar"/>
        </w:rPr>
        <w:t>axi4ace_master_rd</w:t>
      </w:r>
      <w:r>
        <w:rPr/>
        <w:t xml:space="preserve"> pin contract</w:t>
      </w:r>
      <w:bookmarkEnd w:id="3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AR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fub_axi_arlen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burst length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fub_axi_arsize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burst size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fub_axi_arburst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burst type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fub_axi_arcache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cache hint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fub_axi_arprot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protection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fub_axi_arqos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QoS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fub_axi_arregion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region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fub_axi_aruser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user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ACE transaction type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fub_axi_rid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fub_axi_rresp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fub_axi_rlast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last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fub_axi_ruser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user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fub_axi_rvalid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fub_axi_rready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master-side AR mirror of </w:t>
            </w:r>
            <w:r>
              <w:rPr>
                <w:rStyle w:val="VerbatimChar"/>
                <w:rFonts w:eastAsia="Cambria" w:cs=""/>
                <w:kern w:val="0"/>
                <w:szCs w:val="24"/>
                <w:lang w:val="en-US" w:eastAsia="en-US" w:bidi="ar-SA"/>
              </w:rPr>
              <w:t>fub_axi_ar*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master-side R mirror of </w:t>
            </w:r>
            <w:r>
              <w:rPr>
                <w:rStyle w:val="VerbatimChar"/>
                <w:rFonts w:eastAsia="Cambria" w:cs=""/>
                <w:kern w:val="0"/>
                <w:szCs w:val="24"/>
                <w:lang w:val="en-US" w:eastAsia="en-US" w:bidi="ar-SA"/>
              </w:rPr>
              <w:t>fub_axi_r*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ACE read acknowledge</w:t>
            </w:r>
            <w:r>
              <w:rPr>
                <w:rFonts w:eastAsia="Cambria" w:cs=""/>
                <w:kern w:val="0"/>
                <w:sz w:val="24"/>
                <w:szCs w:val="24"/>
                <w:lang w:val="en-US" w:eastAsia="en-US" w:bidi="ar-SA"/>
              </w:rPr>
              <w:t>, auto-pulsed one cycle after last R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activity status for clock gating</w:t>
            </w:r>
          </w:p>
        </w:tc>
      </w:tr>
    </w:tbl>
    <w:p>
      <w:pPr>
        <w:pStyle w:val="Heading2"/>
        <w:pBdr>
          <w:bottom w:val="single" w:sz="12" w:space="0" w:color="228B22"/>
        </w:pBdr>
        <w:spacing w:before="280" w:after="80"/>
        <w:rPr/>
      </w:pPr>
      <w:bookmarkStart w:id="329" w:name="__RefHeading___Toc14960_888288119"/>
      <w:bookmarkEnd w:id="329"/>
      <w:r>
        <w:rPr>
          <w:rStyle w:val="SectionNumber"/>
          <w:b/>
          <w:color w:val="228B22"/>
          <w:sz w:val="28"/>
        </w:rPr>
        <w:t>20.4</w:t>
      </w:r>
      <w:r>
        <w:rPr>
          <w:b/>
          <w:color w:val="228B22"/>
          <w:sz w:val="28"/>
        </w:rPr>
        <w:tab/>
        <w:t>Real ACE master write port (</w:t>
      </w:r>
      <w:r>
        <w:rPr>
          <w:rStyle w:val="VerbatimChar"/>
          <w:b/>
          <w:color w:val="228B22"/>
          <w:sz w:val="28"/>
        </w:rPr>
        <w:t>axi4ace_master_wr</w:t>
      </w:r>
      <w:r>
        <w:rPr>
          <w:b/>
          <w:color w:val="228B22"/>
          <w:sz w:val="28"/>
        </w:rPr>
        <w:t>)</w:t>
      </w:r>
    </w:p>
    <w:p>
      <w:pPr>
        <w:pStyle w:val="TableCaption"/>
        <w:rPr/>
      </w:pPr>
      <w:bookmarkStart w:id="330" w:name="_Tab_12_Table_4_4__axi4ace_m"/>
      <w:r>
        <w:rPr/>
        <w:t xml:space="preserve">Table 4.4: </w:t>
      </w:r>
      <w:r>
        <w:rPr>
          <w:rStyle w:val="VerbatimChar"/>
        </w:rPr>
        <w:t>axi4ace_master_wr</w:t>
      </w:r>
      <w:r>
        <w:rPr/>
        <w:t xml:space="preserve"> pin contract</w:t>
      </w:r>
      <w:bookmarkEnd w:id="3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AW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fub_axi_awlen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burst length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fub_axi_awsize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burst size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fub_axi_awburst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burst type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fub_axi_awcache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cache hint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fub_axi_awprot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protection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fub_axi_awqos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QoS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fub_axi_awregion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region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fub_axi_awuser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user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ACE transaction type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fub_axi_wdata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fub_axi_wstrb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strobe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fub_axi_wlast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last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fub_axi_wuser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user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fub_axi_wvalid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fub_axi_wready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fub_axi_bid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fub_axi_bresp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fub_axi_buser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user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fub_axi_bvalid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fub_axi_bready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m_axi_w*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m_axi_b*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AW/W/B mirrors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ACE write acknowledge</w:t>
            </w:r>
            <w:r>
              <w:rPr>
                <w:rFonts w:eastAsia="Cambria" w:cs=""/>
                <w:kern w:val="0"/>
                <w:sz w:val="24"/>
                <w:szCs w:val="24"/>
                <w:lang w:val="en-US" w:eastAsia="en-US" w:bidi="ar-SA"/>
              </w:rPr>
              <w:t>, auto-pulsed one cycle after B handshake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activity status for clock gating</w:t>
            </w:r>
          </w:p>
        </w:tc>
      </w:tr>
    </w:tbl>
    <w:p>
      <w:pPr>
        <w:pStyle w:val="BodyText"/>
        <w:rPr/>
      </w:pPr>
      <w:r>
        <w:rPr>
          <w:rStyle w:val="VerbatimChar"/>
          <w:sz w:val="20"/>
        </w:rPr>
        <w:t>RACK</w:t>
      </w:r>
      <w:r>
        <w:rPr>
          <w:sz w:val="20"/>
        </w:rPr>
        <w:t xml:space="preserve"> and </w:t>
      </w:r>
      <w:r>
        <w:rPr>
          <w:rStyle w:val="VerbatimChar"/>
          <w:sz w:val="20"/>
        </w:rPr>
        <w:t>WACK</w:t>
      </w:r>
      <w:r>
        <w:rPr>
          <w:sz w:val="20"/>
        </w:rPr>
        <w:t xml:space="preserve"> are auto-pulsed inside the adapters because the onyx D2 subset has no ordering semantics that require explicit master-controlled acknowledges.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1" w:name="X64b356f408bc5ce253396f6076676205b242a30"/>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
      <w:r>
        <w:br w:type="page"/>
      </w:r>
    </w:p>
    <w:p>
      <w:pPr>
        <w:pStyle w:val="Heading1"/>
        <w:shd w:val="clear" w:color="auto" w:fill="404040"/>
        <w:spacing w:before="360" w:after="120"/>
        <w:rPr/>
      </w:pPr>
      <w:bookmarkStart w:id="332" w:name="__RefHeading___Toc14962_888288119"/>
      <w:bookmarkStart w:id="333" w:name="snoop-port-accdcr-adapter"/>
      <w:bookmarkEnd w:id="332"/>
      <w:r>
        <w:rPr>
          <w:rStyle w:val="SectionNumber"/>
          <w:b/>
          <w:color w:val="FFFFFF"/>
          <w:sz w:val="32"/>
        </w:rPr>
        <w:t>21</w:t>
      </w:r>
      <w:r>
        <w:rPr>
          <w:b/>
          <w:color w:val="FFFFFF"/>
          <w:sz w:val="32"/>
        </w:rPr>
        <w:tab/>
        <w:t>Snoop Port: AC/CD/CR Adapter</w:t>
      </w:r>
    </w:p>
    <w:p>
      <w:pPr>
        <w:pStyle w:val="Heading2"/>
        <w:pBdr>
          <w:bottom w:val="single" w:sz="12" w:space="0" w:color="228B22"/>
        </w:pBdr>
        <w:spacing w:before="280" w:after="80"/>
        <w:rPr/>
      </w:pPr>
      <w:bookmarkStart w:id="334" w:name="__RefHeading___Toc14964_888288119"/>
      <w:bookmarkStart w:id="335" w:name="adapter-purpose"/>
      <w:bookmarkEnd w:id="334"/>
      <w:r>
        <w:rPr>
          <w:rStyle w:val="SectionNumber"/>
          <w:b/>
          <w:color w:val="228B22"/>
          <w:sz w:val="28"/>
        </w:rPr>
        <w:t>21.1</w:t>
      </w:r>
      <w:r>
        <w:rPr>
          <w:b/>
          <w:color w:val="228B22"/>
          <w:sz w:val="28"/>
        </w:rPr>
        <w:tab/>
        <w:t>Adapter purpose</w:t>
      </w:r>
    </w:p>
    <w:p>
      <w:pPr>
        <w:pStyle w:val="FirstParagraph"/>
        <w:rPr/>
      </w:pPr>
      <w:r>
        <w:rPr>
          <w:rStyle w:val="VerbatimChar"/>
          <w:sz w:val="20"/>
        </w:rPr>
        <w:t>amber_snoop_resp</w:t>
      </w:r>
      <w:r>
        <w:rPr>
          <w:sz w:val="20"/>
        </w:rPr>
        <w:t xml:space="preserve"> is the ACE-shaped snoop responder (amber D4). It decouples the cache core from ACE signaling: the fabric side speaks real ACE AC/CR/CD; the core side is a bus-agnostic </w:t>
      </w:r>
      <w:r>
        <w:rPr>
          <w:rStyle w:val="VerbatimChar"/>
          <w:sz w:val="20"/>
        </w:rPr>
        <w:t>{address, type, response, data}</w:t>
      </w:r>
      <w:r>
        <w:rPr>
          <w:sz w:val="20"/>
        </w:rPr>
        <w:t xml:space="preserve"> transaction.</w:t>
      </w:r>
      <w:bookmarkEnd w:id="335"/>
    </w:p>
    <w:p>
      <w:pPr>
        <w:pStyle w:val="Heading2"/>
        <w:pBdr>
          <w:bottom w:val="single" w:sz="12" w:space="0" w:color="228B22"/>
        </w:pBdr>
        <w:spacing w:before="280" w:after="80"/>
        <w:rPr/>
      </w:pPr>
      <w:bookmarkStart w:id="336" w:name="__RefHeading___Toc14966_888288119"/>
      <w:bookmarkEnd w:id="336"/>
      <w:r>
        <w:rPr>
          <w:rStyle w:val="SectionNumber"/>
          <w:b/>
          <w:color w:val="228B22"/>
          <w:sz w:val="28"/>
        </w:rPr>
        <w:t>21.2</w:t>
      </w:r>
      <w:r>
        <w:rPr>
          <w:b/>
          <w:color w:val="228B22"/>
          <w:sz w:val="28"/>
        </w:rPr>
        <w:tab/>
        <w:t>Real snoop-slave port (</w:t>
      </w:r>
      <w:r>
        <w:rPr>
          <w:rStyle w:val="VerbatimChar"/>
          <w:b/>
          <w:color w:val="228B22"/>
          <w:sz w:val="28"/>
        </w:rPr>
        <w:t>axi4ace_snoop_slave</w:t>
      </w:r>
      <w:r>
        <w:rPr>
          <w:b/>
          <w:color w:val="228B22"/>
          <w:sz w:val="28"/>
        </w:rPr>
        <w:t>)</w:t>
      </w:r>
    </w:p>
    <w:p>
      <w:pPr>
        <w:pStyle w:val="FirstParagraph"/>
        <w:rPr/>
      </w:pPr>
      <w:r>
        <w:rPr>
          <w:sz w:val="20"/>
        </w:rPr>
        <w:t xml:space="preserve">The module’s external (manager → cache) side uses </w:t>
      </w:r>
      <w:r>
        <w:rPr>
          <w:rStyle w:val="VerbatimChar"/>
          <w:sz w:val="20"/>
        </w:rPr>
        <w:t>m_axi_*</w:t>
      </w:r>
      <w:r>
        <w:rPr>
          <w:sz w:val="20"/>
        </w:rPr>
        <w:t xml:space="preserve">; the internal (cache FSM) side uses </w:t>
      </w:r>
      <w:r>
        <w:rPr>
          <w:rStyle w:val="VerbatimChar"/>
          <w:sz w:val="20"/>
        </w:rPr>
        <w:t>fub_*</w:t>
      </w:r>
      <w:r>
        <w:rPr>
          <w:sz w:val="20"/>
        </w:rPr>
        <w:t>:</w:t>
      </w:r>
    </w:p>
    <w:p>
      <w:pPr>
        <w:pStyle w:val="TableCaption"/>
        <w:rPr/>
      </w:pPr>
      <w:bookmarkStart w:id="337" w:name="_Tab_13_Table_4_5__axi4ace_s"/>
      <w:r>
        <w:rPr/>
        <w:t xml:space="preserve">Table 4.5: </w:t>
      </w:r>
      <w:r>
        <w:rPr>
          <w:rStyle w:val="VerbatimChar"/>
        </w:rPr>
        <w:t>axi4ace_snoop_slave</w:t>
      </w:r>
      <w:r>
        <w:rPr/>
        <w:t xml:space="preserve"> pin contract</w:t>
      </w:r>
      <w:bookmarkEnd w:id="3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m_axi_acsnoop[3:0]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transaction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m_axi_acprot[2:0]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m_axi_crresp[4:0]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fub_acaddr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snoop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fub_acsnoop[3:0]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snoop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fub_acprot[2:0]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snoop 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fub_acvalid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AC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fub_acready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AC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fub_crresp[4:0]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fub_crvalid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CR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fub_crready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CR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fub_cddata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snoop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fub_cdlast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CD last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fub_cdvalid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CD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fub_cdready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CD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activity status for clock gating</w:t>
            </w:r>
            <w:bookmarkStart w:id="338" w:name="Xc01d7855e2bc6fe1a3b216ad3b40d3b7a1cb387"/>
            <w:bookmarkEnd w:id="338"/>
          </w:p>
        </w:tc>
      </w:tr>
    </w:tbl>
    <w:p>
      <w:pPr>
        <w:pStyle w:val="Heading2"/>
        <w:pBdr>
          <w:bottom w:val="single" w:sz="12" w:space="0" w:color="228B22"/>
        </w:pBdr>
        <w:spacing w:before="280" w:after="80"/>
        <w:rPr/>
      </w:pPr>
      <w:bookmarkStart w:id="339" w:name="__RefHeading___Toc14968_888288119"/>
      <w:bookmarkEnd w:id="339"/>
      <w:r>
        <w:rPr>
          <w:rStyle w:val="SectionNumber"/>
          <w:b/>
          <w:color w:val="228B22"/>
          <w:sz w:val="28"/>
        </w:rPr>
        <w:t>21.3</w:t>
      </w:r>
      <w:r>
        <w:rPr>
          <w:b/>
          <w:color w:val="228B22"/>
          <w:sz w:val="28"/>
        </w:rPr>
        <w:tab/>
        <w:t>Ordering and the family convention</w:t>
      </w:r>
    </w:p>
    <w:p>
      <w:pPr>
        <w:pStyle w:val="FirstParagraph"/>
        <w:rPr/>
      </w:pPr>
      <w:r>
        <w:rPr>
          <w:sz w:val="20"/>
        </w:rPr>
        <w:t xml:space="preserve">Per the in-repo ACE definition, CR and CD must not be asserted before the AC handshake, and responses are returned in the order of the AC addresses. amber strengthens this: CD beats complete before CR is asserted for the same transaction, giving onyx a single closed response at a time. Multiple outstanding snoops are buffered by the skid FIFOs inside the adapter; the cache core processes them one at a time because </w:t>
      </w:r>
      <w:r>
        <w:rPr>
          <w:rStyle w:val="VerbatimChar"/>
          <w:sz w:val="20"/>
        </w:rPr>
        <w:t>amber_control</w:t>
      </w:r>
      <w:r>
        <w:rPr>
          <w:sz w:val="20"/>
        </w:rPr>
        <w:t xml:space="preserve"> is a single FSM.</w:t>
      </w:r>
    </w:p>
    <w:p>
      <w:pPr>
        <w:pStyle w:val="Heading2"/>
        <w:pBdr>
          <w:bottom w:val="single" w:sz="12" w:space="0" w:color="228B22"/>
        </w:pBdr>
        <w:spacing w:before="280" w:after="80"/>
        <w:rPr/>
      </w:pPr>
      <w:bookmarkStart w:id="340" w:name="__RefHeading___Toc14970_888288119"/>
      <w:bookmarkStart w:id="341" w:name="bus-agnostic-core-boundary"/>
      <w:bookmarkEnd w:id="340"/>
      <w:r>
        <w:rPr>
          <w:rStyle w:val="SectionNumber"/>
          <w:b/>
          <w:color w:val="228B22"/>
          <w:sz w:val="28"/>
        </w:rPr>
        <w:t>21.4</w:t>
      </w:r>
      <w:r>
        <w:rPr>
          <w:b/>
          <w:color w:val="228B22"/>
          <w:sz w:val="28"/>
        </w:rPr>
        <w:tab/>
        <w:t>Bus-agnostic core boundary</w:t>
      </w:r>
    </w:p>
    <w:p>
      <w:pPr>
        <w:pStyle w:val="FirstParagraph"/>
        <w:rPr/>
      </w:pPr>
      <w:r>
        <w:rPr>
          <w:sz w:val="20"/>
        </w:rPr>
        <w:t xml:space="preserve">The </w:t>
      </w:r>
      <w:r>
        <w:rPr>
          <w:rStyle w:val="VerbatimChar"/>
          <w:sz w:val="20"/>
        </w:rPr>
        <w:t>fub_*</w:t>
      </w:r>
      <w:r>
        <w:rPr>
          <w:sz w:val="20"/>
        </w:rPr>
        <w:t xml:space="preserve"> side is the only boundary the cache core sees. If </w:t>
      </w:r>
      <w:r>
        <w:rPr>
          <w:rStyle w:val="VerbatimChar"/>
          <w:sz w:val="20"/>
        </w:rPr>
        <w:t>onyx</w:t>
      </w:r>
      <w:r>
        <w:rPr>
          <w:sz w:val="20"/>
        </w:rPr>
        <w:t xml:space="preserve"> is later replaced by a real ACE interconnect, only </w:t>
      </w:r>
      <w:r>
        <w:rPr>
          <w:rStyle w:val="VerbatimChar"/>
          <w:sz w:val="20"/>
        </w:rPr>
        <w:t>amber_snoop_resp</w:t>
      </w:r>
      <w:r>
        <w:rPr>
          <w:sz w:val="20"/>
        </w:rPr>
        <w:t xml:space="preserve"> (and the top-level wiring) changes; </w:t>
      </w:r>
      <w:r>
        <w:rPr>
          <w:rStyle w:val="VerbatimChar"/>
          <w:sz w:val="20"/>
        </w:rPr>
        <w:t>amber_core</w:t>
      </w:r>
      <w:r>
        <w:rPr>
          <w:sz w:val="20"/>
        </w:rPr>
        <w:t xml:space="preserve"> does not. That was the reason D4 chose an ACE-shaped transport with a thin adapter.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2" w:name="snoop-port-accdcr-adapter"/>
      <w:bookmarkStart w:id="343" w:name="bus-agnostic-core-boundary"/>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bookmarkEnd w:id="343"/>
      <w:r>
        <w:br w:type="page"/>
      </w:r>
    </w:p>
    <w:p>
      <w:pPr>
        <w:pStyle w:val="Heading1"/>
        <w:shd w:val="clear" w:color="auto" w:fill="404040"/>
        <w:spacing w:before="360" w:after="120"/>
        <w:rPr/>
      </w:pPr>
      <w:bookmarkStart w:id="344" w:name="__RefHeading___Toc14972_888288119"/>
      <w:bookmarkStart w:id="345" w:name="observation-monbus-through-amber_monlite"/>
      <w:bookmarkEnd w:id="344"/>
      <w:r>
        <w:rPr>
          <w:rStyle w:val="SectionNumber"/>
          <w:b/>
          <w:color w:val="FFFFFF"/>
          <w:sz w:val="32"/>
        </w:rPr>
        <w:t>22</w:t>
      </w:r>
      <w:r>
        <w:rPr>
          <w:b/>
          <w:color w:val="FFFFFF"/>
          <w:sz w:val="32"/>
        </w:rPr>
        <w:tab/>
        <w:t>Observation: MonBus through amber_monlite</w:t>
      </w:r>
    </w:p>
    <w:p>
      <w:pPr>
        <w:pStyle w:val="Heading2"/>
        <w:pBdr>
          <w:bottom w:val="single" w:sz="12" w:space="0" w:color="228B22"/>
        </w:pBdr>
        <w:spacing w:before="280" w:after="80"/>
        <w:rPr/>
      </w:pPr>
      <w:bookmarkStart w:id="346" w:name="__RefHeading___Toc14974_888288119"/>
      <w:bookmarkStart w:id="347" w:name="observation-decision"/>
      <w:bookmarkEnd w:id="346"/>
      <w:r>
        <w:rPr>
          <w:rStyle w:val="SectionNumber"/>
          <w:b/>
          <w:color w:val="228B22"/>
          <w:sz w:val="28"/>
        </w:rPr>
        <w:t>22.1</w:t>
      </w:r>
      <w:r>
        <w:rPr>
          <w:b/>
          <w:color w:val="228B22"/>
          <w:sz w:val="28"/>
        </w:rPr>
        <w:tab/>
        <w:t>Observation decision</w:t>
      </w:r>
    </w:p>
    <w:p>
      <w:pPr>
        <w:pStyle w:val="FirstParagraph"/>
        <w:rPr/>
      </w:pPr>
      <w:r>
        <w:rPr>
          <w:sz w:val="20"/>
        </w:rPr>
        <w:t xml:space="preserve">amber observes through </w:t>
      </w:r>
      <w:r>
        <w:rPr>
          <w:rStyle w:val="VerbatimChar"/>
          <w:sz w:val="20"/>
        </w:rPr>
        <w:t>*_monlite</w:t>
      </w:r>
      <w:r>
        <w:rPr>
          <w:sz w:val="20"/>
        </w:rPr>
        <w:t xml:space="preserve"> wrappers only, not the heavyweight </w:t>
      </w:r>
      <w:r>
        <w:rPr>
          <w:rStyle w:val="VerbatimChar"/>
          <w:sz w:val="20"/>
        </w:rPr>
        <w:t>_mon</w:t>
      </w:r>
      <w:r>
        <w:rPr>
          <w:sz w:val="20"/>
        </w:rPr>
        <w:t xml:space="preserve"> (amber D8). The rationale is measurement integrity: a </w:t>
      </w:r>
      <w:r>
        <w:rPr>
          <w:rStyle w:val="VerbatimChar"/>
          <w:sz w:val="20"/>
        </w:rPr>
        <w:t>_mon</w:t>
      </w:r>
      <w:r>
        <w:rPr>
          <w:sz w:val="20"/>
        </w:rPr>
        <w:t xml:space="preserve"> wrapper that stalls the port when its tracking tables fill would corrupt the very miss-latency numbers the cache exists to produce. </w:t>
      </w:r>
      <w:r>
        <w:rPr>
          <w:rStyle w:val="VerbatimChar"/>
          <w:sz w:val="20"/>
        </w:rPr>
        <w:t>amber_monlite</w:t>
      </w:r>
      <w:r>
        <w:rPr>
          <w:sz w:val="20"/>
        </w:rPr>
        <w:t xml:space="preserve"> is drop-and-count: packets are emitted when possible, dropped and counted when not, and the observed path never stalls.</w:t>
      </w:r>
      <w:bookmarkEnd w:id="347"/>
    </w:p>
    <w:p>
      <w:pPr>
        <w:pStyle w:val="Heading2"/>
        <w:pBdr>
          <w:bottom w:val="single" w:sz="12" w:space="0" w:color="228B22"/>
        </w:pBdr>
        <w:spacing w:before="280" w:after="80"/>
        <w:rPr/>
      </w:pPr>
      <w:bookmarkStart w:id="348" w:name="__RefHeading___Toc14976_888288119"/>
      <w:bookmarkStart w:id="349" w:name="monbus-packet-content"/>
      <w:bookmarkEnd w:id="348"/>
      <w:r>
        <w:rPr>
          <w:rStyle w:val="SectionNumber"/>
          <w:b/>
          <w:color w:val="228B22"/>
          <w:sz w:val="28"/>
        </w:rPr>
        <w:t>22.2</w:t>
      </w:r>
      <w:r>
        <w:rPr>
          <w:b/>
          <w:color w:val="228B22"/>
          <w:sz w:val="28"/>
        </w:rPr>
        <w:tab/>
        <w:t>MonBus packet content</w:t>
      </w:r>
    </w:p>
    <w:p>
      <w:pPr>
        <w:pStyle w:val="FirstParagraph"/>
        <w:rPr/>
      </w:pPr>
      <w:r>
        <w:rPr>
          <w:rStyle w:val="VerbatimChar"/>
          <w:sz w:val="20"/>
        </w:rPr>
        <w:t>amber_monlite</w:t>
      </w:r>
      <w:r>
        <w:rPr>
          <w:sz w:val="20"/>
        </w:rPr>
        <w:t xml:space="preserve"> emits 128-bit MonBus packets with the standard UNIT/AGENT ids. Event classes:</w:t>
      </w:r>
    </w:p>
    <w:p>
      <w:pPr>
        <w:pStyle w:val="TableCaption"/>
        <w:rPr/>
      </w:pPr>
      <w:bookmarkStart w:id="350" w:name="_Tab_14_Table_4_6__MonBus_ev"/>
      <w:r>
        <w:rPr/>
        <w:t>Table 4.6: MonBus event classes</w:t>
      </w:r>
      <w:bookmarkEnd w:id="3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class</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highlights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 (read/write)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set, way, MESI state before/after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set, way, miss class (compulsory/capacity/conflict when the golden model supplies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 hit/miss, response class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clean/dirty, address set/way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transition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 state, new state, cause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fill/drain start+end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direction, transaction type</w:t>
            </w:r>
          </w:p>
        </w:tc>
      </w:tr>
    </w:tbl>
    <w:p>
      <w:pPr>
        <w:pStyle w:val="BodyText"/>
        <w:rPr/>
      </w:pPr>
      <w:r>
        <w:rPr>
          <w:rStyle w:val="VerbatimChar"/>
          <w:sz w:val="20"/>
        </w:rPr>
        <w:t>monbus_tally_axil</w:t>
      </w:r>
      <w:r>
        <w:rPr>
          <w:sz w:val="20"/>
        </w:rPr>
        <w:t xml:space="preserve"> tallies these packets exactly like every other component in the repo. Event classification uses the same cache_sim per-access miss-class computation: compulsory, capacity, and conflict.</w:t>
      </w:r>
      <w:bookmarkEnd w:id="349"/>
    </w:p>
    <w:p>
      <w:pPr>
        <w:pStyle w:val="Heading2"/>
        <w:pBdr>
          <w:bottom w:val="single" w:sz="12" w:space="0" w:color="228B22"/>
        </w:pBdr>
        <w:spacing w:before="280" w:after="80"/>
        <w:rPr/>
      </w:pPr>
      <w:bookmarkStart w:id="351" w:name="__RefHeading___Toc14978_888288119"/>
      <w:bookmarkStart w:id="352" w:name="observer-cost"/>
      <w:bookmarkEnd w:id="351"/>
      <w:r>
        <w:rPr>
          <w:rStyle w:val="SectionNumber"/>
          <w:b/>
          <w:color w:val="228B22"/>
          <w:sz w:val="28"/>
        </w:rPr>
        <w:t>22.3</w:t>
      </w:r>
      <w:r>
        <w:rPr>
          <w:b/>
          <w:color w:val="228B22"/>
          <w:sz w:val="28"/>
        </w:rPr>
        <w:tab/>
        <w:t>Observer cost</w:t>
      </w:r>
    </w:p>
    <w:p>
      <w:pPr>
        <w:pStyle w:val="FirstParagraph"/>
        <w:rPr/>
      </w:pPr>
      <w:r>
        <w:rPr>
          <w:sz w:val="20"/>
        </w:rPr>
        <w:t xml:space="preserve">The cost of observation is measured in the characterization sweep (Chapter 6.3): LUT/FF/RAM and fmax are reported with </w:t>
      </w:r>
      <w:r>
        <w:rPr>
          <w:rStyle w:val="VerbatimChar"/>
          <w:sz w:val="20"/>
        </w:rPr>
        <w:t>amber_monlite</w:t>
      </w:r>
      <w:r>
        <w:rPr>
          <w:sz w:val="20"/>
        </w:rPr>
        <w:t xml:space="preserve"> present and with it removed, so the claim “the observer does not perturb what it measures” is quantified.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3" w:name="observation-monbus-through-amber_monlite"/>
      <w:bookmarkStart w:id="354" w:name="observer-cost"/>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3"/>
      <w:bookmarkEnd w:id="354"/>
      <w:r>
        <w:br w:type="page"/>
      </w:r>
    </w:p>
    <w:p>
      <w:pPr>
        <w:pStyle w:val="Heading1"/>
        <w:shd w:val="clear" w:color="auto" w:fill="404040"/>
        <w:spacing w:before="360" w:after="120"/>
        <w:rPr/>
      </w:pPr>
      <w:bookmarkStart w:id="355" w:name="__RefHeading___Toc14980_888288119"/>
      <w:bookmarkStart w:id="356" w:name="amber_pkg-and-build-time-geometry"/>
      <w:bookmarkEnd w:id="355"/>
      <w:r>
        <w:rPr>
          <w:rStyle w:val="SectionNumber"/>
          <w:b/>
          <w:color w:val="FFFFFF"/>
          <w:sz w:val="32"/>
        </w:rPr>
        <w:t>23</w:t>
      </w:r>
      <w:r>
        <w:rPr>
          <w:b/>
          <w:color w:val="FFFFFF"/>
          <w:sz w:val="32"/>
        </w:rPr>
        <w:tab/>
        <w:t>amber_pkg and Build-Time Geometry</w:t>
      </w:r>
    </w:p>
    <w:p>
      <w:pPr>
        <w:pStyle w:val="Heading2"/>
        <w:pBdr>
          <w:bottom w:val="single" w:sz="12" w:space="0" w:color="228B22"/>
        </w:pBdr>
        <w:spacing w:before="280" w:after="80"/>
        <w:rPr/>
      </w:pPr>
      <w:bookmarkStart w:id="357" w:name="__RefHeading___Toc14982_888288119"/>
      <w:bookmarkStart w:id="358" w:name="parameter-philosophy"/>
      <w:bookmarkEnd w:id="357"/>
      <w:r>
        <w:rPr>
          <w:rStyle w:val="SectionNumber"/>
          <w:b/>
          <w:color w:val="228B22"/>
          <w:sz w:val="28"/>
        </w:rPr>
        <w:t>23.1</w:t>
      </w:r>
      <w:r>
        <w:rPr>
          <w:b/>
          <w:color w:val="228B22"/>
          <w:sz w:val="28"/>
        </w:rPr>
        <w:tab/>
        <w:t>Parameter philosophy</w:t>
      </w:r>
    </w:p>
    <w:p>
      <w:pPr>
        <w:pStyle w:val="FirstParagraph"/>
        <w:rPr/>
      </w:pPr>
      <w:bookmarkStart w:id="359" w:name="parameter-philosophy"/>
      <w:r>
        <w:rPr>
          <w:sz w:val="20"/>
        </w:rPr>
        <w:t>amber is a parameter-only IP. All geometry, policy, and bus-width choices are elaboration parameters; there is no runtime register block. This matches the decision to put all visibility on MonBus rather than on an APB CSR.</w:t>
      </w:r>
      <w:bookmarkEnd w:id="359"/>
    </w:p>
    <w:p>
      <w:pPr>
        <w:pStyle w:val="Heading2"/>
        <w:pBdr>
          <w:bottom w:val="single" w:sz="12" w:space="0" w:color="228B22"/>
        </w:pBdr>
        <w:spacing w:before="280" w:after="80"/>
        <w:rPr/>
      </w:pPr>
      <w:bookmarkStart w:id="360" w:name="__RefHeading___Toc14984_888288119"/>
      <w:bookmarkEnd w:id="360"/>
      <w:r>
        <w:rPr>
          <w:rStyle w:val="SectionNumber"/>
          <w:b/>
          <w:color w:val="228B22"/>
          <w:sz w:val="28"/>
        </w:rPr>
        <w:t>23.2</w:t>
      </w:r>
      <w:r>
        <w:rPr>
          <w:b/>
          <w:color w:val="228B22"/>
          <w:sz w:val="28"/>
        </w:rPr>
        <w:tab/>
        <w:t>Core parameters</w:t>
      </w:r>
    </w:p>
    <w:p>
      <w:pPr>
        <w:pStyle w:val="TableCaption"/>
        <w:rPr/>
      </w:pPr>
      <w:bookmarkStart w:id="361" w:name="_Tab_15_Table_5_0__Core_elab"/>
      <w:r>
        <w:rPr/>
        <w:t>Table 5.0: Core elaboration parameters</w:t>
      </w:r>
      <w:bookmarkEnd w:id="3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 set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sets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associativity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line size in bytes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CPU/fabric data width in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tree_plru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random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wt_na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write-back/write-allocate or write-through/no-allocate bring-up mode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depth</w:t>
            </w:r>
            <w:bookmarkStart w:id="362" w:name="core-parameters"/>
            <w:bookmarkEnd w:id="362"/>
          </w:p>
        </w:tc>
      </w:tr>
    </w:tbl>
    <w:p>
      <w:pPr>
        <w:pStyle w:val="Heading2"/>
        <w:pBdr>
          <w:bottom w:val="single" w:sz="12" w:space="0" w:color="228B22"/>
        </w:pBdr>
        <w:spacing w:before="280" w:after="80"/>
        <w:rPr/>
      </w:pPr>
      <w:bookmarkStart w:id="363" w:name="__RefHeading___Toc14986_888288119"/>
      <w:bookmarkEnd w:id="363"/>
      <w:r>
        <w:rPr>
          <w:rStyle w:val="SectionNumber"/>
          <w:b/>
          <w:color w:val="228B22"/>
          <w:sz w:val="28"/>
        </w:rPr>
        <w:t>23.3</w:t>
      </w:r>
      <w:r>
        <w:rPr>
          <w:b/>
          <w:color w:val="228B22"/>
          <w:sz w:val="28"/>
        </w:rPr>
        <w:tab/>
        <w:t>Derived quantities</w:t>
      </w:r>
    </w:p>
    <w:p>
      <w:pPr>
        <w:pStyle w:val="Compact"/>
        <w:numPr>
          <w:ilvl w:val="0"/>
          <w:numId w:val="154"/>
        </w:numPr>
        <w:rPr/>
      </w:pPr>
      <w:r>
        <w:rPr>
          <w:rStyle w:val="VerbatimChar"/>
        </w:rPr>
        <w:t>SET_INDEX_WIDTH = $clog2(SETS)</w:t>
      </w:r>
    </w:p>
    <w:p>
      <w:pPr>
        <w:pStyle w:val="Compact"/>
        <w:numPr>
          <w:ilvl w:val="0"/>
          <w:numId w:val="155"/>
        </w:numPr>
        <w:rPr/>
      </w:pPr>
      <w:r>
        <w:rPr>
          <w:rStyle w:val="VerbatimChar"/>
        </w:rPr>
        <w:t>LINE_OFFSET_WIDTH = $clog2(LINE_BYTES)</w:t>
      </w:r>
    </w:p>
    <w:p>
      <w:pPr>
        <w:pStyle w:val="Compact"/>
        <w:numPr>
          <w:ilvl w:val="0"/>
          <w:numId w:val="156"/>
        </w:numPr>
        <w:rPr/>
      </w:pPr>
      <w:r>
        <w:rPr>
          <w:rStyle w:val="VerbatimChar"/>
        </w:rPr>
        <w:t>TAG_WIDTH = ADDR_WIDTH - SET_INDEX_WIDTH - LINE_OFFSET_WIDTH</w:t>
      </w:r>
    </w:p>
    <w:p>
      <w:pPr>
        <w:pStyle w:val="Compact"/>
        <w:numPr>
          <w:ilvl w:val="0"/>
          <w:numId w:val="157"/>
        </w:numPr>
        <w:rPr/>
      </w:pPr>
      <w:r>
        <w:rPr/>
        <w:t>State field adds 3 bits to the tag store (MESI now, MOESI headroom reserved).</w:t>
      </w:r>
    </w:p>
    <w:p>
      <w:pPr>
        <w:pStyle w:val="Compact"/>
        <w:numPr>
          <w:ilvl w:val="0"/>
          <w:numId w:val="158"/>
        </w:numPr>
        <w:rPr/>
      </w:pPr>
      <w:r>
        <w:rPr>
          <w:rStyle w:val="VerbatimChar"/>
        </w:rPr>
        <w:t>FILL_BEATS = LINE_BYTES / (BUS_WIDTH/8)</w:t>
      </w:r>
    </w:p>
    <w:p>
      <w:pPr>
        <w:pStyle w:val="Heading2"/>
        <w:pBdr>
          <w:bottom w:val="single" w:sz="12" w:space="0" w:color="228B22"/>
        </w:pBdr>
        <w:spacing w:before="280" w:after="80"/>
        <w:rPr/>
      </w:pPr>
      <w:bookmarkStart w:id="364" w:name="__RefHeading___Toc14988_888288119"/>
      <w:bookmarkStart w:id="365" w:name="package-contents"/>
      <w:bookmarkEnd w:id="364"/>
      <w:r>
        <w:rPr>
          <w:rStyle w:val="SectionNumber"/>
          <w:b/>
          <w:color w:val="228B22"/>
          <w:sz w:val="28"/>
        </w:rPr>
        <w:t>23.4</w:t>
      </w:r>
      <w:r>
        <w:rPr>
          <w:b/>
          <w:color w:val="228B22"/>
          <w:sz w:val="28"/>
        </w:rPr>
        <w:tab/>
        <w:t>Package contents</w:t>
      </w:r>
    </w:p>
    <w:p>
      <w:pPr>
        <w:pStyle w:val="FirstParagraph"/>
        <w:rPr/>
      </w:pPr>
      <w:r>
        <w:rPr>
          <w:rStyle w:val="VerbatimChar"/>
          <w:sz w:val="20"/>
        </w:rPr>
        <w:t>amber_pkg</w:t>
      </w:r>
      <w:r>
        <w:rPr>
          <w:sz w:val="20"/>
        </w:rPr>
        <w:t xml:space="preserve"> holds the parameter defaults, derived localparams, MESI state encodings, the replacement-policy enum, the write-policy enum, and the transaction-type encodings used by </w:t>
      </w:r>
      <w:r>
        <w:rPr>
          <w:rStyle w:val="VerbatimChar"/>
          <w:sz w:val="20"/>
        </w:rPr>
        <w:t>amber_ace_issue</w:t>
      </w:r>
      <w:r>
        <w:rPr>
          <w:sz w:val="20"/>
        </w:rPr>
        <w:t xml:space="preserve">. The FSM oracles and the Python reference model both derive from the same gem5 Ruby </w:t>
      </w:r>
      <w:r>
        <w:rPr>
          <w:rStyle w:val="VerbatimChar"/>
          <w:sz w:val="20"/>
        </w:rPr>
        <w:t>MESI_Two_Level</w:t>
      </w:r>
      <w:r>
        <w:rPr>
          <w:sz w:val="20"/>
        </w:rPr>
        <w:t xml:space="preserve"> SLICC tables, so the encoding in </w:t>
      </w:r>
      <w:r>
        <w:rPr>
          <w:rStyle w:val="VerbatimChar"/>
          <w:sz w:val="20"/>
        </w:rPr>
        <w:t>amber_pkg</w:t>
      </w:r>
      <w:r>
        <w:rPr>
          <w:sz w:val="20"/>
        </w:rPr>
        <w:t xml:space="preserve"> is the single source of truth for RTL and DV.</w:t>
      </w:r>
      <w:bookmarkEnd w:id="365"/>
    </w:p>
    <w:p>
      <w:pPr>
        <w:pStyle w:val="Heading2"/>
        <w:pBdr>
          <w:bottom w:val="single" w:sz="12" w:space="0" w:color="228B22"/>
        </w:pBdr>
        <w:spacing w:before="280" w:after="80"/>
        <w:rPr/>
      </w:pPr>
      <w:bookmarkStart w:id="366" w:name="__RefHeading___Toc14990_888288119"/>
      <w:bookmarkStart w:id="367" w:name="rig-is-not-a-parameter"/>
      <w:bookmarkEnd w:id="366"/>
      <w:r>
        <w:rPr>
          <w:rStyle w:val="SectionNumber"/>
          <w:b/>
          <w:color w:val="228B22"/>
          <w:sz w:val="28"/>
        </w:rPr>
        <w:t>23.5</w:t>
      </w:r>
      <w:r>
        <w:rPr>
          <w:b/>
          <w:color w:val="228B22"/>
          <w:sz w:val="28"/>
        </w:rPr>
        <w:tab/>
        <w:t>Rig is not a parameter</w:t>
      </w:r>
    </w:p>
    <w:p>
      <w:pPr>
        <w:pStyle w:val="FirstParagraph"/>
        <w:rPr/>
      </w:pPr>
      <w:r>
        <w:rPr>
          <w:sz w:val="20"/>
        </w:rPr>
        <w:t xml:space="preserve">There is no </w:t>
      </w:r>
      <w:r>
        <w:rPr>
          <w:rStyle w:val="VerbatimChar"/>
          <w:sz w:val="20"/>
        </w:rPr>
        <w:t>RIG</w:t>
      </w:r>
      <w:r>
        <w:rPr>
          <w:sz w:val="20"/>
        </w:rPr>
        <w:t xml:space="preserve"> parameter. The pair rig and the onyx rig are two separate top modules sharing </w:t>
      </w:r>
      <w:r>
        <w:rPr>
          <w:rStyle w:val="VerbatimChar"/>
          <w:sz w:val="20"/>
        </w:rPr>
        <w:t>amber_core</w:t>
      </w:r>
      <w:r>
        <w:rPr>
          <w:sz w:val="20"/>
        </w:rPr>
        <w:t xml:space="preserve"> (Pre-HAS Q1, resolved 2026-10-06). Elaboration selects the rig by selecting the top file to compile and instantiate.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8" w:name="amber_pkg-and-build-time-geometry"/>
      <w:bookmarkStart w:id="369" w:name="rig-is-not-a-parameter"/>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8"/>
      <w:bookmarkEnd w:id="369"/>
      <w:r>
        <w:br w:type="page"/>
      </w:r>
    </w:p>
    <w:p>
      <w:pPr>
        <w:pStyle w:val="Heading1"/>
        <w:shd w:val="clear" w:color="auto" w:fill="404040"/>
        <w:spacing w:before="360" w:after="120"/>
        <w:rPr/>
      </w:pPr>
      <w:bookmarkStart w:id="370" w:name="__RefHeading___Toc14992_888288119"/>
      <w:bookmarkStart w:id="371" w:name="clocking-and-reset"/>
      <w:bookmarkEnd w:id="370"/>
      <w:r>
        <w:rPr>
          <w:rStyle w:val="SectionNumber"/>
          <w:b/>
          <w:color w:val="FFFFFF"/>
          <w:sz w:val="32"/>
        </w:rPr>
        <w:t>24</w:t>
      </w:r>
      <w:r>
        <w:rPr>
          <w:b/>
          <w:color w:val="FFFFFF"/>
          <w:sz w:val="32"/>
        </w:rPr>
        <w:tab/>
        <w:t>Clocking and Reset</w:t>
      </w:r>
    </w:p>
    <w:p>
      <w:pPr>
        <w:pStyle w:val="Heading2"/>
        <w:pBdr>
          <w:bottom w:val="single" w:sz="12" w:space="0" w:color="228B22"/>
        </w:pBdr>
        <w:spacing w:before="280" w:after="80"/>
        <w:rPr/>
      </w:pPr>
      <w:bookmarkStart w:id="372" w:name="__RefHeading___Toc14994_888288119"/>
      <w:bookmarkStart w:id="373" w:name="clock-domain"/>
      <w:bookmarkEnd w:id="372"/>
      <w:r>
        <w:rPr>
          <w:rStyle w:val="SectionNumber"/>
          <w:b/>
          <w:color w:val="228B22"/>
          <w:sz w:val="28"/>
        </w:rPr>
        <w:t>24.1</w:t>
      </w:r>
      <w:r>
        <w:rPr>
          <w:b/>
          <w:color w:val="228B22"/>
          <w:sz w:val="28"/>
        </w:rPr>
        <w:tab/>
        <w:t>Clock domain</w:t>
      </w:r>
    </w:p>
    <w:p>
      <w:pPr>
        <w:pStyle w:val="FirstParagraph"/>
        <w:rPr/>
      </w:pPr>
      <w:r>
        <w:rPr>
          <w:sz w:val="20"/>
        </w:rPr>
        <w:t xml:space="preserve">amber is a single-clock IP. The CPU-side GAXI port, the cache core, the fabric masters, and the snoop adapter all run on </w:t>
      </w:r>
      <w:r>
        <w:rPr>
          <w:rStyle w:val="VerbatimChar"/>
          <w:sz w:val="20"/>
        </w:rPr>
        <w:t>aclk</w:t>
      </w:r>
      <w:r>
        <w:rPr>
          <w:sz w:val="20"/>
        </w:rPr>
        <w:t xml:space="preserve">. There are no CDC paths inside </w:t>
      </w:r>
      <w:r>
        <w:rPr>
          <w:rStyle w:val="VerbatimChar"/>
          <w:sz w:val="20"/>
        </w:rPr>
        <w:t>amber_core</w:t>
      </w:r>
      <w:r>
        <w:rPr>
          <w:sz w:val="20"/>
        </w:rPr>
        <w:t>; the house AXI/ACE wrappers handle any external CDC if the fabric runs at a different frequency.</w:t>
      </w:r>
      <w:bookmarkEnd w:id="373"/>
    </w:p>
    <w:p>
      <w:pPr>
        <w:pStyle w:val="Heading2"/>
        <w:pBdr>
          <w:bottom w:val="single" w:sz="12" w:space="0" w:color="228B22"/>
        </w:pBdr>
        <w:spacing w:before="280" w:after="80"/>
        <w:rPr/>
      </w:pPr>
      <w:bookmarkStart w:id="374" w:name="__RefHeading___Toc14996_888288119"/>
      <w:bookmarkStart w:id="375" w:name="reset"/>
      <w:bookmarkEnd w:id="374"/>
      <w:r>
        <w:rPr>
          <w:rStyle w:val="SectionNumber"/>
          <w:b/>
          <w:color w:val="228B22"/>
          <w:sz w:val="28"/>
        </w:rPr>
        <w:t>24.2</w:t>
      </w:r>
      <w:r>
        <w:rPr>
          <w:b/>
          <w:color w:val="228B22"/>
          <w:sz w:val="28"/>
        </w:rPr>
        <w:tab/>
        <w:t>Reset</w:t>
      </w:r>
    </w:p>
    <w:p>
      <w:pPr>
        <w:pStyle w:val="FirstParagraph"/>
        <w:rPr/>
      </w:pPr>
      <w:r>
        <w:rPr>
          <w:sz w:val="20"/>
        </w:rPr>
        <w:t xml:space="preserve">All flops use the </w:t>
      </w:r>
      <w:r>
        <w:rPr>
          <w:rStyle w:val="VerbatimChar"/>
          <w:sz w:val="20"/>
        </w:rPr>
        <w:t>ALWAYS_FF_RST</w:t>
      </w:r>
      <w:r>
        <w:rPr>
          <w:sz w:val="20"/>
        </w:rPr>
        <w:t xml:space="preserve"> macro with active-low asynchronous assertion, per </w:t>
      </w:r>
      <w:r>
        <w:rPr>
          <w:rStyle w:val="VerbatimChar"/>
          <w:sz w:val="20"/>
        </w:rPr>
        <w:t>GLOBAL_REQUIREMENTS.md</w:t>
      </w:r>
      <w:r>
        <w:rPr>
          <w:sz w:val="20"/>
        </w:rPr>
        <w:t xml:space="preserve"> Category 1.1. The reset signal inside project components is </w:t>
      </w:r>
      <w:r>
        <w:rPr>
          <w:rStyle w:val="VerbatimChar"/>
          <w:sz w:val="20"/>
        </w:rPr>
        <w:t>rst_n</w:t>
      </w:r>
      <w:r>
        <w:rPr>
          <w:sz w:val="20"/>
        </w:rPr>
        <w:t xml:space="preserve">; AMBA-facing pins use </w:t>
      </w:r>
      <w:r>
        <w:rPr>
          <w:rStyle w:val="VerbatimChar"/>
          <w:sz w:val="20"/>
        </w:rPr>
        <w:t>aresetn</w:t>
      </w:r>
      <w:r>
        <w:rPr>
          <w:sz w:val="20"/>
        </w:rPr>
        <w:t>. Memory arrays (</w:t>
      </w:r>
      <w:r>
        <w:rPr>
          <w:rStyle w:val="VerbatimChar"/>
          <w:sz w:val="20"/>
        </w:rPr>
        <w:t>sdpram_core</w:t>
      </w:r>
      <w:r>
        <w:rPr>
          <w:sz w:val="20"/>
        </w:rPr>
        <w:t>-based tag/data stores) have no reset port; their contents are initialized by software or by the first misses after reset.</w:t>
      </w:r>
      <w:bookmarkEnd w:id="375"/>
    </w:p>
    <w:p>
      <w:pPr>
        <w:pStyle w:val="Heading2"/>
        <w:pBdr>
          <w:bottom w:val="single" w:sz="12" w:space="0" w:color="228B22"/>
        </w:pBdr>
        <w:spacing w:before="280" w:after="80"/>
        <w:rPr/>
      </w:pPr>
      <w:bookmarkStart w:id="376" w:name="__RefHeading___Toc14998_888288119"/>
      <w:bookmarkStart w:id="377" w:name="reset-sequence"/>
      <w:bookmarkEnd w:id="376"/>
      <w:r>
        <w:rPr>
          <w:rStyle w:val="SectionNumber"/>
          <w:b/>
          <w:color w:val="228B22"/>
          <w:sz w:val="28"/>
        </w:rPr>
        <w:t>24.3</w:t>
      </w:r>
      <w:r>
        <w:rPr>
          <w:b/>
          <w:color w:val="228B22"/>
          <w:sz w:val="28"/>
        </w:rPr>
        <w:tab/>
        <w:t>Reset sequence</w:t>
      </w:r>
    </w:p>
    <w:p>
      <w:pPr>
        <w:pStyle w:val="FirstParagraph"/>
        <w:rPr/>
      </w:pPr>
      <w:r>
        <w:rPr>
          <w:sz w:val="20"/>
        </w:rPr>
        <w:t xml:space="preserve">After reset deassertion, </w:t>
      </w:r>
      <w:r>
        <w:rPr>
          <w:rStyle w:val="VerbatimChar"/>
          <w:sz w:val="20"/>
        </w:rPr>
        <w:t>amber_control</w:t>
      </w:r>
      <w:r>
        <w:rPr>
          <w:sz w:val="20"/>
        </w:rPr>
        <w:t xml:space="preserve"> starts in the idle state. The tag and data arrays contain undefined values until the first accesses fill them. The front end accepts no request until the control FSM is idle and ready. There is no explicit cache invalidation hardware; invalidation is the natural state of unaccessed lines because the MESI state field is not reset and the first access to any set treats a mismatching/invalid tag as a miss.</w:t>
      </w:r>
      <w:bookmarkEnd w:id="377"/>
    </w:p>
    <w:p>
      <w:pPr>
        <w:pStyle w:val="Heading2"/>
        <w:pBdr>
          <w:bottom w:val="single" w:sz="12" w:space="0" w:color="228B22"/>
        </w:pBdr>
        <w:spacing w:before="280" w:after="80"/>
        <w:rPr/>
      </w:pPr>
      <w:bookmarkStart w:id="378" w:name="__RefHeading___Toc15000_888288119"/>
      <w:bookmarkStart w:id="379" w:name="clock-gating"/>
      <w:bookmarkEnd w:id="378"/>
      <w:r>
        <w:rPr>
          <w:rStyle w:val="SectionNumber"/>
          <w:b/>
          <w:color w:val="228B22"/>
          <w:sz w:val="28"/>
        </w:rPr>
        <w:t>24.4</w:t>
      </w:r>
      <w:r>
        <w:rPr>
          <w:b/>
          <w:color w:val="228B22"/>
          <w:sz w:val="28"/>
        </w:rPr>
        <w:tab/>
        <w:t>Clock gating</w:t>
      </w:r>
    </w:p>
    <w:p>
      <w:pPr>
        <w:pStyle w:val="FirstParagraph"/>
        <w:rPr/>
      </w:pPr>
      <w:r>
        <w:rPr>
          <w:sz w:val="20"/>
        </w:rPr>
        <w:t xml:space="preserve">The ACE master and snoop adapter modules expose </w:t>
      </w:r>
      <w:r>
        <w:rPr>
          <w:rStyle w:val="VerbatimChar"/>
          <w:sz w:val="20"/>
        </w:rPr>
        <w:t>busy</w:t>
      </w:r>
      <w:r>
        <w:rPr>
          <w:sz w:val="20"/>
        </w:rPr>
        <w:t xml:space="preserve"> outputs. These can be used by the top-level clock-gating cell to shut off the fabric-side clock when the cache is quiescent. The core’s </w:t>
      </w:r>
      <w:r>
        <w:rPr>
          <w:rStyle w:val="VerbatimChar"/>
          <w:sz w:val="20"/>
        </w:rPr>
        <w:t>busy</w:t>
      </w:r>
      <w:r>
        <w:rPr>
          <w:sz w:val="20"/>
        </w:rPr>
        <w:t xml:space="preserve"> signal is </w:t>
      </w:r>
      <w:r>
        <w:rPr>
          <w:rStyle w:val="VerbatimChar"/>
          <w:sz w:val="20"/>
        </w:rPr>
        <w:t>amber_control</w:t>
      </w:r>
      <w:r>
        <w:rPr>
          <w:sz w:val="20"/>
        </w:rPr>
        <w:t>’s non-idle state OR the pending-fill bypass register valid bit OR any skid-buffer occupancy in the adapters.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0" w:name="clocking-and-reset"/>
      <w:bookmarkStart w:id="381" w:name="clock-gating"/>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0"/>
      <w:bookmarkEnd w:id="381"/>
      <w:r>
        <w:br w:type="page"/>
      </w:r>
    </w:p>
    <w:p>
      <w:pPr>
        <w:pStyle w:val="Heading1"/>
        <w:shd w:val="clear" w:color="auto" w:fill="404040"/>
        <w:spacing w:before="360" w:after="120"/>
        <w:rPr/>
      </w:pPr>
      <w:bookmarkStart w:id="382" w:name="__RefHeading___Toc15002_888288119"/>
      <w:bookmarkStart w:id="383" w:name="verification-strategy"/>
      <w:bookmarkEnd w:id="382"/>
      <w:r>
        <w:rPr>
          <w:rStyle w:val="SectionNumber"/>
          <w:b/>
          <w:color w:val="FFFFFF"/>
          <w:sz w:val="32"/>
        </w:rPr>
        <w:t>25</w:t>
      </w:r>
      <w:r>
        <w:rPr>
          <w:b/>
          <w:color w:val="FFFFFF"/>
          <w:sz w:val="32"/>
        </w:rPr>
        <w:tab/>
        <w:t>Verification Strategy</w:t>
      </w:r>
    </w:p>
    <w:p>
      <w:pPr>
        <w:pStyle w:val="Heading2"/>
        <w:pBdr>
          <w:bottom w:val="single" w:sz="12" w:space="0" w:color="228B22"/>
        </w:pBdr>
        <w:spacing w:before="280" w:after="80"/>
        <w:rPr/>
      </w:pPr>
      <w:bookmarkStart w:id="384" w:name="__RefHeading___Toc15004_888288119"/>
      <w:bookmarkStart w:id="385" w:name="pattern-b-cocotb-grids"/>
      <w:bookmarkEnd w:id="384"/>
      <w:r>
        <w:rPr>
          <w:rStyle w:val="SectionNumber"/>
          <w:b/>
          <w:color w:val="228B22"/>
          <w:sz w:val="28"/>
        </w:rPr>
        <w:t>25.1</w:t>
      </w:r>
      <w:r>
        <w:rPr>
          <w:b/>
          <w:color w:val="228B22"/>
          <w:sz w:val="28"/>
        </w:rPr>
        <w:tab/>
        <w:t>Pattern-B cocotb grids</w:t>
      </w:r>
    </w:p>
    <w:p>
      <w:pPr>
        <w:pStyle w:val="FirstParagraph"/>
        <w:rPr/>
      </w:pPr>
      <w:r>
        <w:rPr>
          <w:sz w:val="20"/>
        </w:rPr>
        <w:t xml:space="preserve">The primary verification layer is Pattern-B GATE/FUNC/FULL cocotb grids over the geometry × policy × rig matrix (amber D9). The ACE BFMs are the RDS-DV cocotb-framework 1.2.0 ACE extensions: </w:t>
      </w:r>
      <w:r>
        <w:rPr>
          <w:rStyle w:val="VerbatimChar"/>
          <w:sz w:val="20"/>
        </w:rPr>
        <w:t>AXI4ACEMasterRead</w:t>
      </w:r>
      <w:r>
        <w:rPr>
          <w:sz w:val="20"/>
        </w:rPr>
        <w:t xml:space="preserve">, </w:t>
      </w:r>
      <w:r>
        <w:rPr>
          <w:rStyle w:val="VerbatimChar"/>
          <w:sz w:val="20"/>
        </w:rPr>
        <w:t>AXI4ACEMasterWrite</w:t>
      </w:r>
      <w:r>
        <w:rPr>
          <w:sz w:val="20"/>
        </w:rPr>
        <w:t xml:space="preserve">, and </w:t>
      </w:r>
      <w:r>
        <w:rPr>
          <w:rStyle w:val="VerbatimChar"/>
          <w:sz w:val="20"/>
        </w:rPr>
        <w:t>AXI4ACESnoopSlave</w:t>
      </w:r>
      <w:r>
        <w:rPr>
          <w:sz w:val="20"/>
        </w:rPr>
        <w:t>/</w:t>
      </w:r>
      <w:r>
        <w:rPr>
          <w:rStyle w:val="VerbatimChar"/>
          <w:sz w:val="20"/>
        </w:rPr>
        <w:t>Master</w:t>
      </w:r>
      <w:r>
        <w:rPr>
          <w:sz w:val="20"/>
        </w:rPr>
        <w:t>.</w:t>
      </w:r>
      <w:bookmarkEnd w:id="385"/>
    </w:p>
    <w:p>
      <w:pPr>
        <w:pStyle w:val="Heading2"/>
        <w:pBdr>
          <w:bottom w:val="single" w:sz="12" w:space="0" w:color="228B22"/>
        </w:pBdr>
        <w:spacing w:before="280" w:after="80"/>
        <w:rPr/>
      </w:pPr>
      <w:bookmarkStart w:id="386" w:name="__RefHeading___Toc15006_888288119"/>
      <w:bookmarkStart w:id="387" w:name="golden-model-parity"/>
      <w:bookmarkEnd w:id="386"/>
      <w:r>
        <w:rPr>
          <w:rStyle w:val="SectionNumber"/>
          <w:b/>
          <w:color w:val="228B22"/>
          <w:sz w:val="28"/>
        </w:rPr>
        <w:t>25.2</w:t>
      </w:r>
      <w:r>
        <w:rPr>
          <w:b/>
          <w:color w:val="228B22"/>
          <w:sz w:val="28"/>
        </w:rPr>
        <w:tab/>
        <w:t>Golden-model parity</w:t>
      </w:r>
    </w:p>
    <w:p>
      <w:pPr>
        <w:pStyle w:val="FirstParagraph"/>
        <w:rPr/>
      </w:pPr>
      <w:bookmarkStart w:id="388" w:name="golden-model-parity"/>
      <w:r>
        <w:rPr>
          <w:sz w:val="20"/>
        </w:rPr>
        <w:t>For LRU, FIFO, and RANDOM, amber’s hit/miss/miss-class counts must match the cache_sim trace replay at identical geometry and policy. tree-PLRU has no cache_sim golden model today; it is cross-checked by RTL self-checks and is recorded as a future sim extension (Chapter 6.4). Miss classes follow cache_sim: compulsory, capacity, and conflict.</w:t>
      </w:r>
      <w:bookmarkEnd w:id="388"/>
    </w:p>
    <w:p>
      <w:pPr>
        <w:pStyle w:val="Heading2"/>
        <w:pBdr>
          <w:bottom w:val="single" w:sz="12" w:space="0" w:color="228B22"/>
        </w:pBdr>
        <w:spacing w:before="280" w:after="80"/>
        <w:rPr/>
      </w:pPr>
      <w:bookmarkStart w:id="389" w:name="__RefHeading___Toc15008_888288119"/>
      <w:bookmarkStart w:id="390" w:name="formal-targets"/>
      <w:bookmarkEnd w:id="389"/>
      <w:r>
        <w:rPr>
          <w:rStyle w:val="SectionNumber"/>
          <w:b/>
          <w:color w:val="228B22"/>
          <w:sz w:val="28"/>
        </w:rPr>
        <w:t>25.3</w:t>
      </w:r>
      <w:r>
        <w:rPr>
          <w:b/>
          <w:color w:val="228B22"/>
          <w:sz w:val="28"/>
        </w:rPr>
        <w:tab/>
        <w:t>Formal targets</w:t>
      </w:r>
    </w:p>
    <w:p>
      <w:pPr>
        <w:pStyle w:val="FirstParagraph"/>
        <w:rPr/>
      </w:pPr>
      <w:r>
        <w:rPr>
          <w:sz w:val="20"/>
        </w:rPr>
        <w:t>SymbiYosys is scoped to the control layer and proven at the tiny 16-set / 2-way geometry:</w:t>
      </w:r>
    </w:p>
    <w:p>
      <w:pPr>
        <w:pStyle w:val="Compact"/>
        <w:numPr>
          <w:ilvl w:val="0"/>
          <w:numId w:val="159"/>
        </w:numPr>
        <w:rPr/>
      </w:pPr>
      <w:r>
        <w:rPr/>
        <w:t>No stale data served after an external write (pending-fill bypass correctness).</w:t>
      </w:r>
    </w:p>
    <w:p>
      <w:pPr>
        <w:pStyle w:val="Compact"/>
        <w:numPr>
          <w:ilvl w:val="0"/>
          <w:numId w:val="160"/>
        </w:numPr>
        <w:rPr/>
      </w:pPr>
      <w:r>
        <w:rPr/>
        <w:t>No deadlock or livelock under fair arbitration.</w:t>
      </w:r>
    </w:p>
    <w:p>
      <w:pPr>
        <w:pStyle w:val="Compact"/>
        <w:numPr>
          <w:ilvl w:val="0"/>
          <w:numId w:val="161"/>
        </w:numPr>
        <w:rPr/>
      </w:pPr>
      <w:r>
        <w:rPr/>
        <w:t>Victim-buffer handoff correctness.</w:t>
      </w:r>
    </w:p>
    <w:p>
      <w:pPr>
        <w:pStyle w:val="Compact"/>
        <w:numPr>
          <w:ilvl w:val="0"/>
          <w:numId w:val="162"/>
        </w:numPr>
        <w:rPr/>
      </w:pPr>
      <w:r>
        <w:rPr>
          <w:rStyle w:val="VerbatimChar"/>
        </w:rPr>
        <w:t>amber_snoop_resp</w:t>
      </w:r>
      <w:r>
        <w:rPr/>
        <w:t xml:space="preserve"> AC/CR/CD ordering.</w:t>
      </w:r>
    </w:p>
    <w:p>
      <w:pPr>
        <w:pStyle w:val="FirstParagraph"/>
        <w:rPr/>
      </w:pPr>
      <w:bookmarkStart w:id="391" w:name="formal-targets"/>
      <w:r>
        <w:rPr>
          <w:sz w:val="20"/>
        </w:rPr>
        <w:t>The proof surface is intentionally narrow: proving the whole cache data path at default geometry is not the goal; proving the control and snoop-responder logic that correctness depends on is.</w:t>
      </w:r>
      <w:bookmarkEnd w:id="391"/>
    </w:p>
    <w:p>
      <w:pPr>
        <w:pStyle w:val="Heading2"/>
        <w:pBdr>
          <w:bottom w:val="single" w:sz="12" w:space="0" w:color="228B22"/>
        </w:pBdr>
        <w:spacing w:before="280" w:after="80"/>
        <w:rPr/>
      </w:pPr>
      <w:bookmarkStart w:id="392" w:name="__RefHeading___Toc15010_888288119"/>
      <w:bookmarkStart w:id="393" w:name="python-reference-model"/>
      <w:bookmarkEnd w:id="392"/>
      <w:r>
        <w:rPr>
          <w:rStyle w:val="SectionNumber"/>
          <w:b/>
          <w:color w:val="228B22"/>
          <w:sz w:val="28"/>
        </w:rPr>
        <w:t>25.4</w:t>
      </w:r>
      <w:r>
        <w:rPr>
          <w:b/>
          <w:color w:val="228B22"/>
          <w:sz w:val="28"/>
        </w:rPr>
        <w:tab/>
        <w:t>Python reference model</w:t>
      </w:r>
    </w:p>
    <w:p>
      <w:pPr>
        <w:pStyle w:val="FirstParagraph"/>
        <w:rPr/>
      </w:pPr>
      <w:r>
        <w:rPr>
          <w:sz w:val="20"/>
        </w:rPr>
        <w:t xml:space="preserve">The Python reference model and the FSM oracles derive from the gem5 Ruby </w:t>
      </w:r>
      <w:r>
        <w:rPr>
          <w:rStyle w:val="VerbatimChar"/>
          <w:sz w:val="20"/>
        </w:rPr>
        <w:t>MESI_Two_Level</w:t>
      </w:r>
      <w:r>
        <w:rPr>
          <w:sz w:val="20"/>
        </w:rPr>
        <w:t xml:space="preserve"> SLICC tables (D9). </w:t>
      </w:r>
      <w:r>
        <w:rPr>
          <w:rStyle w:val="VerbatimChar"/>
          <w:sz w:val="20"/>
        </w:rPr>
        <w:t>L1cache.sm</w:t>
      </w:r>
      <w:r>
        <w:rPr>
          <w:sz w:val="20"/>
        </w:rPr>
        <w:t xml:space="preserve">’s enumerated transient states are the source for the </w:t>
      </w:r>
      <w:r>
        <w:rPr>
          <w:rStyle w:val="VerbatimChar"/>
          <w:sz w:val="20"/>
        </w:rPr>
        <w:t>amber_pkg</w:t>
      </w:r>
      <w:r>
        <w:rPr>
          <w:sz w:val="20"/>
        </w:rPr>
        <w:t xml:space="preserve"> state encoding. Every stable and transient transition is cross-checked against the executable protocol spec, not prose.</w:t>
      </w:r>
      <w:bookmarkEnd w:id="393"/>
    </w:p>
    <w:p>
      <w:pPr>
        <w:pStyle w:val="Heading2"/>
        <w:pBdr>
          <w:bottom w:val="single" w:sz="12" w:space="0" w:color="228B22"/>
        </w:pBdr>
        <w:spacing w:before="280" w:after="80"/>
        <w:rPr/>
      </w:pPr>
      <w:bookmarkStart w:id="394" w:name="__RefHeading___Toc15012_888288119"/>
      <w:bookmarkStart w:id="395" w:name="monbus-coverage"/>
      <w:bookmarkEnd w:id="394"/>
      <w:r>
        <w:rPr>
          <w:rStyle w:val="SectionNumber"/>
          <w:b/>
          <w:color w:val="228B22"/>
          <w:sz w:val="28"/>
        </w:rPr>
        <w:t>25.5</w:t>
      </w:r>
      <w:r>
        <w:rPr>
          <w:b/>
          <w:color w:val="228B22"/>
          <w:sz w:val="28"/>
        </w:rPr>
        <w:tab/>
        <w:t>MonBus coverage</w:t>
      </w:r>
    </w:p>
    <w:p>
      <w:pPr>
        <w:pStyle w:val="FirstParagraph"/>
        <w:rPr/>
      </w:pPr>
      <w:r>
        <w:rPr>
          <w:sz w:val="20"/>
        </w:rPr>
        <w:t xml:space="preserve">Every event class listed in Chapter 4.5 must be visible on MonBus in simulation. The </w:t>
      </w:r>
      <w:r>
        <w:rPr>
          <w:rStyle w:val="VerbatimChar"/>
          <w:sz w:val="20"/>
        </w:rPr>
        <w:t>_monlite</w:t>
      </w:r>
      <w:r>
        <w:rPr>
          <w:sz w:val="20"/>
        </w:rPr>
        <w:t xml:space="preserve"> wrapper is present-vs-absent in the regression so the gate-cost delta is part of the evidence.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6" w:name="verification-strategy"/>
      <w:bookmarkStart w:id="397" w:name="monbus-coverage"/>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6"/>
      <w:bookmarkEnd w:id="397"/>
      <w:r>
        <w:br w:type="page"/>
      </w:r>
    </w:p>
    <w:p>
      <w:pPr>
        <w:pStyle w:val="Heading1"/>
        <w:shd w:val="clear" w:color="auto" w:fill="404040"/>
        <w:spacing w:before="360" w:after="120"/>
        <w:rPr/>
      </w:pPr>
      <w:bookmarkStart w:id="398" w:name="__RefHeading___Toc15014_888288119"/>
      <w:bookmarkStart w:id="399" w:name="characterization"/>
      <w:bookmarkEnd w:id="398"/>
      <w:r>
        <w:rPr>
          <w:rStyle w:val="SectionNumber"/>
          <w:b/>
          <w:color w:val="FFFFFF"/>
          <w:sz w:val="32"/>
        </w:rPr>
        <w:t>26</w:t>
      </w:r>
      <w:r>
        <w:rPr>
          <w:b/>
          <w:color w:val="FFFFFF"/>
          <w:sz w:val="32"/>
        </w:rPr>
        <w:tab/>
        <w:t>Characterization</w:t>
      </w:r>
    </w:p>
    <w:p>
      <w:pPr>
        <w:pStyle w:val="Heading2"/>
        <w:pBdr>
          <w:bottom w:val="single" w:sz="12" w:space="0" w:color="228B22"/>
        </w:pBdr>
        <w:spacing w:before="280" w:after="80"/>
        <w:rPr/>
      </w:pPr>
      <w:bookmarkStart w:id="400" w:name="__RefHeading___Toc15016_888288119"/>
      <w:bookmarkStart w:id="401" w:name="board-targets"/>
      <w:bookmarkEnd w:id="400"/>
      <w:r>
        <w:rPr>
          <w:rStyle w:val="SectionNumber"/>
          <w:b/>
          <w:color w:val="228B22"/>
          <w:sz w:val="28"/>
        </w:rPr>
        <w:t>26.1</w:t>
      </w:r>
      <w:r>
        <w:rPr>
          <w:b/>
          <w:color w:val="228B22"/>
          <w:sz w:val="28"/>
        </w:rPr>
        <w:tab/>
        <w:t>Board targets</w:t>
      </w:r>
    </w:p>
    <w:p>
      <w:pPr>
        <w:pStyle w:val="FirstParagraph"/>
        <w:rPr/>
      </w:pPr>
      <w:bookmarkStart w:id="402" w:name="board-targets"/>
      <w:r>
        <w:rPr>
          <w:sz w:val="20"/>
        </w:rPr>
        <w:t>amber is characterized on the same FPGA boards the repo uses for other components: Nexys A7 and Genesys 2. The default geometry (32 KiB / 64 B / 4-way) is expected to consume roughly 9 of the 135 36 Kb BRAMs on the Nexys A7, leaving headroom for the rest of the system.</w:t>
      </w:r>
      <w:bookmarkEnd w:id="402"/>
    </w:p>
    <w:p>
      <w:pPr>
        <w:pStyle w:val="Heading2"/>
        <w:pBdr>
          <w:bottom w:val="single" w:sz="12" w:space="0" w:color="228B22"/>
        </w:pBdr>
        <w:spacing w:before="280" w:after="80"/>
        <w:rPr/>
      </w:pPr>
      <w:bookmarkStart w:id="403" w:name="__RefHeading___Toc15018_888288119"/>
      <w:bookmarkEnd w:id="403"/>
      <w:r>
        <w:rPr>
          <w:rStyle w:val="SectionNumber"/>
          <w:b/>
          <w:color w:val="228B22"/>
          <w:sz w:val="28"/>
        </w:rPr>
        <w:t>26.2</w:t>
      </w:r>
      <w:r>
        <w:rPr>
          <w:b/>
          <w:color w:val="228B22"/>
          <w:sz w:val="28"/>
        </w:rPr>
        <w:tab/>
        <w:t>Sweep dimensions</w:t>
      </w:r>
    </w:p>
    <w:p>
      <w:pPr>
        <w:pStyle w:val="TableCaption"/>
        <w:rPr/>
      </w:pPr>
      <w:bookmarkStart w:id="404" w:name="_Tab_16_Table_6_0__Character"/>
      <w:r>
        <w:rPr/>
        <w:t>Table 6.0: Characterization sweep dimensions</w:t>
      </w:r>
      <w:bookmarkEnd w:id="4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Dimension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(128 sets / 4 ways / 64 B), tiny (16 sets / 2 ways / 64 B), and boundary points from the 4–32 KiB / 2–8 way range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tree-PLRU, FIFO, RANDOM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top,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top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r>
              <w:rPr>
                <w:rFonts w:eastAsia="Cambria" w:cs=""/>
                <w:kern w:val="0"/>
                <w:sz w:val="24"/>
                <w:szCs w:val="24"/>
                <w:lang w:val="en-US" w:eastAsia="en-US" w:bidi="ar-SA"/>
              </w:rPr>
              <w:t xml:space="preserve"> present, </w:t>
            </w:r>
            <w:r>
              <w:rPr>
                <w:rStyle w:val="VerbatimChar"/>
                <w:rFonts w:eastAsia="Cambria" w:cs=""/>
                <w:kern w:val="0"/>
                <w:szCs w:val="24"/>
                <w:lang w:val="en-US" w:eastAsia="en-US" w:bidi="ar-SA"/>
              </w:rPr>
              <w:t>amber_monlite</w:t>
            </w:r>
            <w:r>
              <w:rPr>
                <w:rFonts w:eastAsia="Cambria" w:cs=""/>
                <w:kern w:val="0"/>
                <w:sz w:val="24"/>
                <w:szCs w:val="24"/>
                <w:lang w:val="en-US" w:eastAsia="en-US" w:bidi="ar-SA"/>
              </w:rPr>
              <w:t xml:space="preserve"> absent</w:t>
            </w:r>
            <w:bookmarkStart w:id="405" w:name="sweep-dimensions"/>
            <w:bookmarkEnd w:id="405"/>
          </w:p>
        </w:tc>
      </w:tr>
    </w:tbl>
    <w:p>
      <w:pPr>
        <w:pStyle w:val="Heading2"/>
        <w:pBdr>
          <w:bottom w:val="single" w:sz="12" w:space="0" w:color="228B22"/>
        </w:pBdr>
        <w:spacing w:before="280" w:after="80"/>
        <w:rPr/>
      </w:pPr>
      <w:bookmarkStart w:id="406" w:name="__RefHeading___Toc15020_888288119"/>
      <w:bookmarkEnd w:id="406"/>
      <w:r>
        <w:rPr>
          <w:rStyle w:val="SectionNumber"/>
          <w:b/>
          <w:color w:val="228B22"/>
          <w:sz w:val="28"/>
        </w:rPr>
        <w:t>26.3</w:t>
      </w:r>
      <w:r>
        <w:rPr>
          <w:b/>
          <w:color w:val="228B22"/>
          <w:sz w:val="28"/>
        </w:rPr>
        <w:tab/>
        <w:t>Reported metrics</w:t>
      </w:r>
    </w:p>
    <w:p>
      <w:pPr>
        <w:pStyle w:val="FirstParagraph"/>
        <w:rPr/>
      </w:pPr>
      <w:r>
        <w:rPr>
          <w:sz w:val="20"/>
        </w:rPr>
        <w:t>For each point, the characterization records LUT, FF, RAMB36 (and RAMB18 where relevant), and fmax. The report follows the pumice pattern: a markdown table per board, a note on the critical path, and the observer-cost delta. A single characterization run is not the goal; the sweep is, because replacement policy and observation are the variables the research questions depend on.</w:t>
      </w:r>
    </w:p>
    <w:p>
      <w:pPr>
        <w:pStyle w:val="Heading2"/>
        <w:pBdr>
          <w:bottom w:val="single" w:sz="12" w:space="0" w:color="228B22"/>
        </w:pBdr>
        <w:spacing w:before="280" w:after="80"/>
        <w:rPr/>
      </w:pPr>
      <w:bookmarkStart w:id="407" w:name="__RefHeading___Toc15022_888288119"/>
      <w:bookmarkStart w:id="408" w:name="critical-path-expectation"/>
      <w:bookmarkEnd w:id="407"/>
      <w:r>
        <w:rPr>
          <w:rStyle w:val="SectionNumber"/>
          <w:b/>
          <w:color w:val="228B22"/>
          <w:sz w:val="28"/>
        </w:rPr>
        <w:t>26.4</w:t>
      </w:r>
      <w:r>
        <w:rPr>
          <w:b/>
          <w:color w:val="228B22"/>
          <w:sz w:val="28"/>
        </w:rPr>
        <w:tab/>
        <w:t>Critical-path expectation</w:t>
      </w:r>
    </w:p>
    <w:p>
      <w:pPr>
        <w:pStyle w:val="FirstParagraph"/>
        <w:rPr/>
      </w:pPr>
      <w:r>
        <w:rPr>
          <w:sz w:val="20"/>
        </w:rPr>
        <w:t xml:space="preserve">The expected critical path is through </w:t>
      </w:r>
      <w:r>
        <w:rPr>
          <w:rStyle w:val="VerbatimChar"/>
          <w:sz w:val="20"/>
        </w:rPr>
        <w:t>amber_tag_array</w:t>
      </w:r>
      <w:r>
        <w:rPr>
          <w:sz w:val="20"/>
        </w:rPr>
        <w:t xml:space="preserve"> port A: address decode → tag compare → hit/miss decision → data-array enable. The dual-port split (port B for snoops) removes snoop traffic from the CPU hit path, so the path should be comparable to a non-snoopy cache of the same geometry plus the CRRESP combinatorial decode in </w:t>
      </w:r>
      <w:r>
        <w:rPr>
          <w:rStyle w:val="VerbatimChar"/>
          <w:sz w:val="20"/>
        </w:rPr>
        <w:t>amber_control</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9" w:name="characterization"/>
      <w:bookmarkStart w:id="410" w:name="critical-path-expectation"/>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9"/>
      <w:bookmarkEnd w:id="410"/>
      <w:r>
        <w:br w:type="page"/>
      </w:r>
    </w:p>
    <w:p>
      <w:pPr>
        <w:pStyle w:val="Heading1"/>
        <w:shd w:val="clear" w:color="auto" w:fill="404040"/>
        <w:spacing w:before="360" w:after="120"/>
        <w:rPr/>
      </w:pPr>
      <w:bookmarkStart w:id="411" w:name="__RefHeading___Toc15024_888288119"/>
      <w:bookmarkStart w:id="412" w:name="future-hooks"/>
      <w:bookmarkEnd w:id="411"/>
      <w:r>
        <w:rPr>
          <w:rStyle w:val="SectionNumber"/>
          <w:b/>
          <w:color w:val="FFFFFF"/>
          <w:sz w:val="32"/>
        </w:rPr>
        <w:t>27</w:t>
      </w:r>
      <w:r>
        <w:rPr>
          <w:b/>
          <w:color w:val="FFFFFF"/>
          <w:sz w:val="32"/>
        </w:rPr>
        <w:tab/>
        <w:t>Future Hooks</w:t>
      </w:r>
    </w:p>
    <w:p>
      <w:pPr>
        <w:pStyle w:val="Heading2"/>
        <w:pBdr>
          <w:bottom w:val="single" w:sz="12" w:space="0" w:color="228B22"/>
        </w:pBdr>
        <w:spacing w:before="280" w:after="80"/>
        <w:rPr/>
      </w:pPr>
      <w:bookmarkStart w:id="413" w:name="__RefHeading___Toc15026_888288119"/>
      <w:bookmarkEnd w:id="413"/>
      <w:r>
        <w:rPr>
          <w:rStyle w:val="SectionNumber"/>
          <w:b/>
          <w:color w:val="228B22"/>
          <w:sz w:val="28"/>
        </w:rPr>
        <w:t>27.1</w:t>
      </w:r>
      <w:r>
        <w:rPr>
          <w:b/>
          <w:color w:val="228B22"/>
          <w:sz w:val="28"/>
        </w:rPr>
        <w:tab/>
        <w:t>Recorded future work, not blockers</w:t>
      </w:r>
    </w:p>
    <w:p>
      <w:pPr>
        <w:pStyle w:val="FirstParagraph"/>
        <w:rPr/>
      </w:pPr>
      <w:r>
        <w:rPr>
          <w:sz w:val="20"/>
        </w:rPr>
        <w:t>The following items are explicitly out of scope for amber v1.0 but are recorded as hooks so the architecture does not accidentally close them off.</w:t>
      </w:r>
    </w:p>
    <w:p>
      <w:pPr>
        <w:pStyle w:val="TableCaption"/>
        <w:rPr/>
      </w:pPr>
      <w:bookmarkStart w:id="414" w:name="_Tab_17_Table_6_1__Future_ho"/>
      <w:r>
        <w:rPr/>
        <w:t>Table 6.1: Future hooks</w:t>
      </w:r>
      <w:bookmarkEnd w:id="4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future work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How amber leaves the door open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miss handling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core research delta for </w:t>
            </w:r>
            <w:r>
              <w:rPr>
                <w:rStyle w:val="VerbatimChar"/>
                <w:rFonts w:eastAsia="Cambria" w:cs=""/>
                <w:kern w:val="0"/>
                <w:szCs w:val="24"/>
                <w:lang w:val="en-US" w:eastAsia="en-US" w:bidi="ar-SA"/>
              </w:rPr>
              <w:t>jet</w:t>
            </w:r>
            <w:r>
              <w:rPr>
                <w:rFonts w:eastAsia="Cambria" w:cs=""/>
                <w:kern w:val="0"/>
                <w:sz w:val="24"/>
                <w:szCs w:val="24"/>
                <w:lang w:val="en-US" w:eastAsia="en-US" w:bidi="ar-SA"/>
              </w:rPr>
              <w:t xml:space="preserve"> (J1–J7)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r>
              <w:rPr>
                <w:rFonts w:eastAsia="Cambria" w:cs=""/>
                <w:kern w:val="0"/>
                <w:sz w:val="24"/>
                <w:szCs w:val="24"/>
                <w:lang w:val="en-US" w:eastAsia="en-US" w:bidi="ar-SA"/>
              </w:rPr>
              <w:t>’s module boundaries are clean; MSHRs replace the pending-fill bypass and the single-outstanding FSM without changing the array or snoop adapter interfaces.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MOESI O-state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Measurement for the pair rig, not a v1 requirement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3-bit state field in </w:t>
            </w:r>
            <w:r>
              <w:rPr>
                <w:rStyle w:val="VerbatimChar"/>
                <w:rFonts w:eastAsia="Cambria" w:cs=""/>
                <w:kern w:val="0"/>
                <w:szCs w:val="24"/>
                <w:lang w:val="en-US" w:eastAsia="en-US" w:bidi="ar-SA"/>
              </w:rPr>
              <w:t>amber_tag_array</w:t>
            </w:r>
            <w:r>
              <w:rPr>
                <w:rFonts w:eastAsia="Cambria" w:cs=""/>
                <w:kern w:val="0"/>
                <w:sz w:val="24"/>
                <w:szCs w:val="24"/>
                <w:lang w:val="en-US" w:eastAsia="en-US" w:bidi="ar-SA"/>
              </w:rPr>
              <w:t xml:space="preserve"> already reserves the encoding headroom.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tree-PLRU cache_sim golden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Timing-tight policy without a sim parity model today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r>
              <w:rPr>
                <w:rFonts w:eastAsia="Cambria" w:cs=""/>
                <w:kern w:val="0"/>
                <w:sz w:val="24"/>
                <w:szCs w:val="24"/>
                <w:lang w:val="en-US" w:eastAsia="en-US" w:bidi="ar-SA"/>
              </w:rPr>
              <w:t xml:space="preserve"> is an elaboration parameter; adding a tree-PLRU model to cache_sim and the DV scoreboard is a model extension, not an RTL 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attachment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real consumer after TB masters (D10)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CPU-side GAXI slave is the attachment point; no adapter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Directory-lite snoop filter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Deferred from amber D4, reopened as onyx D3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ACE-shaped snoop port is the boundary; a filter can be inserted between </w:t>
            </w:r>
            <w:r>
              <w:rPr>
                <w:rStyle w:val="VerbatimChar"/>
                <w:rFonts w:eastAsia="Cambria" w:cs=""/>
                <w:kern w:val="0"/>
                <w:szCs w:val="24"/>
                <w:lang w:val="en-US" w:eastAsia="en-US" w:bidi="ar-SA"/>
              </w:rPr>
              <w:t>amber_snoop_resp</w:t>
            </w:r>
            <w:r>
              <w:rPr>
                <w:rFonts w:eastAsia="Cambria" w:cs=""/>
                <w:kern w:val="0"/>
                <w:sz w:val="24"/>
                <w:szCs w:val="24"/>
                <w:lang w:val="en-US" w:eastAsia="en-US" w:bidi="ar-SA"/>
              </w:rPr>
              <w:t xml:space="preserve"> and the peer/onyx without touching </w:t>
            </w:r>
            <w:r>
              <w:rPr>
                <w:rStyle w:val="VerbatimChar"/>
                <w:rFonts w:eastAsia="Cambria" w:cs=""/>
                <w:kern w:val="0"/>
                <w:szCs w:val="24"/>
                <w:lang w:val="en-US" w:eastAsia="en-US" w:bidi="ar-SA"/>
              </w:rPr>
              <w:t>amber_core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DVM and barriers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of scope per onyx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snoop adapter and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ignore these transaction types; adding them is an adapter/issuer change.</w:t>
            </w:r>
            <w:bookmarkStart w:id="415" w:name="recorded-future-work-not-blockers"/>
            <w:bookmarkEnd w:id="415"/>
          </w:p>
        </w:tc>
      </w:tr>
    </w:tbl>
    <w:p>
      <w:pPr>
        <w:pStyle w:val="Heading2"/>
        <w:pBdr>
          <w:bottom w:val="single" w:sz="12" w:space="0" w:color="228B22"/>
        </w:pBdr>
        <w:spacing w:before="280" w:after="80"/>
        <w:rPr/>
      </w:pPr>
      <w:bookmarkStart w:id="416" w:name="__RefHeading___Toc15028_888288119"/>
      <w:bookmarkEnd w:id="416"/>
      <w:r>
        <w:rPr>
          <w:rStyle w:val="SectionNumber"/>
          <w:b/>
          <w:color w:val="228B22"/>
          <w:sz w:val="28"/>
        </w:rPr>
        <w:t>27.2</w:t>
      </w:r>
      <w:r>
        <w:rPr>
          <w:b/>
          <w:color w:val="228B22"/>
          <w:sz w:val="28"/>
        </w:rPr>
        <w:tab/>
        <w:t>Closing D3 and D11</w:t>
      </w:r>
    </w:p>
    <w:p>
      <w:pPr>
        <w:pStyle w:val="FirstParagraph"/>
        <w:rPr/>
      </w:pPr>
      <w:r>
        <w:rPr>
          <w:sz w:val="20"/>
        </w:rPr>
        <w:t xml:space="preserve">D3 (memory-side interface) and D11 (array construction) remain open. Closing them will produce either a revised HAS or the MAS, depending on whether the decisions stay at architecture level or move into micro-architecture. Until then, the current directions — AXI4/ACE house wrappers and </w:t>
      </w:r>
      <w:r>
        <w:rPr>
          <w:rStyle w:val="VerbatimChar"/>
          <w:sz w:val="20"/>
        </w:rPr>
        <w:t>sdpram_core</w:t>
      </w:r>
      <w:r>
        <w:rPr>
          <w:sz w:val="20"/>
        </w:rPr>
        <w:t>-based dual-port arrays — are the working defaults and the targets for the first RTL cut.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7" w:name="future-hooks"/>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7"/>
      <w:r>
        <w:br w:type="page"/>
      </w:r>
    </w:p>
    <w:p>
      <w:pPr>
        <w:pStyle w:val="Heading1"/>
        <w:shd w:val="clear" w:color="auto" w:fill="404040"/>
        <w:spacing w:before="360" w:after="120"/>
        <w:rPr/>
      </w:pPr>
      <w:bookmarkStart w:id="418" w:name="__RefHeading___Toc15030_888288119"/>
      <w:bookmarkStart w:id="419" w:name="Xbe0b1a2ce879ee43ed3b78c64db18edd93160d7"/>
      <w:bookmarkEnd w:id="418"/>
      <w:r>
        <w:rPr>
          <w:rStyle w:val="SectionNumber"/>
          <w:b/>
          <w:color w:val="FFFFFF"/>
          <w:sz w:val="32"/>
        </w:rPr>
        <w:t>28</w:t>
      </w:r>
      <w:r>
        <w:rPr>
          <w:b/>
          <w:color w:val="FFFFFF"/>
          <w:sz w:val="32"/>
        </w:rPr>
        <w:tab/>
        <w:t>amber — Pre-Hardware Architecture Specification (Pre-HAS)</w:t>
      </w:r>
    </w:p>
    <w:p>
      <w:pPr>
        <w:pStyle w:val="FirstParagraph"/>
        <w:rPr/>
      </w:pPr>
      <w:r>
        <w:rPr>
          <w:b/>
          <w:bCs/>
          <w:sz w:val="20"/>
        </w:rPr>
        <w:t>Version:</w:t>
      </w:r>
      <w:r>
        <w:rPr>
          <w:sz w:val="20"/>
        </w:rPr>
        <w:t xml:space="preserve"> 0.3 (draft, 2026-10-06) — </w:t>
      </w:r>
      <w:r>
        <w:rPr>
          <w:b/>
          <w:bCs/>
          <w:sz w:val="20"/>
        </w:rPr>
        <w:t xml:space="preserve">superseded by the </w:t>
      </w:r>
      <w:hyperlink r:id="rId62">
        <w:r>
          <w:rPr>
            <w:rStyle w:val="Hyperlink"/>
            <w:b/>
            <w:bCs/>
          </w:rPr>
          <w:t>full HAS</w:t>
        </w:r>
      </w:hyperlink>
      <w:r>
        <w:rPr>
          <w:b/>
          <w:bCs/>
          <w:sz w:val="20"/>
        </w:rPr>
        <w:t xml:space="preserve"> (v1.0, same day)</w:t>
      </w:r>
      <w:r>
        <w:rPr>
          <w:sz w:val="20"/>
        </w:rPr>
        <w:t xml:space="preserve"> once the PRD closed its rows (v0.5): the chapter book ratifies this sketch, and this file is kept as the decision-path record. </w:t>
      </w:r>
      <w:r>
        <w:rPr>
          <w:b/>
          <w:bCs/>
          <w:sz w:val="20"/>
        </w:rPr>
        <w:t>Status:</w:t>
      </w:r>
      <w:r>
        <w:rPr>
          <w:sz w:val="20"/>
        </w:rPr>
        <w:t xml:space="preserve"> architecture sketch written while the PRD decisions are still OPEN. This document records </w:t>
      </w:r>
      <w:r>
        <w:rPr>
          <w:b/>
          <w:bCs/>
          <w:sz w:val="20"/>
        </w:rPr>
        <w:t>no decisions</w:t>
      </w:r>
      <w:r>
        <w:rPr>
          <w:sz w:val="20"/>
        </w:rPr>
        <w:t xml:space="preserve">. “PROPOSED” marks a working default put forward so the decision rows can be argued with concretely; a decision becomes DECIDED only when </w:t>
      </w:r>
      <w:hyperlink r:id="rId63">
        <w:r>
          <w:rPr>
            <w:rStyle w:val="Hyperlink"/>
          </w:rPr>
          <w:t>PRD.md</w:t>
        </w:r>
      </w:hyperlink>
      <w:r>
        <w:rPr>
          <w:sz w:val="20"/>
        </w:rPr>
        <w:t xml:space="preserve"> records a name and a date. When the decisions close, each PROPOSED item here is either ratified into the full </w:t>
      </w:r>
      <w:r>
        <w:rPr>
          <w:rStyle w:val="VerbatimChar"/>
          <w:sz w:val="20"/>
        </w:rPr>
        <w:t>amber_has</w:t>
      </w:r>
      <w:r>
        <w:rPr>
          <w:sz w:val="20"/>
        </w:rPr>
        <w:t xml:space="preserve"> chapter book (the stream/andesite convention) or overridden and this file edited. v0.2 (2026-10-06): D2 landed in the PRD — CPU-side is a </w:t>
      </w:r>
      <w:r>
        <w:rPr>
          <w:b/>
          <w:bCs/>
          <w:sz w:val="20"/>
        </w:rPr>
        <w:t>GAXI slave</w:t>
      </w:r>
      <w:r>
        <w:rPr>
          <w:sz w:val="20"/>
        </w:rPr>
        <w:t xml:space="preserve">. F9 now answers probe-during-fill with a </w:t>
      </w:r>
      <w:r>
        <w:rPr>
          <w:b/>
          <w:bCs/>
          <w:sz w:val="20"/>
        </w:rPr>
        <w:t>pending-fill bypass</w:t>
      </w:r>
      <w:r>
        <w:rPr>
          <w:sz w:val="20"/>
        </w:rPr>
        <w:t xml:space="preserve"> instead of an unbounded stall. Q1 answered — </w:t>
      </w:r>
      <w:r>
        <w:rPr>
          <w:rStyle w:val="VerbatimChar"/>
          <w:sz w:val="20"/>
        </w:rPr>
        <w:t>amber_fabric</w:t>
      </w:r>
      <w:r>
        <w:rPr>
          <w:sz w:val="20"/>
        </w:rPr>
        <w:t xml:space="preserve"> carries </w:t>
      </w:r>
      <w:r>
        <w:rPr>
          <w:b/>
          <w:bCs/>
          <w:sz w:val="20"/>
        </w:rPr>
        <w:t>both</w:t>
      </w:r>
      <w:r>
        <w:rPr>
          <w:sz w:val="20"/>
        </w:rPr>
        <w:t xml:space="preserve"> rig attachments and the </w:t>
      </w:r>
      <w:r>
        <w:rPr>
          <w:rStyle w:val="VerbatimChar"/>
          <w:sz w:val="20"/>
        </w:rPr>
        <w:t>RIG</w:t>
      </w:r>
      <w:r>
        <w:rPr>
          <w:sz w:val="20"/>
        </w:rPr>
        <w:t xml:space="preserve"> elaboration parameter generate-selects. v0.3 (2026-10-06): Q1 re-answered by the owner — both rigs as </w:t>
      </w:r>
      <w:r>
        <w:rPr>
          <w:b/>
          <w:bCs/>
          <w:sz w:val="20"/>
        </w:rPr>
        <w:t>two tops</w:t>
      </w:r>
      <w:r>
        <w:rPr>
          <w:sz w:val="20"/>
        </w:rPr>
        <w:t xml:space="preserve">, </w:t>
      </w:r>
      <w:r>
        <w:rPr>
          <w:rStyle w:val="VerbatimChar"/>
          <w:sz w:val="20"/>
        </w:rPr>
        <w:t>amber</w:t>
      </w:r>
      <w:r>
        <w:rPr>
          <w:sz w:val="20"/>
        </w:rPr>
        <w:t xml:space="preserve"> (pair rig) and </w:t>
      </w:r>
      <w:r>
        <w:rPr>
          <w:rStyle w:val="VerbatimChar"/>
          <w:sz w:val="20"/>
        </w:rPr>
        <w:t>amber_ace</w:t>
      </w:r>
      <w:r>
        <w:rPr>
          <w:sz w:val="20"/>
        </w:rPr>
        <w:t xml:space="preserve"> (onyx rig), on a shared </w:t>
      </w:r>
      <w:r>
        <w:rPr>
          <w:rStyle w:val="VerbatimChar"/>
          <w:sz w:val="20"/>
        </w:rPr>
        <w:t>amber_core</w:t>
      </w:r>
      <w:r>
        <w:rPr>
          <w:sz w:val="20"/>
        </w:rPr>
        <w:t xml:space="preserve">. No </w:t>
      </w:r>
      <w:r>
        <w:rPr>
          <w:rStyle w:val="VerbatimChar"/>
          <w:sz w:val="20"/>
        </w:rPr>
        <w:t>RIG</w:t>
      </w:r>
      <w:r>
        <w:rPr>
          <w:sz w:val="20"/>
        </w:rPr>
        <w:t xml:space="preserve"> parameter: the rig is whichever top you instantiate.</w:t>
      </w:r>
    </w:p>
    <w:p>
      <w:pPr>
        <w:pStyle w:val="BodyText"/>
        <w:rPr/>
      </w:pPr>
      <w:r>
        <w:rPr>
          <w:b/>
          <w:bCs/>
          <w:sz w:val="20"/>
        </w:rPr>
        <w:t>Governing documents:</w:t>
      </w:r>
      <w:r>
        <w:rPr>
          <w:sz w:val="20"/>
        </w:rPr>
        <w:t xml:space="preserve"> </w:t>
      </w:r>
      <w:hyperlink r:id="rId64">
        <w:r>
          <w:rPr>
            <w:rStyle w:val="Hyperlink"/>
          </w:rPr>
          <w:t>PRD.md</w:t>
        </w:r>
      </w:hyperlink>
      <w:r>
        <w:rPr>
          <w:sz w:val="20"/>
        </w:rPr>
        <w:t xml:space="preserve"> (binding) · </w:t>
      </w:r>
      <w:hyperlink r:id="rId65">
        <w:r>
          <w:rPr>
            <w:rStyle w:val="Hyperlink"/>
          </w:rPr>
          <w:t>onyx PRD D7</w:t>
        </w:r>
      </w:hyperlink>
      <w:r>
        <w:rPr>
          <w:sz w:val="20"/>
        </w:rPr>
        <w:t xml:space="preserve"> (snoop-port contract) · </w:t>
      </w:r>
      <w:hyperlink r:id="rId66">
        <w:r>
          <w:rPr>
            <w:rStyle w:val="Hyperlink"/>
          </w:rPr>
          <w:t>jet PRD</w:t>
        </w:r>
      </w:hyperlink>
      <w:r>
        <w:rPr>
          <w:sz w:val="20"/>
        </w:rPr>
        <w:t xml:space="preserve"> (what must stay constant) · </w:t>
      </w:r>
      <w:hyperlink r:id="rId67">
        <w:r>
          <w:rPr>
            <w:rStyle w:val="Hyperlink"/>
          </w:rPr>
          <w:t>GLOBAL_REQUIREMENTS.md</w:t>
        </w:r>
      </w:hyperlink>
      <w:r>
        <w:rPr>
          <w:sz w:val="20"/>
        </w:rPr>
        <w:t xml:space="preserve"> · </w:t>
      </w:r>
      <w:hyperlink r:id="rId68">
        <w:r>
          <w:rPr>
            <w:rStyle w:val="Hyperlink"/>
          </w:rPr>
          <w:t>cache simulator</w:t>
        </w:r>
      </w:hyperlink>
      <w:r>
        <w:rPr>
          <w:sz w:val="20"/>
        </w:rPr>
        <w:t xml:space="preserve"> (golden model)</w:t>
      </w:r>
    </w:p>
    <w:p>
      <w:pPr>
        <w:pStyle w:val="Normal"/>
        <w:rPr/>
      </w:pPr>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20" w:name="__RefHeading___Toc15032_888288119"/>
      <w:bookmarkStart w:id="421" w:name="intent-of-this-document"/>
      <w:bookmarkEnd w:id="420"/>
      <w:r>
        <w:rPr>
          <w:rStyle w:val="SectionNumber"/>
          <w:b/>
          <w:color w:val="228B22"/>
          <w:sz w:val="28"/>
        </w:rPr>
        <w:t>28.1</w:t>
      </w:r>
      <w:r>
        <w:rPr>
          <w:b/>
          <w:color w:val="228B22"/>
          <w:sz w:val="28"/>
        </w:rPr>
        <w:tab/>
        <w:t>1. Intent of this document</w:t>
      </w:r>
    </w:p>
    <w:p>
      <w:pPr>
        <w:pStyle w:val="FirstParagraph"/>
        <w:rPr/>
      </w:pPr>
      <w:r>
        <w:rPr>
          <w:sz w:val="20"/>
        </w:rPr>
        <w:t xml:space="preserve">The PRD carries eleven decision rows and has closed three: </w:t>
      </w:r>
      <w:r>
        <w:rPr>
          <w:b/>
          <w:bCs/>
          <w:sz w:val="20"/>
        </w:rPr>
        <w:t>D2</w:t>
      </w:r>
      <w:r>
        <w:rPr>
          <w:sz w:val="20"/>
        </w:rPr>
        <w:t xml:space="preserve"> (CPU-side is a GAXI slave), </w:t>
      </w:r>
      <w:r>
        <w:rPr>
          <w:b/>
          <w:bCs/>
          <w:sz w:val="20"/>
        </w:rPr>
        <w:t>D4</w:t>
      </w:r>
      <w:r>
        <w:rPr>
          <w:sz w:val="20"/>
        </w:rPr>
        <w:t xml:space="preserve"> (snoop transport is ACE-shaped AC/CD/CR), and </w:t>
      </w:r>
      <w:r>
        <w:rPr>
          <w:b/>
          <w:bCs/>
          <w:sz w:val="20"/>
        </w:rPr>
        <w:t>D8</w:t>
      </w:r>
      <w:r>
        <w:rPr>
          <w:sz w:val="20"/>
        </w:rPr>
        <w:t xml:space="preserve"> (observation through </w:t>
      </w:r>
      <w:r>
        <w:rPr>
          <w:rStyle w:val="VerbatimChar"/>
          <w:sz w:val="20"/>
        </w:rPr>
        <w:t>*_monlite</w:t>
      </w:r>
      <w:r>
        <w:rPr>
          <w:sz w:val="20"/>
        </w:rPr>
        <w:t xml:space="preserve"> wrappers only). The Pre-HAS makes the open rows concrete: for each, it sketches the feature the way a working default would build it, so the architecture can be reviewed before any RTL exists. It is deliberately cheap to change — one file, no chapter skeleton yet.</w:t>
      </w:r>
      <w:bookmarkEnd w:id="421"/>
    </w:p>
    <w:p>
      <w:pPr>
        <w:pStyle w:val="Heading2"/>
        <w:pBdr>
          <w:bottom w:val="single" w:sz="12" w:space="0" w:color="228B22"/>
        </w:pBdr>
        <w:spacing w:before="280" w:after="80"/>
        <w:rPr/>
      </w:pPr>
      <w:bookmarkStart w:id="422" w:name="__RefHeading___Toc15034_888288119"/>
      <w:bookmarkStart w:id="423" w:name="feature-sketches"/>
      <w:bookmarkEnd w:id="422"/>
      <w:r>
        <w:rPr>
          <w:rStyle w:val="SectionNumber"/>
          <w:b/>
          <w:color w:val="228B22"/>
          <w:sz w:val="28"/>
        </w:rPr>
        <w:t>28.2</w:t>
      </w:r>
      <w:r>
        <w:rPr>
          <w:b/>
          <w:color w:val="228B22"/>
          <w:sz w:val="28"/>
        </w:rPr>
        <w:tab/>
        <w:t>2. Feature sketches</w:t>
      </w:r>
    </w:p>
    <w:p>
      <w:pPr>
        <w:pStyle w:val="Heading3"/>
        <w:spacing w:before="200" w:after="80"/>
        <w:rPr/>
      </w:pPr>
      <w:bookmarkStart w:id="424" w:name="__RefHeading___Toc15036_888288119"/>
      <w:bookmarkStart w:id="425" w:name="core-datapath-the-blocking-bet"/>
      <w:bookmarkEnd w:id="424"/>
      <w:r>
        <w:rPr>
          <w:rStyle w:val="SectionNumber"/>
          <w:b/>
          <w:color w:val="404040"/>
          <w:sz w:val="24"/>
        </w:rPr>
        <w:t>28.2.1</w:t>
      </w:r>
      <w:r>
        <w:rPr>
          <w:b/>
          <w:color w:val="404040"/>
          <w:sz w:val="24"/>
        </w:rPr>
        <w:tab/>
        <w:t>2.1 Core datapath — the blocking bet</w:t>
      </w:r>
    </w:p>
    <w:p>
      <w:pPr>
        <w:pStyle w:val="Compact"/>
        <w:numPr>
          <w:ilvl w:val="0"/>
          <w:numId w:val="163"/>
        </w:numPr>
        <w:rPr/>
      </w:pPr>
      <w:r>
        <w:rPr>
          <w:b/>
          <w:bCs/>
        </w:rPr>
        <w:t>F1 — Blocking single-outstanding pipeline.</w:t>
      </w:r>
      <w:r>
        <w:rPr/>
        <w:t xml:space="preserve"> A miss freezes the front end until the fill completes and the original request replays. No MSHR, no hit-under-miss, no merge logic — that deletion is the entire point; it is jet’s delta (jet J1–J5).</w:t>
      </w:r>
    </w:p>
    <w:p>
      <w:pPr>
        <w:pStyle w:val="Compact"/>
        <w:numPr>
          <w:ilvl w:val="0"/>
          <w:numId w:val="164"/>
        </w:numPr>
        <w:rPr/>
      </w:pPr>
      <w:r>
        <w:rPr>
          <w:b/>
          <w:bCs/>
        </w:rPr>
        <w:t>F2 — Geometry as elaboration parameters</w:t>
      </w:r>
      <w:r>
        <w:rPr/>
        <w:t xml:space="preserve"> (D1 OPEN). PROPOSED default profile 32 KiB / 64 B lines / 4 ways (128 sets) as the DV matrix centre of gravity; ranges 4–32 KiB, 32–64 B, 2–8 ways.</w:t>
      </w:r>
    </w:p>
    <w:p>
      <w:pPr>
        <w:pStyle w:val="Compact"/>
        <w:numPr>
          <w:ilvl w:val="0"/>
          <w:numId w:val="165"/>
        </w:numPr>
        <w:rPr/>
      </w:pPr>
      <w:r>
        <w:rPr>
          <w:b/>
          <w:bCs/>
        </w:rPr>
        <w:t>F3 — Pluggable replacement</w:t>
      </w:r>
      <w:r>
        <w:rPr/>
        <w:t xml:space="preserve"> (D7 OPEN). PROPOSED: true-LRU as the correctness reference (the cache simulator models it exactly), tree-PLRU as the FPGA-area variant; FIFO/random kept because the sim models them too. Policy is an elaboration parameter, never a code hack, so the sim↔RTL cross-check holds for every policy both sides implement.</w:t>
      </w:r>
    </w:p>
    <w:p>
      <w:pPr>
        <w:pStyle w:val="Compact"/>
        <w:numPr>
          <w:ilvl w:val="0"/>
          <w:numId w:val="166"/>
        </w:numPr>
        <w:rPr/>
      </w:pPr>
      <w:r>
        <w:rPr>
          <w:b/>
          <w:bCs/>
        </w:rPr>
        <w:t>F4 — Write policy</w:t>
      </w:r>
      <w:r>
        <w:rPr/>
        <w:t xml:space="preserve"> (D5 OPEN). PROPOSED: write-back + write-allocate — MESI’s M state earns its keep, and dirty-victim handling is where blocking simplicity pays. Write-through/no-allocate retained as a bring-up mode because it deletes the victim path entirely.</w:t>
      </w:r>
    </w:p>
    <w:p>
      <w:pPr>
        <w:pStyle w:val="Compact"/>
        <w:numPr>
          <w:ilvl w:val="0"/>
          <w:numId w:val="167"/>
        </w:numPr>
        <w:rPr/>
      </w:pPr>
      <w:r>
        <w:rPr>
          <w:b/>
          <w:bCs/>
        </w:rPr>
        <w:t>F5 — Whole-line fills.</w:t>
      </w:r>
      <w:r>
        <w:rPr/>
        <w:t xml:space="preserve"> One burst per fill; sub-line fill granularity is a non-goal. Burst length derives from </w:t>
      </w:r>
      <w:r>
        <w:rPr>
          <w:rStyle w:val="VerbatimChar"/>
        </w:rPr>
        <w:t>LINE_BYTES / (BUS_WIDTH/8)</w:t>
      </w:r>
      <w:r>
        <w:rPr/>
        <w:t>.</w:t>
      </w:r>
      <w:bookmarkEnd w:id="425"/>
    </w:p>
    <w:p>
      <w:pPr>
        <w:pStyle w:val="Heading3"/>
        <w:spacing w:before="200" w:after="80"/>
        <w:rPr/>
      </w:pPr>
      <w:bookmarkStart w:id="426" w:name="__RefHeading___Toc15038_888288119"/>
      <w:bookmarkStart w:id="427" w:name="coherence"/>
      <w:bookmarkEnd w:id="426"/>
      <w:r>
        <w:rPr>
          <w:rStyle w:val="SectionNumber"/>
          <w:b/>
          <w:color w:val="404040"/>
          <w:sz w:val="24"/>
        </w:rPr>
        <w:t>28.2.2</w:t>
      </w:r>
      <w:r>
        <w:rPr>
          <w:b/>
          <w:color w:val="404040"/>
          <w:sz w:val="24"/>
        </w:rPr>
        <w:tab/>
        <w:t>2.2 Coherence</w:t>
      </w:r>
    </w:p>
    <w:p>
      <w:pPr>
        <w:pStyle w:val="Compact"/>
        <w:numPr>
          <w:ilvl w:val="0"/>
          <w:numId w:val="168"/>
        </w:numPr>
        <w:rPr/>
      </w:pPr>
      <w:r>
        <w:rPr>
          <w:b/>
          <w:bCs/>
        </w:rPr>
        <w:t>F6 — MESI state per line</w:t>
      </w:r>
      <w:r>
        <w:rPr/>
        <w:t xml:space="preserve"> (D6 OPEN). PROPOSED plain MESI; MOESI’s O-state recorded as a later elaboration upgrade, not v1 — ownership’s win (dirty-transfer reduction between caches) is a measurement for the pair rig, not a v1 requirement. Insurance: allocate a 3-bit state field now (MESI needs 2; MOESI needs 3) so the upgrade is an encoding change, not an array rebuild.</w:t>
      </w:r>
    </w:p>
    <w:p>
      <w:pPr>
        <w:pStyle w:val="Compact"/>
        <w:numPr>
          <w:ilvl w:val="0"/>
          <w:numId w:val="169"/>
        </w:numPr>
        <w:rPr/>
      </w:pPr>
      <w:r>
        <w:rPr>
          <w:b/>
          <w:bCs/>
        </w:rPr>
        <w:t>F7 — ACE snoop responder</w:t>
      </w:r>
      <w:r>
        <w:rPr/>
        <w:t xml:space="preserve"> (D4 DECIDED — sketched, not re-decided). </w:t>
      </w:r>
      <w:r>
        <w:rPr>
          <w:rStyle w:val="VerbatimChar"/>
        </w:rPr>
        <w:t>amber_snoop_resp</w:t>
      </w:r>
      <w:r>
        <w:rPr/>
        <w:t>: a thin adapter speaking raw ACE AC/CR/CD on the outside per the onyx D7 contract (IHI 0022 the definition) and driving a bus-agnostic probe interface inside. The cache core never contains ACE — only the adapter does; that is exactly why D4 was chosen (onyx, or a real ACE interconnect, can supersede the custom bus without touching cache RTL).</w:t>
      </w:r>
    </w:p>
    <w:p>
      <w:pPr>
        <w:pStyle w:val="Compact"/>
        <w:numPr>
          <w:ilvl w:val="0"/>
          <w:numId w:val="170"/>
        </w:numPr>
        <w:rPr/>
      </w:pPr>
      <w:r>
        <w:rPr>
          <w:b/>
          <w:bCs/>
        </w:rPr>
        <w:t>F8 — Snoop/local arbitration — the culsans problem.</w:t>
      </w:r>
      <w:r>
        <w:rPr/>
        <w:t xml:space="preserve"> Probes must not starve and CPU tag latency must stay bounded. PROPOSED: tag array on the dual-port </w:t>
      </w:r>
      <w:r>
        <w:rPr>
          <w:rStyle w:val="VerbatimChar"/>
        </w:rPr>
        <w:t>sdpram_core</w:t>
      </w:r>
      <w:r>
        <w:rPr/>
        <w:t xml:space="preserve"> — port A for CPU lookups, port B for snoop lookups; data array port A for CPU/fill, port B for snoop readout feeding</w:t>
      </w:r>
    </w:p>
    <w:p>
      <w:pPr>
        <w:pStyle w:val="Compact"/>
        <w:numPr>
          <w:ilvl w:val="1"/>
          <w:numId w:val="171"/>
        </w:numPr>
        <w:rPr/>
      </w:pPr>
      <w:r>
        <w:rPr/>
        <w:t xml:space="preserve">No arbitration stall in the common case; the </w:t>
      </w:r>
      <w:r>
        <w:rPr>
          <w:i/>
          <w:iCs/>
        </w:rPr>
        <w:t>control</w:t>
      </w:r>
      <w:r>
        <w:rPr/>
        <w:t xml:space="preserve"> collision (miss FSM vs snoop FSM wanting the same array control port) resolved with snoop-priority round-robin inside </w:t>
      </w:r>
      <w:r>
        <w:rPr>
          <w:rStyle w:val="VerbatimChar"/>
        </w:rPr>
        <w:t>amber_control</w:t>
      </w:r>
      <w:r>
        <w:rPr/>
        <w:t>.</w:t>
      </w:r>
    </w:p>
    <w:p>
      <w:pPr>
        <w:pStyle w:val="Compact"/>
        <w:numPr>
          <w:ilvl w:val="0"/>
          <w:numId w:val="172"/>
        </w:numPr>
        <w:rPr/>
      </w:pPr>
      <w:r>
        <w:rPr>
          <w:b/>
          <w:bCs/>
        </w:rPr>
        <w:t>F9 — Probe-during-fill, answered by a bypass</w:t>
      </w:r>
      <w:r>
        <w:rPr/>
        <w:t xml:space="preserve"> (direction set 2026-10-06: add the bypass). Blocking means a fill is usually in flight, and a probe against a pending line must not observe pre-fill state. The answer is not an unbounded stall: amber keeps one pending-fill register — single outstanding by construction — recording {line address, state being installed, data availability}. A probe matching it is answered from the register: CRRESP reflects the post-fill state, and required CD beats are forwarded from the fill stream as its beats arrive. A probe that misses it takes the normal tag path. The snoop response is bounded either way. The correctness target sharpens rather than relaxes: </w:t>
      </w:r>
      <w:r>
        <w:rPr>
          <w:i/>
          <w:iCs/>
        </w:rPr>
        <w:t>the bypass must be state-accurate</w:t>
      </w:r>
      <w:r>
        <w:rPr/>
        <w:t xml:space="preserve"> — a probe against a pending fill observes exactly the post-fill state, never pre-fill — alongside the response-bound liveness target. jet reopens the generalisation (jet J4/J6): multiple outstanding fills turn the register into a pending-fill table, which is jet’s problem, not amber’s.</w:t>
      </w:r>
    </w:p>
    <w:p>
      <w:pPr>
        <w:pStyle w:val="Compact"/>
        <w:numPr>
          <w:ilvl w:val="0"/>
          <w:numId w:val="173"/>
        </w:numPr>
        <w:rPr/>
      </w:pPr>
      <w:r>
        <w:rPr>
          <w:b/>
          <w:bCs/>
        </w:rPr>
        <w:t>F10 — CRRESP response matrix</w:t>
      </w:r>
      <w:r>
        <w:rPr/>
        <w:t xml:space="preserve"> per MESI state, mirroring the RDS-DV ACE BFM default matrix as corrected in cocotb-framework 1.2.0 (MakeInvalid on M/O invalidates without data transfer — the bug the release fixed). The matrix ships as an explicit table in the full HAS.</w:t>
      </w:r>
      <w:bookmarkEnd w:id="427"/>
    </w:p>
    <w:p>
      <w:pPr>
        <w:pStyle w:val="Heading3"/>
        <w:spacing w:before="200" w:after="80"/>
        <w:rPr/>
      </w:pPr>
      <w:bookmarkStart w:id="428" w:name="__RefHeading___Toc15040_888288119"/>
      <w:bookmarkStart w:id="429" w:name="X2b8112c0a7a610c1c02314e2a85aff56e407791"/>
      <w:bookmarkEnd w:id="428"/>
      <w:r>
        <w:rPr>
          <w:rStyle w:val="SectionNumber"/>
          <w:b/>
          <w:color w:val="404040"/>
          <w:sz w:val="24"/>
        </w:rPr>
        <w:t>28.2.3</w:t>
      </w:r>
      <w:r>
        <w:rPr>
          <w:b/>
          <w:color w:val="404040"/>
          <w:sz w:val="24"/>
        </w:rPr>
        <w:tab/>
        <w:t>2.3 Fabric side — where the two deployment rigs meet</w:t>
      </w:r>
    </w:p>
    <w:p>
      <w:pPr>
        <w:pStyle w:val="Compact"/>
        <w:numPr>
          <w:ilvl w:val="0"/>
          <w:numId w:val="174"/>
        </w:numPr>
        <w:rPr/>
      </w:pPr>
      <w:r>
        <w:rPr>
          <w:b/>
          <w:bCs/>
        </w:rPr>
        <w:t>F11 — The two rigs.</w:t>
      </w:r>
      <w:r>
        <w:rPr/>
        <w:t xml:space="preserve"> </w:t>
      </w:r>
      <w:r>
        <w:rPr>
          <w:i/>
          <w:iCs/>
        </w:rPr>
        <w:t>Pair rig</w:t>
      </w:r>
      <w:r>
        <w:rPr/>
        <w:t xml:space="preserve"> (amber D10): two ambers + shared memory, snoops peer-to-peer on the D4 port, misses are plain AXI4 to memory. </w:t>
      </w:r>
      <w:r>
        <w:rPr>
          <w:i/>
          <w:iCs/>
        </w:rPr>
        <w:t>Onyx rig</w:t>
      </w:r>
      <w:r>
        <w:rPr/>
        <w:t>: misses become coherent transactions toward onyx; onyx owns the memory side and drives the snoops. One cache core, two fabric attachments.</w:t>
      </w:r>
    </w:p>
    <w:p>
      <w:pPr>
        <w:pStyle w:val="Compact"/>
        <w:numPr>
          <w:ilvl w:val="0"/>
          <w:numId w:val="175"/>
        </w:numPr>
        <w:rPr/>
      </w:pPr>
      <w:r>
        <w:rPr>
          <w:b/>
          <w:bCs/>
        </w:rPr>
        <w:t>F12 — Fabric side: two tops on one core</w:t>
      </w:r>
      <w:r>
        <w:rPr/>
        <w:t xml:space="preserve"> (Q1 answered 2026-10-06: do both, as two tops). The rig-agnostic cache core is shared; the fabric difference is confined to the top wrapper and its master stack:</w:t>
      </w:r>
    </w:p>
    <w:p>
      <w:pPr>
        <w:pStyle w:val="Compact"/>
        <w:numPr>
          <w:ilvl w:val="1"/>
          <w:numId w:val="176"/>
        </w:numPr>
        <w:rPr/>
      </w:pPr>
      <w:r>
        <w:rPr>
          <w:rStyle w:val="VerbatimChar"/>
        </w:rPr>
        <w:t>amber</w:t>
      </w:r>
      <w:r>
        <w:rPr/>
        <w:t xml:space="preserve"> — the pair-rig top. Misses are plain AXI4 to memory on the house </w:t>
      </w:r>
      <w:r>
        <w:rPr>
          <w:rStyle w:val="VerbatimChar"/>
        </w:rPr>
        <w:t>axi4_master_rd/wr</w:t>
      </w:r>
      <w:r>
        <w:rPr/>
        <w:t xml:space="preserve"> wrappers; snoop encodings never driven; the ACE snoop-responder port faces the peer cache.</w:t>
      </w:r>
    </w:p>
    <w:p>
      <w:pPr>
        <w:pStyle w:val="Compact"/>
        <w:numPr>
          <w:ilvl w:val="1"/>
          <w:numId w:val="177"/>
        </w:numPr>
        <w:rPr/>
      </w:pPr>
      <w:r>
        <w:rPr>
          <w:rStyle w:val="VerbatimChar"/>
        </w:rPr>
        <w:t>amber_ace</w:t>
      </w:r>
      <w:r>
        <w:rPr/>
        <w:t xml:space="preserve"> — the onyx-rig top. Fabric side is the existing </w:t>
      </w:r>
      <w:r>
        <w:rPr>
          <w:rStyle w:val="VerbatimChar"/>
        </w:rPr>
        <w:t>rtl/amba/ace/axi4ace_master_rd</w:t>
      </w:r>
      <w:r>
        <w:rPr/>
        <w:t xml:space="preserve"> / </w:t>
      </w:r>
      <w:r>
        <w:rPr>
          <w:rStyle w:val="VerbatimChar"/>
        </w:rPr>
        <w:t>axi4ace_master_wr</w:t>
      </w:r>
      <w:r>
        <w:rPr/>
        <w:t xml:space="preserve"> modules (ACE fields and RACK/WACK auto-pulse already in place), driven by a thin </w:t>
      </w:r>
      <w:r>
        <w:rPr>
          <w:rStyle w:val="VerbatimChar"/>
        </w:rPr>
        <w:t>amber_ace_issue</w:t>
      </w:r>
      <w:r>
        <w:rPr/>
        <w:t xml:space="preserve"> coherent-transaction issuer mapping cache events to the onyx D2 subset — read miss → ReadShared / ReadUnique (by desired exclusivity), write promotion → CleanUnique / MakeUnique, dirty eviction → WriteBack, clean eviction → Evict. Memory masters not exposed; the snoop-responder port faces onyx. No parameter selects between them: the rig is whichever top is instantiated. Both tops are compiled, and both are exercised in the DV matrix — </w:t>
      </w:r>
      <w:r>
        <w:rPr>
          <w:rStyle w:val="VerbatimChar"/>
        </w:rPr>
        <w:t>amber</w:t>
      </w:r>
      <w:r>
        <w:rPr/>
        <w:t xml:space="preserve"> against a peer + memory environment, </w:t>
      </w:r>
      <w:r>
        <w:rPr>
          <w:rStyle w:val="VerbatimChar"/>
        </w:rPr>
        <w:t>amber_ace</w:t>
      </w:r>
      <w:r>
        <w:rPr/>
        <w:t xml:space="preserve"> against an onyx environment (§5).</w:t>
      </w:r>
    </w:p>
    <w:p>
      <w:pPr>
        <w:pStyle w:val="Compact"/>
        <w:numPr>
          <w:ilvl w:val="0"/>
          <w:numId w:val="178"/>
        </w:numPr>
        <w:rPr/>
      </w:pPr>
      <w:r>
        <w:rPr>
          <w:b/>
          <w:bCs/>
        </w:rPr>
        <w:t>F13 — Fill/drain engines</w:t>
      </w:r>
      <w:r>
        <w:rPr/>
        <w:t xml:space="preserve"> (D3 OPEN, direction: house wrappers). Fill = one AR burst, whole line. Drain = a small victim buffer (PROPOSED depth 1)</w:t>
      </w:r>
    </w:p>
    <w:p>
      <w:pPr>
        <w:pStyle w:val="Compact"/>
        <w:numPr>
          <w:ilvl w:val="1"/>
          <w:numId w:val="179"/>
        </w:numPr>
        <w:rPr/>
      </w:pPr>
      <w:bookmarkStart w:id="430" w:name="X2b8112c0a7a610c1c02314e2a85aff56e407791"/>
      <w:r>
        <w:rPr/>
        <w:t>one AW burst. Single outstanding by construction — no reorder buffers.</w:t>
      </w:r>
      <w:bookmarkEnd w:id="430"/>
    </w:p>
    <w:p>
      <w:pPr>
        <w:pStyle w:val="Heading3"/>
        <w:spacing w:before="200" w:after="80"/>
        <w:rPr/>
      </w:pPr>
      <w:bookmarkStart w:id="431" w:name="__RefHeading___Toc15042_888288119"/>
      <w:bookmarkStart w:id="432" w:name="X00388b6f30973cac1b0be08cc7f203b7fc2efa4"/>
      <w:bookmarkEnd w:id="431"/>
      <w:r>
        <w:rPr>
          <w:rStyle w:val="SectionNumber"/>
          <w:b/>
          <w:color w:val="404040"/>
          <w:sz w:val="24"/>
        </w:rPr>
        <w:t>28.2.4</w:t>
      </w:r>
      <w:r>
        <w:rPr>
          <w:b/>
          <w:color w:val="404040"/>
          <w:sz w:val="24"/>
        </w:rPr>
        <w:tab/>
        <w:t>2.4 Observation (D8 DECIDED — sketched, not re-decided)</w:t>
      </w:r>
    </w:p>
    <w:p>
      <w:pPr>
        <w:pStyle w:val="Compact"/>
        <w:numPr>
          <w:ilvl w:val="0"/>
          <w:numId w:val="180"/>
        </w:numPr>
        <w:rPr/>
      </w:pPr>
      <w:r>
        <w:rPr>
          <w:b/>
          <w:bCs/>
        </w:rPr>
        <w:t xml:space="preserve">F14 — </w:t>
      </w:r>
      <w:r>
        <w:rPr>
          <w:rStyle w:val="VerbatimChar"/>
          <w:b/>
          <w:bCs/>
        </w:rPr>
        <w:t>amber_monlite</w:t>
      </w:r>
      <w:r>
        <w:rPr>
          <w:b/>
          <w:bCs/>
        </w:rPr>
        <w:t xml:space="preserve"> wrapper.</w:t>
      </w:r>
      <w:r>
        <w:rPr/>
        <w:t xml:space="preserve"> MonBus event set: hit (read/write), miss with class split (cold/capacity/conflict, when the golden model supplies the class), snoop (type, hit/miss, response class), eviction (clean/dirty), MESI state transitions, fill/drain start+end. Tallied by </w:t>
      </w:r>
      <w:r>
        <w:rPr>
          <w:rStyle w:val="VerbatimChar"/>
        </w:rPr>
        <w:t>monbus_tally_axil</w:t>
      </w:r>
      <w:r>
        <w:rPr/>
        <w:t xml:space="preserve"> exactly like every other component; the wrapper never stalls the observed port — drop-and-count. The observer’s own gate cost is measured present vs absent (F18), so “the observer does not perturb what it measures” is a quantified claim, not an assertion.</w:t>
      </w:r>
      <w:bookmarkEnd w:id="432"/>
    </w:p>
    <w:p>
      <w:pPr>
        <w:pStyle w:val="Heading3"/>
        <w:spacing w:before="200" w:after="80"/>
        <w:rPr/>
      </w:pPr>
      <w:bookmarkStart w:id="433" w:name="__RefHeading___Toc15044_888288119"/>
      <w:bookmarkStart w:id="434" w:name="X3836206d08d7cb43c835b1732e867000fcec74b"/>
      <w:bookmarkEnd w:id="433"/>
      <w:r>
        <w:rPr>
          <w:rStyle w:val="SectionNumber"/>
          <w:b/>
          <w:color w:val="404040"/>
          <w:sz w:val="24"/>
        </w:rPr>
        <w:t>28.2.5</w:t>
      </w:r>
      <w:r>
        <w:rPr>
          <w:b/>
          <w:color w:val="404040"/>
          <w:sz w:val="24"/>
        </w:rPr>
        <w:tab/>
        <w:t>2.5 Verification &amp; formal surface (D9 OPEN — direction proposed)</w:t>
      </w:r>
    </w:p>
    <w:p>
      <w:pPr>
        <w:pStyle w:val="Compact"/>
        <w:numPr>
          <w:ilvl w:val="0"/>
          <w:numId w:val="181"/>
        </w:numPr>
        <w:rPr/>
      </w:pPr>
      <w:r>
        <w:rPr>
          <w:b/>
          <w:bCs/>
        </w:rPr>
        <w:t>F15 — Pattern-B cocotb grids.</w:t>
      </w:r>
      <w:r>
        <w:rPr/>
        <w:t xml:space="preserve"> GATE/FUNC/FULL over the geometry × policy × rig matrix. Instruments already exist: the RDS-DV </w:t>
      </w:r>
      <w:r>
        <w:rPr>
          <w:rStyle w:val="VerbatimChar"/>
        </w:rPr>
        <w:t>AXI4ACESnoopMaster</w:t>
      </w:r>
      <w:r>
        <w:rPr/>
        <w:t xml:space="preserve"> BFM drives amber’s snoop port and </w:t>
      </w:r>
      <w:r>
        <w:rPr>
          <w:rStyle w:val="VerbatimChar"/>
        </w:rPr>
        <w:t>AXI4ACEMasterRead/   Write</w:t>
      </w:r>
      <w:r>
        <w:rPr/>
        <w:t xml:space="preserve"> drive the fabric side (cocotb-framework 1.2.0).</w:t>
      </w:r>
    </w:p>
    <w:p>
      <w:pPr>
        <w:pStyle w:val="Compact"/>
        <w:numPr>
          <w:ilvl w:val="0"/>
          <w:numId w:val="182"/>
        </w:numPr>
        <w:rPr/>
      </w:pPr>
      <w:r>
        <w:rPr>
          <w:b/>
          <w:bCs/>
        </w:rPr>
        <w:t>F16 — Golden-model parity.</w:t>
      </w:r>
      <w:r>
        <w:rPr/>
        <w:t xml:space="preserve"> Trace replay from </w:t>
      </w:r>
      <w:r>
        <w:rPr>
          <w:rStyle w:val="VerbatimChar"/>
        </w:rPr>
        <w:t>bin/apps/cache_sim/</w:t>
      </w:r>
      <w:r>
        <w:rPr/>
        <w:t xml:space="preserve"> at identical geometry + policy; hit/miss/miss-class counts must match exactly (PRD success criterion 1). The replacement policy parameter (F3) is what keeps this check meaningful across policies.</w:t>
      </w:r>
    </w:p>
    <w:p>
      <w:pPr>
        <w:pStyle w:val="Compact"/>
        <w:numPr>
          <w:ilvl w:val="0"/>
          <w:numId w:val="183"/>
        </w:numPr>
        <w:rPr/>
      </w:pPr>
      <w:r>
        <w:rPr>
          <w:b/>
          <w:bCs/>
        </w:rPr>
        <w:t>F17 — SymbiYosys targets</w:t>
      </w:r>
      <w:r>
        <w:rPr/>
        <w:t xml:space="preserve"> (PRD criterion 2): no stale data served after an external write (F9 ordering); no deadlock/livelock under fair arbitration. Proof surfaces named now so the RTL is built proof-shaped: </w:t>
      </w:r>
      <w:r>
        <w:rPr>
          <w:rStyle w:val="VerbatimChar"/>
        </w:rPr>
        <w:t>amber_control</w:t>
      </w:r>
      <w:r>
        <w:rPr/>
        <w:t xml:space="preserve"> FSM, </w:t>
      </w:r>
      <w:r>
        <w:rPr>
          <w:rStyle w:val="VerbatimChar"/>
        </w:rPr>
        <w:t>amber_snoop_resp</w:t>
      </w:r>
      <w:r>
        <w:rPr/>
        <w:t>, tag-array port sharing, victim buffer handoff.</w:t>
      </w:r>
      <w:bookmarkEnd w:id="434"/>
    </w:p>
    <w:p>
      <w:pPr>
        <w:pStyle w:val="Heading3"/>
        <w:spacing w:before="200" w:after="80"/>
        <w:rPr/>
      </w:pPr>
      <w:bookmarkStart w:id="435" w:name="__RefHeading___Toc15046_888288119"/>
      <w:bookmarkStart w:id="436" w:name="cost-characterisation-prd-criterion-4"/>
      <w:bookmarkEnd w:id="435"/>
      <w:r>
        <w:rPr>
          <w:rStyle w:val="SectionNumber"/>
          <w:b/>
          <w:color w:val="404040"/>
          <w:sz w:val="24"/>
        </w:rPr>
        <w:t>28.2.6</w:t>
      </w:r>
      <w:r>
        <w:rPr>
          <w:b/>
          <w:color w:val="404040"/>
          <w:sz w:val="24"/>
        </w:rPr>
        <w:tab/>
        <w:t>2.6 Cost &amp; characterisation (PRD criterion 4)</w:t>
      </w:r>
    </w:p>
    <w:p>
      <w:pPr>
        <w:pStyle w:val="Compact"/>
        <w:numPr>
          <w:ilvl w:val="0"/>
          <w:numId w:val="184"/>
        </w:numPr>
        <w:rPr/>
      </w:pPr>
      <w:r>
        <w:rPr>
          <w:b/>
          <w:bCs/>
        </w:rPr>
        <w:t>F18 — Synthesis sweep.</w:t>
      </w:r>
      <w:r>
        <w:rPr/>
        <w:t xml:space="preserve"> Geometry params × replacement policy on Nexys A7 and/or Genesys 2; LUT/FF/RAM/fmax recorded in </w:t>
      </w:r>
      <w:r>
        <w:rPr>
          <w:rStyle w:val="VerbatimChar"/>
        </w:rPr>
        <w:t>docs/</w:t>
      </w:r>
      <w:r>
        <w:rPr/>
        <w:t xml:space="preserve"> the way pumice characterised. Includes the F14 observer-present vs absent delta.</w:t>
      </w:r>
      <w:bookmarkEnd w:id="423"/>
      <w:bookmarkEnd w:id="436"/>
    </w:p>
    <w:p>
      <w:pPr>
        <w:pStyle w:val="Heading2"/>
        <w:pBdr>
          <w:bottom w:val="single" w:sz="12" w:space="0" w:color="228B22"/>
        </w:pBdr>
        <w:spacing w:before="280" w:after="80"/>
        <w:rPr/>
      </w:pPr>
      <w:bookmarkStart w:id="437" w:name="__RefHeading___Toc15048_888288119"/>
      <w:bookmarkStart w:id="438" w:name="proposed-block-architecture"/>
      <w:bookmarkEnd w:id="437"/>
      <w:r>
        <w:rPr>
          <w:rStyle w:val="SectionNumber"/>
          <w:b/>
          <w:color w:val="228B22"/>
          <w:sz w:val="28"/>
        </w:rPr>
        <w:t>28.3</w:t>
      </w:r>
      <w:r>
        <w:rPr>
          <w:b/>
          <w:color w:val="228B22"/>
          <w:sz w:val="28"/>
        </w:rPr>
        <w:tab/>
        <w:t>3. Proposed block architecture</w:t>
      </w:r>
    </w:p>
    <w:p>
      <w:pPr>
        <w:pStyle w:val="FirstParagraph"/>
        <w:rPr/>
      </w:pPr>
      <w:r>
        <w:rPr>
          <w:sz w:val="20"/>
        </w:rPr>
        <w:t>Proposed module set (</w:t>
      </w:r>
      <w:r>
        <w:rPr>
          <w:rStyle w:val="VerbatimChar"/>
          <w:sz w:val="20"/>
        </w:rPr>
        <w:t>amber_*</w:t>
      </w:r>
      <w:r>
        <w:rPr>
          <w:sz w:val="20"/>
        </w:rPr>
        <w:t xml:space="preserve"> prefix, per the cache-ip convention):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Pair-rig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plain AXI4 master stack + snoop responder toward the peer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Onyx-rig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ACE master stack + coherent-transaction issuer + snoop responder toward onyx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 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rig-agnostic core, instantiated by both tops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(D2 decided); request accept, response return, replay latch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lookup → hit / miss → evict → fill → replay; owns tag-array control arbitration (F8) and the pending-fill bypass register (F9)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 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amber_tag_array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tag + state store (3-bit state field,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amber_data_array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data store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 (policy elaboration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amber_victim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 drain trigger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amber_fill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amber_drain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read/write engines; plain </w:t>
            </w:r>
            <w:r>
              <w:rPr>
                <w:rStyle w:val="VerbatimChar"/>
                <w:rFonts w:eastAsia="Cambria" w:cs=""/>
                <w:kern w:val="0"/>
                <w:szCs w:val="24"/>
                <w:lang w:val="en-US" w:eastAsia="en-US" w:bidi="ar-SA"/>
              </w:rPr>
              <w:t>axi4_master_rd/wr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ACE AC/CR/CD adapter; bus-agnostic inside — faces the peer in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onyx in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Coherent-transaction issuer for the onyx D2 subset —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wrapper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bl>
    <w:p>
      <w:pPr>
        <w:pStyle w:val="BodyText"/>
        <w:rPr/>
      </w:pPr>
      <w:r>
        <w:rPr>
          <w:b/>
          <w:bCs/>
          <w:sz w:val="20"/>
        </w:rPr>
        <w:t>Miss data flow:</w:t>
      </w:r>
      <w:r>
        <w:rPr>
          <w:sz w:val="20"/>
        </w:rPr>
        <w:t xml:space="preserve"> frontend accept → tag lookup (port A) → miss → </w:t>
      </w:r>
      <w:r>
        <w:rPr>
          <w:rStyle w:val="VerbatimChar"/>
          <w:sz w:val="20"/>
        </w:rPr>
        <w:t>amber_repl</w:t>
      </w:r>
      <w:r>
        <w:rPr>
          <w:sz w:val="20"/>
        </w:rPr>
        <w:t xml:space="preserve"> picks victim → dirty? </w:t>
      </w:r>
      <w:r>
        <w:rPr>
          <w:rStyle w:val="VerbatimChar"/>
          <w:sz w:val="20"/>
        </w:rPr>
        <w:t>amber_victim</w:t>
      </w:r>
      <w:r>
        <w:rPr>
          <w:sz w:val="20"/>
        </w:rPr>
        <w:t xml:space="preserve"> + drain engine WB → fill engine AR burst → data array write + state install → original request replays from the frontend latch → response.</w:t>
      </w:r>
    </w:p>
    <w:p>
      <w:pPr>
        <w:pStyle w:val="BodyText"/>
        <w:rPr/>
      </w:pPr>
      <w:r>
        <w:rPr>
          <w:b/>
          <w:bCs/>
          <w:sz w:val="20"/>
        </w:rPr>
        <w:t>Snoop data flow:</w:t>
      </w:r>
      <w:r>
        <w:rPr>
          <w:sz w:val="20"/>
        </w:rPr>
        <w:t xml:space="preserve"> AC arrives at </w:t>
      </w:r>
      <w:r>
        <w:rPr>
          <w:rStyle w:val="VerbatimChar"/>
          <w:sz w:val="20"/>
        </w:rPr>
        <w:t>amber_snoop_resp</w:t>
      </w:r>
      <w:r>
        <w:rPr>
          <w:sz w:val="20"/>
        </w:rPr>
        <w:t xml:space="preserve"> → tag lookup (port B) → line state determines CRRESP and whether CD beats follow → response driven. Conflict with an in-flight fill resolves per F9.</w:t>
      </w:r>
    </w:p>
    <w:p>
      <w:pPr>
        <w:pStyle w:val="BodyText"/>
        <w:rPr/>
      </w:pPr>
      <w:r>
        <w:rPr>
          <w:b/>
          <w:bCs/>
          <w:sz w:val="20"/>
        </w:rPr>
        <w:t>Observation taps sit on control-FSM decision points, not the datapath</w:t>
      </w:r>
      <w:r>
        <w:rPr>
          <w:sz w:val="20"/>
        </w:rPr>
        <w:t xml:space="preserve"> — the F8 port split means the datapath need not be touched to observe it.</w:t>
      </w:r>
      <w:bookmarkEnd w:id="438"/>
    </w:p>
    <w:p>
      <w:pPr>
        <w:pStyle w:val="Heading2"/>
        <w:pBdr>
          <w:bottom w:val="single" w:sz="12" w:space="0" w:color="228B22"/>
        </w:pBdr>
        <w:spacing w:before="280" w:after="80"/>
        <w:rPr/>
      </w:pPr>
      <w:bookmarkStart w:id="439" w:name="__RefHeading___Toc15050_888288119"/>
      <w:bookmarkEnd w:id="439"/>
      <w:r>
        <w:rPr>
          <w:rStyle w:val="SectionNumber"/>
          <w:b/>
          <w:color w:val="228B22"/>
          <w:sz w:val="28"/>
        </w:rPr>
        <w:t>28.4</w:t>
      </w:r>
      <w:r>
        <w:rPr>
          <w:b/>
          <w:color w:val="228B22"/>
          <w:sz w:val="28"/>
        </w:rPr>
        <w:tab/>
        <w:t>4. Interface sketches (shapes, not pinouts)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Sketch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(PRD D2, 2026-10-06): GAXI slave</w:t>
            </w:r>
            <w:r>
              <w:rPr>
                <w:rFonts w:eastAsia="Cambria" w:cs=""/>
                <w:kern w:val="0"/>
                <w:sz w:val="24"/>
                <w:szCs w:val="24"/>
                <w:lang w:val="en-US" w:eastAsia="en-US" w:bidi="ar-SA"/>
              </w:rPr>
              <w:t xml:space="preserve"> — house BFM/monitor coverage and skid/FIFO plumbing already exist, and STREAM can attach as first real consumer without an adapter. Must express single-beat reads, write-allocate fills, byte enables.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tops, shared core (F12):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 plain AXI4 masters to memory + AC/CR/CD snoop responder toward the peer;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toward the CCU (onyx D2 subset: ReadShared / ReadUnique / CleanUnique / MakeUnique / WriteBack / Evict) + the same snoop responder toward onyx. The rig is the top you instantiate — no mode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 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through </w:t>
            </w:r>
            <w:r>
              <w:rPr>
                <w:rStyle w:val="VerbatimChar"/>
                <w:rFonts w:eastAsia="Cambria" w:cs=""/>
                <w:kern w:val="0"/>
                <w:szCs w:val="24"/>
                <w:lang w:val="en-US" w:eastAsia="en-US" w:bidi="ar-SA"/>
              </w:rPr>
              <w:t>amber_monlite</w:t>
            </w:r>
            <w:r>
              <w:rPr>
                <w:rFonts w:eastAsia="Cambria" w:cs=""/>
                <w:kern w:val="0"/>
                <w:sz w:val="24"/>
                <w:szCs w:val="24"/>
                <w:lang w:val="en-US" w:eastAsia="en-US" w:bidi="ar-SA"/>
              </w:rPr>
              <w:t>; no other debug surface.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xml:space="preserve"> Parameter-only IP; all visibility through MonBus tallies, unlike every other component’s APB CSR. Recorded explicitly so it is a decision and not an accident.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440" w:name="interface-sketches-shapes-not-pinouts"/>
            <w:bookmarkEnd w:id="440"/>
          </w:p>
        </w:tc>
      </w:tr>
    </w:tbl>
    <w:p>
      <w:pPr>
        <w:pStyle w:val="Heading2"/>
        <w:pBdr>
          <w:bottom w:val="single" w:sz="12" w:space="0" w:color="228B22"/>
        </w:pBdr>
        <w:spacing w:before="280" w:after="80"/>
        <w:rPr/>
      </w:pPr>
      <w:bookmarkStart w:id="441" w:name="__RefHeading___Toc15052_888288119"/>
      <w:bookmarkEnd w:id="441"/>
      <w:r>
        <w:rPr>
          <w:rStyle w:val="SectionNumber"/>
          <w:b/>
          <w:color w:val="228B22"/>
          <w:sz w:val="28"/>
        </w:rPr>
        <w:t>28.5</w:t>
      </w:r>
      <w:r>
        <w:rPr>
          <w:b/>
          <w:color w:val="228B22"/>
          <w:sz w:val="28"/>
        </w:rPr>
        <w:tab/>
        <w:t>5. Parameter sketch (illustrative — feeds the DV matrix)</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PROPOSED 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 set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 tree_plru, fifo, random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 wt_na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32–128</w:t>
            </w:r>
          </w:p>
        </w:tc>
      </w:tr>
    </w:tbl>
    <w:p>
      <w:pPr>
        <w:pStyle w:val="BodyText"/>
        <w:rPr/>
      </w:pPr>
      <w:r>
        <w:rPr>
          <w:sz w:val="20"/>
        </w:rPr>
        <w:t xml:space="preserve">Rig is </w:t>
      </w:r>
      <w:r>
        <w:rPr>
          <w:b/>
          <w:bCs/>
          <w:sz w:val="20"/>
        </w:rPr>
        <w:t>not</w:t>
      </w:r>
      <w:r>
        <w:rPr>
          <w:sz w:val="20"/>
        </w:rPr>
        <w:t xml:space="preserve"> a parameter: it is the top you instantiate — </w:t>
      </w:r>
      <w:r>
        <w:rPr>
          <w:rStyle w:val="VerbatimChar"/>
          <w:sz w:val="20"/>
        </w:rPr>
        <w:t>amber</w:t>
      </w:r>
      <w:r>
        <w:rPr>
          <w:sz w:val="20"/>
        </w:rPr>
        <w:t xml:space="preserve"> or </w:t>
      </w:r>
      <w:r>
        <w:rPr>
          <w:rStyle w:val="VerbatimChar"/>
          <w:sz w:val="20"/>
        </w:rPr>
        <w:t>amber_ace</w:t>
      </w:r>
      <w:r>
        <w:rPr>
          <w:sz w:val="20"/>
        </w:rPr>
        <w:t xml:space="preserve"> (F12). Derived: tag width = </w:t>
      </w:r>
      <w:r>
        <w:rPr>
          <w:rStyle w:val="VerbatimChar"/>
          <w:sz w:val="20"/>
        </w:rPr>
        <w:t>ADDR_WIDTH − $clog2(SETS) − $clog2(LINE_BYTES) + 3</w:t>
      </w:r>
      <w:r>
        <w:rPr>
          <w:sz w:val="20"/>
        </w:rPr>
        <w:t xml:space="preserve"> (state field, F6); fill beats = </w:t>
      </w:r>
      <w:r>
        <w:rPr>
          <w:rStyle w:val="VerbatimChar"/>
          <w:sz w:val="20"/>
        </w:rPr>
        <w:t>LINE_BYTES / (BUS_WIDTH/8)</w:t>
      </w:r>
      <w:r>
        <w:rPr>
          <w:sz w:val="20"/>
        </w:rPr>
        <w:t>.</w:t>
      </w:r>
    </w:p>
    <w:p>
      <w:pPr>
        <w:pStyle w:val="Heading2"/>
        <w:pBdr>
          <w:bottom w:val="single" w:sz="12" w:space="0" w:color="228B22"/>
        </w:pBdr>
        <w:spacing w:before="280" w:after="80"/>
        <w:rPr/>
      </w:pPr>
      <w:bookmarkStart w:id="442" w:name="__RefHeading___Toc15054_888288119"/>
      <w:bookmarkEnd w:id="442"/>
      <w:r>
        <w:rPr>
          <w:rStyle w:val="SectionNumber"/>
          <w:b/>
          <w:color w:val="228B22"/>
          <w:sz w:val="28"/>
        </w:rPr>
        <w:t>28.6</w:t>
      </w:r>
      <w:r>
        <w:rPr>
          <w:b/>
          <w:color w:val="228B22"/>
          <w:sz w:val="28"/>
        </w:rPr>
        <w:tab/>
        <w:t>6. Open questions this sketch surfaces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resolves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 xml:space="preserve">One mode-parameter </w:t>
            </w:r>
            <w:r>
              <w:rPr>
                <w:rStyle w:val="VerbatimChar"/>
                <w:rFonts w:eastAsia="Cambria" w:cs=""/>
                <w:strike/>
                <w:kern w:val="0"/>
                <w:szCs w:val="24"/>
                <w:lang w:val="en-US" w:eastAsia="en-US" w:bidi="ar-SA"/>
              </w:rPr>
              <w:t>amber_fabric</w:t>
            </w:r>
            <w:r>
              <w:rPr>
                <w:rFonts w:eastAsia="Cambria" w:cs=""/>
                <w:strike/>
                <w:kern w:val="0"/>
                <w:sz w:val="24"/>
                <w:szCs w:val="24"/>
                <w:lang w:val="en-US" w:eastAsia="en-US" w:bidi="ar-SA"/>
              </w:rPr>
              <w:t xml:space="preserve"> vs separate adapters per rig</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w:t>
            </w:r>
            <w:r>
              <w:rPr>
                <w:rFonts w:eastAsia="Cambria" w:cs=""/>
                <w:kern w:val="0"/>
                <w:sz w:val="24"/>
                <w:szCs w:val="24"/>
                <w:lang w:val="en-US" w:eastAsia="en-US" w:bidi="ar-SA"/>
              </w:rPr>
              <w:t xml:space="preserve"> two tops on a shared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(pair rig) and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(onyx rig); no rig parameter, both compiled, both in the DV matrix (F12)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GAXI vs plain valid/ready CPU-side</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by PRD D2 (2026-10-06, Sean): GAXI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r>
              <w:rPr>
                <w:rFonts w:eastAsia="Cambria" w:cs=""/>
                <w:kern w:val="0"/>
                <w:sz w:val="24"/>
                <w:szCs w:val="24"/>
                <w:lang w:val="en-US" w:eastAsia="en-US" w:bidi="ar-SA"/>
              </w:rPr>
              <w:t xml:space="preserve"> RTL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 default vs Nexys A7 RAM budget (F2)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With the F18 cost sweep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3-bit state field headroom for MOESI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Cheap now, expensive later — recommend taking the insurance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Probe-during-fill stall bound</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 add the pending-fill bypass</w:t>
            </w:r>
            <w:r>
              <w:rPr>
                <w:rFonts w:eastAsia="Cambria" w:cs=""/>
                <w:kern w:val="0"/>
                <w:sz w:val="24"/>
                <w:szCs w:val="24"/>
                <w:lang w:val="en-US" w:eastAsia="en-US" w:bidi="ar-SA"/>
              </w:rPr>
              <w:t xml:space="preserve"> (F9); formal targets become bypass state-accuracy + response bound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 PRD criterion 2 depends on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default: LRU reference vs tree-PLRU area (F3)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 closure, informed by F18</w:t>
            </w:r>
            <w:bookmarkStart w:id="443" w:name="open-questions-this-sketch-surfaces"/>
            <w:bookmarkEnd w:id="443"/>
          </w:p>
        </w:tc>
      </w:tr>
    </w:tbl>
    <w:p>
      <w:pPr>
        <w:pStyle w:val="Heading2"/>
        <w:pBdr>
          <w:bottom w:val="single" w:sz="12" w:space="0" w:color="228B22"/>
        </w:pBdr>
        <w:spacing w:before="280" w:after="80"/>
        <w:rPr/>
      </w:pPr>
      <w:bookmarkStart w:id="444" w:name="__RefHeading___Toc15056_888288119"/>
      <w:bookmarkEnd w:id="444"/>
      <w:r>
        <w:rPr>
          <w:rStyle w:val="SectionNumber"/>
          <w:b/>
          <w:color w:val="228B22"/>
          <w:sz w:val="28"/>
        </w:rPr>
        <w:t>28.7</w:t>
      </w:r>
      <w:r>
        <w:rPr>
          <w:b/>
          <w:color w:val="228B22"/>
          <w:sz w:val="28"/>
        </w:rPr>
        <w:tab/>
        <w:t>7. What the full HAS will add</w:t>
      </w:r>
    </w:p>
    <w:p>
      <w:pPr>
        <w:pStyle w:val="FirstParagraph"/>
        <w:rPr/>
      </w:pPr>
      <w:r>
        <w:rPr>
          <w:sz w:val="20"/>
        </w:rPr>
        <w:t>The chapter book per the stream/andesite convention: front matter; purpose, conventions, definitions; use cases / key features / system context; graphviz block diagram; data flow; pin-level interfaces; performance targets; integration (clocking, reset, verification). The MAS follows when micro-architecture decisions land (array banking, pipeline staging). This Pre-HAS is the draft those books grow from — sections 2–6 above map onto chapters 2–5.</w:t>
      </w:r>
    </w:p>
    <w:p>
      <w:pPr>
        <w:pStyle w:val="Heading2"/>
        <w:pBdr>
          <w:bottom w:val="single" w:sz="12" w:space="0" w:color="228B22"/>
        </w:pBdr>
        <w:spacing w:before="280" w:after="80"/>
        <w:rPr/>
      </w:pPr>
      <w:bookmarkStart w:id="445" w:name="__RefHeading___Toc15058_888288119"/>
      <w:bookmarkStart w:id="446" w:name="cross-references"/>
      <w:bookmarkEnd w:id="445"/>
      <w:r>
        <w:rPr>
          <w:rStyle w:val="SectionNumber"/>
          <w:b/>
          <w:color w:val="228B22"/>
          <w:sz w:val="28"/>
        </w:rPr>
        <w:t>28.8</w:t>
      </w:r>
      <w:r>
        <w:rPr>
          <w:b/>
          <w:color w:val="228B22"/>
          <w:sz w:val="28"/>
        </w:rPr>
        <w:tab/>
        <w:t>8. Cross-references</w:t>
      </w:r>
    </w:p>
    <w:p>
      <w:pPr>
        <w:pStyle w:val="Compact"/>
        <w:numPr>
          <w:ilvl w:val="0"/>
          <w:numId w:val="185"/>
        </w:numPr>
        <w:rPr/>
      </w:pPr>
      <w:hyperlink r:id="rId69">
        <w:r>
          <w:rPr>
            <w:rStyle w:val="Hyperlink"/>
          </w:rPr>
          <w:t>amber PRD</w:t>
        </w:r>
      </w:hyperlink>
      <w:r>
        <w:rPr/>
        <w:t xml:space="preserve"> — binding requirements; decision record</w:t>
      </w:r>
    </w:p>
    <w:p>
      <w:pPr>
        <w:pStyle w:val="Compact"/>
        <w:numPr>
          <w:ilvl w:val="0"/>
          <w:numId w:val="186"/>
        </w:numPr>
        <w:rPr/>
      </w:pPr>
      <w:hyperlink r:id="rId70">
        <w:r>
          <w:rPr>
            <w:rStyle w:val="Hyperlink"/>
          </w:rPr>
          <w:t>onyx PRD D7/D2</w:t>
        </w:r>
      </w:hyperlink>
      <w:r>
        <w:rPr/>
        <w:t xml:space="preserve"> — snoop-port contract and coherent-transaction subset the ONYX rig speaks</w:t>
      </w:r>
    </w:p>
    <w:p>
      <w:pPr>
        <w:pStyle w:val="Compact"/>
        <w:numPr>
          <w:ilvl w:val="0"/>
          <w:numId w:val="187"/>
        </w:numPr>
        <w:rPr/>
      </w:pPr>
      <w:hyperlink r:id="rId71">
        <w:r>
          <w:rPr>
            <w:rStyle w:val="Hyperlink"/>
          </w:rPr>
          <w:t>jet PRD</w:t>
        </w:r>
      </w:hyperlink>
      <w:r>
        <w:rPr/>
        <w:t xml:space="preserve"> — J-rows hold amber constant; nothing here may silently pre-decide jet (F9’s stall policy is amber’s; jet J4/J6 explicitly reopen it)</w:t>
      </w:r>
    </w:p>
    <w:p>
      <w:pPr>
        <w:pStyle w:val="Compact"/>
        <w:numPr>
          <w:ilvl w:val="0"/>
          <w:numId w:val="188"/>
        </w:numPr>
        <w:rPr/>
      </w:pPr>
      <w:hyperlink r:id="rId72">
        <w:r>
          <w:rPr>
            <w:rStyle w:val="Hyperlink"/>
          </w:rPr>
          <w:t>References/AMBA_ACE_Interface_Definition.md</w:t>
        </w:r>
      </w:hyperlink>
      <w:r>
        <w:rPr/>
        <w:t xml:space="preserve"> and </w:t>
      </w:r>
      <w:hyperlink r:id="rId73">
        <w:r>
          <w:rPr>
            <w:rStyle w:val="Hyperlink"/>
          </w:rPr>
          <w:t>References/gem5-ruby-protocols/</w:t>
        </w:r>
      </w:hyperlink>
      <w:r>
        <w:rPr/>
        <w:t xml:space="preserve"> — protocol definition and golden-protocol source</w:t>
      </w:r>
    </w:p>
    <w:p>
      <w:pPr>
        <w:pStyle w:val="Compact"/>
        <w:numPr>
          <w:ilvl w:val="0"/>
          <w:numId w:val="189"/>
        </w:numPr>
        <w:rPr/>
      </w:pPr>
      <w:r>
        <w:rPr/>
        <w:t>RDS-DV cocotb-framework 1.2.0 ACE BFMs — the DV instruments F15 assumes</w:t>
      </w:r>
    </w:p>
    <w:p>
      <w:pPr>
        <w:pStyle w:val="Normal"/>
        <w:rPr/>
      </w:pPr>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 </w:t>
      </w:r>
      <w:r>
        <w:rPr>
          <w:b/>
          <w:bCs/>
          <w:sz w:val="20"/>
        </w:rPr>
        <w:t>Maintained By:</w:t>
      </w:r>
      <w:r>
        <w:rPr>
          <w:sz w:val="20"/>
        </w:rPr>
        <w:t xml:space="preserve"> amber architecture (pre-decision working document)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7" w:name="Xbe0b1a2ce879ee43ed3b78c64db18edd93160d7"/>
      <w:bookmarkStart w:id="448" w:name="cross-references"/>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7"/>
      <w:bookmarkEnd w:id="448"/>
      <w:r>
        <w:br w:type="page"/>
      </w:r>
    </w:p>
    <w:p>
      <w:pPr>
        <w:pStyle w:val="Heading1"/>
        <w:shd w:val="clear" w:color="auto" w:fill="404040"/>
        <w:spacing w:before="360" w:after="120"/>
        <w:rPr/>
      </w:pPr>
      <w:bookmarkStart w:id="449" w:name="__RefHeading___Toc15060_888288119"/>
      <w:bookmarkStart w:id="450" w:name="jet-product-requirements-draft"/>
      <w:bookmarkEnd w:id="449"/>
      <w:r>
        <w:rPr>
          <w:rStyle w:val="SectionNumber"/>
          <w:b/>
          <w:color w:val="FFFFFF"/>
          <w:sz w:val="32"/>
        </w:rPr>
        <w:t>29</w:t>
      </w:r>
      <w:r>
        <w:rPr>
          <w:b/>
          <w:color w:val="FFFFFF"/>
          <w:sz w:val="32"/>
        </w:rPr>
        <w:tab/>
        <w:t>jet — Product Requirements (DRAFT)</w:t>
      </w:r>
    </w:p>
    <w:p>
      <w:pPr>
        <w:pStyle w:val="FirstParagraph"/>
        <w:rPr/>
      </w:pPr>
      <w:r>
        <w:rPr>
          <w:b/>
          <w:bCs/>
          <w:sz w:val="20"/>
        </w:rPr>
        <w:t>Version:</w:t>
      </w:r>
      <w:r>
        <w:rPr>
          <w:sz w:val="20"/>
        </w:rPr>
        <w:t xml:space="preserve"> 0.1 (draft, 2026-10-04) </w:t>
      </w:r>
      <w:r>
        <w:rPr>
          <w:b/>
          <w:bCs/>
          <w:sz w:val="20"/>
        </w:rPr>
        <w:t>Status:</w:t>
      </w:r>
      <w:r>
        <w:rPr>
          <w:sz w:val="20"/>
        </w:rPr>
        <w:t xml:space="preserve"> scaffold only — inherits every DECIDED row of </w:t>
      </w:r>
      <w:hyperlink r:id="rId74">
        <w:r>
          <w:rPr>
            <w:rStyle w:val="Hyperlink"/>
          </w:rPr>
          <w:t>amber’s PRD</w:t>
        </w:r>
      </w:hyperlink>
      <w:r>
        <w:rPr>
          <w:sz w:val="20"/>
        </w:rPr>
        <w:t>. Decided inherited rows so far: D8 observation (</w:t>
      </w:r>
      <w:r>
        <w:rPr>
          <w:rStyle w:val="VerbatimChar"/>
          <w:sz w:val="20"/>
        </w:rPr>
        <w:t>*_monlite</w:t>
      </w:r>
      <w:r>
        <w:rPr>
          <w:sz w:val="20"/>
        </w:rPr>
        <w:t>, 2026-10-04) and D4 snoop transport (ACE-shaped AC/CD/CR per the onyx D7 contract, 2026-10-05). The rows below are the deltas jet must decide for itself; all are OPEN until they record a name and a date.</w:t>
      </w:r>
    </w:p>
    <w:p>
      <w:pPr>
        <w:pStyle w:val="Heading2"/>
        <w:pBdr>
          <w:bottom w:val="single" w:sz="12" w:space="0" w:color="228B22"/>
        </w:pBdr>
        <w:spacing w:before="280" w:after="80"/>
        <w:rPr/>
      </w:pPr>
      <w:bookmarkStart w:id="451" w:name="__RefHeading___Toc15062_888288119"/>
      <w:bookmarkStart w:id="452" w:name="purpose-2"/>
      <w:bookmarkEnd w:id="451"/>
      <w:r>
        <w:rPr>
          <w:rStyle w:val="SectionNumber"/>
          <w:b/>
          <w:color w:val="228B22"/>
          <w:sz w:val="28"/>
        </w:rPr>
        <w:t>29.1</w:t>
      </w:r>
      <w:r>
        <w:rPr>
          <w:b/>
          <w:color w:val="228B22"/>
          <w:sz w:val="28"/>
        </w:rPr>
        <w:tab/>
        <w:t>1. Purpose</w:t>
      </w:r>
    </w:p>
    <w:p>
      <w:pPr>
        <w:pStyle w:val="FirstParagraph"/>
        <w:rPr/>
      </w:pPr>
      <w:bookmarkStart w:id="453" w:name="purpose-2"/>
      <w:r>
        <w:rPr>
          <w:sz w:val="20"/>
        </w:rPr>
        <w:t>The lockup-free (non-blocking) MESI snoopy L1 cache: amber with MSHRs. The research question is measurement — with coherence, arrays, and observation held constant, what do outstanding misses, hit-under-miss, and miss merging actually buy in latency and bandwidth, in simulation and on board?</w:t>
      </w:r>
      <w:bookmarkEnd w:id="453"/>
    </w:p>
    <w:p>
      <w:pPr>
        <w:pStyle w:val="Heading2"/>
        <w:pBdr>
          <w:bottom w:val="single" w:sz="12" w:space="0" w:color="228B22"/>
        </w:pBdr>
        <w:spacing w:before="280" w:after="80"/>
        <w:rPr/>
      </w:pPr>
      <w:bookmarkStart w:id="454" w:name="__RefHeading___Toc15064_888288119"/>
      <w:bookmarkEnd w:id="454"/>
      <w:r>
        <w:rPr>
          <w:rStyle w:val="SectionNumber"/>
          <w:b/>
          <w:color w:val="228B22"/>
          <w:sz w:val="28"/>
        </w:rPr>
        <w:t>29.2</w:t>
      </w:r>
      <w:r>
        <w:rPr>
          <w:b/>
          <w:color w:val="228B22"/>
          <w:sz w:val="28"/>
        </w:rPr>
        <w:tab/>
        <w:t>2. Decisions jet adds to amber’s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MSHR organization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associativity keyed by address vs direct-mapped by line index vs CAM of pending lines; capacity 2–16 entries as an elaboration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miss queue, merge logic, formal surface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Hit-under-miss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hits to any resident line (default) vs hits only to lines not conflicting with a pending fill vs reads-only (writes still block)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hazard logic between fill port and hit port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 merging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merge only exact-line aliases (default) vs merge line + offset range vs no merging (issue duplicate fetches, dedupe on return)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MSHR occupancy, fairness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Ordering guarantees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CPU-side responses in-issue-order vs out-of-order with ID tags; snoop-during-miss handling (a probe against a pending line must see the post-fill state or stall cleanly)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path complexity, protocol proofs, consumer expectations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 under misses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 dirty victim behind an outstanding fill must write back without deadlocking against the fill; victim buffer depth (0 = block like amber, 1–4 = decouple)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path, the classic lockup-free deadlock corner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Congestion/fairness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policy when MSHRs are full — stall new misses (strict) vs drop-and-retry vs throttle CPU-side accepts; plus snoop-vs-fill arbitration priority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starvation/liveness proofs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measured claim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define the experiment now — same trace suite + same board as amber, report hit latency distribution, miss concurrency, bandwidth, and MSHR occupancy from MonBus capture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“jet is faster by X” must mean, reproducibly</w:t>
            </w:r>
            <w:bookmarkStart w:id="455" w:name="decisions-jet-adds-to-ambers"/>
            <w:bookmarkEnd w:id="455"/>
          </w:p>
        </w:tc>
      </w:tr>
    </w:tbl>
    <w:p>
      <w:pPr>
        <w:pStyle w:val="Heading2"/>
        <w:pBdr>
          <w:bottom w:val="single" w:sz="12" w:space="0" w:color="228B22"/>
        </w:pBdr>
        <w:spacing w:before="280" w:after="80"/>
        <w:rPr/>
      </w:pPr>
      <w:bookmarkStart w:id="456" w:name="__RefHeading___Toc15066_888288119"/>
      <w:bookmarkEnd w:id="456"/>
      <w:r>
        <w:rPr>
          <w:rStyle w:val="SectionNumber"/>
          <w:b/>
          <w:color w:val="228B22"/>
          <w:sz w:val="28"/>
        </w:rPr>
        <w:t>29.3</w:t>
      </w:r>
      <w:r>
        <w:rPr>
          <w:b/>
          <w:color w:val="228B22"/>
          <w:sz w:val="28"/>
        </w:rPr>
        <w:tab/>
        <w:t>3. Success criteria (additions to amber’s)</w:t>
      </w:r>
    </w:p>
    <w:p>
      <w:pPr>
        <w:pStyle w:val="Compact"/>
        <w:numPr>
          <w:ilvl w:val="0"/>
          <w:numId w:val="190"/>
        </w:numPr>
        <w:rPr/>
      </w:pPr>
      <w:r>
        <w:rPr>
          <w:b/>
          <w:bCs/>
        </w:rPr>
        <w:t>Correctness inheritance.</w:t>
      </w:r>
      <w:r>
        <w:rPr/>
        <w:t xml:space="preserve"> Every amber proof and golden-model parity result still passes with MSHRs present (proofs are re-run, not assumed).</w:t>
      </w:r>
    </w:p>
    <w:p>
      <w:pPr>
        <w:pStyle w:val="Compact"/>
        <w:numPr>
          <w:ilvl w:val="0"/>
          <w:numId w:val="191"/>
        </w:numPr>
        <w:rPr/>
      </w:pPr>
      <w:r>
        <w:rPr>
          <w:b/>
          <w:bCs/>
        </w:rPr>
        <w:t>The delta, measured.</w:t>
      </w:r>
      <w:r>
        <w:rPr/>
        <w:t xml:space="preserve"> On the amber trace suite and at least one board: reported latency/bandwidth improvement with MonBus evidence, and the cache_sim cross-check extended so the model predicts jet’s concurrency numbers too (or the model gap is documented as a finding).</w:t>
      </w:r>
    </w:p>
    <w:p>
      <w:pPr>
        <w:pStyle w:val="Compact"/>
        <w:numPr>
          <w:ilvl w:val="0"/>
          <w:numId w:val="192"/>
        </w:numPr>
        <w:rPr/>
      </w:pPr>
      <w:r>
        <w:rPr>
          <w:b/>
          <w:bCs/>
        </w:rPr>
        <w:t>The deadlock corner, proven.</w:t>
      </w:r>
      <w:r>
        <w:rPr/>
        <w:t xml:space="preserve"> J5/J6 formal targets: no deadlock when MSHRs are full and dirty victims wait behind fills.</w:t>
      </w:r>
    </w:p>
    <w:p>
      <w:pPr>
        <w:pStyle w:val="Heading2"/>
        <w:pBdr>
          <w:bottom w:val="single" w:sz="12" w:space="0" w:color="228B22"/>
        </w:pBdr>
        <w:spacing w:before="280" w:after="80"/>
        <w:rPr/>
      </w:pPr>
      <w:bookmarkStart w:id="457" w:name="__RefHeading___Toc15068_888288119"/>
      <w:bookmarkStart w:id="458" w:name="non-goals-for-jet-beyond-ambers"/>
      <w:bookmarkEnd w:id="457"/>
      <w:r>
        <w:rPr>
          <w:rStyle w:val="SectionNumber"/>
          <w:b/>
          <w:color w:val="228B22"/>
          <w:sz w:val="28"/>
        </w:rPr>
        <w:t>29.4</w:t>
      </w:r>
      <w:r>
        <w:rPr>
          <w:b/>
          <w:color w:val="228B22"/>
          <w:sz w:val="28"/>
        </w:rPr>
        <w:tab/>
        <w:t>4. Non-goals (for jet, beyond amber’s)</w:t>
      </w:r>
    </w:p>
    <w:p>
      <w:pPr>
        <w:pStyle w:val="FirstParagraph"/>
        <w:rPr/>
      </w:pPr>
      <w:r>
        <w:rPr>
          <w:sz w:val="20"/>
        </w:rPr>
        <w:t>Speculative prefetching, adaptive replacement, quality-of-service policies, multi-banked parallelism beyond what MSHRs imply. Each is a future IP or a later decision.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59" w:name="jet-product-requirements-draft"/>
      <w:bookmarkStart w:id="460" w:name="non-goals-for-jet-beyond-ambers"/>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9"/>
      <w:bookmarkEnd w:id="460"/>
      <w:r>
        <w:br w:type="page"/>
      </w:r>
    </w:p>
    <w:p>
      <w:pPr>
        <w:pStyle w:val="Heading1"/>
        <w:shd w:val="clear" w:color="auto" w:fill="404040"/>
        <w:spacing w:before="360" w:after="120"/>
        <w:rPr/>
      </w:pPr>
      <w:bookmarkStart w:id="461" w:name="__RefHeading___Toc15070_888288119"/>
      <w:bookmarkStart w:id="462" w:name="onyx-product-requirements-draft"/>
      <w:bookmarkEnd w:id="461"/>
      <w:r>
        <w:rPr>
          <w:rStyle w:val="SectionNumber"/>
          <w:b/>
          <w:color w:val="FFFFFF"/>
          <w:sz w:val="32"/>
        </w:rPr>
        <w:t>30</w:t>
      </w:r>
      <w:r>
        <w:rPr>
          <w:b/>
          <w:color w:val="FFFFFF"/>
          <w:sz w:val="32"/>
        </w:rPr>
        <w:tab/>
        <w:t>onyx — Product Requirements (DRAFT)</w:t>
      </w:r>
    </w:p>
    <w:p>
      <w:pPr>
        <w:pStyle w:val="FirstParagraph"/>
        <w:rPr/>
      </w:pPr>
      <w:r>
        <w:rPr>
          <w:b/>
          <w:bCs/>
          <w:sz w:val="20"/>
        </w:rPr>
        <w:t>Version:</w:t>
      </w:r>
      <w:r>
        <w:rPr>
          <w:sz w:val="20"/>
        </w:rPr>
        <w:t xml:space="preserve"> 0.3 (draft, 2026-10-05) </w:t>
      </w:r>
      <w:r>
        <w:rPr>
          <w:b/>
          <w:bCs/>
          <w:sz w:val="20"/>
        </w:rPr>
        <w:t>Status:</w:t>
      </w:r>
      <w:r>
        <w:rPr>
          <w:sz w:val="20"/>
        </w:rPr>
        <w:t xml:space="preserve"> decisions pending — this page records the questions and the candidates, not answers. A decision becomes DECIDED when it records a name and a date, the way the reed-solomon PRD does it. Until then every row below is OPEN. v0.2: D7 decided 2026-10-05 (Sean) — onyx owns the ACE-shaped AC/CD/CR snoop port; amber/jet adapt to it behind a thin adapter. Decided together with </w:t>
      </w:r>
      <w:hyperlink r:id="rId75">
        <w:r>
          <w:rPr>
            <w:rStyle w:val="Hyperlink"/>
          </w:rPr>
          <w:t>amber D4</w:t>
        </w:r>
      </w:hyperlink>
      <w:r>
        <w:rPr>
          <w:sz w:val="20"/>
        </w:rPr>
        <w:t xml:space="preserve">, so the gate between the two is resolved. The sequencing constraint that remains: onyx still waits behind amber’s pair rig (amber D10), its first consumer. v0.3: D10 direction tightened 2026-10-05 — the ACE BFM extension of the RDS-DV </w:t>
      </w:r>
      <w:r>
        <w:rPr>
          <w:rStyle w:val="VerbatimChar"/>
          <w:sz w:val="20"/>
        </w:rPr>
        <w:t>axi4</w:t>
      </w:r>
      <w:r>
        <w:rPr>
          <w:sz w:val="20"/>
        </w:rPr>
        <w:t xml:space="preserve"> family is now specified concretely (layering, four classes, build order); the row stays OPEN. RDS-DV implementation filed as </w:t>
      </w:r>
      <w:hyperlink r:id="rId76">
        <w:r>
          <w:rPr>
            <w:rStyle w:val="Hyperlink"/>
          </w:rPr>
          <w:t>RTLDesignSherpa-DV issue #86</w:t>
        </w:r>
      </w:hyperlink>
      <w:r>
        <w:rPr>
          <w:sz w:val="20"/>
        </w:rPr>
        <w:t>.</w:t>
      </w:r>
    </w:p>
    <w:p>
      <w:pPr>
        <w:pStyle w:val="Heading2"/>
        <w:pBdr>
          <w:bottom w:val="single" w:sz="12" w:space="0" w:color="228B22"/>
        </w:pBdr>
        <w:spacing w:before="280" w:after="80"/>
        <w:rPr/>
      </w:pPr>
      <w:bookmarkStart w:id="463" w:name="__RefHeading___Toc15072_888288119"/>
      <w:bookmarkStart w:id="464" w:name="purpose-3"/>
      <w:bookmarkEnd w:id="463"/>
      <w:r>
        <w:rPr>
          <w:rStyle w:val="SectionNumber"/>
          <w:b/>
          <w:color w:val="228B22"/>
          <w:sz w:val="28"/>
        </w:rPr>
        <w:t>30.1</w:t>
      </w:r>
      <w:r>
        <w:rPr>
          <w:b/>
          <w:color w:val="228B22"/>
          <w:sz w:val="28"/>
        </w:rPr>
        <w:tab/>
        <w:t>1. Purpose</w:t>
      </w:r>
    </w:p>
    <w:p>
      <w:pPr>
        <w:pStyle w:val="FirstParagraph"/>
        <w:rPr/>
      </w:pPr>
      <w:r>
        <w:rPr>
          <w:sz w:val="20"/>
        </w:rPr>
        <w:t xml:space="preserve">A snoop-based cache coherency unit (CCU) in the shape of Arm ACE: the manager that sits between the repo’s coherent caches and memory on the house AXI4 fabric. An attached cache (amber instance, jet instance) is an ACE </w:t>
      </w:r>
      <w:r>
        <w:rPr>
          <w:i/>
          <w:iCs/>
          <w:sz w:val="20"/>
        </w:rPr>
        <w:t>master</w:t>
      </w:r>
      <w:r>
        <w:rPr>
          <w:sz w:val="20"/>
        </w:rPr>
        <w:t>; it issues coherent transactions (ReadShared, ReadUnique, CleanUnique, MakeUnique, WriteBack, Evict) instead of managing peers directly. onyx receives those transactions, broadcasts a snoop (AC request) to the other caches, gathers their CR responses (DataTransfer / IsShared / PassDirty) and CD data, decides whether the transaction may be completed from cache-supplied data alone or memory must be read, and serialises same-address traffic. The research question is the manager side itself: what do fanout, gather, adjudication, and ordering cost — in gates, in latency, and in verification effort.</w:t>
      </w:r>
      <w:bookmarkEnd w:id="464"/>
    </w:p>
    <w:p>
      <w:pPr>
        <w:pStyle w:val="Heading2"/>
        <w:pBdr>
          <w:bottom w:val="single" w:sz="12" w:space="0" w:color="228B22"/>
        </w:pBdr>
        <w:spacing w:before="280" w:after="80"/>
        <w:rPr/>
      </w:pPr>
      <w:bookmarkStart w:id="465" w:name="__RefHeading___Toc15074_888288119"/>
      <w:bookmarkStart w:id="466" w:name="background-1"/>
      <w:bookmarkEnd w:id="465"/>
      <w:r>
        <w:rPr>
          <w:rStyle w:val="SectionNumber"/>
          <w:b/>
          <w:color w:val="228B22"/>
          <w:sz w:val="28"/>
        </w:rPr>
        <w:t>30.2</w:t>
      </w:r>
      <w:r>
        <w:rPr>
          <w:b/>
          <w:color w:val="228B22"/>
          <w:sz w:val="28"/>
        </w:rPr>
        <w:tab/>
        <w:t>2. Background</w:t>
      </w:r>
    </w:p>
    <w:p>
      <w:pPr>
        <w:pStyle w:val="FirstParagraph"/>
        <w:rPr/>
      </w:pPr>
      <w:r>
        <w:rPr>
          <w:sz w:val="20"/>
        </w:rPr>
        <w:t xml:space="preserve">ACE is AXI4 plus three snoop channels (AC, CR, CD) — and this repo already speaks AXI4 (skid buffers, GAXI FIFOs, </w:t>
      </w:r>
      <w:r>
        <w:rPr>
          <w:rStyle w:val="VerbatimChar"/>
          <w:sz w:val="20"/>
        </w:rPr>
        <w:t>axi4_master_rd/wr</w:t>
      </w:r>
      <w:r>
        <w:rPr>
          <w:sz w:val="20"/>
        </w:rPr>
        <w:t xml:space="preserve"> wrappers, Pattern-B BFMs). The natural-protocol argument: every piece of onyx’s data path reuses existing, proven plumbing; the new logic is the coherence decision layer and the serializer. The definition is Arm IHI 0022 (the ACE chapters); the worked example is </w:t>
      </w:r>
      <w:r>
        <w:rPr>
          <w:rStyle w:val="VerbatimChar"/>
          <w:sz w:val="20"/>
        </w:rPr>
        <w:t>pulp-platform/culsans</w:t>
      </w:r>
      <w:r>
        <w:rPr>
          <w:sz w:val="20"/>
        </w:rPr>
        <w:t xml:space="preserve"> (ETH/PlanV), whose two halves are exactly the reading list:</w:t>
      </w:r>
    </w:p>
    <w:p>
      <w:pPr>
        <w:pStyle w:val="Compact"/>
        <w:numPr>
          <w:ilvl w:val="0"/>
          <w:numId w:val="193"/>
        </w:numPr>
        <w:rPr/>
      </w:pPr>
      <w:r>
        <w:rPr>
          <w:b/>
          <w:bCs/>
        </w:rPr>
        <w:t>culsans’ CVA6 coherent WB cache</w:t>
      </w:r>
      <w:r>
        <w:rPr/>
        <w:t xml:space="preserve"> — how a cache becomes a snoop responder: the AC/CD/CR channels, how snoop tag lookups arbitrate with the core’s own tag port, and the MOESI-ish line states.</w:t>
      </w:r>
    </w:p>
    <w:p>
      <w:pPr>
        <w:pStyle w:val="Compact"/>
        <w:numPr>
          <w:ilvl w:val="0"/>
          <w:numId w:val="194"/>
        </w:numPr>
        <w:rPr/>
      </w:pPr>
      <w:r>
        <w:rPr>
          <w:rStyle w:val="VerbatimChar"/>
          <w:b/>
          <w:bCs/>
        </w:rPr>
        <w:t>ace_ccu_top</w:t>
      </w:r>
      <w:r>
        <w:rPr/>
        <w:t xml:space="preserve"> — the manager: broadcast snoops on a coherent read/write, collect responses, decide whether memory is read, and serialise same-address transactions.</w:t>
      </w:r>
    </w:p>
    <w:p>
      <w:pPr>
        <w:pStyle w:val="FirstParagraph"/>
        <w:rPr/>
      </w:pPr>
      <w:r>
        <w:rPr>
          <w:sz w:val="20"/>
        </w:rPr>
        <w:t xml:space="preserve">Treat culsans as a worked example, not a dependency (last push 2024, lightly maintained). Note also what onyx is </w:t>
      </w:r>
      <w:r>
        <w:rPr>
          <w:i/>
          <w:iCs/>
          <w:sz w:val="20"/>
        </w:rPr>
        <w:t>not</w:t>
      </w:r>
      <w:r>
        <w:rPr>
          <w:sz w:val="20"/>
        </w:rPr>
        <w:t>: it is not a directory, not an L2, and not a general NoC — amber’s deferred “snoop filter / directory-lite” question (amber D4) shows up here only as one candidate row (D3).</w:t>
      </w:r>
    </w:p>
    <w:p>
      <w:pPr>
        <w:pStyle w:val="BodyText"/>
        <w:rPr/>
      </w:pPr>
      <w:r>
        <w:rPr>
          <w:sz w:val="20"/>
        </w:rPr>
        <w:t xml:space="preserve">Repo anchors the design must respect: resets on the </w:t>
      </w:r>
      <w:r>
        <w:rPr>
          <w:rStyle w:val="VerbatimChar"/>
          <w:sz w:val="20"/>
        </w:rPr>
        <w:t>ALWAYS_FF_RST</w:t>
      </w:r>
      <w:r>
        <w:rPr>
          <w:sz w:val="20"/>
        </w:rPr>
        <w:t xml:space="preserve"> macros, no bespoke SRAM (shared </w:t>
      </w:r>
      <w:r>
        <w:rPr>
          <w:rStyle w:val="VerbatimChar"/>
          <w:sz w:val="20"/>
        </w:rPr>
        <w:t>sdpram_core</w:t>
      </w:r>
      <w:r>
        <w:rPr>
          <w:sz w:val="20"/>
        </w:rPr>
        <w:t xml:space="preserve"> / house FIFO primitives), </w:t>
      </w:r>
      <w:r>
        <w:rPr>
          <w:rStyle w:val="VerbatimChar"/>
          <w:sz w:val="20"/>
        </w:rPr>
        <w:t>[DEPTH]</w:t>
      </w:r>
      <w:r>
        <w:rPr>
          <w:sz w:val="20"/>
        </w:rPr>
        <w:t xml:space="preserve"> array syntax, valid/ready streaming contracts, MonBus observation through </w:t>
      </w:r>
      <w:r>
        <w:rPr>
          <w:rStyle w:val="VerbatimChar"/>
          <w:sz w:val="20"/>
        </w:rPr>
        <w:t>*_monlite</w:t>
      </w:r>
      <w:r>
        <w:rPr>
          <w:sz w:val="20"/>
        </w:rPr>
        <w:t xml:space="preserve"> wrappers only (amber D8’s decision — the observer must never stall the measured paths), filelists registry, and GLOBAL_REQUIREMENTS.</w:t>
      </w:r>
      <w:bookmarkEnd w:id="466"/>
    </w:p>
    <w:p>
      <w:pPr>
        <w:pStyle w:val="Heading2"/>
        <w:pBdr>
          <w:bottom w:val="single" w:sz="12" w:space="0" w:color="228B22"/>
        </w:pBdr>
        <w:spacing w:before="280" w:after="80"/>
        <w:rPr/>
      </w:pPr>
      <w:bookmarkStart w:id="467" w:name="__RefHeading___Toc15076_888288119"/>
      <w:bookmarkEnd w:id="467"/>
      <w:r>
        <w:rPr>
          <w:rStyle w:val="SectionNumber"/>
          <w:b/>
          <w:color w:val="228B22"/>
          <w:sz w:val="28"/>
        </w:rPr>
        <w:t>30.3</w:t>
      </w:r>
      <w:r>
        <w:rPr>
          <w:b/>
          <w:color w:val="228B22"/>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CCU only — N ACE slave-side ports toward caches, one AXI4 master toward memory, one ACE-Lite IO port (the culsans shape; recommended starting scope) vs CCU + address striping / multiple memory ports (interconnect territory; non-goal today)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boundary, what “onyx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transaction subset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research subset — ReadShared / ReadUnique / CleanUnique / MakeUnique / WriteBack / Evict (recommended) vs subset + barrier support vs full ACE incl. DVM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decoder, BFM scope, conformance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fanout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broadcast to all attached caches (culsans shape, simplest, recommended for v1) vs directory-lite snoop filter as an elaboration parameter (amber D4’s deferred question, reopened here) vs snoop filter mandatory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fanout logic, gate count, the coherence-traffic measurements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gather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fixed response window (all caches respond within N beats, presumed-miss after timeout — simple, needs a proven bound) vs tagged outstanding snoop IDs with per-transaction completion (exact, more bookkeeping)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gather buffer, formal surface, ACE conformance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Same-address serialization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per-address scoreboard allowing interleaving of different addresses (recommended; the interesting manager) vs full in-order single outstanding (simplest, strangles concurrency; fine as a bring-up mode)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serializer, the deadlock/liveness proof, jet J4 interactions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Memory-read elision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adjudication — read memory only when no cache supplied data and no PassDirty (correct ACE semantics; recommended) vs always-read simplification for bring-up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the measurable win onyx exists to quantify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Cache-side interface ownership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2026-10-05 (Sean): onyx defines and owns an AC/CD/CR-shaped snoop port; amber/jet stay bus-agnostic internally and add a thin adapter to it.</w:t>
            </w:r>
            <w:r>
              <w:rPr>
                <w:rFonts w:eastAsia="Cambria" w:cs=""/>
                <w:kern w:val="0"/>
                <w:sz w:val="24"/>
                <w:szCs w:val="24"/>
                <w:lang w:val="en-US" w:eastAsia="en-US" w:bidi="ar-SA"/>
              </w:rPr>
              <w:t xml:space="preserve"> Chosen over caches natively growing ACE ports — the cache cores stay unpinned from ACE except at the adapter, so onyx (or a real ACE interconnect, e.g. culsans’ </w:t>
            </w:r>
            <w:r>
              <w:rPr>
                <w:rStyle w:val="VerbatimChar"/>
                <w:rFonts w:eastAsia="Cambria" w:cs=""/>
                <w:kern w:val="0"/>
                <w:szCs w:val="24"/>
                <w:lang w:val="en-US" w:eastAsia="en-US" w:bidi="ar-SA"/>
              </w:rPr>
              <w:t>ace_ccu_top</w:t>
            </w:r>
            <w:r>
              <w:rPr>
                <w:rFonts w:eastAsia="Cambria" w:cs=""/>
                <w:kern w:val="0"/>
                <w:sz w:val="24"/>
                <w:szCs w:val="24"/>
                <w:lang w:val="en-US" w:eastAsia="en-US" w:bidi="ar-SA"/>
              </w:rPr>
              <w:t>) can supersede the custom bus without touching cache RTL.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amber D4 ↔ onyx contract, who changes when ACE supersedes the custom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Domain / barrier rules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single shareability domain, barriers ignored (recommended non-goal, recorded here so it is a decision and not an accident) vs minimal barrier ordering vs full DVM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 honesty, later upgrade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amber D8 pattern):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taps for coherent-txn start, snoop fanout per transaction, response gather completion, memory-read elision hit/miss, serialization stalls, and WB/Evict drains; tallied by </w:t>
            </w:r>
            <w:r>
              <w:rPr>
                <w:rStyle w:val="VerbatimChar"/>
                <w:rFonts w:eastAsia="Cambria" w:cs=""/>
                <w:kern w:val="0"/>
                <w:szCs w:val="24"/>
                <w:lang w:val="en-US" w:eastAsia="en-US" w:bidi="ar-SA"/>
              </w:rPr>
              <w:t>monbus_tally_axil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Pattern-B cocotb gate/func/full. </w:t>
            </w:r>
            <w:r>
              <w:rPr>
                <w:rFonts w:eastAsia="Cambria" w:cs=""/>
                <w:b/>
                <w:bCs/>
                <w:kern w:val="0"/>
                <w:sz w:val="24"/>
                <w:szCs w:val="24"/>
                <w:lang w:val="en-US" w:eastAsia="en-US" w:bidi="ar-SA"/>
              </w:rPr>
              <w:t xml:space="preserve">ACE BFM — an extension of the </w:t>
            </w:r>
            <w:r>
              <w:rPr>
                <w:rStyle w:val="VerbatimChar"/>
                <w:rFonts w:eastAsia="Cambria" w:cs=""/>
                <w:b/>
                <w:bCs/>
                <w:kern w:val="0"/>
                <w:szCs w:val="24"/>
                <w:lang w:val="en-US" w:eastAsia="en-US" w:bidi="ar-SA"/>
              </w:rPr>
              <w:t>axi4</w:t>
            </w:r>
            <w:r>
              <w:rPr>
                <w:rFonts w:eastAsia="Cambria" w:cs=""/>
                <w:b/>
                <w:bCs/>
                <w:kern w:val="0"/>
                <w:sz w:val="24"/>
                <w:szCs w:val="24"/>
                <w:lang w:val="en-US" w:eastAsia="en-US" w:bidi="ar-SA"/>
              </w:rPr>
              <w:t xml:space="preserve"> BFM family in RDS-DV, layered the way that family is built</w:t>
            </w:r>
            <w:r>
              <w:rPr>
                <w:rFonts w:eastAsia="Cambria" w:cs=""/>
                <w:kern w:val="0"/>
                <w:sz w:val="24"/>
                <w:szCs w:val="24"/>
                <w:lang w:val="en-US" w:eastAsia="en-US" w:bidi="ar-SA"/>
              </w:rPr>
              <w:t xml:space="preserve"> (analysis from inspecting </w:t>
            </w:r>
            <w:r>
              <w:rPr>
                <w:rStyle w:val="VerbatimChar"/>
                <w:rFonts w:eastAsia="Cambria" w:cs=""/>
                <w:kern w:val="0"/>
                <w:szCs w:val="24"/>
                <w:lang w:val="en-US" w:eastAsia="en-US" w:bidi="ar-SA"/>
              </w:rPr>
              <w:t>CocoTBFramework/components/axi4/</w:t>
            </w:r>
            <w:r>
              <w:rPr>
                <w:rFonts w:eastAsia="Cambria" w:cs=""/>
                <w:kern w:val="0"/>
                <w:sz w:val="24"/>
                <w:szCs w:val="24"/>
                <w:lang w:val="en-US" w:eastAsia="en-US" w:bidi="ar-SA"/>
              </w:rPr>
              <w:t xml:space="preserve">): (1) field configs — an </w:t>
            </w:r>
            <w:r>
              <w:rPr>
                <w:rStyle w:val="VerbatimChar"/>
                <w:rFonts w:eastAsia="Cambria" w:cs=""/>
                <w:kern w:val="0"/>
                <w:szCs w:val="24"/>
                <w:lang w:val="en-US" w:eastAsia="en-US" w:bidi="ar-SA"/>
              </w:rPr>
              <w:t>AXI4ACEFieldConfigHelper</w:t>
            </w:r>
            <w:r>
              <w:rPr>
                <w:rFonts w:eastAsia="Cambria" w:cs=""/>
                <w:kern w:val="0"/>
                <w:sz w:val="24"/>
                <w:szCs w:val="24"/>
                <w:lang w:val="en-US" w:eastAsia="en-US" w:bidi="ar-SA"/>
              </w:rPr>
              <w:t xml:space="preserve"> adds </w:t>
            </w:r>
            <w:r>
              <w:rPr>
                <w:rStyle w:val="VerbatimChar"/>
                <w:rFonts w:eastAsia="Cambria" w:cs=""/>
                <w:kern w:val="0"/>
                <w:szCs w:val="24"/>
                <w:lang w:val="en-US" w:eastAsia="en-US" w:bidi="ar-SA"/>
              </w:rPr>
              <w:t>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AWSNOOP[2:0]</w:t>
            </w:r>
            <w:r>
              <w:rPr>
                <w:rFonts w:eastAsia="Cambria" w:cs=""/>
                <w:kern w:val="0"/>
                <w:sz w:val="24"/>
                <w:szCs w:val="24"/>
                <w:lang w:val="en-US" w:eastAsia="en-US" w:bidi="ar-SA"/>
              </w:rPr>
              <w:t xml:space="preserve"> to the AR/AW field configs; (2) signal-map patterns — new </w:t>
            </w:r>
            <w:r>
              <w:rPr>
                <w:rStyle w:val="VerbatimChar"/>
                <w:rFonts w:eastAsia="Cambria" w:cs=""/>
                <w:kern w:val="0"/>
                <w:szCs w:val="24"/>
                <w:lang w:val="en-US" w:eastAsia="en-US" w:bidi="ar-SA"/>
              </w:rPr>
              <w:t>axi4ace_*</w:t>
            </w:r>
            <w:r>
              <w:rPr>
                <w:rFonts w:eastAsia="Cambria" w:cs=""/>
                <w:kern w:val="0"/>
                <w:sz w:val="24"/>
                <w:szCs w:val="24"/>
                <w:lang w:val="en-US" w:eastAsia="en-US" w:bidi="ar-SA"/>
              </w:rPr>
              <w:t xml:space="preserve"> protocol patterns (decide there: framework-shipped vs. user-loadable, the signal_mapping_helper question); (3) transaction/packet layer — the six D2 transaction types as an enum, CRRESP as a bitfield (DataTransfer/Error/PassDirty/IsShared/WasUnique); (4) four BFM classes — </w:t>
            </w:r>
            <w:r>
              <w:rPr>
                <w:rStyle w:val="VerbatimChar"/>
                <w:rFonts w:eastAsia="Cambria" w:cs=""/>
                <w:kern w:val="0"/>
                <w:szCs w:val="24"/>
                <w:lang w:val="en-US" w:eastAsia="en-US" w:bidi="ar-SA"/>
              </w:rPr>
              <w:t>AXI4ACEMasterRead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AXI4ACEMasterWrite</w:t>
            </w:r>
            <w:r>
              <w:rPr>
                <w:rFonts w:eastAsia="Cambria" w:cs=""/>
                <w:kern w:val="0"/>
                <w:sz w:val="24"/>
                <w:szCs w:val="24"/>
                <w:lang w:val="en-US" w:eastAsia="en-US" w:bidi="ar-SA"/>
              </w:rPr>
              <w:t xml:space="preserve"> as subclasses (snoop type on commands; the BFM </w:t>
            </w:r>
            <w:r>
              <w:rPr>
                <w:rFonts w:eastAsia="Cambria" w:cs=""/>
                <w:b/>
                <w:bCs/>
                <w:kern w:val="0"/>
                <w:sz w:val="24"/>
                <w:szCs w:val="24"/>
                <w:lang w:val="en-US" w:eastAsia="en-US" w:bidi="ar-SA"/>
              </w:rPr>
              <w:t>drives RACK/WACK</w:t>
            </w:r>
            <w:r>
              <w:rPr>
                <w:rFonts w:eastAsia="Cambria" w:cs=""/>
                <w:kern w:val="0"/>
                <w:sz w:val="24"/>
                <w:szCs w:val="24"/>
                <w:lang w:val="en-US" w:eastAsia="en-US" w:bidi="ar-SA"/>
              </w:rPr>
              <w:t xml:space="preserve"> when playing master against an onyx-port DUT, since the RTL auto-pulse in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only covers DUT-as-master), </w:t>
            </w:r>
            <w:r>
              <w:rPr>
                <w:rStyle w:val="VerbatimChar"/>
                <w:rFonts w:eastAsia="Cambria" w:cs=""/>
                <w:kern w:val="0"/>
                <w:szCs w:val="24"/>
                <w:lang w:val="en-US" w:eastAsia="en-US" w:bidi="ar-SA"/>
              </w:rPr>
              <w:t>AXI4ACESnoopSlave</w:t>
            </w:r>
            <w:r>
              <w:rPr>
                <w:rFonts w:eastAsia="Cambria" w:cs=""/>
                <w:kern w:val="0"/>
                <w:sz w:val="24"/>
                <w:szCs w:val="24"/>
                <w:lang w:val="en-US" w:eastAsia="en-US" w:bidi="ar-SA"/>
              </w:rPr>
              <w:t xml:space="preserve"> (new, no base: receives AC, drives CR/CD in </w:t>
            </w:r>
            <w:r>
              <w:rPr>
                <w:rFonts w:eastAsia="Cambria" w:cs=""/>
                <w:b/>
                <w:bCs/>
                <w:kern w:val="0"/>
                <w:sz w:val="24"/>
                <w:szCs w:val="24"/>
                <w:lang w:val="en-US" w:eastAsia="en-US" w:bidi="ar-SA"/>
              </w:rPr>
              <w:t>issue order</w:t>
            </w:r>
            <w:r>
              <w:rPr>
                <w:rFonts w:eastAsia="Cambria" w:cs=""/>
                <w:kern w:val="0"/>
                <w:sz w:val="24"/>
                <w:szCs w:val="24"/>
                <w:lang w:val="en-US" w:eastAsia="en-US" w:bidi="ar-SA"/>
              </w:rPr>
              <w:t xml:space="preserve"> — snoops carry no ID — with programmable cache-state behavior producing the correct CRRESP; this is the golden-model hook that replays gem5 traces through amber), </w:t>
            </w:r>
            <w:r>
              <w:rPr>
                <w:rStyle w:val="VerbatimChar"/>
                <w:rFonts w:eastAsia="Cambria" w:cs=""/>
                <w:kern w:val="0"/>
                <w:szCs w:val="24"/>
                <w:lang w:val="en-US" w:eastAsia="en-US" w:bidi="ar-SA"/>
              </w:rPr>
              <w:t>AXI4ACESnoopMaster</w:t>
            </w:r>
            <w:r>
              <w:rPr>
                <w:rFonts w:eastAsia="Cambria" w:cs=""/>
                <w:kern w:val="0"/>
                <w:sz w:val="24"/>
                <w:szCs w:val="24"/>
                <w:lang w:val="en-US" w:eastAsia="en-US" w:bidi="ar-SA"/>
              </w:rPr>
              <w:t xml:space="preserve"> (new: drives AC, gathers CR/CD in order — drives onyx’s fanout in DV); (5) compliance checker — in-order CR/CD, no snoop to the requesting master, CD-before-CDLAST, CRRESP validity per snoop type; (6) main-repo TB classes under </w:t>
            </w:r>
            <w:r>
              <w:rPr>
                <w:rStyle w:val="VerbatimChar"/>
                <w:rFonts w:eastAsia="Cambria" w:cs=""/>
                <w:kern w:val="0"/>
                <w:szCs w:val="24"/>
                <w:lang w:val="en-US" w:eastAsia="en-US" w:bidi="ar-SA"/>
              </w:rPr>
              <w:t>bin/TBClasses/axi4ace/</w:t>
            </w:r>
            <w:r>
              <w:rPr>
                <w:rFonts w:eastAsia="Cambria" w:cs=""/>
                <w:kern w:val="0"/>
                <w:sz w:val="24"/>
                <w:szCs w:val="24"/>
                <w:lang w:val="en-US" w:eastAsia="en-US" w:bidi="ar-SA"/>
              </w:rPr>
              <w:t xml:space="preserve"> per consumer. </w:t>
            </w:r>
            <w:r>
              <w:rPr>
                <w:rFonts w:eastAsia="Cambria" w:cs=""/>
                <w:b/>
                <w:bCs/>
                <w:kern w:val="0"/>
                <w:sz w:val="24"/>
                <w:szCs w:val="24"/>
                <w:lang w:val="en-US" w:eastAsia="en-US" w:bidi="ar-SA"/>
              </w:rPr>
              <w:t>Build order:</w:t>
            </w:r>
            <w:r>
              <w:rPr>
                <w:rFonts w:eastAsia="Cambria" w:cs=""/>
                <w:kern w:val="0"/>
                <w:sz w:val="24"/>
                <w:szCs w:val="24"/>
                <w:lang w:val="en-US" w:eastAsia="en-US" w:bidi="ar-SA"/>
              </w:rPr>
              <w:t xml:space="preserve"> snoop-slave BFM first (amber’s pair rig needs it), snoop-master BFM lands with onyx; ships as an RDS-DV framework release the way the irq BFM did. Python golden model derived from the gem5 Ruby </w:t>
            </w:r>
            <w:r>
              <w:rPr>
                <w:rStyle w:val="VerbatimChar"/>
                <w:rFonts w:eastAsia="Cambria" w:cs=""/>
                <w:kern w:val="0"/>
                <w:szCs w:val="24"/>
                <w:lang w:val="en-US" w:eastAsia="en-US" w:bidi="ar-SA"/>
              </w:rPr>
              <w:t>MESI_Two_Level</w:t>
            </w:r>
            <w:r>
              <w:rPr>
                <w:rFonts w:eastAsia="Cambria" w:cs=""/>
                <w:kern w:val="0"/>
                <w:sz w:val="24"/>
                <w:szCs w:val="24"/>
                <w:lang w:val="en-US" w:eastAsia="en-US" w:bidi="ar-SA"/>
              </w:rPr>
              <w:t xml:space="preserve"> spec in </w:t>
            </w:r>
            <w:r>
              <w:rPr>
                <w:rStyle w:val="VerbatimChar"/>
                <w:rFonts w:eastAsia="Cambria" w:cs=""/>
                <w:kern w:val="0"/>
                <w:szCs w:val="24"/>
                <w:lang w:val="en-US" w:eastAsia="en-US" w:bidi="ar-SA"/>
              </w:rPr>
              <w:t>../References/gem5-ruby-protocols/</w:t>
            </w:r>
            <w:r>
              <w:rPr>
                <w:rFonts w:eastAsia="Cambria" w:cs=""/>
                <w:kern w:val="0"/>
                <w:sz w:val="24"/>
                <w:szCs w:val="24"/>
                <w:lang w:val="en-US" w:eastAsia="en-US" w:bidi="ar-SA"/>
              </w:rPr>
              <w:t xml:space="preserve">; the ACE subset contract is the in-repo </w:t>
            </w:r>
            <w:hyperlink r:id="rId77">
              <w:r>
                <w:rPr>
                  <w:rStyle w:val="Hyperlink"/>
                  <w:rFonts w:eastAsia="Cambria" w:cs=""/>
                  <w:kern w:val="0"/>
                  <w:sz w:val="24"/>
                  <w:szCs w:val="24"/>
                  <w:lang w:val="en-US" w:eastAsia="en-US" w:bidi="ar-SA"/>
                </w:rPr>
                <w:t>definition doc</w:t>
              </w:r>
            </w:hyperlink>
            <w:r>
              <w:rPr>
                <w:rFonts w:eastAsia="Cambria" w:cs=""/>
                <w:kern w:val="0"/>
                <w:sz w:val="24"/>
                <w:szCs w:val="24"/>
                <w:lang w:val="en-US" w:eastAsia="en-US" w:bidi="ar-SA"/>
              </w:rPr>
              <w:t>; SymbiYosys proofs of same-address serialisation and no-deadlock under fair arbitration; culsans behaviours as informal cross-checks, not oracles)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count &amp; profile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N coherent cache masters 2–4 as an elaboration parameter (culsans uses 2–4 CVA6) vs fixed 2 for the research rig; line size / profile locked to amber’s geometry vs independently parameterised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dimensions, DV matrix, the measured system’s realism</w:t>
            </w:r>
            <w:bookmarkStart w:id="468" w:name="decisions-that-pick-the-design-1"/>
            <w:bookmarkEnd w:id="468"/>
          </w:p>
        </w:tc>
      </w:tr>
    </w:tbl>
    <w:p>
      <w:pPr>
        <w:pStyle w:val="Heading2"/>
        <w:pBdr>
          <w:bottom w:val="single" w:sz="12" w:space="0" w:color="228B22"/>
        </w:pBdr>
        <w:spacing w:before="280" w:after="80"/>
        <w:rPr/>
      </w:pPr>
      <w:bookmarkStart w:id="469" w:name="__RefHeading___Toc15078_888288119"/>
      <w:bookmarkEnd w:id="469"/>
      <w:r>
        <w:rPr>
          <w:rStyle w:val="SectionNumber"/>
          <w:b/>
          <w:color w:val="228B22"/>
          <w:sz w:val="28"/>
        </w:rPr>
        <w:t>30.4</w:t>
      </w:r>
      <w:r>
        <w:rPr>
          <w:b/>
          <w:color w:val="228B22"/>
          <w:sz w:val="28"/>
        </w:rPr>
        <w:tab/>
        <w:t>4. Success criteria</w:t>
      </w:r>
    </w:p>
    <w:p>
      <w:pPr>
        <w:pStyle w:val="Compact"/>
        <w:numPr>
          <w:ilvl w:val="0"/>
          <w:numId w:val="195"/>
        </w:numPr>
        <w:rPr/>
      </w:pPr>
      <w:r>
        <w:rPr>
          <w:b/>
          <w:bCs/>
        </w:rPr>
        <w:t>Three-block coherence.</w:t>
      </w:r>
      <w:r>
        <w:rPr/>
        <w:t xml:space="preserve"> Two amber instances (or amber + jet) plus onyx form a coherent system that passes the golden-model parity suite amber D9 defines — the pair rig grown by one block, same traces, same policy space.</w:t>
      </w:r>
    </w:p>
    <w:p>
      <w:pPr>
        <w:pStyle w:val="Compact"/>
        <w:numPr>
          <w:ilvl w:val="0"/>
          <w:numId w:val="196"/>
        </w:numPr>
        <w:rPr/>
      </w:pPr>
      <w:r>
        <w:rPr>
          <w:b/>
          <w:bCs/>
        </w:rPr>
        <w:t>IHI 0022 conformance on the D2 subset.</w:t>
      </w:r>
      <w:r>
        <w:rPr/>
        <w:t xml:space="preserve"> A scoreboard checks the AC/CR/CD behaviour per transaction type: the CR bits (DataTransfer, IsShared, PassDirty) of every gather are correct for the transaction and the caches’ states.</w:t>
      </w:r>
    </w:p>
    <w:p>
      <w:pPr>
        <w:pStyle w:val="Compact"/>
        <w:numPr>
          <w:ilvl w:val="0"/>
          <w:numId w:val="197"/>
        </w:numPr>
        <w:rPr/>
      </w:pPr>
      <w:r>
        <w:rPr>
          <w:b/>
          <w:bCs/>
        </w:rPr>
        <w:t>The serializer, proven.</w:t>
      </w:r>
      <w:r>
        <w:rPr/>
        <w:t xml:space="preserve"> Formal: no two same-address coherent transactions proceed incompatibly; no deadlock under fair arbitration at N ∈ {2, 3, 4} masters; the D4 response-gather mechanism cannot livelock (a presumed-miss bound exists and is proven).</w:t>
      </w:r>
    </w:p>
    <w:p>
      <w:pPr>
        <w:pStyle w:val="Compact"/>
        <w:numPr>
          <w:ilvl w:val="0"/>
          <w:numId w:val="198"/>
        </w:numPr>
        <w:rPr/>
      </w:pPr>
      <w:r>
        <w:rPr>
          <w:b/>
          <w:bCs/>
        </w:rPr>
        <w:t>Observation.</w:t>
      </w:r>
      <w:r>
        <w:rPr/>
        <w:t xml:space="preserve"> Every D9 event class visible on MonBus in simulation and captured on at least one FPGA board.</w:t>
      </w:r>
    </w:p>
    <w:p>
      <w:pPr>
        <w:pStyle w:val="Compact"/>
        <w:numPr>
          <w:ilvl w:val="0"/>
          <w:numId w:val="199"/>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p>
    <w:p>
      <w:pPr>
        <w:pStyle w:val="Heading2"/>
        <w:pBdr>
          <w:bottom w:val="single" w:sz="12" w:space="0" w:color="228B22"/>
        </w:pBdr>
        <w:spacing w:before="280" w:after="80"/>
        <w:rPr/>
      </w:pPr>
      <w:bookmarkStart w:id="470" w:name="__RefHeading___Toc15080_888288119"/>
      <w:bookmarkStart w:id="471" w:name="non-goals-1"/>
      <w:bookmarkEnd w:id="470"/>
      <w:r>
        <w:rPr>
          <w:rStyle w:val="SectionNumber"/>
          <w:b/>
          <w:color w:val="228B22"/>
          <w:sz w:val="28"/>
        </w:rPr>
        <w:t>30.5</w:t>
      </w:r>
      <w:r>
        <w:rPr>
          <w:b/>
          <w:color w:val="228B22"/>
          <w:sz w:val="28"/>
        </w:rPr>
        <w:tab/>
        <w:t>5. Non-goals</w:t>
      </w:r>
    </w:p>
    <w:p>
      <w:pPr>
        <w:pStyle w:val="FirstParagraph"/>
        <w:rPr/>
      </w:pPr>
      <w:bookmarkStart w:id="472" w:name="non-goals-1"/>
      <w:r>
        <w:rPr>
          <w:sz w:val="20"/>
        </w:rPr>
        <w:t>Cache storage in onyx (it is a manager, not an L2 — tempting because a CCU’s gather point is the natural place to cache; explicitly out), directory-based coherence (the D3 snoop-filter candidate is the closest this IP comes), ACE DVM and full barrier semantics (D8), cache stash/dealloc features, multi-CCU / multi-domain systems, and any CPU-side or upstream-master port beyond ACE-Lite IO. Each is a future IP or a future decision, not an onyx requirement.</w:t>
      </w:r>
      <w:bookmarkEnd w:id="472"/>
    </w:p>
    <w:p>
      <w:pPr>
        <w:pStyle w:val="Heading2"/>
        <w:pBdr>
          <w:bottom w:val="single" w:sz="12" w:space="0" w:color="228B22"/>
        </w:pBdr>
        <w:spacing w:before="280" w:after="80"/>
        <w:rPr/>
      </w:pPr>
      <w:bookmarkStart w:id="473" w:name="__RefHeading___Toc15082_888288119"/>
      <w:bookmarkStart w:id="474" w:name="where-the-block-sits-1"/>
      <w:bookmarkEnd w:id="473"/>
      <w:r>
        <w:rPr>
          <w:rStyle w:val="SectionNumber"/>
          <w:b/>
          <w:color w:val="228B22"/>
          <w:sz w:val="28"/>
        </w:rPr>
        <w:t>30.6</w:t>
      </w:r>
      <w:r>
        <w:rPr>
          <w:b/>
          <w:color w:val="228B22"/>
          <w:sz w:val="28"/>
        </w:rPr>
        <w:tab/>
        <w:t>6. Where the block sits</w:t>
      </w:r>
    </w:p>
    <w:p>
      <w:pPr>
        <w:pStyle w:val="FirstParagraph"/>
        <w:rPr/>
      </w:pPr>
      <w:r>
        <w:rPr>
          <w:sz w:val="20"/>
        </w:rPr>
        <w:t xml:space="preserve">The fabric’s coherence point, on three kinds of port: </w:t>
      </w:r>
      <w:r>
        <w:rPr>
          <w:b/>
          <w:bCs/>
          <w:sz w:val="20"/>
        </w:rPr>
        <w:t>cache-side</w:t>
      </w:r>
      <w:r>
        <w:rPr>
          <w:sz w:val="20"/>
        </w:rPr>
        <w:t xml:space="preserve">, N ACE-facing ports accepting coherent transactions from amber/jet instances acting as ACE masters (D7, decided 2026-10-05: onyx owns this port’s ACE shape; caches adapt); </w:t>
      </w:r>
      <w:r>
        <w:rPr>
          <w:b/>
          <w:bCs/>
          <w:sz w:val="20"/>
        </w:rPr>
        <w:t>memory-side</w:t>
      </w:r>
      <w:r>
        <w:rPr>
          <w:sz w:val="20"/>
        </w:rPr>
        <w:t xml:space="preserve">, one AXI4 master toward the house memory path (D6 fixes when it is read); </w:t>
      </w:r>
      <w:r>
        <w:rPr>
          <w:b/>
          <w:bCs/>
          <w:sz w:val="20"/>
        </w:rPr>
        <w:t>inter-cache</w:t>
      </w:r>
      <w:r>
        <w:rPr>
          <w:sz w:val="20"/>
        </w:rPr>
        <w:t xml:space="preserve">, the snoop fanout — AC requests driven into each peer cache, CD snoop data and CR snoop responses returned. No CPU port, no register block beyond what observation needs (D9 tallies live in </w:t>
      </w:r>
      <w:r>
        <w:rPr>
          <w:rStyle w:val="VerbatimChar"/>
          <w:sz w:val="20"/>
        </w:rPr>
        <w:t>monbus_tally_axil</w:t>
      </w:r>
      <w:r>
        <w:rPr>
          <w:sz w:val="20"/>
        </w:rPr>
        <w:t xml:space="preserve"> like every other component). Standalone-testable with BFM caches long before amber exists: culsans’ </w:t>
      </w:r>
      <w:r>
        <w:rPr>
          <w:rStyle w:val="VerbatimChar"/>
          <w:sz w:val="20"/>
        </w:rPr>
        <w:t>ace_ccu_top</w:t>
      </w:r>
      <w:r>
        <w:rPr>
          <w:sz w:val="20"/>
        </w:rPr>
        <w:t xml:space="preserve"> demonstrates exactly that decoupling.</w:t>
      </w:r>
      <w:bookmarkEnd w:id="462"/>
      <w:bookmarkEnd w:id="474"/>
      <w:r>
        <w:br w:type="page"/>
      </w:r>
    </w:p>
    <w:p>
      <w:pPr>
        <w:pStyle w:val="Heading1"/>
        <w:shd w:val="clear" w:color="auto" w:fill="404040"/>
        <w:spacing w:before="360" w:after="120"/>
        <w:rPr/>
      </w:pPr>
      <w:bookmarkStart w:id="475" w:name="__RefHeading___Toc15084_888288119"/>
      <w:bookmarkStart w:id="476" w:name="Xceec9f7fd3006b4c7352201fbcf5a2d7ddaf84a"/>
      <w:bookmarkEnd w:id="475"/>
      <w:r>
        <w:rPr>
          <w:rStyle w:val="SectionNumber"/>
          <w:b/>
          <w:color w:val="FFFFFF"/>
          <w:sz w:val="32"/>
        </w:rPr>
        <w:t>31</w:t>
      </w:r>
      <w:r>
        <w:rPr>
          <w:b/>
          <w:color w:val="FFFFFF"/>
          <w:sz w:val="32"/>
        </w:rPr>
        <w:tab/>
        <w:t>AMBA ACE — Working Interface Definition for cache-ip</w:t>
      </w:r>
    </w:p>
    <w:p>
      <w:pPr>
        <w:pStyle w:val="FirstParagraph"/>
        <w:rPr/>
      </w:pPr>
      <w:r>
        <w:rPr>
          <w:sz w:val="20"/>
        </w:rPr>
        <w:t xml:space="preserve">Distilled 2026-10-05 for the </w:t>
      </w:r>
      <w:r>
        <w:rPr>
          <w:rStyle w:val="VerbatimChar"/>
          <w:sz w:val="20"/>
        </w:rPr>
        <w:t>cache-ip</w:t>
      </w:r>
      <w:r>
        <w:rPr>
          <w:sz w:val="20"/>
        </w:rPr>
        <w:t xml:space="preserve"> family, then </w:t>
      </w:r>
      <w:r>
        <w:rPr>
          <w:b/>
          <w:bCs/>
          <w:sz w:val="20"/>
        </w:rPr>
        <w:t>verified clause-by-clause against IHI 0022H on 2026-10-05</w:t>
      </w:r>
      <w:r>
        <w:rPr>
          <w:sz w:val="20"/>
        </w:rPr>
        <w:t xml:space="preserve"> (Arm’s direct PDF, linked in §7; fetched to </w:t>
      </w:r>
      <w:r>
        <w:rPr>
          <w:rStyle w:val="VerbatimChar"/>
          <w:sz w:val="20"/>
        </w:rPr>
        <w:t>/tmp</w:t>
      </w:r>
      <w:r>
        <w:rPr>
          <w:sz w:val="20"/>
        </w:rPr>
        <w:t xml:space="preserve"> for comparison, not stored in-tree). Verification confirmed every transaction type, channel payload, CRRESP bit, and the ACE-Lite channel exclusions; it caught and fixed two errors in the ordering rules (the original draft claimed ACE serializes snoops one-at-a-time and mandates CD-before-CR — ACE requires only per-channel ordering and permits multiple outstanding snoops; the stricter behavior is recorded above as our own adapter convention). This document is the in-repo definition of the </w:t>
      </w:r>
      <w:r>
        <w:rPr>
          <w:b/>
          <w:bCs/>
          <w:sz w:val="20"/>
        </w:rPr>
        <w:t>ACE-shaped port contract</w:t>
      </w:r>
      <w:r>
        <w:rPr>
          <w:sz w:val="20"/>
        </w:rPr>
        <w:t xml:space="preserve"> referenced by </w:t>
      </w:r>
      <w:hyperlink r:id="rId78">
        <w:r>
          <w:rPr>
            <w:rStyle w:val="Hyperlink"/>
          </w:rPr>
          <w:t>amber D4</w:t>
        </w:r>
      </w:hyperlink>
      <w:r>
        <w:rPr>
          <w:sz w:val="20"/>
        </w:rPr>
        <w:t xml:space="preserve"> and </w:t>
      </w:r>
      <w:hyperlink r:id="rId79">
        <w:r>
          <w:rPr>
            <w:rStyle w:val="Hyperlink"/>
          </w:rPr>
          <w:t>onyx D7</w:t>
        </w:r>
      </w:hyperlink>
      <w:r>
        <w:rPr>
          <w:sz w:val="20"/>
        </w:rPr>
        <w:t xml:space="preserve"> (family decision 2026-10-05: cache-ip is ACE-shaped).</w:t>
      </w:r>
    </w:p>
    <w:p>
      <w:pPr>
        <w:pStyle w:val="BodyText"/>
        <w:rPr/>
      </w:pPr>
      <w:r>
        <w:rPr>
          <w:b/>
          <w:bCs/>
          <w:sz w:val="20"/>
        </w:rPr>
        <w:t>Normative reference:</w:t>
      </w:r>
      <w:r>
        <w:rPr>
          <w:sz w:val="20"/>
        </w:rPr>
        <w:t xml:space="preserve"> Arm, </w:t>
      </w:r>
      <w:r>
        <w:rPr>
          <w:i/>
          <w:iCs/>
          <w:sz w:val="20"/>
        </w:rPr>
        <w:t>AMBA AXI and ACE Protocol Specification</w:t>
      </w:r>
      <w:r>
        <w:rPr>
          <w:sz w:val="20"/>
        </w:rPr>
        <w:t xml:space="preserve">, IHI 0022 (ACE chapters). Available from Arm without charge (direct PDF in §7); Arm copyright, so deliberately not mirrored here. Where this document and IHI 0022 disagree, IHI 0022 wins — file a docs bug. </w:t>
      </w:r>
      <w:r>
        <w:rPr>
          <w:b/>
          <w:bCs/>
          <w:sz w:val="20"/>
        </w:rPr>
        <w:t>Worked example:</w:t>
      </w:r>
      <w:r>
        <w:rPr>
          <w:sz w:val="20"/>
        </w:rPr>
        <w:t xml:space="preserve"> </w:t>
      </w:r>
      <w:r>
        <w:rPr>
          <w:rStyle w:val="VerbatimChar"/>
          <w:sz w:val="20"/>
        </w:rPr>
        <w:t>pulp-platform/culsans</w:t>
      </w:r>
      <w:r>
        <w:rPr>
          <w:sz w:val="20"/>
        </w:rPr>
        <w:t xml:space="preserve"> (</w:t>
      </w:r>
      <w:r>
        <w:rPr>
          <w:rStyle w:val="VerbatimChar"/>
          <w:sz w:val="20"/>
        </w:rPr>
        <w:t>ace_ccu_top</w:t>
      </w:r>
      <w:r>
        <w:rPr>
          <w:sz w:val="20"/>
        </w:rPr>
        <w:t>, Solderpad license) — read its RTL after this page, not before.</w:t>
      </w:r>
    </w:p>
    <w:p>
      <w:pPr>
        <w:pStyle w:val="Normal"/>
        <w:rPr/>
      </w:pPr>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77" w:name="__RefHeading___Toc15086_888288119"/>
      <w:bookmarkStart w:id="478" w:name="what-ace-is"/>
      <w:bookmarkEnd w:id="477"/>
      <w:r>
        <w:rPr>
          <w:rStyle w:val="SectionNumber"/>
          <w:b/>
          <w:color w:val="228B22"/>
          <w:sz w:val="28"/>
        </w:rPr>
        <w:t>31.1</w:t>
      </w:r>
      <w:r>
        <w:rPr>
          <w:b/>
          <w:color w:val="228B22"/>
          <w:sz w:val="28"/>
        </w:rPr>
        <w:tab/>
        <w:t>1. What ACE is</w:t>
      </w:r>
    </w:p>
    <w:p>
      <w:pPr>
        <w:pStyle w:val="FirstParagraph"/>
        <w:rPr/>
      </w:pPr>
      <w:r>
        <w:rPr>
          <w:sz w:val="20"/>
        </w:rPr>
        <w:t xml:space="preserve">ACE (AXI Coherency Extensions) is AXI4 extended so that multiple caching masters can share memory coherently. An ACE master is typically a CPU’s cache; an ACE-Lite master is a non-caching agent (DMA, IO) that wants coherent </w:t>
      </w:r>
      <w:r>
        <w:rPr>
          <w:i/>
          <w:iCs/>
          <w:sz w:val="20"/>
        </w:rPr>
        <w:t>access</w:t>
      </w:r>
      <w:r>
        <w:rPr>
          <w:sz w:val="20"/>
        </w:rPr>
        <w:t xml:space="preserve"> without being snooped. Between the masters and memory sits a coherency manager — in this family, </w:t>
      </w:r>
      <w:r>
        <w:rPr>
          <w:b/>
          <w:bCs/>
          <w:sz w:val="20"/>
        </w:rPr>
        <w:t>onyx</w:t>
      </w:r>
      <w:r>
        <w:rPr>
          <w:sz w:val="20"/>
        </w:rPr>
        <w:t xml:space="preserve"> — which receives coherent transactions, broadcasts snoops to the peer caches, gathers their responses, decides whether DRAM must be read, and serializes same-address traffic.</w:t>
      </w:r>
    </w:p>
    <w:p>
      <w:pPr>
        <w:pStyle w:val="BodyText"/>
        <w:rPr/>
      </w:pPr>
      <w:bookmarkStart w:id="479" w:name="what-ace-is"/>
      <w:r>
        <w:rPr>
          <w:sz w:val="20"/>
        </w:rPr>
        <w:t>ACE adds three channels to AXI4. Everything else — AW/W/B/AR/R semantics, burst rules, handshake rules — is unchanged AXI4 and is not restated here.</w:t>
      </w:r>
      <w:bookmarkEnd w:id="479"/>
    </w:p>
    <w:p>
      <w:pPr>
        <w:pStyle w:val="Heading2"/>
        <w:pBdr>
          <w:bottom w:val="single" w:sz="12" w:space="0" w:color="228B22"/>
        </w:pBdr>
        <w:spacing w:before="280" w:after="80"/>
        <w:rPr/>
      </w:pPr>
      <w:bookmarkStart w:id="480" w:name="__RefHeading___Toc15088_888288119"/>
      <w:bookmarkStart w:id="481" w:name="channel-inventory"/>
      <w:bookmarkEnd w:id="480"/>
      <w:r>
        <w:rPr>
          <w:rStyle w:val="SectionNumber"/>
          <w:b/>
          <w:color w:val="228B22"/>
          <w:sz w:val="28"/>
        </w:rPr>
        <w:t>31.2</w:t>
      </w:r>
      <w:r>
        <w:rPr>
          <w:b/>
          <w:color w:val="228B22"/>
          <w:sz w:val="28"/>
        </w:rPr>
        <w:tab/>
        <w:t>2. Channel inventory</w:t>
      </w:r>
    </w:p>
    <w:p>
      <w:pPr>
        <w:pStyle w:val="Heading3"/>
        <w:spacing w:before="200" w:after="80"/>
        <w:rPr/>
      </w:pPr>
      <w:bookmarkStart w:id="482" w:name="__RefHeading___Toc15090_888288119"/>
      <w:bookmarkStart w:id="483" w:name="X873e750da164052e21593f20acee8a892b2cf7b"/>
      <w:bookmarkEnd w:id="482"/>
      <w:r>
        <w:rPr>
          <w:rStyle w:val="SectionNumber"/>
          <w:b/>
          <w:color w:val="404040"/>
          <w:sz w:val="24"/>
        </w:rPr>
        <w:t>31.2.1</w:t>
      </w:r>
      <w:r>
        <w:rPr>
          <w:b/>
          <w:color w:val="404040"/>
          <w:sz w:val="24"/>
        </w:rPr>
        <w:tab/>
        <w:t>2.1 Coherent master → manager (front side, per master)</w:t>
      </w:r>
    </w:p>
    <w:p>
      <w:pPr>
        <w:pStyle w:val="FirstParagraph"/>
        <w:rPr/>
      </w:pPr>
      <w:r>
        <w:rPr>
          <w:sz w:val="20"/>
        </w:rPr>
        <w:t>The five AXI4 channels, with a transaction-type field added to each address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New/changed 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ARSNOOP[3:0]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coherent transaction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 W + 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AWSNOOP[2:0]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coherent transaction type</w:t>
            </w:r>
          </w:p>
        </w:tc>
      </w:tr>
    </w:tbl>
    <w:p>
      <w:pPr>
        <w:pStyle w:val="BodyText"/>
        <w:rPr/>
      </w:pPr>
      <w:r>
        <w:rPr>
          <w:sz w:val="20"/>
        </w:rPr>
        <w:t>Data and response channels are plain AXI4. A coherent read (e.g. ReadShared) delivers its data on the ordinary R channel, sourced by the manager from a peer cache or from memory as the adjudication decides.</w:t>
      </w:r>
    </w:p>
    <w:p>
      <w:pPr>
        <w:pStyle w:val="BodyText"/>
        <w:rPr/>
      </w:pPr>
      <w:r>
        <w:rPr>
          <w:sz w:val="20"/>
        </w:rPr>
        <w:t xml:space="preserve">Full ACE master interfaces also carry two acknowledge handshakes outside the five channels: </w:t>
      </w:r>
      <w:r>
        <w:rPr>
          <w:b/>
          <w:bCs/>
          <w:sz w:val="20"/>
        </w:rPr>
        <w:t>RACK</w:t>
      </w:r>
      <w:r>
        <w:rPr>
          <w:sz w:val="20"/>
        </w:rPr>
        <w:t xml:space="preserve"> (read acknowledge — master pulses after the last read data beat of each transaction) and </w:t>
      </w:r>
      <w:r>
        <w:rPr>
          <w:b/>
          <w:bCs/>
          <w:sz w:val="20"/>
        </w:rPr>
        <w:t>WACK</w:t>
      </w:r>
      <w:r>
        <w:rPr>
          <w:sz w:val="20"/>
        </w:rPr>
        <w:t xml:space="preserve"> (write acknowledge — master pulses after the write response). ACE-Lite excludes both (IHI 0022H §D11.1). Our D2 subset needs no ordering semantics from them; the family convention is to auto-pulse them promptly at the adapter and record that choice in the module docs.</w:t>
      </w:r>
      <w:bookmarkEnd w:id="483"/>
    </w:p>
    <w:p>
      <w:pPr>
        <w:pStyle w:val="Heading3"/>
        <w:spacing w:before="200" w:after="80"/>
        <w:rPr/>
      </w:pPr>
      <w:bookmarkStart w:id="484" w:name="__RefHeading___Toc15092_888288119"/>
      <w:bookmarkStart w:id="485" w:name="X357e266114873deebeea9eafd537fdaa53a172c"/>
      <w:bookmarkEnd w:id="484"/>
      <w:r>
        <w:rPr>
          <w:rStyle w:val="SectionNumber"/>
          <w:b/>
          <w:color w:val="404040"/>
          <w:sz w:val="24"/>
        </w:rPr>
        <w:t>31.2.2</w:t>
      </w:r>
      <w:r>
        <w:rPr>
          <w:b/>
          <w:color w:val="404040"/>
          <w:sz w:val="24"/>
        </w:rPr>
        <w:tab/>
        <w:t>2.2 Manager → cache, cache → manager (snoop side, per cache)</w:t>
      </w:r>
    </w:p>
    <w:p>
      <w:pPr>
        <w:pStyle w:val="FirstParagraph"/>
        <w:rPr/>
      </w:pPr>
      <w:r>
        <w:rPr>
          <w:sz w:val="20"/>
        </w:rPr>
        <w:t>Three new channels. Direction below is from the point of view of the cache (amber/jet); the manager (onyx) sees the mirror image.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w:t>
            </w:r>
            <w:r>
              <w:rPr>
                <w:rFonts w:eastAsia="Cambria" w:cs=""/>
                <w:kern w:val="0"/>
                <w:sz w:val="24"/>
                <w:szCs w:val="24"/>
                <w:lang w:val="en-US" w:eastAsia="en-US" w:bidi="ar-SA"/>
              </w:rPr>
              <w:t xml:space="preserve"> — snoop address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ACSNOOP[3:0]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ACPROT[2:0]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What state does this line have in you, and what should you do about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w:t>
            </w:r>
            <w:r>
              <w:rPr>
                <w:rFonts w:eastAsia="Cambria" w:cs=""/>
                <w:kern w:val="0"/>
                <w:sz w:val="24"/>
                <w:szCs w:val="24"/>
                <w:lang w:val="en-US" w:eastAsia="en-US" w:bidi="ar-SA"/>
              </w:rPr>
              <w:t xml:space="preserve"> — snoop response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CRRESP[4:0]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answer: will you transfer data, is the line shared, is dirty responsibility passing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w:t>
            </w:r>
            <w:r>
              <w:rPr>
                <w:rFonts w:eastAsia="Cambria" w:cs=""/>
                <w:kern w:val="0"/>
                <w:sz w:val="24"/>
                <w:szCs w:val="24"/>
                <w:lang w:val="en-US" w:eastAsia="en-US" w:bidi="ar-SA"/>
              </w:rPr>
              <w:t xml:space="preserve"> — snoop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line’s data, when CRRESP said it would come</w:t>
            </w:r>
          </w:p>
        </w:tc>
      </w:tr>
    </w:tbl>
    <w:p>
      <w:pPr>
        <w:pStyle w:val="BodyText"/>
        <w:rPr/>
      </w:pPr>
      <w:r>
        <w:rPr>
          <w:sz w:val="20"/>
        </w:rPr>
        <w:t>Handshake rules mirror AXI4 (VALID/READY, no combinatorial dependency of READY on VALID). Ordering rules that matter (IHI 0022H §D3.8–§D3.9, §D5.2, §D6.2):</w:t>
      </w:r>
    </w:p>
    <w:p>
      <w:pPr>
        <w:pStyle w:val="Compact"/>
        <w:numPr>
          <w:ilvl w:val="0"/>
          <w:numId w:val="200"/>
        </w:numPr>
        <w:rPr/>
      </w:pPr>
      <w:r>
        <w:rPr>
          <w:b/>
          <w:bCs/>
        </w:rPr>
        <w:t>CR and CD only after AC.</w:t>
      </w:r>
      <w:r>
        <w:rPr/>
        <w:t xml:space="preserve"> The snoop response and any snoop data must only be asserted after the ACVALID/ACREADY handshake.</w:t>
      </w:r>
    </w:p>
    <w:p>
      <w:pPr>
        <w:pStyle w:val="Compact"/>
        <w:numPr>
          <w:ilvl w:val="0"/>
          <w:numId w:val="201"/>
        </w:numPr>
        <w:rPr/>
      </w:pPr>
      <w:r>
        <w:rPr>
          <w:b/>
          <w:bCs/>
        </w:rPr>
        <w:t>In-order responses, in-order data.</w:t>
      </w:r>
      <w:r>
        <w:rPr/>
        <w:t xml:space="preserve"> CR responses must be returned in the same order as the AC addresses; CD data likewise. The spec permits a cache to have </w:t>
      </w:r>
      <w:r>
        <w:rPr>
          <w:b/>
          <w:bCs/>
        </w:rPr>
        <w:t>multiple outstanding snoop transactions</w:t>
      </w:r>
      <w:r>
        <w:rPr/>
        <w:t xml:space="preserve"> — serialization is not required by ACE, only per-channel ordering is.</w:t>
      </w:r>
    </w:p>
    <w:p>
      <w:pPr>
        <w:pStyle w:val="Compact"/>
        <w:numPr>
          <w:ilvl w:val="0"/>
          <w:numId w:val="202"/>
        </w:numPr>
        <w:rPr/>
      </w:pPr>
      <w:r>
        <w:rPr>
          <w:b/>
          <w:bCs/>
        </w:rPr>
        <w:t>Family convention (decided with onyx D4):</w:t>
      </w:r>
      <w:r>
        <w:rPr/>
        <w:t xml:space="preserve"> the amber/jet adapter completes a transaction’s CD beats before asserting its CR, so onyx’s gather sees one fully-closed response at a time. This is stricter than ACE requires and simpler to verify; it is our contract, not the spec’s.</w:t>
      </w:r>
    </w:p>
    <w:p>
      <w:pPr>
        <w:pStyle w:val="Compact"/>
        <w:numPr>
          <w:ilvl w:val="0"/>
          <w:numId w:val="203"/>
        </w:numPr>
        <w:rPr/>
      </w:pPr>
      <w:r>
        <w:rPr>
          <w:b/>
          <w:bCs/>
        </w:rPr>
        <w:t>Snoop vs. local access arbitration.</w:t>
      </w:r>
      <w:r>
        <w:rPr/>
        <w:t xml:space="preserve"> A snoop reads the tag array and may evict/change a line’s state, so it must arbitrate with the cache’s own CPU-side tag port. This arbitration point is the classic cache-side cost of becoming a snoop responder (culsans’ CVA6 cache shows one arrangement).</w:t>
      </w:r>
      <w:bookmarkEnd w:id="481"/>
      <w:bookmarkEnd w:id="485"/>
    </w:p>
    <w:p>
      <w:pPr>
        <w:pStyle w:val="Heading2"/>
        <w:pBdr>
          <w:bottom w:val="single" w:sz="12" w:space="0" w:color="228B22"/>
        </w:pBdr>
        <w:spacing w:before="280" w:after="80"/>
        <w:rPr/>
      </w:pPr>
      <w:bookmarkStart w:id="486" w:name="__RefHeading___Toc15094_888288119"/>
      <w:bookmarkStart w:id="487" w:name="X1586a89776f191c56dab3c16bc54edffa1fe75e"/>
      <w:bookmarkEnd w:id="486"/>
      <w:r>
        <w:rPr>
          <w:rStyle w:val="SectionNumber"/>
          <w:b/>
          <w:color w:val="228B22"/>
          <w:sz w:val="28"/>
        </w:rPr>
        <w:t>31.3</w:t>
      </w:r>
      <w:r>
        <w:rPr>
          <w:b/>
          <w:color w:val="228B22"/>
          <w:sz w:val="28"/>
        </w:rPr>
        <w:tab/>
        <w:t xml:space="preserve">3. Transaction types (the onyx D2 research subset in </w:t>
      </w:r>
      <w:r>
        <w:rPr>
          <w:b/>
          <w:bCs/>
          <w:color w:val="228B22"/>
          <w:sz w:val="28"/>
        </w:rPr>
        <w:t>bold</w:t>
      </w:r>
      <w:r>
        <w:rPr>
          <w:b/>
          <w:color w:val="228B22"/>
          <w:sz w:val="28"/>
        </w:rPr>
        <w:t>)</w:t>
      </w:r>
    </w:p>
    <w:p>
      <w:pPr>
        <w:pStyle w:val="FirstParagraph"/>
        <w:rPr/>
      </w:pPr>
      <w:r>
        <w:rPr>
          <w:sz w:val="20"/>
        </w:rPr>
        <w:t>Read side (</w:t>
      </w:r>
      <w:r>
        <w:rPr>
          <w:rStyle w:val="VerbatimChar"/>
          <w:sz w:val="20"/>
        </w:rPr>
        <w:t>ARSNOOP</w:t>
      </w:r>
      <w:r>
        <w:rPr>
          <w:sz w:val="20"/>
        </w:rPr>
        <w:t xml:space="preserve">): ReadOnce, </w:t>
      </w:r>
      <w:r>
        <w:rPr>
          <w:b/>
          <w:bCs/>
          <w:sz w:val="20"/>
        </w:rPr>
        <w:t>ReadShared</w:t>
      </w:r>
      <w:r>
        <w:rPr>
          <w:sz w:val="20"/>
        </w:rPr>
        <w:t xml:space="preserve">, </w:t>
      </w:r>
      <w:r>
        <w:rPr>
          <w:b/>
          <w:bCs/>
          <w:sz w:val="20"/>
        </w:rPr>
        <w:t>ReadUnique</w:t>
      </w:r>
      <w:r>
        <w:rPr>
          <w:sz w:val="20"/>
        </w:rPr>
        <w:t xml:space="preserve">, ReadClean, ReadNotSharedDirty, </w:t>
      </w:r>
      <w:r>
        <w:rPr>
          <w:b/>
          <w:bCs/>
          <w:sz w:val="20"/>
        </w:rPr>
        <w:t>CleanUnique</w:t>
      </w:r>
      <w:r>
        <w:rPr>
          <w:sz w:val="20"/>
        </w:rPr>
        <w:t xml:space="preserve">, </w:t>
      </w:r>
      <w:r>
        <w:rPr>
          <w:b/>
          <w:bCs/>
          <w:sz w:val="20"/>
        </w:rPr>
        <w:t>MakeUnique</w:t>
      </w:r>
      <w:r>
        <w:rPr>
          <w:sz w:val="20"/>
        </w:rPr>
        <w:t>, plus barrier/DVM forms (out of scope, onyx D8).</w:t>
      </w:r>
    </w:p>
    <w:p>
      <w:pPr>
        <w:pStyle w:val="BodyText"/>
        <w:rPr/>
      </w:pPr>
      <w:r>
        <w:rPr>
          <w:sz w:val="20"/>
        </w:rPr>
        <w:t>Write side (</w:t>
      </w:r>
      <w:r>
        <w:rPr>
          <w:rStyle w:val="VerbatimChar"/>
          <w:sz w:val="20"/>
        </w:rPr>
        <w:t>AWSNOOP</w:t>
      </w:r>
      <w:r>
        <w:rPr>
          <w:sz w:val="20"/>
        </w:rPr>
        <w:t xml:space="preserve">): </w:t>
      </w:r>
      <w:r>
        <w:rPr>
          <w:b/>
          <w:bCs/>
          <w:sz w:val="20"/>
        </w:rPr>
        <w:t>WriteUnique</w:t>
      </w:r>
      <w:r>
        <w:rPr>
          <w:sz w:val="20"/>
        </w:rPr>
        <w:t xml:space="preserve">, WriteLineUnique, </w:t>
      </w:r>
      <w:r>
        <w:rPr>
          <w:b/>
          <w:bCs/>
          <w:sz w:val="20"/>
        </w:rPr>
        <w:t>WriteBack</w:t>
      </w:r>
      <w:r>
        <w:rPr>
          <w:sz w:val="20"/>
        </w:rPr>
        <w:t xml:space="preserve">, WriteClean, </w:t>
      </w:r>
      <w:r>
        <w:rPr>
          <w:b/>
          <w:bCs/>
          <w:sz w:val="20"/>
        </w:rPr>
        <w:t>Evict</w:t>
      </w:r>
      <w:r>
        <w:rPr>
          <w:sz w:val="20"/>
        </w:rPr>
        <w:t>, plus barrier/DVM forms (out of scope, onyx D8).</w:t>
      </w:r>
    </w:p>
    <w:p>
      <w:pPr>
        <w:pStyle w:val="BodyText"/>
        <w:rPr/>
      </w:pPr>
      <w:r>
        <w:rPr>
          <w:sz w:val="20"/>
        </w:rPr>
        <w:t>The six bolded transactions are the subset onyx D2 recommends; the definition of the subset is: everything amber or jet needs to run MESI write-back coherence against a manager, and nothing that requires DVM or barrier semantics.</w:t>
      </w:r>
    </w:p>
    <w:p>
      <w:pPr>
        <w:pStyle w:val="BodyText"/>
        <w:rPr/>
      </w:pPr>
      <w:r>
        <w:rPr>
          <w:sz w:val="20"/>
        </w:rPr>
        <w:t>Intent of each subset member, one line each:</w:t>
      </w:r>
    </w:p>
    <w:p>
      <w:pPr>
        <w:pStyle w:val="Compact"/>
        <w:numPr>
          <w:ilvl w:val="0"/>
          <w:numId w:val="204"/>
        </w:numPr>
        <w:rPr/>
      </w:pPr>
      <w:r>
        <w:rPr>
          <w:b/>
          <w:bCs/>
        </w:rPr>
        <w:t>ReadShared</w:t>
      </w:r>
      <w:r>
        <w:rPr/>
        <w:t xml:space="preserve"> — fetch a line to read; other caches may keep Shared copies; the line arrives in S (or E if nobody shared it).</w:t>
      </w:r>
    </w:p>
    <w:p>
      <w:pPr>
        <w:pStyle w:val="Compact"/>
        <w:numPr>
          <w:ilvl w:val="0"/>
          <w:numId w:val="205"/>
        </w:numPr>
        <w:rPr/>
      </w:pPr>
      <w:r>
        <w:rPr>
          <w:b/>
          <w:bCs/>
        </w:rPr>
        <w:t>ReadUnique</w:t>
      </w:r>
      <w:r>
        <w:rPr/>
        <w:t xml:space="preserve"> — fetch a line to write; all other copies must be invalidated; if a peer held it dirty, its data (or DRAM’s) is supplied.</w:t>
      </w:r>
    </w:p>
    <w:p>
      <w:pPr>
        <w:pStyle w:val="Compact"/>
        <w:numPr>
          <w:ilvl w:val="0"/>
          <w:numId w:val="206"/>
        </w:numPr>
        <w:rPr/>
      </w:pPr>
      <w:r>
        <w:rPr>
          <w:b/>
          <w:bCs/>
        </w:rPr>
        <w:t>CleanUnique</w:t>
      </w:r>
      <w:r>
        <w:rPr/>
        <w:t xml:space="preserve"> — “I already hold the line; make my copy Unique.” No data transfer; peers with Shared copies drop them.</w:t>
      </w:r>
    </w:p>
    <w:p>
      <w:pPr>
        <w:pStyle w:val="Compact"/>
        <w:numPr>
          <w:ilvl w:val="0"/>
          <w:numId w:val="207"/>
        </w:numPr>
        <w:rPr/>
      </w:pPr>
      <w:r>
        <w:rPr>
          <w:b/>
          <w:bCs/>
        </w:rPr>
        <w:t>MakeUnique</w:t>
      </w:r>
      <w:r>
        <w:rPr/>
        <w:t xml:space="preserve"> — like CleanUnique but the requester does not need the data (it will overwrite the whole line); peers invalidate.</w:t>
      </w:r>
    </w:p>
    <w:p>
      <w:pPr>
        <w:pStyle w:val="Compact"/>
        <w:numPr>
          <w:ilvl w:val="0"/>
          <w:numId w:val="208"/>
        </w:numPr>
        <w:rPr/>
      </w:pPr>
      <w:r>
        <w:rPr>
          <w:b/>
          <w:bCs/>
        </w:rPr>
        <w:t>WriteBack</w:t>
      </w:r>
      <w:r>
        <w:rPr/>
        <w:t xml:space="preserve"> — retire a dirty line to memory; the manager must merge the data into DRAM (or hand it to a subsequent reader).</w:t>
      </w:r>
    </w:p>
    <w:p>
      <w:pPr>
        <w:pStyle w:val="Compact"/>
        <w:numPr>
          <w:ilvl w:val="0"/>
          <w:numId w:val="209"/>
        </w:numPr>
        <w:rPr/>
      </w:pPr>
      <w:r>
        <w:rPr>
          <w:b/>
          <w:bCs/>
        </w:rPr>
        <w:t>Evict</w:t>
      </w:r>
      <w:r>
        <w:rPr/>
        <w:t xml:space="preserve"> — retire a clean line; a hint: no data, no DRAM write needed.</w:t>
      </w:r>
      <w:bookmarkEnd w:id="487"/>
    </w:p>
    <w:p>
      <w:pPr>
        <w:pStyle w:val="Heading2"/>
        <w:pBdr>
          <w:bottom w:val="single" w:sz="12" w:space="0" w:color="228B22"/>
        </w:pBdr>
        <w:spacing w:before="280" w:after="80"/>
        <w:rPr/>
      </w:pPr>
      <w:bookmarkStart w:id="488" w:name="__RefHeading___Toc15096_888288119"/>
      <w:bookmarkStart w:id="489" w:name="the-crresp-decision-bits"/>
      <w:bookmarkEnd w:id="488"/>
      <w:r>
        <w:rPr>
          <w:rStyle w:val="SectionNumber"/>
          <w:b/>
          <w:color w:val="228B22"/>
          <w:sz w:val="28"/>
        </w:rPr>
        <w:t>31.4</w:t>
      </w:r>
      <w:r>
        <w:rPr>
          <w:b/>
          <w:color w:val="228B22"/>
          <w:sz w:val="28"/>
        </w:rPr>
        <w:tab/>
        <w:t>4. The CRRESP decision bits</w:t>
      </w:r>
    </w:p>
    <w:p>
      <w:pPr>
        <w:pStyle w:val="FirstParagraph"/>
        <w:rPr/>
      </w:pPr>
      <w:r>
        <w:rPr>
          <w:sz w:val="20"/>
        </w:rPr>
        <w:t xml:space="preserve">CRRESP is where a snooped cache answers. The four bits the manager’s adjudication logic consumes (bit 4, </w:t>
      </w:r>
      <w:r>
        <w:rPr>
          <w:rStyle w:val="VerbatimChar"/>
          <w:sz w:val="20"/>
        </w:rPr>
        <w:t>WasUnique</w:t>
      </w:r>
      <w:r>
        <w:rPr>
          <w:sz w:val="20"/>
        </w:rPr>
        <w:t>, also exists per IHI 0022):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when 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DataTransfer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I will drive the line’s data on CD.” Required of a Modified responder (or any responder told to transfer).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My lookup had an error.” Propagated, not interpreted.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PassDirty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The line is/was dirty and dirty responsibility moves to whoever receives the data” — set with DataTransfer when the responder passes dirty data, and on its own when the data is already moving elsewhere. The manager uses it to decide whether DRAM must be (re)written.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IsShared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Another master (or I) may hold a copy.” Tells the manager the requester must not be given Exclusive/Unique state, and that DRAM-read elision is safe when data was supplied.</w:t>
            </w:r>
          </w:p>
        </w:tc>
      </w:tr>
    </w:tbl>
    <w:p>
      <w:pPr>
        <w:pStyle w:val="BodyText"/>
        <w:rPr/>
      </w:pPr>
      <w:r>
        <w:rPr>
          <w:sz w:val="20"/>
        </w:rPr>
        <w:t xml:space="preserve">The adjudication onyx D6 specifies falls straight out of these bits: a coherent read completes from cache-supplied data alone iff some CR carried </w:t>
      </w:r>
      <w:r>
        <w:rPr>
          <w:rStyle w:val="VerbatimChar"/>
          <w:sz w:val="20"/>
        </w:rPr>
        <w:t>DataTransfer</w:t>
      </w:r>
      <w:r>
        <w:rPr>
          <w:sz w:val="20"/>
        </w:rPr>
        <w:t xml:space="preserve">; DRAM must be read iff none did and no </w:t>
      </w:r>
      <w:r>
        <w:rPr>
          <w:rStyle w:val="VerbatimChar"/>
          <w:sz w:val="20"/>
        </w:rPr>
        <w:t>PassDirty</w:t>
      </w:r>
      <w:r>
        <w:rPr>
          <w:sz w:val="20"/>
        </w:rPr>
        <w:t xml:space="preserve"> moved dirty responsibility; DRAM must be written iff </w:t>
      </w:r>
      <w:r>
        <w:rPr>
          <w:rStyle w:val="VerbatimChar"/>
          <w:sz w:val="20"/>
        </w:rPr>
        <w:t>PassDirty</w:t>
      </w:r>
      <w:r>
        <w:rPr>
          <w:sz w:val="20"/>
        </w:rPr>
        <w:t xml:space="preserve"> passed dirty data that the requester did not absorb.</w:t>
      </w:r>
      <w:bookmarkEnd w:id="489"/>
    </w:p>
    <w:p>
      <w:pPr>
        <w:pStyle w:val="Heading2"/>
        <w:pBdr>
          <w:bottom w:val="single" w:sz="12" w:space="0" w:color="228B22"/>
        </w:pBdr>
        <w:spacing w:before="280" w:after="80"/>
        <w:rPr/>
      </w:pPr>
      <w:bookmarkStart w:id="490" w:name="__RefHeading___Toc15098_888288119"/>
      <w:bookmarkStart w:id="491" w:name="ace-lite"/>
      <w:bookmarkEnd w:id="490"/>
      <w:r>
        <w:rPr>
          <w:rStyle w:val="SectionNumber"/>
          <w:b/>
          <w:color w:val="228B22"/>
          <w:sz w:val="28"/>
        </w:rPr>
        <w:t>31.5</w:t>
      </w:r>
      <w:r>
        <w:rPr>
          <w:b/>
          <w:color w:val="228B22"/>
          <w:sz w:val="28"/>
        </w:rPr>
        <w:tab/>
        <w:t>5. ACE-Lite</w:t>
      </w:r>
    </w:p>
    <w:p>
      <w:pPr>
        <w:pStyle w:val="FirstParagraph"/>
        <w:rPr/>
      </w:pPr>
      <w:r>
        <w:rPr>
          <w:sz w:val="20"/>
        </w:rPr>
        <w:t xml:space="preserve">ACE-Lite is the non-snooped half: a master may issue coherent transaction types but never receives AC, so it never drives CR/CD. onyx’s IO port (onyx D1) is ACE-Lite — this is why the earlier “ACE-lite-shaped snoop channel” candidate in amber D4 was set aside: a snoop </w:t>
      </w:r>
      <w:r>
        <w:rPr>
          <w:i/>
          <w:iCs/>
          <w:sz w:val="20"/>
        </w:rPr>
        <w:t>responder</w:t>
      </w:r>
      <w:r>
        <w:rPr>
          <w:sz w:val="20"/>
        </w:rPr>
        <w:t xml:space="preserve"> must drive CR/CD, and ACE-Lite has no snoop channels at all.</w:t>
      </w:r>
      <w:bookmarkEnd w:id="491"/>
    </w:p>
    <w:p>
      <w:pPr>
        <w:pStyle w:val="Heading2"/>
        <w:pBdr>
          <w:bottom w:val="single" w:sz="12" w:space="0" w:color="228B22"/>
        </w:pBdr>
        <w:spacing w:before="280" w:after="80"/>
        <w:rPr/>
      </w:pPr>
      <w:bookmarkStart w:id="492" w:name="__RefHeading___Toc15100_888288119"/>
      <w:bookmarkStart w:id="493" w:name="Xd8b7dbc0c656f2b87e768f99f05c8f9869b59b6"/>
      <w:bookmarkEnd w:id="492"/>
      <w:r>
        <w:rPr>
          <w:rStyle w:val="SectionNumber"/>
          <w:b/>
          <w:color w:val="228B22"/>
          <w:sz w:val="28"/>
        </w:rPr>
        <w:t>31.6</w:t>
      </w:r>
      <w:r>
        <w:rPr>
          <w:b/>
          <w:color w:val="228B22"/>
          <w:sz w:val="28"/>
        </w:rPr>
        <w:tab/>
        <w:t>6. What this family implements, and what it deliberately does not</w:t>
      </w:r>
    </w:p>
    <w:p>
      <w:pPr>
        <w:pStyle w:val="FirstParagraph"/>
        <w:rPr/>
      </w:pPr>
      <w:r>
        <w:rPr>
          <w:sz w:val="20"/>
        </w:rPr>
        <w:t>In scope (amber D4 / onyx D2 subset, single shareability domain, onyx D8): the six transaction types of §3, the AC/CR/CD contract of §2, the CRRESP semantics of §4, broadcast snoop fanout (onyx D3 v1), same-address serialization (onyx D5).</w:t>
      </w:r>
    </w:p>
    <w:p>
      <w:pPr>
        <w:pStyle w:val="BodyText"/>
        <w:rPr/>
      </w:pPr>
      <w:r>
        <w:rPr>
          <w:sz w:val="20"/>
        </w:rPr>
        <w:t xml:space="preserve">Transport for this contract exists in </w:t>
      </w:r>
      <w:r>
        <w:rPr>
          <w:rStyle w:val="VerbatimChar"/>
          <w:sz w:val="20"/>
        </w:rPr>
        <w:t>rtl/amba/ace/</w:t>
      </w:r>
      <w:r>
        <w:rPr>
          <w:sz w:val="20"/>
        </w:rPr>
        <w:t xml:space="preserve"> (added 2026-10-05): </w:t>
      </w:r>
      <w:r>
        <w:rPr>
          <w:rStyle w:val="VerbatimChar"/>
          <w:sz w:val="20"/>
        </w:rPr>
        <w:t>axi4ace_master_rd/wr</w:t>
      </w:r>
      <w:r>
        <w:rPr>
          <w:sz w:val="20"/>
        </w:rPr>
        <w:t xml:space="preserve"> and </w:t>
      </w:r>
      <w:r>
        <w:rPr>
          <w:rStyle w:val="VerbatimChar"/>
          <w:sz w:val="20"/>
        </w:rPr>
        <w:t>axi4ace_slave_rd/wr</w:t>
      </w:r>
      <w:r>
        <w:rPr>
          <w:sz w:val="20"/>
        </w:rPr>
        <w:t xml:space="preserve"> (front-side movers with </w:t>
      </w:r>
      <w:r>
        <w:rPr>
          <w:rStyle w:val="VerbatimChar"/>
          <w:sz w:val="20"/>
        </w:rPr>
        <w:t>ARSNOOP</w:t>
      </w:r>
      <w:r>
        <w:rPr>
          <w:sz w:val="20"/>
        </w:rPr>
        <w:t>/</w:t>
      </w:r>
      <w:r>
        <w:rPr>
          <w:rStyle w:val="VerbatimChar"/>
          <w:sz w:val="20"/>
        </w:rPr>
        <w:t>AWSNOOP</w:t>
      </w:r>
      <w:r>
        <w:rPr>
          <w:sz w:val="20"/>
        </w:rPr>
        <w:t xml:space="preserve">, auto-pulsed </w:t>
      </w:r>
      <w:r>
        <w:rPr>
          <w:rStyle w:val="VerbatimChar"/>
          <w:sz w:val="20"/>
        </w:rPr>
        <w:t>RACK</w:t>
      </w:r>
      <w:r>
        <w:rPr>
          <w:sz w:val="20"/>
        </w:rPr>
        <w:t>/</w:t>
      </w:r>
      <w:r>
        <w:rPr>
          <w:rStyle w:val="VerbatimChar"/>
          <w:sz w:val="20"/>
        </w:rPr>
        <w:t>WACK</w:t>
      </w:r>
      <w:r>
        <w:rPr>
          <w:sz w:val="20"/>
        </w:rPr>
        <w:t xml:space="preserve"> on the masters), the </w:t>
      </w:r>
      <w:r>
        <w:rPr>
          <w:rStyle w:val="VerbatimChar"/>
          <w:sz w:val="20"/>
        </w:rPr>
        <w:t>axi4ace_snoop_slave</w:t>
      </w:r>
      <w:r>
        <w:rPr>
          <w:sz w:val="20"/>
        </w:rPr>
        <w:t xml:space="preserve"> / </w:t>
      </w:r>
      <w:r>
        <w:rPr>
          <w:rStyle w:val="VerbatimChar"/>
          <w:sz w:val="20"/>
        </w:rPr>
        <w:t>axi4ace_snoop_master</w:t>
      </w:r>
      <w:r>
        <w:rPr>
          <w:sz w:val="20"/>
        </w:rPr>
        <w:t xml:space="preserve"> AC/CR/CD movers, and </w:t>
      </w:r>
      <w:r>
        <w:rPr>
          <w:rStyle w:val="VerbatimChar"/>
          <w:sz w:val="20"/>
        </w:rPr>
        <w:t>rtl/amba/monitor/axi4ace_snoop_monitor_lite</w:t>
      </w:r>
      <w:r>
        <w:rPr>
          <w:sz w:val="20"/>
        </w:rPr>
        <w:t xml:space="preserve"> for snoop-side observation.</w:t>
      </w:r>
    </w:p>
    <w:p>
      <w:pPr>
        <w:pStyle w:val="BodyText"/>
        <w:rPr/>
      </w:pPr>
      <w:r>
        <w:rPr>
          <w:sz w:val="20"/>
        </w:rPr>
        <w:t xml:space="preserve">Out of scope, recorded as decisions and not accidents (onyx D8): DVM (distributed virtual memory) messages, barrier ordering, multiple shareability domains, stash/dealloc hints. The repo’s port contract is </w:t>
      </w:r>
      <w:r>
        <w:rPr>
          <w:b/>
          <w:bCs/>
          <w:sz w:val="20"/>
        </w:rPr>
        <w:t>ACE-shaped</w:t>
      </w:r>
      <w:r>
        <w:rPr>
          <w:sz w:val="20"/>
        </w:rPr>
        <w:t xml:space="preserve"> — same channels, signals, payload fields, and ordering rules on the pins — without claiming whole-spec conformance; see onyx D7 for why “shaped” rather than “compliant.”</w:t>
      </w:r>
      <w:bookmarkEnd w:id="493"/>
    </w:p>
    <w:p>
      <w:pPr>
        <w:pStyle w:val="Heading2"/>
        <w:pBdr>
          <w:bottom w:val="single" w:sz="12" w:space="0" w:color="228B22"/>
        </w:pBdr>
        <w:spacing w:before="280" w:after="80"/>
        <w:rPr/>
      </w:pPr>
      <w:bookmarkStart w:id="494" w:name="__RefHeading___Toc15102_888288119"/>
      <w:bookmarkStart w:id="495" w:name="sources"/>
      <w:bookmarkEnd w:id="494"/>
      <w:r>
        <w:rPr>
          <w:rStyle w:val="SectionNumber"/>
          <w:b/>
          <w:color w:val="228B22"/>
          <w:sz w:val="28"/>
        </w:rPr>
        <w:t>31.7</w:t>
      </w:r>
      <w:r>
        <w:rPr>
          <w:b/>
          <w:color w:val="228B22"/>
          <w:sz w:val="28"/>
        </w:rPr>
        <w:tab/>
        <w:t>7. Sources</w:t>
      </w:r>
    </w:p>
    <w:p>
      <w:pPr>
        <w:pStyle w:val="Compact"/>
        <w:numPr>
          <w:ilvl w:val="0"/>
          <w:numId w:val="210"/>
        </w:numPr>
        <w:rPr/>
      </w:pPr>
      <w:r>
        <w:rPr/>
        <w:t xml:space="preserve">Arm, </w:t>
      </w:r>
      <w:r>
        <w:rPr>
          <w:i/>
          <w:iCs/>
        </w:rPr>
        <w:t>AMBA AXI and ACE Protocol Specification</w:t>
      </w:r>
      <w:r>
        <w:rPr/>
        <w:t xml:space="preserve">, IHI 0022, ACE chapters — the definition. Current issue H (2020), direct PDF: </w:t>
      </w:r>
      <w:hyperlink r:id="rId80">
        <w:r>
          <w:rPr>
            <w:rStyle w:val="Hyperlink"/>
          </w:rPr>
          <w:t>https://developer.arm.com/-/media/Arm%20Developer%20Community/PDF/IHI0022H_amba_axi_protocol_spec.pdf</w:t>
        </w:r>
      </w:hyperlink>
      <w:r>
        <w:rPr/>
        <w:t xml:space="preserve"> (landing page: </w:t>
      </w:r>
      <w:hyperlink r:id="rId81">
        <w:r>
          <w:rPr>
            <w:rStyle w:val="Hyperlink"/>
          </w:rPr>
          <w:t>https://developer.arm.com/documentation/ihi0022/</w:t>
        </w:r>
      </w:hyperlink>
      <w:r>
        <w:rPr/>
        <w:t>). Available from Arm without charge; Arm copyright — cited, not mirrored. Sections this document was verified against: D2.2 (channels), D3.8–D3.9 (signaling, dependencies), D3.20–D3.22 (CRRESP), D5 (snoop transactions), D6.2 (sequencing), D11.1 (ACE-Lite).</w:t>
      </w:r>
    </w:p>
    <w:p>
      <w:pPr>
        <w:pStyle w:val="Compact"/>
        <w:numPr>
          <w:ilvl w:val="0"/>
          <w:numId w:val="211"/>
        </w:numPr>
        <w:rPr/>
      </w:pPr>
      <w:r>
        <w:rPr>
          <w:rStyle w:val="VerbatimChar"/>
        </w:rPr>
        <w:t>pulp-platform/culsans</w:t>
      </w:r>
      <w:r>
        <w:rPr/>
        <w:t xml:space="preserve"> — </w:t>
      </w:r>
      <w:r>
        <w:rPr>
          <w:rStyle w:val="VerbatimChar"/>
        </w:rPr>
        <w:t>rtl/src/ace_ccu_top.sv</w:t>
      </w:r>
      <w:r>
        <w:rPr/>
        <w:t xml:space="preserve"> and the CVA6 coherent cache: a working ACE CCU and a working snoop-responder cache. Worked example, not a dependency. https://github.com/pulp-platform/culsans</w:t>
      </w:r>
    </w:p>
    <w:p>
      <w:pPr>
        <w:pStyle w:val="Compact"/>
        <w:numPr>
          <w:ilvl w:val="0"/>
          <w:numId w:val="212"/>
        </w:numPr>
        <w:rPr/>
      </w:pPr>
      <w:r>
        <w:rPr>
          <w:i/>
          <w:iCs/>
        </w:rPr>
        <w:t>A Primer on Memory Consistency and Cache Coherence</w:t>
      </w:r>
      <w:r>
        <w:rPr/>
        <w:t xml:space="preserve"> (Sorin, Hill, Wood, 2nd ed., stored alongside this file) — the coherence-theory background the transaction types above instantiate.</w:t>
      </w:r>
    </w:p>
    <w:p>
      <w:pPr>
        <w:pStyle w:val="Compact"/>
        <w:numPr>
          <w:ilvl w:val="0"/>
          <w:numId w:val="213"/>
        </w:numPr>
        <w:rPr/>
      </w:pPr>
      <w:r>
        <w:rPr/>
        <w:t>gem5 Ruby SLICC specs (</w:t>
      </w:r>
      <w:r>
        <w:rPr>
          <w:rStyle w:val="VerbatimChar"/>
        </w:rPr>
        <w:t>gem5-ruby-protocols/</w:t>
      </w:r>
      <w:r>
        <w:rPr/>
        <w:t>, stored alongside) — executable transient-state tables for the same protocol family; the golden-model source material, phrased in messages rather than ACE signals.</w:t>
      </w:r>
      <w:bookmarkEnd w:id="476"/>
      <w:bookmarkEnd w:id="495"/>
      <w:r>
        <w:br w:type="page"/>
      </w:r>
    </w:p>
    <w:p>
      <w:pPr>
        <w:pStyle w:val="Heading1"/>
        <w:shd w:val="clear" w:color="auto" w:fill="404040"/>
        <w:spacing w:before="360" w:after="120"/>
        <w:rPr/>
      </w:pPr>
      <w:bookmarkStart w:id="496" w:name="__RefHeading___Toc15104_888288119"/>
      <w:bookmarkStart w:id="497" w:name="X9908dbcb93a834ca7b4431c9ead6af27cab4919"/>
      <w:bookmarkEnd w:id="496"/>
      <w:r>
        <w:rPr>
          <w:rStyle w:val="SectionNumber"/>
          <w:b/>
          <w:color w:val="FFFFFF"/>
          <w:sz w:val="32"/>
        </w:rPr>
        <w:t>32</w:t>
      </w:r>
      <w:r>
        <w:rPr>
          <w:b/>
          <w:color w:val="FFFFFF"/>
          <w:sz w:val="32"/>
        </w:rPr>
        <w:tab/>
        <w:t>gem5 Ruby protocol specs (reference extract)</w:t>
      </w:r>
    </w:p>
    <w:p>
      <w:pPr>
        <w:pStyle w:val="FirstParagraph"/>
        <w:rPr/>
      </w:pPr>
      <w:r>
        <w:rPr>
          <w:sz w:val="20"/>
        </w:rPr>
        <w:t xml:space="preserve">Executable, state-table-style cache-coherence protocol specifications in gem5’s SLICC language, extracted verbatim from gem5 </w:t>
      </w:r>
      <w:r>
        <w:rPr>
          <w:rStyle w:val="VerbatimChar"/>
          <w:sz w:val="20"/>
        </w:rPr>
        <w:t>master</w:t>
      </w:r>
      <w:r>
        <w:rPr>
          <w:sz w:val="20"/>
        </w:rPr>
        <w:t xml:space="preserve"> at commit </w:t>
      </w:r>
      <w:r>
        <w:rPr>
          <w:rStyle w:val="VerbatimChar"/>
          <w:sz w:val="20"/>
        </w:rPr>
        <w:t>f5c5a6e390f55dd5984977815bf9d0bd05da6945</w:t>
      </w:r>
      <w:r>
        <w:rPr>
          <w:sz w:val="20"/>
        </w:rPr>
        <w:t xml:space="preserve"> (2026-09-07) via sparse clone.</w:t>
      </w:r>
    </w:p>
    <w:p>
      <w:pPr>
        <w:pStyle w:val="BodyText"/>
        <w:rPr/>
      </w:pPr>
      <w:r>
        <w:rPr>
          <w:sz w:val="20"/>
        </w:rPr>
        <w:t>Two protocols, as requested for the cache-ip research library:</w:t>
      </w:r>
    </w:p>
    <w:p>
      <w:pPr>
        <w:pStyle w:val="Compact"/>
        <w:numPr>
          <w:ilvl w:val="0"/>
          <w:numId w:val="214"/>
        </w:numPr>
        <w:rPr/>
      </w:pPr>
      <w:r>
        <w:rPr>
          <w:b/>
          <w:bCs/>
        </w:rPr>
        <w:t>MESI_Two_Level</w:t>
      </w:r>
      <w:r>
        <w:rPr/>
        <w:t xml:space="preserve"> — classic snoopy MESI with a shared L2. The L1 cache controller (</w:t>
      </w:r>
      <w:r>
        <w:rPr>
          <w:rStyle w:val="VerbatimChar"/>
        </w:rPr>
        <w:t>MESI_Two_Level-L1cache.sm</w:t>
      </w:r>
      <w:r>
        <w:rPr/>
        <w:t xml:space="preserve">) is the closest executable model to amber: every transient state (IS, IM, SM, S^I, M^I, …) between a stable MESI state and a pending response is enumerated as an explicit state with its own transition table. </w:t>
      </w:r>
      <w:r>
        <w:rPr>
          <w:rStyle w:val="VerbatimChar"/>
        </w:rPr>
        <w:t>MESI_Two_Level-msg.sm</w:t>
      </w:r>
      <w:r>
        <w:rPr/>
        <w:t xml:space="preserve"> is the message-type contract (the shape a D4 snoop transport must express); </w:t>
      </w:r>
      <w:r>
        <w:rPr>
          <w:rStyle w:val="VerbatimChar"/>
        </w:rPr>
        <w:t>MESI_Two_Level-dir.sm</w:t>
      </w:r>
      <w:r>
        <w:rPr/>
        <w:t xml:space="preserve"> + </w:t>
      </w:r>
      <w:r>
        <w:rPr>
          <w:rStyle w:val="VerbatimChar"/>
        </w:rPr>
        <w:t>-L2cache.sm</w:t>
      </w:r>
      <w:r>
        <w:rPr/>
        <w:t xml:space="preserve"> show the point where a passive memory-side agent has to make coherence-visible decisions.</w:t>
      </w:r>
    </w:p>
    <w:p>
      <w:pPr>
        <w:pStyle w:val="Compact"/>
        <w:numPr>
          <w:ilvl w:val="0"/>
          <w:numId w:val="215"/>
        </w:numPr>
        <w:rPr/>
      </w:pPr>
      <w:r>
        <w:rPr>
          <w:b/>
          <w:bCs/>
        </w:rPr>
        <w:t>MOESI_CMP_directory</w:t>
      </w:r>
      <w:r>
        <w:rPr/>
        <w:t xml:space="preserve"> — the directory-based contrast set: what changes when a home/directory agent (not a broadcast medium) owns coherence serialization. Useful for ruling D4 options in or out with a working executable spec instead of prose.</w:t>
      </w:r>
    </w:p>
    <w:p>
      <w:pPr>
        <w:pStyle w:val="FirstParagraph"/>
        <w:rPr/>
      </w:pPr>
      <w:r>
        <w:rPr>
          <w:b/>
          <w:bCs/>
          <w:sz w:val="20"/>
        </w:rPr>
        <w:t>Why these exist here:</w:t>
      </w:r>
      <w:r>
        <w:rPr>
          <w:sz w:val="20"/>
        </w:rPr>
        <w:t xml:space="preserve"> the Primer’s MESI diagrams show only stable states; most coherence bugs live in the transient states. These files are the enumerated transient-state tables — the raw material for deriving amber’s </w:t>
      </w:r>
      <w:r>
        <w:rPr>
          <w:rStyle w:val="VerbatimChar"/>
          <w:sz w:val="20"/>
        </w:rPr>
        <w:t>amber_pkg</w:t>
      </w:r>
      <w:r>
        <w:rPr>
          <w:sz w:val="20"/>
        </w:rPr>
        <w:t xml:space="preserve"> state encoding and for building the Python reference model the DV scoreboard replays against (amber D9, jet J7 cross-checks).</w:t>
      </w:r>
    </w:p>
    <w:p>
      <w:pPr>
        <w:pStyle w:val="BodyText"/>
        <w:rPr/>
      </w:pPr>
      <w:r>
        <w:rPr>
          <w:b/>
          <w:bCs/>
          <w:sz w:val="20"/>
        </w:rPr>
        <w:t>License:</w:t>
      </w:r>
      <w:r>
        <w:rPr>
          <w:sz w:val="20"/>
        </w:rPr>
        <w:t xml:space="preserve"> each </w:t>
      </w:r>
      <w:r>
        <w:rPr>
          <w:rStyle w:val="VerbatimChar"/>
          <w:sz w:val="20"/>
        </w:rPr>
        <w:t>.sm</w:t>
      </w:r>
      <w:r>
        <w:rPr>
          <w:sz w:val="20"/>
        </w:rPr>
        <w:t>/</w:t>
      </w:r>
      <w:r>
        <w:rPr>
          <w:rStyle w:val="VerbatimChar"/>
          <w:sz w:val="20"/>
        </w:rPr>
        <w:t>.slicc</w:t>
      </w:r>
      <w:r>
        <w:rPr>
          <w:sz w:val="20"/>
        </w:rPr>
        <w:t xml:space="preserve"> file carries its complete copyright and BSD-3-clause license header inline (ARM Limited; Mark D. Hill and David A. Wood) — redistribution terms are inside the files themselves. </w:t>
      </w:r>
      <w:r>
        <w:rPr>
          <w:rStyle w:val="VerbatimChar"/>
          <w:sz w:val="20"/>
        </w:rPr>
        <w:t>LICENSE</w:t>
      </w:r>
      <w:r>
        <w:rPr>
          <w:sz w:val="20"/>
        </w:rPr>
        <w:t xml:space="preserve"> is gem5’s root file, an unrendered BSD-3 template, included as-shipped.</w:t>
      </w:r>
    </w:p>
    <w:p>
      <w:pPr>
        <w:pStyle w:val="BodyText"/>
        <w:rPr/>
      </w:pPr>
      <w:r>
        <w:rPr>
          <w:b/>
          <w:bCs/>
          <w:sz w:val="20"/>
        </w:rPr>
        <w:t>Upstream:</w:t>
      </w:r>
      <w:r>
        <w:rPr>
          <w:sz w:val="20"/>
        </w:rPr>
        <w:t xml:space="preserve"> https://github.com/gem5/gem5 (</w:t>
      </w:r>
      <w:r>
        <w:rPr>
          <w:rStyle w:val="VerbatimChar"/>
          <w:sz w:val="20"/>
        </w:rPr>
        <w:t>src/mem/ruby/protocol/</w:t>
      </w:r>
      <w:r>
        <w:rPr>
          <w:sz w:val="20"/>
        </w:rPr>
        <w:t>). This directory is a read-only extract; track upstream for changes.</w:t>
      </w:r>
      <w:bookmarkEnd w:id="497"/>
      <w:r>
        <w:br w:type="page"/>
      </w:r>
    </w:p>
    <w:p>
      <w:pPr>
        <w:pStyle w:val="Heading1"/>
        <w:shd w:val="clear" w:color="auto" w:fill="404040"/>
        <w:spacing w:before="360" w:after="120"/>
        <w:rPr/>
      </w:pPr>
      <w:bookmarkStart w:id="498" w:name="__RefHeading___Toc15106_888288119"/>
      <w:bookmarkStart w:id="499" w:name="cache-associativity-simulator"/>
      <w:bookmarkEnd w:id="498"/>
      <w:r>
        <w:rPr>
          <w:rStyle w:val="SectionNumber"/>
          <w:b/>
          <w:color w:val="FFFFFF"/>
          <w:sz w:val="32"/>
        </w:rPr>
        <w:t>33</w:t>
      </w:r>
      <w:r>
        <w:rPr>
          <w:b/>
          <w:color w:val="FFFFFF"/>
          <w:sz w:val="32"/>
        </w:rPr>
        <w:tab/>
        <w:t>Cache Associativity Simulator</w:t>
      </w:r>
    </w:p>
    <w:p>
      <w:pPr>
        <w:pStyle w:val="FirstParagraph"/>
        <w:rPr/>
      </w:pPr>
      <w:r>
        <w:rPr>
          <w:sz w:val="20"/>
        </w:rPr>
        <w:t xml:space="preserve">A standalone, trace-driven cache simulator for exploring set count, way count, block size, and replacement policy. Written in vanilla HTML5/CSS/ES5-ish JavaScript with no build step; open </w:t>
      </w:r>
      <w:r>
        <w:rPr>
          <w:rStyle w:val="VerbatimChar"/>
          <w:sz w:val="20"/>
        </w:rPr>
        <w:t>index.html</w:t>
      </w:r>
      <w:r>
        <w:rPr>
          <w:sz w:val="20"/>
        </w:rPr>
        <w:t xml:space="preserve"> directly as </w:t>
      </w:r>
      <w:r>
        <w:rPr>
          <w:rStyle w:val="VerbatimChar"/>
          <w:sz w:val="20"/>
        </w:rPr>
        <w:t>file://</w:t>
      </w:r>
      <w:r>
        <w:rPr>
          <w:sz w:val="20"/>
        </w:rPr>
        <w:t>.</w:t>
      </w:r>
    </w:p>
    <w:p>
      <w:pPr>
        <w:pStyle w:val="Heading2"/>
        <w:pBdr>
          <w:bottom w:val="single" w:sz="12" w:space="0" w:color="228B22"/>
        </w:pBdr>
        <w:spacing w:before="280" w:after="80"/>
        <w:rPr/>
      </w:pPr>
      <w:bookmarkStart w:id="500" w:name="__RefHeading___Toc15108_888288119"/>
      <w:bookmarkStart w:id="501" w:name="files"/>
      <w:bookmarkEnd w:id="500"/>
      <w:r>
        <w:rPr>
          <w:rStyle w:val="SectionNumber"/>
          <w:b/>
          <w:color w:val="228B22"/>
          <w:sz w:val="28"/>
        </w:rPr>
        <w:t>33.1</w:t>
      </w:r>
      <w:r>
        <w:rPr>
          <w:b/>
          <w:color w:val="228B22"/>
          <w:sz w:val="28"/>
        </w:rPr>
        <w:tab/>
        <w:t>Files</w:t>
      </w:r>
    </w:p>
    <w:p>
      <w:pPr>
        <w:pStyle w:val="SourceCode"/>
        <w:rPr/>
      </w:pPr>
      <w:r>
        <w:rPr>
          <w:rStyle w:val="VerbatimChar"/>
        </w:rPr>
        <w:t>bin/apps/cache_sim/</w:t>
      </w:r>
      <w:r>
        <w:rPr/>
        <w:br/>
      </w:r>
      <w:r>
        <w:rPr>
          <w:rStyle w:val="VerbatimChar"/>
        </w:rPr>
        <w:t xml:space="preserve">  index.html          -- UI</w:t>
      </w:r>
      <w:r>
        <w:rPr/>
        <w:br/>
      </w:r>
      <w:r>
        <w:rPr>
          <w:rStyle w:val="VerbatimChar"/>
        </w:rPr>
        <w:t xml:space="preserve">  style.css           -- mobile-first styles</w:t>
      </w:r>
      <w:r>
        <w:rPr/>
        <w:br/>
      </w:r>
      <w:r>
        <w:rPr>
          <w:rStyle w:val="VerbatimChar"/>
        </w:rPr>
        <w:t xml:space="preserve">  js/model.js         -- pure simulation model (no DOM)</w:t>
      </w:r>
      <w:r>
        <w:rPr/>
        <w:br/>
      </w:r>
      <w:r>
        <w:rPr>
          <w:rStyle w:val="VerbatimChar"/>
        </w:rPr>
        <w:t xml:space="preserve">  js/app.js           -- DOM glue, generators, and guided example</w:t>
      </w:r>
      <w:r>
        <w:rPr/>
        <w:br/>
      </w:r>
      <w:r>
        <w:rPr>
          <w:rStyle w:val="VerbatimChar"/>
        </w:rPr>
        <w:t xml:space="preserve">  test/run_tests.js   -- zero-dependency TAP-ish node test runner</w:t>
      </w:r>
      <w:r>
        <w:rPr/>
        <w:br/>
      </w:r>
      <w:r>
        <w:rPr>
          <w:rStyle w:val="VerbatimChar"/>
        </w:rPr>
        <w:t xml:space="preserve">  README.md           -- this file</w:t>
      </w:r>
      <w:bookmarkEnd w:id="501"/>
    </w:p>
    <w:p>
      <w:pPr>
        <w:pStyle w:val="Heading2"/>
        <w:pBdr>
          <w:bottom w:val="single" w:sz="12" w:space="0" w:color="228B22"/>
        </w:pBdr>
        <w:spacing w:before="280" w:after="80"/>
        <w:rPr/>
      </w:pPr>
      <w:bookmarkStart w:id="502" w:name="__RefHeading___Toc15110_888288119"/>
      <w:bookmarkStart w:id="503" w:name="model-api"/>
      <w:bookmarkEnd w:id="502"/>
      <w:r>
        <w:rPr>
          <w:rStyle w:val="SectionNumber"/>
          <w:b/>
          <w:color w:val="228B22"/>
          <w:sz w:val="28"/>
        </w:rPr>
        <w:t>33.2</w:t>
      </w:r>
      <w:r>
        <w:rPr>
          <w:b/>
          <w:color w:val="228B22"/>
          <w:sz w:val="28"/>
        </w:rPr>
        <w:tab/>
        <w:t>Model API</w:t>
      </w:r>
    </w:p>
    <w:p>
      <w:pPr>
        <w:pStyle w:val="SourceCode"/>
        <w:rPr/>
      </w:pPr>
      <w:r>
        <w:rPr>
          <w:rStyle w:val="KeywordTok"/>
        </w:rPr>
        <w:t>var</w:t>
      </w:r>
      <w:r>
        <w:rPr>
          <w:rStyle w:val="NormalTok"/>
        </w:rPr>
        <w:t xml:space="preserve"> CACHESIM </w:t>
      </w:r>
      <w:r>
        <w:rPr>
          <w:rStyle w:val="OperatorTok"/>
        </w:rPr>
        <w:t>=</w:t>
      </w:r>
      <w:r>
        <w:rPr>
          <w:rStyle w:val="NormalTok"/>
        </w:rPr>
        <w:t xml:space="preserve"> </w:t>
      </w:r>
      <w:r>
        <w:rPr>
          <w:rStyle w:val="PreprocessorTok"/>
        </w:rPr>
        <w:t>require</w:t>
      </w:r>
      <w:r>
        <w:rPr>
          <w:rStyle w:val="NormalTok"/>
        </w:rPr>
        <w:t>(</w:t>
      </w:r>
      <w:r>
        <w:rPr>
          <w:rStyle w:val="StringTok"/>
        </w:rPr>
        <w:t>'./js/model.js'</w:t>
      </w:r>
      <w:r>
        <w:rPr>
          <w:rStyle w:val="NormalTok"/>
        </w:rPr>
        <w:t>)</w:t>
      </w:r>
      <w:r>
        <w:rPr>
          <w:rStyle w:val="OperatorTok"/>
        </w:rPr>
        <w:t>;</w:t>
      </w:r>
      <w:r>
        <w:rPr/>
        <w:br/>
        <w:br/>
      </w:r>
      <w:r>
        <w:rPr>
          <w:rStyle w:val="KeywordTok"/>
        </w:rPr>
        <w:t>var</w:t>
      </w:r>
      <w:r>
        <w:rPr>
          <w:rStyle w:val="NormalTok"/>
        </w:rPr>
        <w:t xml:space="preserve"> result </w:t>
      </w:r>
      <w:r>
        <w:rPr>
          <w:rStyle w:val="OperatorTok"/>
        </w:rPr>
        <w:t>=</w:t>
      </w:r>
      <w:r>
        <w:rPr>
          <w:rStyle w:val="NormalTok"/>
        </w:rPr>
        <w:t xml:space="preserve"> CACHESIM</w:t>
      </w:r>
      <w:r>
        <w:rPr>
          <w:rStyle w:val="OperatorTok"/>
        </w:rPr>
        <w:t>.</w:t>
      </w:r>
      <w:r>
        <w:rPr>
          <w:rStyle w:val="FunctionTok"/>
        </w:rPr>
        <w:t>simulate</w:t>
      </w:r>
      <w:r>
        <w:rPr>
          <w:rStyle w:val="NormalTok"/>
        </w:rPr>
        <w:t>(</w:t>
      </w:r>
      <w:r>
        <w:rPr/>
        <w:br/>
      </w:r>
      <w:r>
        <w:rPr>
          <w:rStyle w:val="NormalTok"/>
        </w:rPr>
        <w:t xml:space="preserve">  { </w:t>
      </w:r>
      <w:r>
        <w:rPr>
          <w:rStyle w:val="DataTypeTok"/>
        </w:rPr>
        <w:t>sets</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ataTypeTok"/>
        </w:rPr>
        <w:t>ways</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blockSize</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policy</w:t>
      </w:r>
      <w:r>
        <w:rPr>
          <w:rStyle w:val="OperatorTok"/>
        </w:rPr>
        <w:t>:</w:t>
      </w:r>
      <w:r>
        <w:rPr>
          <w:rStyle w:val="NormalTok"/>
        </w:rPr>
        <w:t xml:space="preserve"> </w:t>
      </w:r>
      <w:r>
        <w:rPr>
          <w:rStyle w:val="StringTok"/>
        </w:rPr>
        <w:t>'LRU'</w:t>
      </w:r>
      <w:r>
        <w:rPr>
          <w:rStyle w:val="NormalTok"/>
        </w:rPr>
        <w:t xml:space="preserve"> }</w:t>
      </w:r>
      <w:r>
        <w:rPr>
          <w:rStyle w:val="OperatorTok"/>
        </w:rPr>
        <w:t>,</w:t>
      </w:r>
      <w:r>
        <w:rPr/>
        <w:br/>
      </w:r>
      <w:r>
        <w:rPr>
          <w:rStyle w:val="NormalTok"/>
        </w:rPr>
        <w:t xml:space="preserve">  [</w:t>
      </w:r>
      <w:r>
        <w:rPr>
          <w:rStyle w:val="BaseNTok"/>
        </w:rPr>
        <w:t>0x00</w:t>
      </w:r>
      <w:r>
        <w:rPr>
          <w:rStyle w:val="OperatorTok"/>
        </w:rPr>
        <w:t>,</w:t>
      </w:r>
      <w:r>
        <w:rPr>
          <w:rStyle w:val="NormalTok"/>
        </w:rPr>
        <w:t xml:space="preserve"> </w:t>
      </w:r>
      <w:r>
        <w:rPr>
          <w:rStyle w:val="BaseNTok"/>
        </w:rPr>
        <w:t>0x10</w:t>
      </w:r>
      <w:r>
        <w:rPr>
          <w:rStyle w:val="OperatorTok"/>
        </w:rPr>
        <w:t>,</w:t>
      </w:r>
      <w:r>
        <w:rPr>
          <w:rStyle w:val="NormalTok"/>
        </w:rPr>
        <w:t xml:space="preserve"> </w:t>
      </w:r>
      <w:r>
        <w:rPr>
          <w:rStyle w:val="BaseNTok"/>
        </w:rPr>
        <w:t>0x20</w:t>
      </w:r>
      <w:r>
        <w:rPr>
          <w:rStyle w:val="OperatorTok"/>
        </w:rPr>
        <w:t>,</w:t>
      </w:r>
      <w:r>
        <w:rPr>
          <w:rStyle w:val="NormalTok"/>
        </w:rPr>
        <w:t xml:space="preserve"> </w:t>
      </w:r>
      <w:r>
        <w:rPr>
          <w:rStyle w:val="BaseNTok"/>
        </w:rPr>
        <w:t>0x00</w:t>
      </w:r>
      <w:r>
        <w:rPr>
          <w:rStyle w:val="NormalTok"/>
        </w:rPr>
        <w:t>]</w:t>
      </w:r>
      <w:r>
        <w:rPr>
          <w:rStyle w:val="OperatorTok"/>
        </w:rPr>
        <w:t>,</w:t>
      </w:r>
      <w:r>
        <w:rPr/>
        <w:br/>
      </w:r>
      <w:r>
        <w:rPr>
          <w:rStyle w:val="NormalTok"/>
        </w:rPr>
        <w:t xml:space="preserve">  </w:t>
      </w:r>
      <w:r>
        <w:rPr>
          <w:rStyle w:val="DecValTok"/>
        </w:rPr>
        <w:t>1</w:t>
      </w:r>
      <w:r>
        <w:rPr>
          <w:rStyle w:val="NormalTok"/>
        </w:rPr>
        <w:t xml:space="preserve">   </w:t>
      </w:r>
      <w:r>
        <w:rPr>
          <w:rStyle w:val="CommentTok"/>
        </w:rPr>
        <w:t>// seed for RANDOM policy / reproducibility</w:t>
      </w:r>
      <w:r>
        <w:rPr/>
        <w:br/>
      </w:r>
      <w:r>
        <w:rPr>
          <w:rStyle w:val="NormalTok"/>
        </w:rPr>
        <w:t>)</w:t>
      </w:r>
      <w:r>
        <w:rPr>
          <w:rStyle w:val="OperatorTok"/>
        </w:rPr>
        <w:t>;</w:t>
      </w:r>
    </w:p>
    <w:p>
      <w:pPr>
        <w:pStyle w:val="FirstParagraph"/>
        <w:rPr/>
      </w:pPr>
      <w:r>
        <w:rPr>
          <w:rStyle w:val="VerbatimChar"/>
          <w:sz w:val="20"/>
        </w:rPr>
        <w:t>simulate(config, addresses, seed)</w:t>
      </w:r>
      <w:r>
        <w:rPr>
          <w:sz w:val="20"/>
        </w:rPr>
        <w:t xml:space="preserve"> returns:</w:t>
      </w:r>
    </w:p>
    <w:p>
      <w:pPr>
        <w:pStyle w:val="SourceCode"/>
        <w:rPr/>
      </w:pPr>
      <w:r>
        <w:rPr>
          <w:rStyle w:val="NormalTok"/>
        </w:rPr>
        <w:t>{</w:t>
      </w:r>
      <w:r>
        <w:rPr/>
        <w:br/>
      </w:r>
      <w:r>
        <w:rPr>
          <w:rStyle w:val="NormalTok"/>
        </w:rPr>
        <w:t xml:space="preserve">  </w:t>
      </w:r>
      <w:r>
        <w:rPr>
          <w:rStyle w:val="DataTypeTok"/>
        </w:rPr>
        <w:t>config</w:t>
      </w:r>
      <w:r>
        <w:rPr>
          <w:rStyle w:val="OperatorTok"/>
        </w:rPr>
        <w:t>:</w:t>
      </w:r>
      <w:r>
        <w:rPr>
          <w:rStyle w:val="NormalTok"/>
        </w:rPr>
        <w:t xml:space="preserve"> { sets</w:t>
      </w:r>
      <w:r>
        <w:rPr>
          <w:rStyle w:val="OperatorTok"/>
        </w:rPr>
        <w:t>,</w:t>
      </w:r>
      <w:r>
        <w:rPr>
          <w:rStyle w:val="NormalTok"/>
        </w:rPr>
        <w:t xml:space="preserve"> ways</w:t>
      </w:r>
      <w:r>
        <w:rPr>
          <w:rStyle w:val="OperatorTok"/>
        </w:rPr>
        <w:t>,</w:t>
      </w:r>
      <w:r>
        <w:rPr>
          <w:rStyle w:val="NormalTok"/>
        </w:rPr>
        <w:t xml:space="preserve"> blockSize</w:t>
      </w:r>
      <w:r>
        <w:rPr>
          <w:rStyle w:val="OperatorTok"/>
        </w:rPr>
        <w:t>,</w:t>
      </w:r>
      <w:r>
        <w:rPr>
          <w:rStyle w:val="NormalTok"/>
        </w:rPr>
        <w:t xml:space="preserve"> policy }</w:t>
      </w:r>
      <w:r>
        <w:rPr>
          <w:rStyle w:val="OperatorTok"/>
        </w:rPr>
        <w:t>,</w:t>
      </w:r>
      <w:r>
        <w:rPr/>
        <w:br/>
      </w:r>
      <w:r>
        <w:rPr>
          <w:rStyle w:val="NormalTok"/>
        </w:rPr>
        <w:t xml:space="preserve">  </w:t>
      </w:r>
      <w:r>
        <w:rPr>
          <w:rStyle w:val="DataTypeTok"/>
        </w:rPr>
        <w:t>perAccess</w:t>
      </w:r>
      <w:r>
        <w:rPr>
          <w:rStyle w:val="OperatorTok"/>
        </w:rPr>
        <w:t>:</w:t>
      </w:r>
      <w:r>
        <w:rPr>
          <w:rStyle w:val="NormalTok"/>
        </w:rPr>
        <w:t xml:space="preserve"> [</w:t>
      </w:r>
      <w:r>
        <w:rPr/>
        <w:br/>
      </w:r>
      <w:r>
        <w:rPr>
          <w:rStyle w:val="NormalTok"/>
        </w:rPr>
        <w:t xml:space="preserve">    { addr</w:t>
      </w:r>
      <w:r>
        <w:rPr>
          <w:rStyle w:val="OperatorTok"/>
        </w:rPr>
        <w:t>,</w:t>
      </w:r>
      <w:r>
        <w:rPr>
          <w:rStyle w:val="NormalTok"/>
        </w:rPr>
        <w:t xml:space="preserve"> hit</w:t>
      </w:r>
      <w:r>
        <w:rPr>
          <w:rStyle w:val="OperatorTok"/>
        </w:rPr>
        <w:t>,</w:t>
      </w:r>
      <w:r>
        <w:rPr>
          <w:rStyle w:val="NormalTok"/>
        </w:rPr>
        <w:t xml:space="preserve"> setIndex</w:t>
      </w:r>
      <w:r>
        <w:rPr>
          <w:rStyle w:val="OperatorTok"/>
        </w:rPr>
        <w:t>,</w:t>
      </w:r>
      <w:r>
        <w:rPr>
          <w:rStyle w:val="NormalTok"/>
        </w:rPr>
        <w:t xml:space="preserve"> way</w:t>
      </w:r>
      <w:r>
        <w:rPr>
          <w:rStyle w:val="OperatorTok"/>
        </w:rPr>
        <w:t>,</w:t>
      </w:r>
      <w:r>
        <w:rPr>
          <w:rStyle w:val="NormalTok"/>
        </w:rPr>
        <w:t xml:space="preserve"> missClass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totals</w:t>
      </w:r>
      <w:r>
        <w:rPr>
          <w:rStyle w:val="OperatorTok"/>
        </w:rPr>
        <w:t>:</w:t>
      </w:r>
      <w:r>
        <w:rPr>
          <w:rStyle w:val="NormalTok"/>
        </w:rPr>
        <w:t xml:space="preserve"> {</w:t>
      </w:r>
      <w:r>
        <w:rPr/>
        <w:br/>
      </w:r>
      <w:r>
        <w:rPr>
          <w:rStyle w:val="NormalTok"/>
        </w:rPr>
        <w:t xml:space="preserve">    hits</w:t>
      </w:r>
      <w:r>
        <w:rPr>
          <w:rStyle w:val="OperatorTok"/>
        </w:rPr>
        <w:t>,</w:t>
      </w:r>
      <w:r>
        <w:rPr>
          <w:rStyle w:val="NormalTok"/>
        </w:rPr>
        <w:t xml:space="preserve"> misses</w:t>
      </w:r>
      <w:r>
        <w:rPr>
          <w:rStyle w:val="OperatorTok"/>
        </w:rPr>
        <w:t>,</w:t>
      </w:r>
      <w:r>
        <w:rPr>
          <w:rStyle w:val="NormalTok"/>
        </w:rPr>
        <w:t xml:space="preserve"> hitRate</w:t>
      </w:r>
      <w:r>
        <w:rPr>
          <w:rStyle w:val="OperatorTok"/>
        </w:rPr>
        <w:t>,</w:t>
      </w:r>
      <w:r>
        <w:rPr/>
        <w:br/>
      </w:r>
      <w:r>
        <w:rPr>
          <w:rStyle w:val="NormalTok"/>
        </w:rPr>
        <w:t xml:space="preserve">    compulsory</w:t>
      </w:r>
      <w:r>
        <w:rPr>
          <w:rStyle w:val="OperatorTok"/>
        </w:rPr>
        <w:t>,</w:t>
      </w:r>
      <w:r>
        <w:rPr>
          <w:rStyle w:val="NormalTok"/>
        </w:rPr>
        <w:t xml:space="preserve"> capacity</w:t>
      </w:r>
      <w:r>
        <w:rPr>
          <w:rStyle w:val="OperatorTok"/>
        </w:rPr>
        <w:t>,</w:t>
      </w:r>
      <w:r>
        <w:rPr>
          <w:rStyle w:val="NormalTok"/>
        </w:rPr>
        <w:t xml:space="preserve"> conflict</w:t>
      </w:r>
      <w:r>
        <w:rPr/>
        <w:br/>
      </w:r>
      <w:r>
        <w:rPr>
          <w:rStyle w:val="NormalTok"/>
        </w:rPr>
        <w:t xml:space="preserve">  }</w:t>
      </w:r>
      <w:r>
        <w:rPr>
          <w:rStyle w:val="OperatorTok"/>
        </w:rPr>
        <w:t>,</w:t>
      </w:r>
      <w:r>
        <w:rPr/>
        <w:br/>
      </w:r>
      <w:r>
        <w:rPr>
          <w:rStyle w:val="NormalTok"/>
        </w:rPr>
        <w:t xml:space="preserve">  </w:t>
      </w:r>
      <w:r>
        <w:rPr>
          <w:rStyle w:val="DataTypeTok"/>
        </w:rPr>
        <w:t>occupancy</w:t>
      </w:r>
      <w:r>
        <w:rPr>
          <w:rStyle w:val="OperatorTok"/>
        </w:rPr>
        <w:t>:</w:t>
      </w:r>
      <w:r>
        <w:rPr>
          <w:rStyle w:val="NormalTok"/>
        </w:rPr>
        <w:t xml:space="preserve"> [ [tagOrNull</w:t>
      </w:r>
      <w:r>
        <w:rPr>
          <w:rStyle w:val="OperatorTok"/>
        </w:rPr>
        <w:t>,</w:t>
      </w:r>
      <w:r>
        <w:rPr>
          <w:rStyle w:val="NormalTok"/>
        </w:rPr>
        <w:t xml:space="preserve"> </w:t>
      </w:r>
      <w:r>
        <w:rPr>
          <w:rStyle w:val="OperatorTok"/>
        </w:rPr>
        <w:t>...</w:t>
      </w:r>
      <w:r>
        <w:rPr>
          <w:rStyle w:val="NormalTok"/>
        </w:rPr>
        <w:t>]</w:t>
      </w:r>
      <w:r>
        <w:rPr>
          <w:rStyle w:val="OperatorTok"/>
        </w:rPr>
        <w:t>,</w:t>
      </w:r>
      <w:r>
        <w:rPr>
          <w:rStyle w:val="NormalTok"/>
        </w:rPr>
        <w:t xml:space="preserve"> </w:t>
      </w:r>
      <w:r>
        <w:rPr>
          <w:rStyle w:val="OperatorTok"/>
        </w:rPr>
        <w:t>...</w:t>
      </w:r>
      <w:r>
        <w:rPr>
          <w:rStyle w:val="NormalTok"/>
        </w:rPr>
        <w:t xml:space="preserve"> ]   </w:t>
      </w:r>
      <w:r>
        <w:rPr>
          <w:rStyle w:val="CommentTok"/>
        </w:rPr>
        <w:t>// sets x ways</w:t>
      </w:r>
      <w:r>
        <w:rPr/>
        <w:br/>
      </w:r>
      <w:r>
        <w:rPr>
          <w:rStyle w:val="NormalTok"/>
        </w:rPr>
        <w:t>}</w:t>
      </w:r>
    </w:p>
    <w:p>
      <w:pPr>
        <w:pStyle w:val="FirstParagraph"/>
        <w:rPr/>
      </w:pPr>
      <w:r>
        <w:rPr>
          <w:rStyle w:val="VerbatimChar"/>
          <w:sz w:val="20"/>
        </w:rPr>
        <w:t>missClass</w:t>
      </w:r>
      <w:r>
        <w:rPr>
          <w:sz w:val="20"/>
        </w:rPr>
        <w:t xml:space="preserve"> is one of </w:t>
      </w:r>
      <w:r>
        <w:rPr>
          <w:rStyle w:val="VerbatimChar"/>
          <w:sz w:val="20"/>
        </w:rPr>
        <w:t>'hit'</w:t>
      </w:r>
      <w:r>
        <w:rPr>
          <w:sz w:val="20"/>
        </w:rPr>
        <w:t xml:space="preserve">, </w:t>
      </w:r>
      <w:r>
        <w:rPr>
          <w:rStyle w:val="VerbatimChar"/>
          <w:sz w:val="20"/>
        </w:rPr>
        <w:t>'compulsory'</w:t>
      </w:r>
      <w:r>
        <w:rPr>
          <w:sz w:val="20"/>
        </w:rPr>
        <w:t xml:space="preserve">, </w:t>
      </w:r>
      <w:r>
        <w:rPr>
          <w:rStyle w:val="VerbatimChar"/>
          <w:sz w:val="20"/>
        </w:rPr>
        <w:t>'capacity'</w:t>
      </w:r>
      <w:r>
        <w:rPr>
          <w:sz w:val="20"/>
        </w:rPr>
        <w:t xml:space="preserve">, or </w:t>
      </w:r>
      <w:r>
        <w:rPr>
          <w:rStyle w:val="VerbatimChar"/>
          <w:sz w:val="20"/>
        </w:rPr>
        <w:t>'conflict'</w:t>
      </w:r>
      <w:r>
        <w:rPr>
          <w:sz w:val="20"/>
        </w:rPr>
        <w:t>. Capacity classification is computed by running a shadow fully-associative cache with the same total size and policy.</w:t>
      </w:r>
    </w:p>
    <w:p>
      <w:pPr>
        <w:pStyle w:val="BodyText"/>
        <w:rPr/>
      </w:pPr>
      <w:r>
        <w:rPr>
          <w:sz w:val="20"/>
        </w:rPr>
        <w:t>Other model helpers:</w:t>
      </w:r>
    </w:p>
    <w:p>
      <w:pPr>
        <w:pStyle w:val="Compact"/>
        <w:numPr>
          <w:ilvl w:val="0"/>
          <w:numId w:val="216"/>
        </w:numPr>
        <w:rPr/>
      </w:pPr>
      <w:r>
        <w:rPr>
          <w:rStyle w:val="VerbatimChar"/>
        </w:rPr>
        <w:t>CACHESIM.validateConfig(config)</w:t>
      </w:r>
      <w:r>
        <w:rPr/>
        <w:t xml:space="preserve"> -&gt; </w:t>
      </w:r>
      <w:r>
        <w:rPr>
          <w:rStyle w:val="VerbatimChar"/>
        </w:rPr>
        <w:t>{ok, errors}</w:t>
      </w:r>
    </w:p>
    <w:p>
      <w:pPr>
        <w:pStyle w:val="Compact"/>
        <w:numPr>
          <w:ilvl w:val="0"/>
          <w:numId w:val="217"/>
        </w:numPr>
        <w:rPr/>
      </w:pPr>
      <w:r>
        <w:rPr>
          <w:rStyle w:val="VerbatimChar"/>
        </w:rPr>
        <w:t>CACHESIM.parseAddressText(text)</w:t>
      </w:r>
      <w:r>
        <w:rPr/>
        <w:t xml:space="preserve"> -&gt; address array (NaN for bad lines)</w:t>
      </w:r>
    </w:p>
    <w:p>
      <w:pPr>
        <w:pStyle w:val="Compact"/>
        <w:numPr>
          <w:ilvl w:val="0"/>
          <w:numId w:val="218"/>
        </w:numPr>
        <w:rPr/>
      </w:pPr>
      <w:r>
        <w:rPr>
          <w:rStyle w:val="VerbatimChar"/>
        </w:rPr>
        <w:t>CACHESIM.generateSequential(length, start)</w:t>
      </w:r>
    </w:p>
    <w:p>
      <w:pPr>
        <w:pStyle w:val="Compact"/>
        <w:numPr>
          <w:ilvl w:val="0"/>
          <w:numId w:val="219"/>
        </w:numPr>
        <w:rPr/>
      </w:pPr>
      <w:r>
        <w:rPr>
          <w:rStyle w:val="VerbatimChar"/>
        </w:rPr>
        <w:t>CACHESIM.generateStrided(length, start, stride)</w:t>
      </w:r>
    </w:p>
    <w:p>
      <w:pPr>
        <w:pStyle w:val="Compact"/>
        <w:numPr>
          <w:ilvl w:val="0"/>
          <w:numId w:val="220"/>
        </w:numPr>
        <w:rPr/>
      </w:pPr>
      <w:r>
        <w:rPr>
          <w:rStyle w:val="VerbatimChar"/>
        </w:rPr>
        <w:t>CACHESIM.generateRandom(length, seed, maxAddr)</w:t>
      </w:r>
      <w:r>
        <w:rPr/>
        <w:t xml:space="preserve"> (default maxAddr = 256)</w:t>
      </w:r>
      <w:bookmarkEnd w:id="503"/>
    </w:p>
    <w:p>
      <w:pPr>
        <w:pStyle w:val="Heading2"/>
        <w:pBdr>
          <w:bottom w:val="single" w:sz="12" w:space="0" w:color="228B22"/>
        </w:pBdr>
        <w:spacing w:before="280" w:after="80"/>
        <w:rPr/>
      </w:pPr>
      <w:bookmarkStart w:id="504" w:name="__RefHeading___Toc15112_888288119"/>
      <w:bookmarkStart w:id="505" w:name="running-tests"/>
      <w:bookmarkEnd w:id="504"/>
      <w:r>
        <w:rPr>
          <w:rStyle w:val="SectionNumber"/>
          <w:b/>
          <w:color w:val="228B22"/>
          <w:sz w:val="28"/>
        </w:rPr>
        <w:t>33.3</w:t>
      </w:r>
      <w:r>
        <w:rPr>
          <w:b/>
          <w:color w:val="228B22"/>
          <w:sz w:val="28"/>
        </w:rPr>
        <w:tab/>
        <w:t>Running tests</w:t>
      </w:r>
    </w:p>
    <w:p>
      <w:pPr>
        <w:pStyle w:val="SourceCode"/>
        <w:rPr/>
      </w:pPr>
      <w:r>
        <w:rPr>
          <w:rStyle w:val="ExtensionTok"/>
        </w:rPr>
        <w:t>node</w:t>
      </w:r>
      <w:r>
        <w:rPr>
          <w:rStyle w:val="NormalTok"/>
        </w:rPr>
        <w:t xml:space="preserve"> bin/apps/cache_sim/test/run_tests.js</w:t>
      </w:r>
    </w:p>
    <w:p>
      <w:pPr>
        <w:pStyle w:val="FirstParagraph"/>
        <w:rPr/>
      </w:pPr>
      <w:bookmarkStart w:id="506" w:name="running-tests"/>
      <w:r>
        <w:rPr>
          <w:sz w:val="20"/>
        </w:rPr>
        <w:t>Exit code is 0 when all tests pass.</w:t>
      </w:r>
      <w:bookmarkEnd w:id="506"/>
    </w:p>
    <w:p>
      <w:pPr>
        <w:pStyle w:val="Heading2"/>
        <w:pBdr>
          <w:bottom w:val="single" w:sz="12" w:space="0" w:color="228B22"/>
        </w:pBdr>
        <w:spacing w:before="280" w:after="80"/>
        <w:rPr/>
      </w:pPr>
      <w:bookmarkStart w:id="507" w:name="__RefHeading___Toc15114_888288119"/>
      <w:bookmarkStart w:id="508" w:name="ui-features"/>
      <w:bookmarkEnd w:id="507"/>
      <w:r>
        <w:rPr>
          <w:rStyle w:val="SectionNumber"/>
          <w:b/>
          <w:color w:val="228B22"/>
          <w:sz w:val="28"/>
        </w:rPr>
        <w:t>33.4</w:t>
      </w:r>
      <w:r>
        <w:rPr>
          <w:b/>
          <w:color w:val="228B22"/>
          <w:sz w:val="28"/>
        </w:rPr>
        <w:tab/>
        <w:t>UI features</w:t>
      </w:r>
    </w:p>
    <w:p>
      <w:pPr>
        <w:pStyle w:val="Compact"/>
        <w:numPr>
          <w:ilvl w:val="0"/>
          <w:numId w:val="221"/>
        </w:numPr>
        <w:rPr/>
      </w:pPr>
      <w:r>
        <w:rPr/>
        <w:t>Sliders for sets, ways, and block size; dropdown for policy.</w:t>
      </w:r>
    </w:p>
    <w:p>
      <w:pPr>
        <w:pStyle w:val="Compact"/>
        <w:numPr>
          <w:ilvl w:val="0"/>
          <w:numId w:val="222"/>
        </w:numPr>
        <w:rPr/>
      </w:pPr>
      <w:r>
        <w:rPr/>
        <w:t>Address trace textarea plus one-click sequential, strided, and random generators.</w:t>
      </w:r>
    </w:p>
    <w:p>
      <w:pPr>
        <w:pStyle w:val="Compact"/>
        <w:numPr>
          <w:ilvl w:val="0"/>
          <w:numId w:val="223"/>
        </w:numPr>
        <w:rPr/>
      </w:pPr>
      <w:r>
        <w:rPr/>
        <w:t>Big-number hit rate, totals table, per-access log, and per-set occupancy.</w:t>
      </w:r>
    </w:p>
    <w:p>
      <w:pPr>
        <w:pStyle w:val="Compact"/>
        <w:numPr>
          <w:ilvl w:val="0"/>
          <w:numId w:val="224"/>
        </w:numPr>
        <w:spacing w:before="36" w:after="36"/>
        <w:rPr/>
      </w:pPr>
      <w:bookmarkStart w:id="509" w:name="cache-associativity-simulator"/>
      <w:bookmarkStart w:id="510" w:name="ui-features"/>
      <w:r>
        <w:rPr/>
        <w:t>Guided example button that loads a cyclic trace and compares direct-mapped vs 2-way set-associative behavior.</w:t>
      </w:r>
      <w:bookmarkEnd w:id="509"/>
      <w:bookmarkEnd w:id="510"/>
    </w:p>
    <w:sectPr>
      <w:footerReference w:type="even" r:id="rId82"/>
      <w:footerReference w:type="default" r:id="rId83"/>
      <w:footerReference w:type="first" r:id="rId8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Hardware 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122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122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Hardware 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122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122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15">
    <w:lvl w:ilvl="0">
      <w:start w:val="13"/>
      <w:numFmt w:val="decimal"/>
      <w:lvlText w:val="%1."/>
      <w:lvlJc w:val="left"/>
      <w:pPr>
        <w:tabs>
          <w:tab w:val="num" w:pos="0"/>
        </w:tabs>
        <w:ind w:left="720" w:hanging="480"/>
      </w:pPr>
      <w:rPr/>
    </w:lvl>
    <w:lvl w:ilvl="1">
      <w:start w:val="13"/>
      <w:numFmt w:val="decimal"/>
      <w:lvlText w:val="%2."/>
      <w:lvlJc w:val="left"/>
      <w:pPr>
        <w:tabs>
          <w:tab w:val="num" w:pos="0"/>
        </w:tabs>
        <w:ind w:left="1440" w:hanging="480"/>
      </w:pPr>
      <w:rPr/>
    </w:lvl>
    <w:lvl w:ilvl="2">
      <w:start w:val="13"/>
      <w:numFmt w:val="decimal"/>
      <w:lvlText w:val="%3."/>
      <w:lvlJc w:val="left"/>
      <w:pPr>
        <w:tabs>
          <w:tab w:val="num" w:pos="0"/>
        </w:tabs>
        <w:ind w:left="2160" w:hanging="480"/>
      </w:pPr>
      <w:rPr/>
    </w:lvl>
    <w:lvl w:ilvl="3">
      <w:start w:val="13"/>
      <w:numFmt w:val="decimal"/>
      <w:lvlText w:val="%4."/>
      <w:lvlJc w:val="left"/>
      <w:pPr>
        <w:tabs>
          <w:tab w:val="num" w:pos="0"/>
        </w:tabs>
        <w:ind w:left="2880" w:hanging="480"/>
      </w:pPr>
      <w:rPr/>
    </w:lvl>
    <w:lvl w:ilvl="4">
      <w:start w:val="13"/>
      <w:numFmt w:val="decimal"/>
      <w:lvlText w:val="%5."/>
      <w:lvlJc w:val="left"/>
      <w:pPr>
        <w:tabs>
          <w:tab w:val="num" w:pos="0"/>
        </w:tabs>
        <w:ind w:left="3600" w:hanging="480"/>
      </w:pPr>
      <w:rPr/>
    </w:lvl>
    <w:lvl w:ilvl="5">
      <w:start w:val="13"/>
      <w:numFmt w:val="decimal"/>
      <w:lvlText w:val="%6."/>
      <w:lvlJc w:val="left"/>
      <w:pPr>
        <w:tabs>
          <w:tab w:val="num" w:pos="0"/>
        </w:tabs>
        <w:ind w:left="4320" w:hanging="480"/>
      </w:pPr>
      <w:rPr/>
    </w:lvl>
    <w:lvl w:ilvl="6">
      <w:start w:val="13"/>
      <w:numFmt w:val="decimal"/>
      <w:lvlText w:val="%7."/>
      <w:lvlJc w:val="left"/>
      <w:pPr>
        <w:tabs>
          <w:tab w:val="num" w:pos="0"/>
        </w:tabs>
        <w:ind w:left="5040" w:hanging="480"/>
      </w:pPr>
      <w:rPr/>
    </w:lvl>
    <w:lvl w:ilvl="7">
      <w:start w:val="13"/>
      <w:numFmt w:val="decimal"/>
      <w:lvlText w:val="%8."/>
      <w:lvlJc w:val="left"/>
      <w:pPr>
        <w:tabs>
          <w:tab w:val="num" w:pos="0"/>
        </w:tabs>
        <w:ind w:left="5760" w:hanging="480"/>
      </w:pPr>
      <w:rPr/>
    </w:lvl>
    <w:lvl w:ilvl="8">
      <w:start w:val="13"/>
      <w:numFmt w:val="decimal"/>
      <w:lvlText w:val="%9."/>
      <w:lvlJc w:val="left"/>
      <w:pPr>
        <w:tabs>
          <w:tab w:val="num" w:pos="0"/>
        </w:tabs>
        <w:ind w:left="6480" w:hanging="480"/>
      </w:pPr>
      <w:rPr/>
    </w:lvl>
  </w:abstractNum>
  <w:abstractNum w:abstractNumId="16">
    <w:lvl w:ilvl="0">
      <w:start w:val="17"/>
      <w:numFmt w:val="decimal"/>
      <w:lvlText w:val="%1."/>
      <w:lvlJc w:val="left"/>
      <w:pPr>
        <w:tabs>
          <w:tab w:val="num" w:pos="0"/>
        </w:tabs>
        <w:ind w:left="720" w:hanging="480"/>
      </w:pPr>
      <w:rPr/>
    </w:lvl>
    <w:lvl w:ilvl="1">
      <w:start w:val="17"/>
      <w:numFmt w:val="decimal"/>
      <w:lvlText w:val="%2."/>
      <w:lvlJc w:val="left"/>
      <w:pPr>
        <w:tabs>
          <w:tab w:val="num" w:pos="0"/>
        </w:tabs>
        <w:ind w:left="1440" w:hanging="480"/>
      </w:pPr>
      <w:rPr/>
    </w:lvl>
    <w:lvl w:ilvl="2">
      <w:start w:val="17"/>
      <w:numFmt w:val="decimal"/>
      <w:lvlText w:val="%3."/>
      <w:lvlJc w:val="left"/>
      <w:pPr>
        <w:tabs>
          <w:tab w:val="num" w:pos="0"/>
        </w:tabs>
        <w:ind w:left="2160" w:hanging="480"/>
      </w:pPr>
      <w:rPr/>
    </w:lvl>
    <w:lvl w:ilvl="3">
      <w:start w:val="17"/>
      <w:numFmt w:val="decimal"/>
      <w:lvlText w:val="%4."/>
      <w:lvlJc w:val="left"/>
      <w:pPr>
        <w:tabs>
          <w:tab w:val="num" w:pos="0"/>
        </w:tabs>
        <w:ind w:left="2880" w:hanging="480"/>
      </w:pPr>
      <w:rPr/>
    </w:lvl>
    <w:lvl w:ilvl="4">
      <w:start w:val="17"/>
      <w:numFmt w:val="decimal"/>
      <w:lvlText w:val="%5."/>
      <w:lvlJc w:val="left"/>
      <w:pPr>
        <w:tabs>
          <w:tab w:val="num" w:pos="0"/>
        </w:tabs>
        <w:ind w:left="3600" w:hanging="480"/>
      </w:pPr>
      <w:rPr/>
    </w:lvl>
    <w:lvl w:ilvl="5">
      <w:start w:val="17"/>
      <w:numFmt w:val="decimal"/>
      <w:lvlText w:val="%6."/>
      <w:lvlJc w:val="left"/>
      <w:pPr>
        <w:tabs>
          <w:tab w:val="num" w:pos="0"/>
        </w:tabs>
        <w:ind w:left="4320" w:hanging="480"/>
      </w:pPr>
      <w:rPr/>
    </w:lvl>
    <w:lvl w:ilvl="6">
      <w:start w:val="17"/>
      <w:numFmt w:val="decimal"/>
      <w:lvlText w:val="%7."/>
      <w:lvlJc w:val="left"/>
      <w:pPr>
        <w:tabs>
          <w:tab w:val="num" w:pos="0"/>
        </w:tabs>
        <w:ind w:left="5040" w:hanging="480"/>
      </w:pPr>
      <w:rPr/>
    </w:lvl>
    <w:lvl w:ilvl="7">
      <w:start w:val="17"/>
      <w:numFmt w:val="decimal"/>
      <w:lvlText w:val="%8."/>
      <w:lvlJc w:val="left"/>
      <w:pPr>
        <w:tabs>
          <w:tab w:val="num" w:pos="0"/>
        </w:tabs>
        <w:ind w:left="5760" w:hanging="480"/>
      </w:pPr>
      <w:rPr/>
    </w:lvl>
    <w:lvl w:ilvl="8">
      <w:start w:val="17"/>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400"/>
      <w:numFmt w:val="upperRoman"/>
      <w:lvlText w:val="%1."/>
      <w:lvlJc w:val="left"/>
      <w:pPr>
        <w:tabs>
          <w:tab w:val="num" w:pos="0"/>
        </w:tabs>
        <w:ind w:left="720" w:hanging="480"/>
      </w:pPr>
      <w:rPr/>
    </w:lvl>
    <w:lvl w:ilvl="1">
      <w:start w:val="400"/>
      <w:numFmt w:val="upperRoman"/>
      <w:lvlText w:val="%2."/>
      <w:lvlJc w:val="left"/>
      <w:pPr>
        <w:tabs>
          <w:tab w:val="num" w:pos="0"/>
        </w:tabs>
        <w:ind w:left="1440" w:hanging="480"/>
      </w:pPr>
      <w:rPr/>
    </w:lvl>
    <w:lvl w:ilvl="2">
      <w:start w:val="400"/>
      <w:numFmt w:val="upperRoman"/>
      <w:lvlText w:val="%3."/>
      <w:lvlJc w:val="left"/>
      <w:pPr>
        <w:tabs>
          <w:tab w:val="num" w:pos="0"/>
        </w:tabs>
        <w:ind w:left="2160" w:hanging="480"/>
      </w:pPr>
      <w:rPr/>
    </w:lvl>
    <w:lvl w:ilvl="3">
      <w:start w:val="400"/>
      <w:numFmt w:val="upperRoman"/>
      <w:lvlText w:val="%4."/>
      <w:lvlJc w:val="left"/>
      <w:pPr>
        <w:tabs>
          <w:tab w:val="num" w:pos="0"/>
        </w:tabs>
        <w:ind w:left="2880" w:hanging="480"/>
      </w:pPr>
      <w:rPr/>
    </w:lvl>
    <w:lvl w:ilvl="4">
      <w:start w:val="400"/>
      <w:numFmt w:val="upperRoman"/>
      <w:lvlText w:val="%5."/>
      <w:lvlJc w:val="left"/>
      <w:pPr>
        <w:tabs>
          <w:tab w:val="num" w:pos="0"/>
        </w:tabs>
        <w:ind w:left="3600" w:hanging="480"/>
      </w:pPr>
      <w:rPr/>
    </w:lvl>
    <w:lvl w:ilvl="5">
      <w:start w:val="400"/>
      <w:numFmt w:val="upperRoman"/>
      <w:lvlText w:val="%6."/>
      <w:lvlJc w:val="left"/>
      <w:pPr>
        <w:tabs>
          <w:tab w:val="num" w:pos="0"/>
        </w:tabs>
        <w:ind w:left="4320" w:hanging="480"/>
      </w:pPr>
      <w:rPr/>
    </w:lvl>
    <w:lvl w:ilvl="6">
      <w:start w:val="400"/>
      <w:numFmt w:val="upperRoman"/>
      <w:lvlText w:val="%7."/>
      <w:lvlJc w:val="left"/>
      <w:pPr>
        <w:tabs>
          <w:tab w:val="num" w:pos="0"/>
        </w:tabs>
        <w:ind w:left="5040" w:hanging="480"/>
      </w:pPr>
      <w:rPr/>
    </w:lvl>
    <w:lvl w:ilvl="7">
      <w:start w:val="400"/>
      <w:numFmt w:val="upperRoman"/>
      <w:lvlText w:val="%8."/>
      <w:lvlJc w:val="left"/>
      <w:pPr>
        <w:tabs>
          <w:tab w:val="num" w:pos="0"/>
        </w:tabs>
        <w:ind w:left="5760" w:hanging="480"/>
      </w:pPr>
      <w:rPr/>
    </w:lvl>
    <w:lvl w:ilvl="8">
      <w:start w:val="400"/>
      <w:numFmt w:val="upperRoman"/>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8"/>
    <w:lvlOverride w:ilvl="0">
      <w:startOverride w:val="1"/>
    </w:lvlOverride>
  </w:num>
  <w:num w:numId="79">
    <w:abstractNumId w:val="8"/>
    <w:lvlOverride w:ilvl="0">
      <w:startOverride w:val="1"/>
    </w:lvlOverride>
  </w:num>
  <w:num w:numId="80">
    <w:abstractNumId w:val="1"/>
  </w:num>
  <w:num w:numId="81">
    <w:abstractNumId w:val="1"/>
  </w:num>
  <w:num w:numId="82">
    <w:abstractNumId w:val="1"/>
  </w:num>
  <w:num w:numId="83">
    <w:abstractNumId w:val="1"/>
  </w:num>
  <w:num w:numId="84">
    <w:abstractNumId w:val="8"/>
  </w:num>
  <w:num w:numId="85">
    <w:abstractNumId w:val="1"/>
  </w:num>
  <w:num w:numId="86">
    <w:abstractNumId w:val="1"/>
  </w:num>
  <w:num w:numId="87">
    <w:abstractNumId w:val="1"/>
  </w:num>
  <w:num w:numId="88">
    <w:abstractNumId w:val="8"/>
  </w:num>
  <w:num w:numId="89">
    <w:abstractNumId w:val="1"/>
  </w:num>
  <w:num w:numId="90">
    <w:abstractNumId w:val="1"/>
  </w:num>
  <w:num w:numId="91">
    <w:abstractNumId w:val="1"/>
  </w:num>
  <w:num w:numId="92">
    <w:abstractNumId w:val="1"/>
  </w:num>
  <w:num w:numId="93">
    <w:abstractNumId w:val="8"/>
    <w:lvlOverride w:ilvl="0">
      <w:startOverride w:val="1"/>
    </w:lvlOverride>
  </w:num>
  <w:num w:numId="94">
    <w:abstractNumId w:val="8"/>
  </w:num>
  <w:num w:numId="95">
    <w:abstractNumId w:val="8"/>
  </w:num>
  <w:num w:numId="96">
    <w:abstractNumId w:val="8"/>
  </w:num>
  <w:num w:numId="97">
    <w:abstractNumId w:val="8"/>
  </w:num>
  <w:num w:numId="98">
    <w:abstractNumId w:val="8"/>
  </w:num>
  <w:num w:numId="99">
    <w:abstractNumId w:val="14"/>
    <w:lvlOverride w:ilvl="0">
      <w:startOverride w:val="7"/>
    </w:lvlOverride>
  </w:num>
  <w:num w:numId="100">
    <w:abstractNumId w:val="15"/>
    <w:lvlOverride w:ilvl="0">
      <w:startOverride w:val="13"/>
    </w:lvlOverride>
  </w:num>
  <w:num w:numId="101">
    <w:abstractNumId w:val="16"/>
    <w:lvlOverride w:ilvl="0">
      <w:startOverride w:val="17"/>
    </w:lvlOverride>
  </w:num>
  <w:num w:numId="102">
    <w:abstractNumId w:val="8"/>
    <w:lvlOverride w:ilvl="0">
      <w:startOverride w:val="1"/>
    </w:lvlOverride>
  </w:num>
  <w:num w:numId="103">
    <w:abstractNumId w:val="8"/>
  </w:num>
  <w:num w:numId="104">
    <w:abstractNumId w:val="1"/>
  </w:num>
  <w:num w:numId="105">
    <w:abstractNumId w:val="1"/>
  </w:num>
  <w:num w:numId="106">
    <w:abstractNumId w:val="8"/>
  </w:num>
  <w:num w:numId="107">
    <w:abstractNumId w:val="1"/>
  </w:num>
  <w:num w:numId="108">
    <w:abstractNumId w:val="1"/>
  </w:num>
  <w:num w:numId="109">
    <w:abstractNumId w:val="1"/>
  </w:num>
  <w:num w:numId="110">
    <w:abstractNumId w:val="8"/>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8"/>
    <w:lvlOverride w:ilvl="0">
      <w:startOverride w:val="1"/>
    </w:lvlOverride>
  </w:num>
  <w:num w:numId="134">
    <w:abstractNumId w:val="8"/>
  </w:num>
  <w:num w:numId="135">
    <w:abstractNumId w:val="8"/>
  </w:num>
  <w:num w:numId="136">
    <w:abstractNumId w:val="8"/>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8"/>
    <w:lvlOverride w:ilvl="0">
      <w:startOverride w:val="1"/>
    </w:lvlOverride>
  </w:num>
  <w:num w:numId="144">
    <w:abstractNumId w:val="8"/>
  </w:num>
  <w:num w:numId="145">
    <w:abstractNumId w:val="8"/>
  </w:num>
  <w:num w:numId="146">
    <w:abstractNumId w:val="8"/>
  </w:num>
  <w:num w:numId="147">
    <w:abstractNumId w:val="8"/>
  </w:num>
  <w:num w:numId="148">
    <w:abstractNumId w:val="8"/>
  </w:num>
  <w:num w:numId="149">
    <w:abstractNumId w:val="8"/>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36"/>
    <w:lvlOverride w:ilvl="0">
      <w:startOverride w:val="400"/>
    </w:lvlOverride>
    <w:lvlOverride w:ilvl="1">
      <w:startOverride w:val="400"/>
    </w:lvlOverride>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8"/>
    <w:lvlOverride w:ilvl="0">
      <w:startOverride w:val="1"/>
    </w:lvlOverride>
  </w:num>
  <w:num w:numId="191">
    <w:abstractNumId w:val="8"/>
  </w:num>
  <w:num w:numId="192">
    <w:abstractNumId w:val="8"/>
  </w:num>
  <w:num w:numId="193">
    <w:abstractNumId w:val="1"/>
  </w:num>
  <w:num w:numId="194">
    <w:abstractNumId w:val="1"/>
  </w:num>
  <w:num w:numId="195">
    <w:abstractNumId w:val="8"/>
    <w:lvlOverride w:ilvl="0">
      <w:startOverride w:val="1"/>
    </w:lvlOverride>
  </w:num>
  <w:num w:numId="196">
    <w:abstractNumId w:val="8"/>
  </w:num>
  <w:num w:numId="197">
    <w:abstractNumId w:val="8"/>
  </w:num>
  <w:num w:numId="198">
    <w:abstractNumId w:val="8"/>
  </w:num>
  <w:num w:numId="199">
    <w:abstractNumId w:val="8"/>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8"/>
    <w:lvlOverride w:ilvl="0">
      <w:startOverride w:val="1"/>
    </w:lvlOverride>
  </w:num>
  <w:num w:numId="211">
    <w:abstractNumId w:val="8"/>
  </w:num>
  <w:num w:numId="212">
    <w:abstractNumId w:val="8"/>
  </w:num>
  <w:num w:numId="213">
    <w:abstractNumId w:val="8"/>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mber_has/amber_has_index.md" TargetMode="External"/><Relationship Id="rId4" Type="http://schemas.openxmlformats.org/officeDocument/2006/relationships/hyperlink" Target="ch00_front_matter/00_document_info.md" TargetMode="External"/><Relationship Id="rId5" Type="http://schemas.openxmlformats.org/officeDocument/2006/relationships/hyperlink" Target="ch01_overview/01_architecture.md" TargetMode="External"/><Relationship Id="rId6" Type="http://schemas.openxmlformats.org/officeDocument/2006/relationships/hyperlink" Target="ch01_overview/02_port_list.md" TargetMode="External"/><Relationship Id="rId7" Type="http://schemas.openxmlformats.org/officeDocument/2006/relationships/hyperlink" Target="ch01_overview/03_clocks_and_reset.md" TargetMode="External"/><Relationship Id="rId8" Type="http://schemas.openxmlformats.org/officeDocument/2006/relationships/hyperlink" Target="ch02_blocks/01_amber_control.md" TargetMode="External"/><Relationship Id="rId9" Type="http://schemas.openxmlformats.org/officeDocument/2006/relationships/hyperlink" Target="ch02_blocks/02_pending_fill_bypass.md" TargetMode="External"/><Relationship Id="rId10" Type="http://schemas.openxmlformats.org/officeDocument/2006/relationships/hyperlink" Target="ch02_blocks/03_tag_data_arrays.md" TargetMode="External"/><Relationship Id="rId11" Type="http://schemas.openxmlformats.org/officeDocument/2006/relationships/hyperlink" Target="ch02_blocks/04_amber_repl.md" TargetMode="External"/><Relationship Id="rId12" Type="http://schemas.openxmlformats.org/officeDocument/2006/relationships/hyperlink" Target="ch02_blocks/05_amber_victim.md" TargetMode="External"/><Relationship Id="rId13" Type="http://schemas.openxmlformats.org/officeDocument/2006/relationships/hyperlink" Target="ch02_blocks/06_fill_drain.md" TargetMode="External"/><Relationship Id="rId14" Type="http://schemas.openxmlformats.org/officeDocument/2006/relationships/hyperlink" Target="ch02_blocks/07_amber_snoop_resp.md" TargetMode="External"/><Relationship Id="rId15" Type="http://schemas.openxmlformats.org/officeDocument/2006/relationships/hyperlink" Target="ch02_blocks/08_amber_ace_issue.md" TargetMode="External"/><Relationship Id="rId16" Type="http://schemas.openxmlformats.org/officeDocument/2006/relationships/hyperlink" Target="ch02_blocks/09_frontend_monlite.md" TargetMode="External"/><Relationship Id="rId17" Type="http://schemas.openxmlformats.org/officeDocument/2006/relationships/hyperlink" Target="ch03_interfaces/01_cpu_gaxi.md" TargetMode="External"/><Relationship Id="rId18" Type="http://schemas.openxmlformats.org/officeDocument/2006/relationships/hyperlink" Target="ch03_interfaces/02_fabric_axi4.md" TargetMode="External"/><Relationship Id="rId19" Type="http://schemas.openxmlformats.org/officeDocument/2006/relationships/hyperlink" Target="ch03_interfaces/03_fabric_ace.md" TargetMode="External"/><Relationship Id="rId20" Type="http://schemas.openxmlformats.org/officeDocument/2006/relationships/hyperlink" Target="ch03_interfaces/04_snoop_accdcr.md" TargetMode="External"/><Relationship Id="rId21" Type="http://schemas.openxmlformats.org/officeDocument/2006/relationships/hyperlink" Target="ch03_interfaces/05_monbus_timing.md" TargetMode="External"/><Relationship Id="rId22" Type="http://schemas.openxmlformats.org/officeDocument/2006/relationships/hyperlink" Target="ch04_monbus_observation/01_event_map.md" TargetMode="External"/><Relationship Id="rId23" Type="http://schemas.openxmlformats.org/officeDocument/2006/relationships/hyperlink" Target="ch04_monbus_observation/02_tally_integration.md" TargetMode="External"/><Relationship Id="rId24" Type="http://schemas.openxmlformats.org/officeDocument/2006/relationships/hyperlink" Target="ch05_verification/01_kmap_verdicts.md" TargetMode="External"/><Relationship Id="rId25" Type="http://schemas.openxmlformats.org/officeDocument/2006/relationships/hyperlink" Target="ch05_verification/02_rtl_diff.md" TargetMode="External"/><Relationship Id="rId26" Type="http://schemas.openxmlformats.org/officeDocument/2006/relationships/hyperlink" Target="ch05_verification/03_gem5_crosscheck.md" TargetMode="External"/><Relationship Id="rId27" Type="http://schemas.openxmlformats.org/officeDocument/2006/relationships/hyperlink" Target="ch06_configuration/01_elaboration_configs.md" TargetMode="External"/><Relationship Id="rId28" Type="http://schemas.openxmlformats.org/officeDocument/2006/relationships/hyperlink" Target="ch06_configuration/02_dv_matrix.md" TargetMode="External"/><Relationship Id="rId29" Type="http://schemas.openxmlformats.org/officeDocument/2006/relationships/hyperlink" Target="../../PRD.md" TargetMode="External"/><Relationship Id="rId30" Type="http://schemas.openxmlformats.org/officeDocument/2006/relationships/hyperlink" Target="../amber_has/amber_has_index.md" TargetMode="External"/><Relationship Id="rId31" Type="http://schemas.openxmlformats.org/officeDocument/2006/relationships/hyperlink" Target="../amber_has/amber_prehas.md" TargetMode="External"/><Relationship Id="rId32" Type="http://schemas.openxmlformats.org/officeDocument/2006/relationships/hyperlink" Target="../gen_amber_contracts_kmaps.py" TargetMode="External"/><Relationship Id="rId33" Type="http://schemas.openxmlformats.org/officeDocument/2006/relationships/hyperlink" Target="../../../jet-mesi-l1/PRD.md" TargetMode="External"/><Relationship Id="rId34" Type="http://schemas.openxmlformats.org/officeDocument/2006/relationships/hyperlink" Target="../../../onyx-ace-ccu/PRD.md" TargetMode="External"/><Relationship Id="rId35" Type="http://schemas.openxmlformats.org/officeDocument/2006/relationships/hyperlink" Target="../../../References/AMBA_ACE_Interface_Definition.md" TargetMode="External"/><Relationship Id="rId36" Type="http://schemas.openxmlformats.org/officeDocument/2006/relationships/hyperlink" Target="../../../References/gem5-ruby-protocols/README.md" TargetMode="External"/><Relationship Id="rId37" Type="http://schemas.openxmlformats.org/officeDocument/2006/relationships/hyperlink" Target="../../../../../../bin/apps/cache_sim/README.md" TargetMode="External"/><Relationship Id="rId38" Type="http://schemas.openxmlformats.org/officeDocument/2006/relationships/hyperlink" Target="../../../../../../GLOBAL_REQUIREMENTS.md" TargetMode="External"/><Relationship Id="rId39" Type="http://schemas.openxmlformats.org/officeDocument/2006/relationships/hyperlink" Target="../onyx-ace-ccu/PRD.md" TargetMode="External"/><Relationship Id="rId40" Type="http://schemas.openxmlformats.org/officeDocument/2006/relationships/hyperlink" Target="../onyx-ace-ccu/PRD.md" TargetMode="External"/><Relationship Id="rId41" Type="http://schemas.openxmlformats.org/officeDocument/2006/relationships/hyperlink" Target="../jet-mesi-l1/PRD.md" TargetMode="External"/><Relationship Id="rId42" Type="http://schemas.openxmlformats.org/officeDocument/2006/relationships/hyperlink" Target="../onyx-ace-ccu/PRD.md" TargetMode="External"/><Relationship Id="rId43" Type="http://schemas.openxmlformats.org/officeDocument/2006/relationships/hyperlink" Target="../onyx-ace-ccu/PRD.md" TargetMode="External"/><Relationship Id="rId44" Type="http://schemas.openxmlformats.org/officeDocument/2006/relationships/hyperlink" Target="../../../../bin/apps/cache_sim/" TargetMode="External"/><Relationship Id="rId45" Type="http://schemas.openxmlformats.org/officeDocument/2006/relationships/hyperlink" Target="../References/gem5-ruby-protocols/" TargetMode="External"/><Relationship Id="rId46" Type="http://schemas.openxmlformats.org/officeDocument/2006/relationships/hyperlink" Target="../../../../GLOBAL_REQUIREMENTS.md" TargetMode="External"/><Relationship Id="rId47" Type="http://schemas.openxmlformats.org/officeDocument/2006/relationships/hyperlink" Target="../../../../bin/apps/cache_sim/" TargetMode="External"/><Relationship Id="rId48" Type="http://schemas.openxmlformats.org/officeDocument/2006/relationships/hyperlink" Target="../../../PRD.md" TargetMode="External"/><Relationship Id="rId49" Type="http://schemas.openxmlformats.org/officeDocument/2006/relationships/hyperlink" Target="../amber_prehas.md" TargetMode="External"/><Relationship Id="rId50" Type="http://schemas.openxmlformats.org/officeDocument/2006/relationships/hyperlink" Target="../../../../jet-mesi-l1/PRD.md" TargetMode="External"/><Relationship Id="rId51" Type="http://schemas.openxmlformats.org/officeDocument/2006/relationships/hyperlink" Target="../../../../onyx-ace-ccu/PRD.md" TargetMode="External"/><Relationship Id="rId52" Type="http://schemas.openxmlformats.org/officeDocument/2006/relationships/hyperlink" Target="../../../../References/AMBA_ACE_Interface_Definition.md" TargetMode="External"/><Relationship Id="rId53" Type="http://schemas.openxmlformats.org/officeDocument/2006/relationships/hyperlink" Target="../../../../References/gem5-ruby-protocols/README.md" TargetMode="External"/><Relationship Id="rId54" Type="http://schemas.openxmlformats.org/officeDocument/2006/relationships/hyperlink" Target="../../../../../../../bin/apps/cache_sim/README.md" TargetMode="External"/><Relationship Id="rId55" Type="http://schemas.openxmlformats.org/officeDocument/2006/relationships/hyperlink" Target="../../../../../../../GLOBAL_REQUIREMENTS.md" TargetMode="External"/><Relationship Id="rId56" Type="http://schemas.openxmlformats.org/officeDocument/2006/relationships/image" Target="media/image2.png"/><Relationship Id="rId57" Type="http://schemas.openxmlformats.org/officeDocument/2006/relationships/hyperlink" Target="../assets/mermaid/01_block_diagram.mmd" TargetMode="External"/><Relationship Id="rId58" Type="http://schemas.openxmlformats.org/officeDocument/2006/relationships/image" Target="media/image3.png"/><Relationship Id="rId59" Type="http://schemas.openxmlformats.org/officeDocument/2006/relationships/hyperlink" Target="../assets/mermaid/02_miss_flow.mmd" TargetMode="External"/><Relationship Id="rId60" Type="http://schemas.openxmlformats.org/officeDocument/2006/relationships/image" Target="media/image4.png"/><Relationship Id="rId61" Type="http://schemas.openxmlformats.org/officeDocument/2006/relationships/hyperlink" Target="../assets/mermaid/03_snoop_flow.mmd" TargetMode="External"/><Relationship Id="rId62" Type="http://schemas.openxmlformats.org/officeDocument/2006/relationships/hyperlink" Target="amber_has_index.md" TargetMode="External"/><Relationship Id="rId63" Type="http://schemas.openxmlformats.org/officeDocument/2006/relationships/hyperlink" Target="../../PRD.md" TargetMode="External"/><Relationship Id="rId64" Type="http://schemas.openxmlformats.org/officeDocument/2006/relationships/hyperlink" Target="../../PRD.md" TargetMode="External"/><Relationship Id="rId65" Type="http://schemas.openxmlformats.org/officeDocument/2006/relationships/hyperlink" Target="../../../onyx-ace-ccu/PRD.md" TargetMode="External"/><Relationship Id="rId66" Type="http://schemas.openxmlformats.org/officeDocument/2006/relationships/hyperlink" Target="../../../jet-mesi-l1/PRD.md" TargetMode="External"/><Relationship Id="rId67" Type="http://schemas.openxmlformats.org/officeDocument/2006/relationships/hyperlink" Target="../../../../../../GLOBAL_REQUIREMENTS.md" TargetMode="External"/><Relationship Id="rId68" Type="http://schemas.openxmlformats.org/officeDocument/2006/relationships/hyperlink" Target="../../../../../../bin/apps/cache_sim/" TargetMode="External"/><Relationship Id="rId69" Type="http://schemas.openxmlformats.org/officeDocument/2006/relationships/hyperlink" Target="../../PRD.md" TargetMode="External"/><Relationship Id="rId70" Type="http://schemas.openxmlformats.org/officeDocument/2006/relationships/hyperlink" Target="../../../onyx-ace-ccu/PRD.md" TargetMode="External"/><Relationship Id="rId71" Type="http://schemas.openxmlformats.org/officeDocument/2006/relationships/hyperlink" Target="../../../jet-mesi-l1/PRD.md" TargetMode="External"/><Relationship Id="rId72" Type="http://schemas.openxmlformats.org/officeDocument/2006/relationships/hyperlink" Target="../../../References/AMBA_ACE_Interface_Definition.md" TargetMode="External"/><Relationship Id="rId73" Type="http://schemas.openxmlformats.org/officeDocument/2006/relationships/hyperlink" Target="../../../References/gem5-ruby-protocols/" TargetMode="External"/><Relationship Id="rId74" Type="http://schemas.openxmlformats.org/officeDocument/2006/relationships/hyperlink" Target="../amber-mesi-l1/PRD.md" TargetMode="External"/><Relationship Id="rId75" Type="http://schemas.openxmlformats.org/officeDocument/2006/relationships/hyperlink" Target="../amber-mesi-l1/PRD.md" TargetMode="External"/><Relationship Id="rId76" Type="http://schemas.openxmlformats.org/officeDocument/2006/relationships/hyperlink" Target="https://github.com/sean-galloway/RTLDesignSherpa-DV/issues/86" TargetMode="External"/><Relationship Id="rId77" Type="http://schemas.openxmlformats.org/officeDocument/2006/relationships/hyperlink" Target="../References/AMBA_ACE_Interface_Definition.md" TargetMode="External"/><Relationship Id="rId78" Type="http://schemas.openxmlformats.org/officeDocument/2006/relationships/hyperlink" Target="../amber-mesi-l1/PRD.md" TargetMode="External"/><Relationship Id="rId79" Type="http://schemas.openxmlformats.org/officeDocument/2006/relationships/hyperlink" Target="../onyx-ace-ccu/PRD.md" TargetMode="External"/><Relationship Id="rId80" Type="http://schemas.openxmlformats.org/officeDocument/2006/relationships/hyperlink" Target="https://developer.arm.com/-/media/Arm%20Developer%20Community/PDF/IHI0022H_amba_axi_protocol_spec.pdf" TargetMode="External"/><Relationship Id="rId81" Type="http://schemas.openxmlformats.org/officeDocument/2006/relationships/hyperlink" Target="https://developer.arm.com/documentation/ihi0022/" TargetMode="External"/><Relationship Id="rId82" Type="http://schemas.openxmlformats.org/officeDocument/2006/relationships/footer" Target="footer1.xml"/><Relationship Id="rId83" Type="http://schemas.openxmlformats.org/officeDocument/2006/relationships/footer" Target="footer2.xml"/><Relationship Id="rId84" Type="http://schemas.openxmlformats.org/officeDocument/2006/relationships/footer" Target="footer3.xml"/><Relationship Id="rId85" Type="http://schemas.openxmlformats.org/officeDocument/2006/relationships/numbering" Target="numbering.xml"/><Relationship Id="rId86" Type="http://schemas.openxmlformats.org/officeDocument/2006/relationships/fontTable" Target="fontTable.xml"/><Relationship Id="rId87" Type="http://schemas.openxmlformats.org/officeDocument/2006/relationships/settings" Target="settings.xml"/><Relationship Id="rId8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114</Pages>
  <Words>18050</Words>
  <Characters>104887</Characters>
  <CharactersWithSpaces>121674</CharactersWithSpaces>
  <Paragraphs>1905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2026-10-07T13:48:45Z</dcterms:created>
  <dc:creator/>
  <dc:description/>
  <dc:language>en-US</dc:language>
  <cp:lastModifiedBy/>
  <dcterms:modified xsi:type="dcterms:W3CDTF">2026-10-07T06:48:50Z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