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keepNext w:val="true"/>
        <w:spacing w:before="800" w:after="800"/>
        <w:jc w:val="center"/>
        <w:rPr/>
      </w:pPr>
      <w:r>
        <w:rPr/>
        <w:drawing>
          <wp:inline distT="0" distB="0" distL="0" distR="0">
            <wp:extent cx="2286000" cy="2286000"/>
            <wp:effectExtent l="0" t="0" r="0" b="0"/>
            <wp:docPr id="1" name="Picture 61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61" descr="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86000" cy="2286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keepNext w:val="true"/>
        <w:jc w:val="center"/>
        <w:rPr/>
      </w:pPr>
      <w:r>
        <w:rPr>
          <w:rFonts w:ascii="Calibri" w:hAnsi="Calibri"/>
          <w:b/>
          <w:color w:val="000000"/>
          <w:sz w:val="40"/>
        </w:rPr>
        <w:t>RTL Design Sherpa</w:t>
      </w:r>
    </w:p>
    <w:p>
      <w:pPr>
        <w:pStyle w:val="Normal"/>
        <w:keepNext w:val="true"/>
        <w:spacing w:before="400" w:after="200"/>
        <w:jc w:val="center"/>
        <w:rPr/>
      </w:pPr>
      <w:r>
        <w:rPr>
          <w:rFonts w:ascii="Calibri" w:hAnsi="Calibri"/>
          <w:b/>
          <w:color w:val="000000"/>
          <w:sz w:val="20"/>
        </w:rPr>
        <w:t>RAPIDS Beats DMA Engine Phase 1 Characterization Report</w:t>
      </w:r>
    </w:p>
    <w:p>
      <w:pPr>
        <w:pStyle w:val="Normal"/>
        <w:keepNext w:val="true"/>
        <w:spacing w:before="400" w:after="200"/>
        <w:jc w:val="center"/>
        <w:rPr/>
      </w:pPr>
      <w:r>
        <w:rPr>
          <w:rFonts w:ascii="Calibri" w:hAnsi="Calibri"/>
          <w:b/>
          <w:color w:val="000000"/>
          <w:sz w:val="20"/>
        </w:rPr>
        <w:t>July 4, 2026</w:t>
      </w:r>
    </w:p>
    <w:p>
      <w:pPr>
        <w:pStyle w:val="Normal"/>
        <w:rPr/>
      </w:pPr>
      <w:r>
        <w:rPr/>
      </w:r>
    </w:p>
    <w:sdt>
      <w:sdtPr>
        <w:docPartObj>
          <w:docPartGallery w:val="Table of Contents"/>
          <w:docPartUnique w:val="true"/>
        </w:docPartObj>
      </w:sdtPr>
      <w:sdtContent>
        <w:p>
          <w:pPr>
            <w:pStyle w:val="TOCHeading"/>
            <w:rPr/>
          </w:pPr>
          <w:r>
            <w:br w:type="page"/>
          </w:r>
          <w:r>
            <w:rPr/>
            <w:t>Table of Contents</w:t>
          </w:r>
        </w:p>
        <w:p>
          <w:pPr>
            <w:pStyle w:val="TOC1"/>
            <w:tabs>
              <w:tab w:val="clear" w:pos="9360"/>
              <w:tab w:val="right" w:pos="9359" w:leader="dot"/>
            </w:tabs>
            <w:rPr/>
          </w:pPr>
          <w:r>
            <w:fldChar w:fldCharType="begin"/>
          </w:r>
          <w:r>
            <w:rPr>
              <w:webHidden/>
              <w:rStyle w:val="IndexLink"/>
            </w:rPr>
            <w:instrText xml:space="preserve"> TOC \z \o "1-3" \u \h</w:instrText>
          </w:r>
          <w:r>
            <w:rPr>
              <w:webHidden/>
              <w:rStyle w:val="IndexLink"/>
            </w:rPr>
            <w:fldChar w:fldCharType="separate"/>
          </w:r>
          <w:hyperlink w:anchor="__RefHeading___Toc1584_3931778923">
            <w:r>
              <w:rPr>
                <w:webHidden/>
                <w:rStyle w:val="IndexLink"/>
              </w:rPr>
              <w:t>1 RAPIDS Beats DMA Engine — Phase 1 Characterization Report</w:t>
              <w:tab/>
              <w:t>7</w:t>
            </w:r>
          </w:hyperlink>
        </w:p>
        <w:p>
          <w:pPr>
            <w:pStyle w:val="TOC2"/>
            <w:tabs>
              <w:tab w:val="clear" w:pos="9077"/>
              <w:tab w:val="right" w:pos="9359" w:leader="dot"/>
            </w:tabs>
            <w:rPr/>
          </w:pPr>
          <w:hyperlink w:anchor="__RefHeading___Toc1586_3931778923">
            <w:r>
              <w:rPr>
                <w:webHidden/>
                <w:rStyle w:val="IndexLink"/>
              </w:rPr>
              <w:t>1.1 0. Resource footprint</w:t>
              <w:tab/>
              <w:t>8</w:t>
            </w:r>
          </w:hyperlink>
        </w:p>
        <w:p>
          <w:pPr>
            <w:pStyle w:val="TOC3"/>
            <w:tabs>
              <w:tab w:val="clear" w:pos="8793"/>
              <w:tab w:val="right" w:pos="9359" w:leader="dot"/>
            </w:tabs>
            <w:rPr/>
          </w:pPr>
          <w:hyperlink w:anchor="__RefHeading___Toc1588_3931778923">
            <w:r>
              <w:rPr>
                <w:webHidden/>
                <w:rStyle w:val="IndexLink"/>
              </w:rPr>
              <w:t>1.1.1 Figure 0.1: Post-route utilization — 4-channel board build</w:t>
              <w:tab/>
              <w:t>8</w:t>
            </w:r>
          </w:hyperlink>
        </w:p>
        <w:p>
          <w:pPr>
            <w:pStyle w:val="TOC3"/>
            <w:tabs>
              <w:tab w:val="clear" w:pos="8793"/>
              <w:tab w:val="right" w:pos="9359" w:leader="dot"/>
            </w:tabs>
            <w:rPr/>
          </w:pPr>
          <w:hyperlink w:anchor="__RefHeading___Toc1590_3931778923">
            <w:r>
              <w:rPr>
                <w:webHidden/>
                <w:rStyle w:val="IndexLink"/>
              </w:rPr>
              <w:t>1.1.2 0.1 The BRAM board-fit trim</w:t>
              <w:tab/>
              <w:t>9</w:t>
            </w:r>
          </w:hyperlink>
        </w:p>
        <w:p>
          <w:pPr>
            <w:pStyle w:val="TOC2"/>
            <w:tabs>
              <w:tab w:val="clear" w:pos="9077"/>
              <w:tab w:val="right" w:pos="9359" w:leader="dot"/>
            </w:tabs>
            <w:rPr/>
          </w:pPr>
          <w:hyperlink w:anchor="__RefHeading___Toc1592_3931778923">
            <w:r>
              <w:rPr>
                <w:webHidden/>
                <w:rStyle w:val="IndexLink"/>
              </w:rPr>
              <w:t>1.2 1. What we set out to do</w:t>
              <w:tab/>
              <w:t>10</w:t>
            </w:r>
          </w:hyperlink>
        </w:p>
        <w:p>
          <w:pPr>
            <w:pStyle w:val="TOC2"/>
            <w:tabs>
              <w:tab w:val="clear" w:pos="9077"/>
              <w:tab w:val="right" w:pos="9359" w:leader="dot"/>
            </w:tabs>
            <w:rPr/>
          </w:pPr>
          <w:hyperlink w:anchor="__RefHeading___Toc1594_3931778923">
            <w:r>
              <w:rPr>
                <w:webHidden/>
                <w:rStyle w:val="IndexLink"/>
              </w:rPr>
              <w:t>1.3 2. Test platform</w:t>
              <w:tab/>
              <w:t>11</w:t>
            </w:r>
          </w:hyperlink>
        </w:p>
        <w:p>
          <w:pPr>
            <w:pStyle w:val="TOC2"/>
            <w:tabs>
              <w:tab w:val="clear" w:pos="9077"/>
              <w:tab w:val="right" w:pos="9359" w:leader="dot"/>
            </w:tabs>
            <w:rPr/>
          </w:pPr>
          <w:hyperlink w:anchor="__RefHeading___Toc1596_3931778923">
            <w:r>
              <w:rPr>
                <w:webHidden/>
                <w:rStyle w:val="IndexLink"/>
              </w:rPr>
              <w:t>1.4 3. Architecture — two wholly-separate engines</w:t>
              <w:tab/>
              <w:t>12</w:t>
            </w:r>
          </w:hyperlink>
        </w:p>
        <w:p>
          <w:pPr>
            <w:pStyle w:val="TOC3"/>
            <w:tabs>
              <w:tab w:val="clear" w:pos="8793"/>
              <w:tab w:val="right" w:pos="9359" w:leader="dot"/>
            </w:tabs>
            <w:rPr/>
          </w:pPr>
          <w:hyperlink w:anchor="__RefHeading___Toc1598_3931778923">
            <w:r>
              <w:rPr>
                <w:webHidden/>
                <w:rStyle w:val="IndexLink"/>
              </w:rPr>
              <w:t>1.4.1 Figure 3.1: Split architecture</w:t>
              <w:tab/>
              <w:t>12</w:t>
            </w:r>
          </w:hyperlink>
        </w:p>
        <w:p>
          <w:pPr>
            <w:pStyle w:val="TOC3"/>
            <w:tabs>
              <w:tab w:val="clear" w:pos="8793"/>
              <w:tab w:val="right" w:pos="9359" w:leader="dot"/>
            </w:tabs>
            <w:rPr/>
          </w:pPr>
          <w:hyperlink w:anchor="__RefHeading___Toc1600_3931778923">
            <w:r>
              <w:rPr>
                <w:webHidden/>
                <w:rStyle w:val="IndexLink"/>
              </w:rPr>
              <w:t>1.4.2 Figure 3.2: The two data paths are wholly separate</w:t>
              <w:tab/>
              <w:t>13</w:t>
            </w:r>
          </w:hyperlink>
        </w:p>
        <w:p>
          <w:pPr>
            <w:pStyle w:val="TOC3"/>
            <w:tabs>
              <w:tab w:val="clear" w:pos="8793"/>
              <w:tab w:val="right" w:pos="9359" w:leader="dot"/>
            </w:tabs>
            <w:rPr/>
          </w:pPr>
          <w:hyperlink w:anchor="__RefHeading___Toc1602_3931778923">
            <w:r>
              <w:rPr>
                <w:webHidden/>
                <w:rStyle w:val="IndexLink"/>
              </w:rPr>
              <w:t>1.4.3 Figure 3.3: Monitor-bus hierarchy — 3-level merge to one egress</w:t>
              <w:tab/>
              <w:t>14</w:t>
            </w:r>
          </w:hyperlink>
        </w:p>
        <w:p>
          <w:pPr>
            <w:pStyle w:val="TOC2"/>
            <w:tabs>
              <w:tab w:val="clear" w:pos="9077"/>
              <w:tab w:val="right" w:pos="9359" w:leader="dot"/>
            </w:tabs>
            <w:rPr/>
          </w:pPr>
          <w:hyperlink w:anchor="__RefHeading___Toc1604_3931778923">
            <w:r>
              <w:rPr>
                <w:webHidden/>
                <w:rStyle w:val="IndexLink"/>
              </w:rPr>
              <w:t>1.5 4. Timing closure at 100 MHz</w:t>
              <w:tab/>
              <w:t>15</w:t>
            </w:r>
          </w:hyperlink>
        </w:p>
        <w:p>
          <w:pPr>
            <w:pStyle w:val="TOC3"/>
            <w:tabs>
              <w:tab w:val="clear" w:pos="8793"/>
              <w:tab w:val="right" w:pos="9359" w:leader="dot"/>
            </w:tabs>
            <w:rPr/>
          </w:pPr>
          <w:hyperlink w:anchor="__RefHeading___Toc1606_3931778923">
            <w:r>
              <w:rPr>
                <w:webHidden/>
                <w:rStyle w:val="IndexLink"/>
              </w:rPr>
              <w:t>1.5.1 Figure 4.1: 100 MHz setup WNS — closure trajectory</w:t>
              <w:tab/>
              <w:t>15</w:t>
            </w:r>
          </w:hyperlink>
        </w:p>
        <w:p>
          <w:pPr>
            <w:pStyle w:val="TOC3"/>
            <w:tabs>
              <w:tab w:val="clear" w:pos="8793"/>
              <w:tab w:val="right" w:pos="9359" w:leader="dot"/>
            </w:tabs>
            <w:rPr/>
          </w:pPr>
          <w:hyperlink w:anchor="__RefHeading___Toc1608_3931778923">
            <w:r>
              <w:rPr>
                <w:webHidden/>
                <w:rStyle w:val="IndexLink"/>
              </w:rPr>
              <w:t>1.5.2 Figure 4.2: The critical path — a config CSR into the monbus window math</w:t>
              <w:tab/>
              <w:t>15</w:t>
            </w:r>
          </w:hyperlink>
        </w:p>
        <w:p>
          <w:pPr>
            <w:pStyle w:val="TOC2"/>
            <w:tabs>
              <w:tab w:val="clear" w:pos="9077"/>
              <w:tab w:val="right" w:pos="9359" w:leader="dot"/>
            </w:tabs>
            <w:rPr/>
          </w:pPr>
          <w:hyperlink w:anchor="__RefHeading___Toc1610_3931778923">
            <w:r>
              <w:rPr>
                <w:webHidden/>
                <w:rStyle w:val="IndexLink"/>
              </w:rPr>
              <w:t>1.6 5. Vivado bring-up fixes (found vs. Verilator)</w:t>
              <w:tab/>
              <w:t>17</w:t>
            </w:r>
          </w:hyperlink>
        </w:p>
        <w:p>
          <w:pPr>
            <w:pStyle w:val="TOC2"/>
            <w:tabs>
              <w:tab w:val="clear" w:pos="9077"/>
              <w:tab w:val="right" w:pos="9359" w:leader="dot"/>
            </w:tabs>
            <w:rPr/>
          </w:pPr>
          <w:hyperlink w:anchor="__RefHeading___Toc1612_3931778923">
            <w:r>
              <w:rPr>
                <w:webHidden/>
                <w:rStyle w:val="IndexLink"/>
              </w:rPr>
              <w:t>1.7 6. The characterization harness</w:t>
              <w:tab/>
              <w:t>18</w:t>
            </w:r>
          </w:hyperlink>
        </w:p>
        <w:p>
          <w:pPr>
            <w:pStyle w:val="TOC3"/>
            <w:tabs>
              <w:tab w:val="clear" w:pos="8793"/>
              <w:tab w:val="right" w:pos="9359" w:leader="dot"/>
            </w:tabs>
            <w:rPr/>
          </w:pPr>
          <w:hyperlink w:anchor="__RefHeading___Toc1614_3931778923">
            <w:r>
              <w:rPr>
                <w:webHidden/>
                <w:rStyle w:val="IndexLink"/>
              </w:rPr>
              <w:t>1.7.1 Figure 6.1: rapids_char_harness block diagram</w:t>
              <w:tab/>
              <w:t>18</w:t>
            </w:r>
          </w:hyperlink>
        </w:p>
        <w:p>
          <w:pPr>
            <w:pStyle w:val="TOC2"/>
            <w:tabs>
              <w:tab w:val="clear" w:pos="9077"/>
              <w:tab w:val="right" w:pos="9359" w:leader="dot"/>
            </w:tabs>
            <w:rPr/>
          </w:pPr>
          <w:hyperlink w:anchor="__RefHeading___Toc1616_3931778923">
            <w:r>
              <w:rPr>
                <w:webHidden/>
                <w:rStyle w:val="IndexLink"/>
              </w:rPr>
              <w:t>1.8 7. CRC validation on both paths against a golden model</w:t>
              <w:tab/>
              <w:t>20</w:t>
            </w:r>
          </w:hyperlink>
        </w:p>
        <w:p>
          <w:pPr>
            <w:pStyle w:val="TOC2"/>
            <w:tabs>
              <w:tab w:val="clear" w:pos="9077"/>
              <w:tab w:val="right" w:pos="9359" w:leader="dot"/>
            </w:tabs>
            <w:rPr/>
          </w:pPr>
          <w:hyperlink w:anchor="__RefHeading___Toc1618_3931778923">
            <w:r>
              <w:rPr>
                <w:webHidden/>
                <w:rStyle w:val="IndexLink"/>
              </w:rPr>
              <w:t>1.9 8. A real harness bug, root-caused</w:t>
              <w:tab/>
              <w:t>21</w:t>
            </w:r>
          </w:hyperlink>
        </w:p>
        <w:p>
          <w:pPr>
            <w:pStyle w:val="TOC2"/>
            <w:tabs>
              <w:tab w:val="clear" w:pos="9077"/>
              <w:tab w:val="right" w:pos="9359" w:leader="dot"/>
            </w:tabs>
            <w:rPr/>
          </w:pPr>
          <w:hyperlink w:anchor="__RefHeading___Toc1620_3931778923">
            <w:r>
              <w:rPr>
                <w:webHidden/>
                <w:rStyle w:val="IndexLink"/>
              </w:rPr>
              <w:t>1.10 9. On-silicon results</w:t>
              <w:tab/>
              <w:t>22</w:t>
            </w:r>
          </w:hyperlink>
        </w:p>
        <w:p>
          <w:pPr>
            <w:pStyle w:val="TOC3"/>
            <w:tabs>
              <w:tab w:val="clear" w:pos="8793"/>
              <w:tab w:val="right" w:pos="9359" w:leader="dot"/>
            </w:tabs>
            <w:rPr/>
          </w:pPr>
          <w:hyperlink w:anchor="__RefHeading___Toc1622_3931778923">
            <w:r>
              <w:rPr>
                <w:webHidden/>
                <w:rStyle w:val="IndexLink"/>
              </w:rPr>
              <w:t>1.10.1 Figure 9.1: On-silicon suite — 48/48 configurations PASS</w:t>
              <w:tab/>
              <w:t>22</w:t>
            </w:r>
          </w:hyperlink>
        </w:p>
        <w:p>
          <w:pPr>
            <w:pStyle w:val="TOC2"/>
            <w:tabs>
              <w:tab w:val="clear" w:pos="9077"/>
              <w:tab w:val="right" w:pos="9359" w:leader="dot"/>
            </w:tabs>
            <w:rPr/>
          </w:pPr>
          <w:hyperlink w:anchor="__RefHeading___Toc1624_3931778923">
            <w:r>
              <w:rPr>
                <w:webHidden/>
                <w:rStyle w:val="IndexLink"/>
              </w:rPr>
              <w:t>1.11 10. Tooling</w:t>
              <w:tab/>
              <w:t>24</w:t>
            </w:r>
          </w:hyperlink>
        </w:p>
        <w:p>
          <w:pPr>
            <w:pStyle w:val="TOC2"/>
            <w:tabs>
              <w:tab w:val="clear" w:pos="9077"/>
              <w:tab w:val="right" w:pos="9359" w:leader="dot"/>
            </w:tabs>
            <w:rPr/>
          </w:pPr>
          <w:hyperlink w:anchor="__RefHeading___Toc1626_3931778923">
            <w:r>
              <w:rPr>
                <w:webHidden/>
                <w:rStyle w:val="IndexLink"/>
              </w:rPr>
              <w:t>1.12 11. What we learned</w:t>
              <w:tab/>
              <w:t>25</w:t>
            </w:r>
          </w:hyperlink>
          <w:r>
            <w:rPr>
              <w:rStyle w:val="IndexLink"/>
            </w:rPr>
            <w:fldChar w:fldCharType="end"/>
          </w:r>
        </w:p>
      </w:sdtContent>
    </w:sdt>
    <w:p>
      <w:pPr>
        <w:pStyle w:val="Normal"/>
        <w:rPr/>
      </w:pPr>
      <w:r>
        <w:rPr/>
      </w:r>
      <w:r>
        <w:br w:type="page"/>
      </w:r>
    </w:p>
    <w:p>
      <w:pPr>
        <w:pStyle w:val="Normal"/>
        <w:spacing w:before="0" w:after="240"/>
        <w:rPr/>
      </w:pPr>
      <w:r>
        <w:rPr>
          <w:rFonts w:ascii="Calibri Light" w:hAnsi="Calibri Light"/>
          <w:b w:val="0"/>
          <w:color w:val="2E74B5"/>
          <w:sz w:val="32"/>
        </w:rPr>
        <w:t>List of Figures</w:t>
      </w:r>
    </w:p>
    <w:p>
      <w:pPr>
        <w:pStyle w:val="Normal"/>
        <w:tabs>
          <w:tab w:val="clear" w:pos="720"/>
          <w:tab w:val="right" w:pos="9360" w:leader="dot"/>
        </w:tabs>
        <w:spacing w:before="0" w:after="0"/>
        <w:rPr/>
      </w:pPr>
      <w:hyperlink w:anchor="_Fig_1_Post_route_utilizati">
        <w:r>
          <w:rPr>
            <w:rStyle w:val="ListLabel1"/>
            <w:color w:val="000000"/>
            <w:sz w:val="24"/>
          </w:rPr>
          <w:t>Figure 0.1: Post-route utilization — 4-channel board build</w:t>
        </w:r>
        <w:r>
          <w:rPr>
            <w:rStyle w:val="ListLabel1"/>
          </w:rPr>
          <w:tab/>
        </w:r>
        <w:r>
          <w:rPr>
            <w:rStyle w:val="ListLabel1"/>
          </w:rPr>
          <w:fldChar w:fldCharType="begin"/>
        </w:r>
        <w:r>
          <w:rPr>
            <w:rStyle w:val="ListLabel1"/>
          </w:rPr>
          <w:instrText xml:space="preserve"> PAGEREF _Fig_1_Post_route_utilizati \h </w:instrText>
        </w:r>
        <w:r>
          <w:rPr>
            <w:rStyle w:val="ListLabel1"/>
          </w:rPr>
          <w:fldChar w:fldCharType="separate"/>
        </w:r>
        <w:r>
          <w:rPr>
            <w:rStyle w:val="ListLabel1"/>
          </w:rPr>
          <w:t>8</w:t>
        </w:r>
        <w:r>
          <w:rPr>
            <w:rStyle w:val="ListLabel1"/>
          </w:rPr>
          <w:fldChar w:fldCharType="end"/>
        </w:r>
      </w:hyperlink>
    </w:p>
    <w:p>
      <w:pPr>
        <w:pStyle w:val="Normal"/>
        <w:tabs>
          <w:tab w:val="clear" w:pos="720"/>
          <w:tab w:val="right" w:pos="9360" w:leader="dot"/>
        </w:tabs>
        <w:spacing w:before="0" w:after="0"/>
        <w:rPr/>
      </w:pPr>
      <w:hyperlink w:anchor="_Fig_2_Split_architecture">
        <w:r>
          <w:rPr>
            <w:rStyle w:val="ListLabel1"/>
            <w:color w:val="000000"/>
            <w:sz w:val="24"/>
          </w:rPr>
          <w:t>Figure 3.1: Split architecture</w:t>
        </w:r>
        <w:r>
          <w:rPr>
            <w:rStyle w:val="ListLabel1"/>
          </w:rPr>
          <w:tab/>
        </w:r>
        <w:r>
          <w:rPr>
            <w:rStyle w:val="ListLabel1"/>
          </w:rPr>
          <w:fldChar w:fldCharType="begin"/>
        </w:r>
        <w:r>
          <w:rPr>
            <w:rStyle w:val="ListLabel1"/>
          </w:rPr>
          <w:instrText xml:space="preserve"> PAGEREF _Fig_2_Split_architecture \h </w:instrText>
        </w:r>
        <w:r>
          <w:rPr>
            <w:rStyle w:val="ListLabel1"/>
          </w:rPr>
          <w:fldChar w:fldCharType="separate"/>
        </w:r>
        <w:r>
          <w:rPr>
            <w:rStyle w:val="ListLabel1"/>
          </w:rPr>
          <w:t>12</w:t>
        </w:r>
        <w:r>
          <w:rPr>
            <w:rStyle w:val="ListLabel1"/>
          </w:rPr>
          <w:fldChar w:fldCharType="end"/>
        </w:r>
      </w:hyperlink>
    </w:p>
    <w:p>
      <w:pPr>
        <w:pStyle w:val="Normal"/>
        <w:tabs>
          <w:tab w:val="clear" w:pos="720"/>
          <w:tab w:val="right" w:pos="9360" w:leader="dot"/>
        </w:tabs>
        <w:spacing w:before="0" w:after="0"/>
        <w:rPr/>
      </w:pPr>
      <w:hyperlink w:anchor="_Fig_3_The_two_data_paths_a">
        <w:r>
          <w:rPr>
            <w:rStyle w:val="ListLabel1"/>
            <w:color w:val="000000"/>
            <w:sz w:val="24"/>
          </w:rPr>
          <w:t>Figure 3.2: The two data paths are wholly separate</w:t>
        </w:r>
        <w:r>
          <w:rPr>
            <w:rStyle w:val="ListLabel1"/>
          </w:rPr>
          <w:tab/>
        </w:r>
        <w:r>
          <w:rPr>
            <w:rStyle w:val="ListLabel1"/>
          </w:rPr>
          <w:fldChar w:fldCharType="begin"/>
        </w:r>
        <w:r>
          <w:rPr>
            <w:rStyle w:val="ListLabel1"/>
          </w:rPr>
          <w:instrText xml:space="preserve"> PAGEREF _Fig_3_The_two_data_paths_a \h </w:instrText>
        </w:r>
        <w:r>
          <w:rPr>
            <w:rStyle w:val="ListLabel1"/>
          </w:rPr>
          <w:fldChar w:fldCharType="separate"/>
        </w:r>
        <w:r>
          <w:rPr>
            <w:rStyle w:val="ListLabel1"/>
          </w:rPr>
          <w:t>13</w:t>
        </w:r>
        <w:r>
          <w:rPr>
            <w:rStyle w:val="ListLabel1"/>
          </w:rPr>
          <w:fldChar w:fldCharType="end"/>
        </w:r>
      </w:hyperlink>
    </w:p>
    <w:p>
      <w:pPr>
        <w:pStyle w:val="Normal"/>
        <w:tabs>
          <w:tab w:val="clear" w:pos="720"/>
          <w:tab w:val="right" w:pos="9360" w:leader="dot"/>
        </w:tabs>
        <w:spacing w:before="0" w:after="0"/>
        <w:rPr/>
      </w:pPr>
      <w:hyperlink w:anchor="_Fig_4_Monitor_bus_hierarch">
        <w:r>
          <w:rPr>
            <w:rStyle w:val="ListLabel1"/>
            <w:color w:val="000000"/>
            <w:sz w:val="24"/>
          </w:rPr>
          <w:t>Figure 3.3: Monitor-bus hierarchy — 3-level merge to one egress</w:t>
        </w:r>
        <w:r>
          <w:rPr>
            <w:rStyle w:val="ListLabel1"/>
          </w:rPr>
          <w:tab/>
        </w:r>
        <w:r>
          <w:rPr>
            <w:rStyle w:val="ListLabel1"/>
          </w:rPr>
          <w:fldChar w:fldCharType="begin"/>
        </w:r>
        <w:r>
          <w:rPr>
            <w:rStyle w:val="ListLabel1"/>
          </w:rPr>
          <w:instrText xml:space="preserve"> PAGEREF _Fig_4_Monitor_bus_hierarch \h </w:instrText>
        </w:r>
        <w:r>
          <w:rPr>
            <w:rStyle w:val="ListLabel1"/>
          </w:rPr>
          <w:fldChar w:fldCharType="separate"/>
        </w:r>
        <w:r>
          <w:rPr>
            <w:rStyle w:val="ListLabel1"/>
          </w:rPr>
          <w:t>14</w:t>
        </w:r>
        <w:r>
          <w:rPr>
            <w:rStyle w:val="ListLabel1"/>
          </w:rPr>
          <w:fldChar w:fldCharType="end"/>
        </w:r>
      </w:hyperlink>
    </w:p>
    <w:p>
      <w:pPr>
        <w:pStyle w:val="Normal"/>
        <w:tabs>
          <w:tab w:val="clear" w:pos="720"/>
          <w:tab w:val="right" w:pos="9360" w:leader="dot"/>
        </w:tabs>
        <w:spacing w:before="0" w:after="0"/>
        <w:rPr/>
      </w:pPr>
      <w:hyperlink w:anchor="_Fig_5_100_MHz_setup_WNS___">
        <w:r>
          <w:rPr>
            <w:rStyle w:val="ListLabel1"/>
            <w:color w:val="000000"/>
            <w:sz w:val="24"/>
          </w:rPr>
          <w:t>Figure 4.1: 100 MHz setup WNS — closure trajectory</w:t>
        </w:r>
        <w:r>
          <w:rPr>
            <w:rStyle w:val="ListLabel1"/>
          </w:rPr>
          <w:tab/>
        </w:r>
        <w:r>
          <w:rPr>
            <w:rStyle w:val="ListLabel1"/>
          </w:rPr>
          <w:fldChar w:fldCharType="begin"/>
        </w:r>
        <w:r>
          <w:rPr>
            <w:rStyle w:val="ListLabel1"/>
          </w:rPr>
          <w:instrText xml:space="preserve"> PAGEREF _Fig_5_100_MHz_setup_WNS___ \h </w:instrText>
        </w:r>
        <w:r>
          <w:rPr>
            <w:rStyle w:val="ListLabel1"/>
          </w:rPr>
          <w:fldChar w:fldCharType="separate"/>
        </w:r>
        <w:r>
          <w:rPr>
            <w:rStyle w:val="ListLabel1"/>
          </w:rPr>
          <w:t>15</w:t>
        </w:r>
        <w:r>
          <w:rPr>
            <w:rStyle w:val="ListLabel1"/>
          </w:rPr>
          <w:fldChar w:fldCharType="end"/>
        </w:r>
      </w:hyperlink>
    </w:p>
    <w:p>
      <w:pPr>
        <w:pStyle w:val="Normal"/>
        <w:tabs>
          <w:tab w:val="clear" w:pos="720"/>
          <w:tab w:val="right" w:pos="9360" w:leader="dot"/>
        </w:tabs>
        <w:spacing w:before="0" w:after="0"/>
        <w:rPr/>
      </w:pPr>
      <w:hyperlink w:anchor="_Fig_6_The_critical_path___">
        <w:r>
          <w:rPr>
            <w:rStyle w:val="ListLabel1"/>
            <w:color w:val="000000"/>
            <w:sz w:val="24"/>
          </w:rPr>
          <w:t>Figure 4.2: The critical path — a config CSR into the monbus window math</w:t>
        </w:r>
        <w:r>
          <w:rPr>
            <w:rStyle w:val="ListLabel1"/>
          </w:rPr>
          <w:tab/>
        </w:r>
        <w:r>
          <w:rPr>
            <w:rStyle w:val="ListLabel1"/>
          </w:rPr>
          <w:fldChar w:fldCharType="begin"/>
        </w:r>
        <w:r>
          <w:rPr>
            <w:rStyle w:val="ListLabel1"/>
          </w:rPr>
          <w:instrText xml:space="preserve"> PAGEREF _Fig_6_The_critical_path___ \h </w:instrText>
        </w:r>
        <w:r>
          <w:rPr>
            <w:rStyle w:val="ListLabel1"/>
          </w:rPr>
          <w:fldChar w:fldCharType="separate"/>
        </w:r>
        <w:r>
          <w:rPr>
            <w:rStyle w:val="ListLabel1"/>
          </w:rPr>
          <w:t>15</w:t>
        </w:r>
        <w:r>
          <w:rPr>
            <w:rStyle w:val="ListLabel1"/>
          </w:rPr>
          <w:fldChar w:fldCharType="end"/>
        </w:r>
      </w:hyperlink>
    </w:p>
    <w:p>
      <w:pPr>
        <w:pStyle w:val="Normal"/>
        <w:tabs>
          <w:tab w:val="clear" w:pos="720"/>
          <w:tab w:val="right" w:pos="9360" w:leader="dot"/>
        </w:tabs>
        <w:spacing w:before="0" w:after="0"/>
        <w:rPr/>
      </w:pPr>
      <w:hyperlink w:anchor="_Fig_7_rapids_char_harness_">
        <w:r>
          <w:rPr>
            <w:rStyle w:val="ListLabel1"/>
            <w:color w:val="000000"/>
            <w:sz w:val="24"/>
          </w:rPr>
          <w:t>Figure 6.1: rapids_char_harness block diagram</w:t>
        </w:r>
        <w:r>
          <w:rPr>
            <w:rStyle w:val="ListLabel1"/>
          </w:rPr>
          <w:tab/>
        </w:r>
        <w:r>
          <w:rPr>
            <w:rStyle w:val="ListLabel1"/>
          </w:rPr>
          <w:fldChar w:fldCharType="begin"/>
        </w:r>
        <w:r>
          <w:rPr>
            <w:rStyle w:val="ListLabel1"/>
          </w:rPr>
          <w:instrText xml:space="preserve"> PAGEREF _Fig_7_rapids_char_harness_ \h </w:instrText>
        </w:r>
        <w:r>
          <w:rPr>
            <w:rStyle w:val="ListLabel1"/>
          </w:rPr>
          <w:fldChar w:fldCharType="separate"/>
        </w:r>
        <w:r>
          <w:rPr>
            <w:rStyle w:val="ListLabel1"/>
          </w:rPr>
          <w:t>18</w:t>
        </w:r>
        <w:r>
          <w:rPr>
            <w:rStyle w:val="ListLabel1"/>
          </w:rPr>
          <w:fldChar w:fldCharType="end"/>
        </w:r>
      </w:hyperlink>
    </w:p>
    <w:p>
      <w:pPr>
        <w:pStyle w:val="Normal"/>
        <w:tabs>
          <w:tab w:val="clear" w:pos="720"/>
          <w:tab w:val="right" w:pos="9360" w:leader="dot"/>
        </w:tabs>
        <w:spacing w:before="0" w:after="0"/>
        <w:rPr/>
      </w:pPr>
      <w:hyperlink w:anchor="_Fig_8_On_silicon_suite___4">
        <w:r>
          <w:rPr>
            <w:rStyle w:val="ListLabel1"/>
            <w:color w:val="000000"/>
            <w:sz w:val="24"/>
          </w:rPr>
          <w:t>Figure 9.1: On-silicon suite — 48/48 configurations PASS</w:t>
        </w:r>
        <w:r>
          <w:rPr>
            <w:rStyle w:val="ListLabel1"/>
          </w:rPr>
          <w:tab/>
        </w:r>
        <w:r>
          <w:rPr>
            <w:rStyle w:val="ListLabel1"/>
          </w:rPr>
          <w:fldChar w:fldCharType="begin"/>
        </w:r>
        <w:r>
          <w:rPr>
            <w:rStyle w:val="ListLabel1"/>
          </w:rPr>
          <w:instrText xml:space="preserve"> PAGEREF _Fig_8_On_silicon_suite___4 \h </w:instrText>
        </w:r>
        <w:r>
          <w:rPr>
            <w:rStyle w:val="ListLabel1"/>
          </w:rPr>
          <w:fldChar w:fldCharType="separate"/>
        </w:r>
        <w:r>
          <w:rPr>
            <w:rStyle w:val="ListLabel1"/>
          </w:rPr>
          <w:t>22</w:t>
        </w:r>
        <w:r>
          <w:rPr>
            <w:rStyle w:val="ListLabel1"/>
          </w:rPr>
          <w:fldChar w:fldCharType="end"/>
        </w:r>
      </w:hyperlink>
    </w:p>
    <w:p>
      <w:pPr>
        <w:pStyle w:val="Normal"/>
        <w:rPr/>
      </w:pPr>
      <w:r>
        <w:rPr/>
      </w:r>
      <w:r>
        <w:br w:type="page"/>
      </w:r>
    </w:p>
    <w:p>
      <w:pPr>
        <w:pStyle w:val="Normal"/>
        <w:spacing w:before="0" w:after="240"/>
        <w:rPr/>
      </w:pPr>
      <w:r>
        <w:rPr>
          <w:rFonts w:ascii="Calibri Light" w:hAnsi="Calibri Light"/>
          <w:b w:val="0"/>
          <w:color w:val="2E74B5"/>
          <w:sz w:val="32"/>
        </w:rPr>
        <w:t>List of Tables</w:t>
      </w:r>
    </w:p>
    <w:p>
      <w:pPr>
        <w:pStyle w:val="Normal"/>
        <w:rPr/>
      </w:pPr>
      <w:r>
        <w:rPr>
          <w:i/>
          <w:sz w:val="20"/>
        </w:rPr>
        <w:t>No tables in this document.</w:t>
      </w:r>
    </w:p>
    <w:p>
      <w:pPr>
        <w:pStyle w:val="Normal"/>
        <w:rPr/>
      </w:pPr>
      <w:r>
        <w:rPr/>
      </w:r>
      <w:r>
        <w:br w:type="page"/>
      </w:r>
    </w:p>
    <w:p>
      <w:pPr>
        <w:pStyle w:val="FirstParagraph"/>
        <w:spacing w:before="0" w:after="180"/>
        <w:rPr/>
      </w:pPr>
      <w:r>
        <w:rPr>
          <w:sz w:val="20"/>
        </w:rPr>
        <w:t xml:space="preserve">  </w:t>
      </w:r>
    </w:p>
    <w:p>
      <w:pPr>
        <w:pStyle w:val="BodyText"/>
        <w:rPr/>
      </w:pPr>
      <w:r>
        <w:rPr>
          <w:sz w:val="20"/>
        </w:rPr>
        <w:t xml:space="preserve">RTL Design Sherpa · Learning Hardware Design Through Practice  GitHub · Documentation Index · MIT License </w:t>
      </w:r>
    </w:p>
    <w:p>
      <w:pPr>
        <w:pStyle w:val="Normal"/>
        <w:rPr/>
      </w:pPr>
      <w:r>
        <w:rPr/>
        <mc:AlternateContent>
          <mc:Choice Requires="wps">
            <w:drawing>
              <wp:inline distT="0" distB="0" distL="0" distR="0">
                <wp:extent cx="5943600" cy="19050"/>
                <wp:effectExtent l="0" t="0" r="0" b="0"/>
                <wp:docPr id="2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3" name=""/>
                        <wps:cNvSpPr/>
                      </wps:nvSpPr>
                      <wps:spPr>
                        <a:xfrm>
                          <a:off x="0" y="0"/>
                          <a:ext cx="5943600" cy="19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white" stroked="t" o:allowincell="f" style="position:absolute;margin-left:0pt;margin-top:-1.55pt;width:467.95pt;height:1.45pt;mso-wrap-style:none;v-text-anchor:middle;mso-position-horizontal:center;mso-position-vertical:top">
                <v:fill o:detectmouseclick="t" type="solid" color2="black"/>
                <v:stroke color="black" joinstyle="round" endcap="flat"/>
                <w10:wrap type="topAndBottom"/>
              </v:rect>
            </w:pict>
          </mc:Fallback>
        </mc:AlternateContent>
      </w:r>
    </w:p>
    <w:p>
      <w:pPr>
        <w:pStyle w:val="FirstParagraph"/>
        <w:rPr/>
      </w:pPr>
      <w:r>
        <w:rPr>
          <w:sz w:val="20"/>
        </w:rPr>
        <w:t xml:space="preserve">  </w:t>
      </w:r>
    </w:p>
    <w:p>
      <w:pPr>
        <w:pStyle w:val="BodyText"/>
        <w:rPr/>
      </w:pPr>
      <w:r>
        <w:rPr>
          <w:sz w:val="20"/>
        </w:rPr>
        <w:t xml:space="preserve">RTL Design Sherpa · Learning Hardware Design Through Practice  GitHub · Documentation Index · MIT License </w:t>
      </w:r>
    </w:p>
    <w:p>
      <w:pPr>
        <w:pStyle w:val="Normal"/>
        <w:rPr/>
      </w:pPr>
      <w:r>
        <w:rPr/>
        <mc:AlternateContent>
          <mc:Choice Requires="wps">
            <w:drawing>
              <wp:inline distT="0" distB="0" distL="0" distR="0">
                <wp:extent cx="5943600" cy="19050"/>
                <wp:effectExtent l="0" t="0" r="0" b="0"/>
                <wp:docPr id="4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5" name=""/>
                        <wps:cNvSpPr/>
                      </wps:nvSpPr>
                      <wps:spPr>
                        <a:xfrm>
                          <a:off x="0" y="0"/>
                          <a:ext cx="5943600" cy="19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white" stroked="t" o:allowincell="f" style="position:absolute;margin-left:0pt;margin-top:-1.55pt;width:467.95pt;height:1.45pt;mso-wrap-style:none;v-text-anchor:middle;mso-position-horizontal:center;mso-position-vertical:top">
                <v:fill o:detectmouseclick="t" type="solid" color2="black"/>
                <v:stroke color="black" joinstyle="round" endcap="flat"/>
                <w10:wrap type="topAndBottom"/>
              </v:rect>
            </w:pict>
          </mc:Fallback>
        </mc:AlternateContent>
      </w:r>
      <w:r>
        <w:br w:type="page"/>
      </w:r>
    </w:p>
    <w:p>
      <w:pPr>
        <w:pStyle w:val="Heading1"/>
        <w:shd w:val="clear" w:color="auto" w:fill="404040"/>
        <w:spacing w:before="360" w:after="120"/>
        <w:rPr/>
      </w:pPr>
      <w:bookmarkStart w:id="0" w:name="__RefHeading___Toc1584_3931778923"/>
      <w:bookmarkStart w:id="1" w:name="Xa48e1aa53b880a803be137d7770de810495c2a1"/>
      <w:bookmarkEnd w:id="0"/>
      <w:r>
        <w:rPr>
          <w:rStyle w:val="SectionNumber"/>
          <w:b/>
          <w:color w:val="FFFFFF"/>
          <w:sz w:val="32"/>
        </w:rPr>
        <w:t>1</w:t>
      </w:r>
      <w:r>
        <w:rPr>
          <w:b/>
          <w:color w:val="FFFFFF"/>
          <w:sz w:val="32"/>
        </w:rPr>
        <w:tab/>
        <w:t>RAPIDS Beats DMA Engine — Phase 1 Characterization Report</w:t>
      </w:r>
    </w:p>
    <w:p>
      <w:pPr>
        <w:pStyle w:val="FirstParagraph"/>
        <w:rPr/>
      </w:pPr>
      <w:r>
        <w:rPr>
          <w:b/>
          <w:bCs/>
          <w:sz w:val="20"/>
        </w:rPr>
        <w:t>Component:</w:t>
      </w:r>
      <w:r>
        <w:rPr>
          <w:sz w:val="20"/>
        </w:rPr>
        <w:t xml:space="preserve"> RAPIDS beats DMA (</w:t>
      </w:r>
      <w:r>
        <w:rPr>
          <w:rStyle w:val="VerbatimChar"/>
          <w:sz w:val="20"/>
        </w:rPr>
        <w:t>rapids_beats_top</w:t>
      </w:r>
      <w:r>
        <w:rPr>
          <w:sz w:val="20"/>
        </w:rPr>
        <w:t xml:space="preserve">) </w:t>
      </w:r>
      <w:r>
        <w:rPr>
          <w:b/>
          <w:bCs/>
          <w:sz w:val="20"/>
        </w:rPr>
        <w:t>Platform:</w:t>
      </w:r>
      <w:r>
        <w:rPr>
          <w:sz w:val="20"/>
        </w:rPr>
        <w:t xml:space="preserve"> Digilent Nexys A7-100T (Xilinx Artix-7 100T, 100 MHz, </w:t>
      </w:r>
      <w:r>
        <w:rPr>
          <w:b/>
          <w:bCs/>
          <w:sz w:val="20"/>
        </w:rPr>
        <w:t>4-channel build</w:t>
      </w:r>
      <w:r>
        <w:rPr>
          <w:sz w:val="20"/>
        </w:rPr>
        <w:t xml:space="preserve">, -1 speed grade) </w:t>
      </w:r>
      <w:r>
        <w:rPr>
          <w:b/>
          <w:bCs/>
          <w:sz w:val="20"/>
        </w:rPr>
        <w:t>Status:</w:t>
      </w:r>
      <w:r>
        <w:rPr>
          <w:sz w:val="20"/>
        </w:rPr>
        <w:t xml:space="preserve"> Phase 1 complete — the engine was split into two wholly-separate data paths, characterized on real silicon, timing-closed at 100 MHz, and both paths CRC-validated against a deterministic golden model across a full config sweep.</w:t>
      </w:r>
    </w:p>
    <w:p>
      <w:pPr>
        <w:pStyle w:val="BodyText"/>
        <w:rPr/>
      </w:pPr>
      <w:r>
        <w:rPr>
          <w:b/>
          <w:bCs/>
          <w:sz w:val="20"/>
        </w:rPr>
        <w:t>Headline:</w:t>
      </w:r>
      <w:r>
        <w:rPr>
          <w:sz w:val="20"/>
        </w:rPr>
        <w:t xml:space="preserve"> the RAPIDS beats DMA was refactored into two wholly-separate engines — a write-only sink and a read-only source — driven by a directional scheduler. It was characterized on a Nexys A7-100T, closed timing at 100 MHz with </w:t>
      </w:r>
      <w:r>
        <w:rPr>
          <w:b/>
          <w:bCs/>
          <w:sz w:val="20"/>
        </w:rPr>
        <w:t>+0.007 ns of setup slack and zero failing endpoints</w:t>
      </w:r>
      <w:r>
        <w:rPr>
          <w:sz w:val="20"/>
        </w:rPr>
        <w:t xml:space="preserve">, and both data paths were CRC-validated on silicon across a </w:t>
      </w:r>
      <w:r>
        <w:rPr>
          <w:b/>
          <w:bCs/>
          <w:sz w:val="20"/>
        </w:rPr>
        <w:t>48/48-PASS</w:t>
      </w:r>
      <w:r>
        <w:rPr>
          <w:sz w:val="20"/>
        </w:rPr>
        <w:t xml:space="preserve"> sweep of channels, beat counts, backpressure, and seeds.</w:t>
      </w:r>
    </w:p>
    <w:p>
      <w:pPr>
        <w:pStyle w:val="Normal"/>
        <w:rPr/>
      </w:pPr>
      <w:r>
        <w:rPr/>
        <mc:AlternateContent>
          <mc:Choice Requires="wps">
            <w:drawing>
              <wp:inline distT="0" distB="0" distL="0" distR="0">
                <wp:extent cx="5943600" cy="19050"/>
                <wp:effectExtent l="0" t="0" r="0" b="0"/>
                <wp:docPr id="6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7" name=""/>
                        <wps:cNvSpPr/>
                      </wps:nvSpPr>
                      <wps:spPr>
                        <a:xfrm>
                          <a:off x="0" y="0"/>
                          <a:ext cx="5943600" cy="19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white" stroked="t" o:allowincell="f" style="position:absolute;margin-left:0pt;margin-top:-1.55pt;width:467.95pt;height:1.45pt;mso-wrap-style:none;v-text-anchor:middle;mso-position-horizontal:center;mso-position-vertical:top">
                <v:fill o:detectmouseclick="t" type="solid" color2="black"/>
                <v:stroke color="black" joinstyle="round" endcap="flat"/>
                <w10:wrap type="topAndBottom"/>
              </v:rect>
            </w:pict>
          </mc:Fallback>
        </mc:AlternateContent>
      </w:r>
      <w:r>
        <w:br w:type="page"/>
      </w:r>
    </w:p>
    <w:p>
      <w:pPr>
        <w:pStyle w:val="Heading2"/>
        <w:pBdr>
          <w:bottom w:val="single" w:sz="12" w:space="0" w:color="228B22"/>
        </w:pBdr>
        <w:spacing w:before="280" w:after="80"/>
        <w:rPr/>
      </w:pPr>
      <w:bookmarkStart w:id="2" w:name="__RefHeading___Toc1586_3931778923"/>
      <w:bookmarkStart w:id="3" w:name="resource-footprint"/>
      <w:bookmarkEnd w:id="2"/>
      <w:r>
        <w:rPr>
          <w:rStyle w:val="SectionNumber"/>
          <w:b/>
          <w:color w:val="228B22"/>
          <w:sz w:val="28"/>
        </w:rPr>
        <w:t>1.1</w:t>
      </w:r>
      <w:r>
        <w:rPr>
          <w:b/>
          <w:color w:val="228B22"/>
          <w:sz w:val="28"/>
        </w:rPr>
        <w:tab/>
        <w:t>0. Resource footprint</w:t>
      </w:r>
    </w:p>
    <w:p>
      <w:pPr>
        <w:pStyle w:val="FirstParagraph"/>
        <w:rPr/>
      </w:pPr>
      <w:r>
        <w:rPr>
          <w:sz w:val="20"/>
        </w:rPr>
        <w:t xml:space="preserve">Before any dynamic behavior, the static cost. The numbers below are post-route on </w:t>
      </w:r>
      <w:r>
        <w:rPr>
          <w:rStyle w:val="VerbatimChar"/>
          <w:sz w:val="20"/>
        </w:rPr>
        <w:t>xc7a100tcsg324-1</w:t>
      </w:r>
      <w:r>
        <w:rPr>
          <w:sz w:val="20"/>
        </w:rPr>
        <w:t xml:space="preserve">, </w:t>
      </w:r>
      <w:r>
        <w:rPr>
          <w:b/>
          <w:bCs/>
          <w:sz w:val="20"/>
        </w:rPr>
        <w:t>NUM_CHANNELS = 4</w:t>
      </w:r>
      <w:r>
        <w:rPr>
          <w:sz w:val="20"/>
        </w:rPr>
        <w:t xml:space="preserve">, </w:t>
      </w:r>
      <w:r>
        <w:rPr>
          <w:rStyle w:val="VerbatimChar"/>
          <w:sz w:val="20"/>
        </w:rPr>
        <w:t>SRAM_DEPTH = 256</w:t>
      </w:r>
      <w:r>
        <w:rPr>
          <w:sz w:val="20"/>
        </w:rPr>
        <w:t xml:space="preserve">, </w:t>
      </w:r>
      <w:r>
        <w:rPr>
          <w:rStyle w:val="VerbatimChar"/>
          <w:sz w:val="20"/>
        </w:rPr>
        <w:t>DESC_RAM_ENTRIES = 256</w:t>
      </w:r>
      <w:r>
        <w:rPr>
          <w:sz w:val="20"/>
        </w:rPr>
        <w:t>, all monitors enabled, harness included.</w:t>
      </w:r>
    </w:p>
    <w:tbl>
      <w:tblPr>
        <w:tblStyle w:val="Table"/>
        <w:tblW w:w="7920" w:type="dxa"/>
        <w:jc w:val="left"/>
        <w:tblInd w:w="108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20" w:noHBand="0" w:noVBand="0" w:firstColumn="0" w:lastRow="0" w:lastColumn="0" w:firstRow="1"/>
      </w:tblPr>
      <w:tblGrid>
        <w:gridCol w:w="1980"/>
        <w:gridCol w:w="1980"/>
        <w:gridCol w:w="1980"/>
        <w:gridCol w:w="1979"/>
      </w:tblGrid>
      <w:tr>
        <w:trPr>
          <w:tblHeader w:val="true"/>
        </w:trPr>
        <w:tc>
          <w:tcPr>
            <w:tcW w:w="1980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Resource</w:t>
            </w:r>
          </w:p>
        </w:tc>
        <w:tc>
          <w:tcPr>
            <w:tcW w:w="1980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Used</w:t>
            </w:r>
          </w:p>
        </w:tc>
        <w:tc>
          <w:tcPr>
            <w:tcW w:w="1980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Available</w:t>
            </w:r>
          </w:p>
        </w:tc>
        <w:tc>
          <w:tcPr>
            <w:tcW w:w="1979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Utilization</w:t>
            </w:r>
          </w:p>
        </w:tc>
      </w:tr>
      <w:tr>
        <w:trPr/>
        <w:tc>
          <w:tcPr>
            <w:tcW w:w="198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Slice LUTs</w:t>
            </w:r>
          </w:p>
        </w:tc>
        <w:tc>
          <w:tcPr>
            <w:tcW w:w="1980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37,555</w:t>
            </w:r>
          </w:p>
        </w:tc>
        <w:tc>
          <w:tcPr>
            <w:tcW w:w="1980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63,400</w:t>
            </w:r>
          </w:p>
        </w:tc>
        <w:tc>
          <w:tcPr>
            <w:tcW w:w="1979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bCs/>
                <w:kern w:val="0"/>
                <w:sz w:val="24"/>
                <w:szCs w:val="24"/>
                <w:lang w:val="en-US" w:eastAsia="en-US" w:bidi="ar-SA"/>
              </w:rPr>
              <w:t>59.2 %</w:t>
            </w:r>
          </w:p>
        </w:tc>
      </w:tr>
      <w:tr>
        <w:trPr/>
        <w:tc>
          <w:tcPr>
            <w:tcW w:w="198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Slice Registers (FF)</w:t>
            </w:r>
          </w:p>
        </w:tc>
        <w:tc>
          <w:tcPr>
            <w:tcW w:w="1980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28,683</w:t>
            </w:r>
          </w:p>
        </w:tc>
        <w:tc>
          <w:tcPr>
            <w:tcW w:w="1980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126,800</w:t>
            </w:r>
          </w:p>
        </w:tc>
        <w:tc>
          <w:tcPr>
            <w:tcW w:w="1979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bCs/>
                <w:kern w:val="0"/>
                <w:sz w:val="24"/>
                <w:szCs w:val="24"/>
                <w:lang w:val="en-US" w:eastAsia="en-US" w:bidi="ar-SA"/>
              </w:rPr>
              <w:t>22.6 %</w:t>
            </w:r>
          </w:p>
        </w:tc>
      </w:tr>
      <w:tr>
        <w:trPr/>
        <w:tc>
          <w:tcPr>
            <w:tcW w:w="198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Block RAM tiles</w:t>
            </w:r>
          </w:p>
        </w:tc>
        <w:tc>
          <w:tcPr>
            <w:tcW w:w="1980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22</w:t>
            </w:r>
          </w:p>
        </w:tc>
        <w:tc>
          <w:tcPr>
            <w:tcW w:w="1980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135</w:t>
            </w:r>
          </w:p>
        </w:tc>
        <w:tc>
          <w:tcPr>
            <w:tcW w:w="1979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bCs/>
                <w:kern w:val="0"/>
                <w:sz w:val="24"/>
                <w:szCs w:val="24"/>
                <w:lang w:val="en-US" w:eastAsia="en-US" w:bidi="ar-SA"/>
              </w:rPr>
              <w:t>16.3 %</w:t>
            </w:r>
          </w:p>
        </w:tc>
      </w:tr>
      <w:tr>
        <w:trPr/>
        <w:tc>
          <w:tcPr>
            <w:tcW w:w="198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DSP</w:t>
            </w:r>
          </w:p>
        </w:tc>
        <w:tc>
          <w:tcPr>
            <w:tcW w:w="1980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0</w:t>
            </w:r>
          </w:p>
        </w:tc>
        <w:tc>
          <w:tcPr>
            <w:tcW w:w="1980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240</w:t>
            </w:r>
          </w:p>
        </w:tc>
        <w:tc>
          <w:tcPr>
            <w:tcW w:w="1979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bCs/>
                <w:kern w:val="0"/>
                <w:sz w:val="24"/>
                <w:szCs w:val="24"/>
                <w:lang w:val="en-US" w:eastAsia="en-US" w:bidi="ar-SA"/>
              </w:rPr>
              <w:t>0 %</w:t>
            </w:r>
          </w:p>
        </w:tc>
      </w:tr>
    </w:tbl>
    <w:p>
      <w:pPr>
        <w:pStyle w:val="Heading3"/>
        <w:spacing w:before="200" w:after="80"/>
        <w:rPr/>
      </w:pPr>
      <w:bookmarkStart w:id="4" w:name="__RefHeading___Toc1588_3931778923"/>
      <w:bookmarkStart w:id="5" w:name="_Fig_1_Post_route_utilizati"/>
      <w:bookmarkEnd w:id="4"/>
      <w:r>
        <w:rPr>
          <w:rStyle w:val="SectionNumber"/>
          <w:b/>
          <w:color w:val="404040"/>
          <w:sz w:val="24"/>
        </w:rPr>
        <w:t>1.1.1</w:t>
      </w:r>
      <w:r>
        <w:rPr>
          <w:b/>
          <w:color w:val="404040"/>
          <w:sz w:val="24"/>
        </w:rPr>
        <w:tab/>
        <w:t>Figure 0.1: Post-route utilization — 4-channel board build</w:t>
      </w:r>
      <w:bookmarkEnd w:id="5"/>
    </w:p>
    <w:p>
      <w:pPr>
        <w:pStyle w:val="CaptionedFigure"/>
        <w:rPr/>
      </w:pPr>
      <w:r>
        <w:rPr/>
        <w:drawing>
          <wp:inline distT="0" distB="0" distL="0" distR="0">
            <wp:extent cx="5334000" cy="3000375"/>
            <wp:effectExtent l="0" t="0" r="0" b="0"/>
            <wp:docPr id="8" name="Picture" descr="post-route utilizatio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" descr="post-route utilization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000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ImageCaption"/>
        <w:rPr/>
      </w:pPr>
      <w:r>
        <w:rPr/>
        <w:t>post-route utilization</w:t>
      </w:r>
    </w:p>
    <w:p>
      <w:pPr>
        <w:pStyle w:val="BodyText"/>
        <w:rPr/>
      </w:pPr>
      <w:r>
        <w:rPr>
          <w:sz w:val="20"/>
        </w:rPr>
        <w:t>LUTs are the tight resource at 59.2 %; the two SRAMs plus the two descriptor RAMs plus the harness pattern-memory account for the BRAM. There is no DSP in the design — the beats engine is pure control and datapath movement, no arithmetic reduction.</w:t>
      </w:r>
    </w:p>
    <w:p>
      <w:pPr>
        <w:pStyle w:val="Heading3"/>
        <w:spacing w:before="200" w:after="80"/>
        <w:rPr/>
      </w:pPr>
      <w:bookmarkStart w:id="6" w:name="__RefHeading___Toc1590_3931778923"/>
      <w:bookmarkStart w:id="7" w:name="the-bram-board-fit-trim"/>
      <w:bookmarkEnd w:id="6"/>
      <w:r>
        <w:rPr>
          <w:rStyle w:val="SectionNumber"/>
          <w:b/>
          <w:color w:val="404040"/>
          <w:sz w:val="24"/>
        </w:rPr>
        <w:t>1.1.2</w:t>
      </w:r>
      <w:r>
        <w:rPr>
          <w:b/>
          <w:color w:val="404040"/>
          <w:sz w:val="24"/>
        </w:rPr>
        <w:tab/>
        <w:t>0.1 The BRAM board-fit trim</w:t>
      </w:r>
    </w:p>
    <w:p>
      <w:pPr>
        <w:pStyle w:val="FirstParagraph"/>
        <w:rPr/>
      </w:pPr>
      <w:r>
        <w:rPr>
          <w:sz w:val="20"/>
        </w:rPr>
        <w:t xml:space="preserve">The harness ships with generous simulation defaults — </w:t>
      </w:r>
      <w:r>
        <w:rPr>
          <w:rStyle w:val="VerbatimChar"/>
          <w:sz w:val="20"/>
        </w:rPr>
        <w:t>SRAM_DEPTH = 4096</w:t>
      </w:r>
      <w:r>
        <w:rPr>
          <w:sz w:val="20"/>
        </w:rPr>
        <w:t xml:space="preserve"> and </w:t>
      </w:r>
      <w:r>
        <w:rPr>
          <w:rStyle w:val="VerbatimChar"/>
          <w:sz w:val="20"/>
        </w:rPr>
        <w:t>DESC_RAM_ENTRIES = 2048</w:t>
      </w:r>
      <w:r>
        <w:rPr>
          <w:sz w:val="20"/>
        </w:rPr>
        <w:t xml:space="preserve"> — chosen so the cocotb testbench never has to think about buffer pressure. On the 100T those defaults are not synthesizable as-is: the SRAMs and descriptor RAMs inflate to </w:t>
      </w:r>
      <w:r>
        <w:rPr>
          <w:b/>
          <w:bCs/>
          <w:sz w:val="20"/>
        </w:rPr>
        <w:t>148 BRAM tiles</w:t>
      </w:r>
      <w:r>
        <w:rPr>
          <w:sz w:val="20"/>
        </w:rPr>
        <w:t xml:space="preserve">, which overflows the 135-tile device. For the board build the depths were trimmed to </w:t>
      </w:r>
      <w:r>
        <w:rPr>
          <w:rStyle w:val="VerbatimChar"/>
          <w:sz w:val="20"/>
        </w:rPr>
        <w:t>256</w:t>
      </w:r>
      <w:r>
        <w:rPr>
          <w:sz w:val="20"/>
        </w:rPr>
        <w:t xml:space="preserve"> each, which drops the footprint to </w:t>
      </w:r>
      <w:r>
        <w:rPr>
          <w:b/>
          <w:bCs/>
          <w:sz w:val="20"/>
        </w:rPr>
        <w:t>22 tiles (16.3 %)</w:t>
      </w:r>
      <w:r>
        <w:rPr>
          <w:sz w:val="20"/>
        </w:rPr>
        <w:t xml:space="preserve"> with comfortable headroom. This is a build-time parameter only; the RTL is unchanged, and the sweep in Section 9 confirms the trimmed depths cover every characterized transfer size.</w:t>
      </w:r>
    </w:p>
    <w:p>
      <w:pPr>
        <w:pStyle w:val="Normal"/>
        <w:rPr/>
      </w:pPr>
      <w:bookmarkStart w:id="8" w:name="resource-footprint"/>
      <w:bookmarkStart w:id="9" w:name="the-bram-board-fit-trim"/>
      <w:r>
        <w:rPr/>
        <mc:AlternateContent>
          <mc:Choice Requires="wps">
            <w:drawing>
              <wp:inline distT="0" distB="0" distL="0" distR="0">
                <wp:extent cx="5943600" cy="19050"/>
                <wp:effectExtent l="0" t="0" r="0" b="0"/>
                <wp:docPr id="9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10" name=""/>
                        <wps:cNvSpPr/>
                      </wps:nvSpPr>
                      <wps:spPr>
                        <a:xfrm>
                          <a:off x="0" y="0"/>
                          <a:ext cx="5943600" cy="19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white" stroked="t" o:allowincell="f" style="position:absolute;margin-left:0pt;margin-top:-1.55pt;width:467.95pt;height:1.45pt;mso-wrap-style:none;v-text-anchor:middle;mso-position-horizontal:center;mso-position-vertical:top">
                <v:fill o:detectmouseclick="t" type="solid" color2="black"/>
                <v:stroke color="black" joinstyle="round" endcap="flat"/>
                <w10:wrap type="topAndBottom"/>
              </v:rect>
            </w:pict>
          </mc:Fallback>
        </mc:AlternateContent>
      </w:r>
      <w:bookmarkEnd w:id="8"/>
      <w:bookmarkEnd w:id="9"/>
      <w:r>
        <w:br w:type="page"/>
      </w:r>
    </w:p>
    <w:p>
      <w:pPr>
        <w:pStyle w:val="Heading2"/>
        <w:pBdr>
          <w:bottom w:val="single" w:sz="12" w:space="0" w:color="228B22"/>
        </w:pBdr>
        <w:spacing w:before="280" w:after="80"/>
        <w:rPr/>
      </w:pPr>
      <w:bookmarkStart w:id="10" w:name="__RefHeading___Toc1592_3931778923"/>
      <w:bookmarkStart w:id="11" w:name="what-we-set-out-to-do"/>
      <w:bookmarkEnd w:id="10"/>
      <w:r>
        <w:rPr>
          <w:rStyle w:val="SectionNumber"/>
          <w:b/>
          <w:color w:val="228B22"/>
          <w:sz w:val="28"/>
        </w:rPr>
        <w:t>1.2</w:t>
      </w:r>
      <w:r>
        <w:rPr>
          <w:b/>
          <w:color w:val="228B22"/>
          <w:sz w:val="28"/>
        </w:rPr>
        <w:tab/>
        <w:t>1. What we set out to do</w:t>
      </w:r>
    </w:p>
    <w:p>
      <w:pPr>
        <w:pStyle w:val="FirstParagraph"/>
        <w:rPr/>
      </w:pPr>
      <w:r>
        <w:rPr>
          <w:sz w:val="20"/>
        </w:rPr>
        <w:t xml:space="preserve">RAPIDS is a descriptor-driven accelerator DMA. The beats variant moves fixed “beat” quanta between an AXIS network interface and system memory. Before declaring the split-engine refactor ready, we wanted to </w:t>
      </w:r>
      <w:r>
        <w:rPr>
          <w:b/>
          <w:bCs/>
          <w:sz w:val="20"/>
        </w:rPr>
        <w:t>measure</w:t>
      </w:r>
      <w:r>
        <w:rPr>
          <w:sz w:val="20"/>
        </w:rPr>
        <w:t xml:space="preserve"> what it actually does on real silicon — not just pass simulation. Specifically:</w:t>
      </w:r>
    </w:p>
    <w:p>
      <w:pPr>
        <w:pStyle w:val="Compact"/>
        <w:numPr>
          <w:ilvl w:val="0"/>
          <w:numId w:val="10"/>
        </w:numPr>
        <w:rPr/>
      </w:pPr>
      <w:r>
        <w:rPr>
          <w:b/>
          <w:bCs/>
        </w:rPr>
        <w:t>Prove the split is clean.</w:t>
      </w:r>
      <w:r>
        <w:rPr/>
        <w:t xml:space="preserve"> The engine was refactored from a single bidirectional block into two wholly-separate engines — a write-only sink and a read-only source. Does the split hold on silicon, with no hidden coupling between the two paths?</w:t>
      </w:r>
    </w:p>
    <w:p>
      <w:pPr>
        <w:pStyle w:val="Compact"/>
        <w:numPr>
          <w:ilvl w:val="0"/>
          <w:numId w:val="1"/>
        </w:numPr>
        <w:rPr/>
      </w:pPr>
      <w:r>
        <w:rPr>
          <w:b/>
          <w:bCs/>
        </w:rPr>
        <w:t>Close timing at 100 MHz on the -1 part.</w:t>
      </w:r>
      <w:r>
        <w:rPr/>
        <w:t xml:space="preserve"> The shared monitor-bus core carries a config-CSR path that had been the chronic critical path on this family. Can we close it without pipelining the datapath?</w:t>
      </w:r>
    </w:p>
    <w:p>
      <w:pPr>
        <w:pStyle w:val="Compact"/>
        <w:numPr>
          <w:ilvl w:val="0"/>
          <w:numId w:val="1"/>
        </w:numPr>
        <w:rPr/>
      </w:pPr>
      <w:r>
        <w:rPr>
          <w:b/>
          <w:bCs/>
        </w:rPr>
        <w:t>Validate both data paths end-to-end.</w:t>
      </w:r>
      <w:r>
        <w:rPr/>
        <w:t xml:space="preserve"> Sink (network to memory) and source (memory to network) each need independent, deterministic correctness checking that survives multi-channel interleave.</w:t>
      </w:r>
    </w:p>
    <w:p>
      <w:pPr>
        <w:pStyle w:val="Compact"/>
        <w:numPr>
          <w:ilvl w:val="0"/>
          <w:numId w:val="1"/>
        </w:numPr>
        <w:rPr/>
      </w:pPr>
      <w:r>
        <w:rPr>
          <w:b/>
          <w:bCs/>
        </w:rPr>
        <w:t>Establish a reproducible on-silicon regression.</w:t>
      </w:r>
      <w:r>
        <w:rPr/>
        <w:t xml:space="preserve"> A smoke test and a full config sweep, driven over UART, with machine-readable results — the same flow shape STREAM already uses.</w:t>
      </w:r>
    </w:p>
    <w:p>
      <w:pPr>
        <w:pStyle w:val="FirstParagraph"/>
        <w:rPr/>
      </w:pPr>
      <w:r>
        <w:rPr>
          <w:sz w:val="20"/>
        </w:rPr>
        <w:t xml:space="preserve">The headline answer: the split is clean, timing closes with </w:t>
      </w:r>
      <w:r>
        <w:rPr>
          <w:rStyle w:val="VerbatimChar"/>
          <w:sz w:val="20"/>
        </w:rPr>
        <w:t>+0.007 ns</w:t>
      </w:r>
      <w:r>
        <w:rPr>
          <w:sz w:val="20"/>
        </w:rPr>
        <w:t xml:space="preserve"> of slack, and both paths CRC-match a golden model across all 48 swept configurations. The rest of this document is the work behind those results.</w:t>
      </w:r>
    </w:p>
    <w:p>
      <w:pPr>
        <w:pStyle w:val="Normal"/>
        <w:rPr/>
      </w:pPr>
      <w:bookmarkStart w:id="12" w:name="what-we-set-out-to-do"/>
      <w:r>
        <w:rPr/>
        <mc:AlternateContent>
          <mc:Choice Requires="wps">
            <w:drawing>
              <wp:inline distT="0" distB="0" distL="0" distR="0">
                <wp:extent cx="5943600" cy="19050"/>
                <wp:effectExtent l="0" t="0" r="0" b="0"/>
                <wp:docPr id="11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12" name=""/>
                        <wps:cNvSpPr/>
                      </wps:nvSpPr>
                      <wps:spPr>
                        <a:xfrm>
                          <a:off x="0" y="0"/>
                          <a:ext cx="5943600" cy="19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white" stroked="t" o:allowincell="f" style="position:absolute;margin-left:0pt;margin-top:-1.55pt;width:467.95pt;height:1.45pt;mso-wrap-style:none;v-text-anchor:middle;mso-position-horizontal:center;mso-position-vertical:top">
                <v:fill o:detectmouseclick="t" type="solid" color2="black"/>
                <v:stroke color="black" joinstyle="round" endcap="flat"/>
                <w10:wrap type="topAndBottom"/>
              </v:rect>
            </w:pict>
          </mc:Fallback>
        </mc:AlternateContent>
      </w:r>
      <w:bookmarkEnd w:id="12"/>
      <w:r>
        <w:br w:type="page"/>
      </w:r>
    </w:p>
    <w:p>
      <w:pPr>
        <w:pStyle w:val="Heading2"/>
        <w:pBdr>
          <w:bottom w:val="single" w:sz="12" w:space="0" w:color="228B22"/>
        </w:pBdr>
        <w:spacing w:before="280" w:after="80"/>
        <w:rPr/>
      </w:pPr>
      <w:bookmarkStart w:id="13" w:name="__RefHeading___Toc1594_3931778923"/>
      <w:bookmarkStart w:id="14" w:name="test-platform"/>
      <w:bookmarkEnd w:id="13"/>
      <w:r>
        <w:rPr>
          <w:rStyle w:val="SectionNumber"/>
          <w:b/>
          <w:color w:val="228B22"/>
          <w:sz w:val="28"/>
        </w:rPr>
        <w:t>1.3</w:t>
      </w:r>
      <w:r>
        <w:rPr>
          <w:b/>
          <w:color w:val="228B22"/>
          <w:sz w:val="28"/>
        </w:rPr>
        <w:tab/>
        <w:t>2. Test platform</w:t>
      </w:r>
    </w:p>
    <w:tbl>
      <w:tblPr>
        <w:tblStyle w:val="Table"/>
        <w:tblW w:w="5000" w:type="pct"/>
        <w:jc w:val="left"/>
        <w:tblInd w:w="108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00" w:noHBand="0" w:noVBand="0" w:firstColumn="0" w:lastRow="0" w:lastColumn="0" w:firstRow="0"/>
      </w:tblPr>
      <w:tblGrid>
        <w:gridCol w:w="4679"/>
        <w:gridCol w:w="4680"/>
      </w:tblGrid>
      <w:tr>
        <w:trPr/>
        <w:tc>
          <w:tcPr>
            <w:tcW w:w="4679" w:type="dxa"/>
            <w:tcBorders/>
            <w:shd w:color="auto" w:fill="E0E0E0" w:val="clear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FPGA</w:t>
            </w:r>
          </w:p>
        </w:tc>
        <w:tc>
          <w:tcPr>
            <w:tcW w:w="4680" w:type="dxa"/>
            <w:tcBorders/>
            <w:shd w:color="auto" w:fill="E0E0E0" w:val="clear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Xilinx Artix-7 100T (</w:t>
            </w:r>
            <w:r>
              <w:rPr>
                <w:rStyle w:val="VerbatimChar"/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xc7a100tcsg324-1</w:t>
            </w: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, -1 speed grade)</w:t>
            </w:r>
          </w:p>
        </w:tc>
      </w:tr>
      <w:tr>
        <w:trPr/>
        <w:tc>
          <w:tcPr>
            <w:tcW w:w="467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Clock</w:t>
            </w:r>
          </w:p>
        </w:tc>
        <w:tc>
          <w:tcPr>
            <w:tcW w:w="468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aclk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 = 100 MHz (10 ns period)</w:t>
            </w:r>
          </w:p>
        </w:tc>
      </w:tr>
      <w:tr>
        <w:trPr/>
        <w:tc>
          <w:tcPr>
            <w:tcW w:w="467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Build</w:t>
            </w:r>
          </w:p>
        </w:tc>
        <w:tc>
          <w:tcPr>
            <w:tcW w:w="468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rapids_char_top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 wrapping </w:t>
            </w: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rapids_beats_top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, NUM_CHANNELS = 4</w:t>
            </w:r>
          </w:p>
        </w:tc>
      </w:tr>
      <w:tr>
        <w:trPr/>
        <w:tc>
          <w:tcPr>
            <w:tcW w:w="467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Buffer depths (board)</w:t>
            </w:r>
          </w:p>
        </w:tc>
        <w:tc>
          <w:tcPr>
            <w:tcW w:w="468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SRAM_DEPTH = 256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, </w:t>
            </w: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DESC_RAM_ENTRIES = 256</w:t>
            </w:r>
          </w:p>
        </w:tc>
      </w:tr>
      <w:tr>
        <w:trPr/>
        <w:tc>
          <w:tcPr>
            <w:tcW w:w="467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Network interface</w:t>
            </w:r>
          </w:p>
        </w:tc>
        <w:tc>
          <w:tcPr>
            <w:tcW w:w="468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AXIS4 (</w:t>
            </w: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s_axis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 sink in, </w:t>
            </w: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m_axis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 source out), </w:t>
            </w: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tid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 = channel</w:t>
            </w:r>
          </w:p>
        </w:tc>
      </w:tr>
      <w:tr>
        <w:trPr/>
        <w:tc>
          <w:tcPr>
            <w:tcW w:w="467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Register map</w:t>
            </w:r>
          </w:p>
        </w:tc>
        <w:tc>
          <w:tcPr>
            <w:tcW w:w="468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one APB slave, SRC @ </w:t>
            </w: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0x0000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, SNK @ </w:t>
            </w: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0x1000</w:t>
            </w:r>
          </w:p>
        </w:tc>
      </w:tr>
      <w:tr>
        <w:trPr/>
        <w:tc>
          <w:tcPr>
            <w:tcW w:w="467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Monitor egress</w:t>
            </w:r>
          </w:p>
        </w:tc>
        <w:tc>
          <w:tcPr>
            <w:tcW w:w="468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single </w:t>
            </w: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m_axil_mon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 after a 3-level monbus merge</w:t>
            </w:r>
          </w:p>
        </w:tc>
      </w:tr>
      <w:tr>
        <w:trPr/>
        <w:tc>
          <w:tcPr>
            <w:tcW w:w="467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Post-route timing</w:t>
            </w:r>
          </w:p>
        </w:tc>
        <w:tc>
          <w:tcPr>
            <w:tcW w:w="468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setup WNS </w:t>
            </w:r>
            <w:r>
              <w:rPr>
                <w:rFonts w:eastAsia="Cambria" w:cs=""/>
                <w:b/>
                <w:bCs/>
                <w:kern w:val="0"/>
                <w:sz w:val="24"/>
                <w:szCs w:val="24"/>
                <w:lang w:val="en-US" w:eastAsia="en-US" w:bidi="ar-SA"/>
              </w:rPr>
              <w:t>+0.007 ns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, hold WHS +0.011 ns, 0 failing endpoints</w:t>
            </w:r>
          </w:p>
        </w:tc>
      </w:tr>
      <w:tr>
        <w:trPr/>
        <w:tc>
          <w:tcPr>
            <w:tcW w:w="467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Bitstream resources</w:t>
            </w:r>
          </w:p>
        </w:tc>
        <w:tc>
          <w:tcPr>
            <w:tcW w:w="468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37.6k LUTs (59.2 %), 28.7k FFs (22.6 %), 22 BRAM (16.3 %), 0 DSP</w:t>
            </w:r>
          </w:p>
        </w:tc>
      </w:tr>
      <w:tr>
        <w:trPr/>
        <w:tc>
          <w:tcPr>
            <w:tcW w:w="467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Host link</w:t>
            </w:r>
          </w:p>
        </w:tc>
        <w:tc>
          <w:tcPr>
            <w:tcW w:w="468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UART, board ID </w:t>
            </w: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"RAP1"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 (</w:t>
            </w: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0x52415031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)</w:t>
            </w:r>
          </w:p>
        </w:tc>
      </w:tr>
    </w:tbl>
    <w:p>
      <w:pPr>
        <w:pStyle w:val="BodyText"/>
        <w:rPr/>
      </w:pPr>
      <w:r>
        <w:rPr>
          <w:sz w:val="20"/>
        </w:rPr>
        <w:t xml:space="preserve">The DUT is </w:t>
      </w:r>
      <w:r>
        <w:rPr>
          <w:rStyle w:val="VerbatimChar"/>
          <w:sz w:val="20"/>
        </w:rPr>
        <w:t>rapids_beats_top</w:t>
      </w:r>
      <w:r>
        <w:rPr>
          <w:sz w:val="20"/>
        </w:rPr>
        <w:t>. Everything around it is characterization harness — not part of the IP, but instrumented to make the engine measurable and self-checking on real silicon.</w:t>
      </w:r>
    </w:p>
    <w:p>
      <w:pPr>
        <w:pStyle w:val="Normal"/>
        <w:rPr/>
      </w:pPr>
      <w:bookmarkStart w:id="15" w:name="test-platform"/>
      <w:r>
        <w:rPr/>
        <mc:AlternateContent>
          <mc:Choice Requires="wps">
            <w:drawing>
              <wp:inline distT="0" distB="0" distL="0" distR="0">
                <wp:extent cx="5943600" cy="19050"/>
                <wp:effectExtent l="0" t="0" r="0" b="0"/>
                <wp:docPr id="13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14" name=""/>
                        <wps:cNvSpPr/>
                      </wps:nvSpPr>
                      <wps:spPr>
                        <a:xfrm>
                          <a:off x="0" y="0"/>
                          <a:ext cx="5943600" cy="19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white" stroked="t" o:allowincell="f" style="position:absolute;margin-left:0pt;margin-top:-1.55pt;width:467.95pt;height:1.45pt;mso-wrap-style:none;v-text-anchor:middle;mso-position-horizontal:center;mso-position-vertical:top">
                <v:fill o:detectmouseclick="t" type="solid" color2="black"/>
                <v:stroke color="black" joinstyle="round" endcap="flat"/>
                <w10:wrap type="topAndBottom"/>
              </v:rect>
            </w:pict>
          </mc:Fallback>
        </mc:AlternateContent>
      </w:r>
      <w:bookmarkEnd w:id="15"/>
      <w:r>
        <w:br w:type="page"/>
      </w:r>
    </w:p>
    <w:p>
      <w:pPr>
        <w:pStyle w:val="Heading2"/>
        <w:pBdr>
          <w:bottom w:val="single" w:sz="12" w:space="0" w:color="228B22"/>
        </w:pBdr>
        <w:spacing w:before="280" w:after="80"/>
        <w:rPr/>
      </w:pPr>
      <w:bookmarkStart w:id="16" w:name="__RefHeading___Toc1596_3931778923"/>
      <w:bookmarkStart w:id="17" w:name="architecture-two-wholly-separate-engines"/>
      <w:bookmarkEnd w:id="16"/>
      <w:r>
        <w:rPr>
          <w:rStyle w:val="SectionNumber"/>
          <w:b/>
          <w:color w:val="228B22"/>
          <w:sz w:val="28"/>
        </w:rPr>
        <w:t>1.4</w:t>
      </w:r>
      <w:r>
        <w:rPr>
          <w:b/>
          <w:color w:val="228B22"/>
          <w:sz w:val="28"/>
        </w:rPr>
        <w:tab/>
        <w:t>3. Architecture — two wholly-separate engines</w:t>
      </w:r>
    </w:p>
    <w:p>
      <w:pPr>
        <w:pStyle w:val="FirstParagraph"/>
        <w:rPr/>
      </w:pPr>
      <w:r>
        <w:rPr>
          <w:sz w:val="20"/>
        </w:rPr>
        <w:t>The defining change in this generation is that the beats DMA is no longer one bidirectional block. It is two engines that share nothing but a register decode and a monitor egress.</w:t>
      </w:r>
    </w:p>
    <w:p>
      <w:pPr>
        <w:pStyle w:val="Heading3"/>
        <w:spacing w:before="200" w:after="80"/>
        <w:rPr/>
      </w:pPr>
      <w:bookmarkStart w:id="18" w:name="__RefHeading___Toc1598_3931778923"/>
      <w:bookmarkStart w:id="19" w:name="figure-3.1-split-architecture"/>
      <w:bookmarkStart w:id="20" w:name="_Fig_2_Split_architecture"/>
      <w:bookmarkEnd w:id="18"/>
      <w:r>
        <w:rPr>
          <w:rStyle w:val="SectionNumber"/>
          <w:b/>
          <w:color w:val="404040"/>
          <w:sz w:val="24"/>
        </w:rPr>
        <w:t>1.4.1</w:t>
      </w:r>
      <w:r>
        <w:rPr>
          <w:b/>
          <w:color w:val="404040"/>
          <w:sz w:val="24"/>
        </w:rPr>
        <w:tab/>
        <w:t>Figure 3.1: Split architecture</w:t>
      </w:r>
      <w:bookmarkEnd w:id="20"/>
    </w:p>
    <w:p>
      <w:pPr>
        <w:pStyle w:val="CaptionedFigure"/>
        <w:rPr/>
      </w:pPr>
      <w:r>
        <w:rPr/>
        <w:drawing>
          <wp:inline distT="0" distB="0" distL="0" distR="0">
            <wp:extent cx="5334000" cy="4118610"/>
            <wp:effectExtent l="0" t="0" r="0" b="0"/>
            <wp:docPr id="15" name="Image2" descr="split architectur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Image2" descr="split architecture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118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ImageCaption"/>
        <w:rPr/>
      </w:pPr>
      <w:r>
        <w:rPr/>
        <w:t>split architecture</w:t>
      </w:r>
    </w:p>
    <w:p>
      <w:pPr>
        <w:pStyle w:val="BodyText"/>
        <w:rPr/>
      </w:pPr>
      <w:r>
        <w:rPr>
          <w:rStyle w:val="VerbatimChar"/>
          <w:sz w:val="20"/>
        </w:rPr>
        <w:t>rapids_beats_top</w:t>
      </w:r>
      <w:r>
        <w:rPr>
          <w:sz w:val="20"/>
        </w:rPr>
        <w:t xml:space="preserve"> instantiates </w:t>
      </w:r>
      <w:r>
        <w:rPr>
          <w:rStyle w:val="VerbatimChar"/>
          <w:sz w:val="20"/>
        </w:rPr>
        <w:t>rapids_core_beats</w:t>
      </w:r>
      <w:r>
        <w:rPr>
          <w:sz w:val="20"/>
        </w:rPr>
        <w:t>, which contains exactly two data engines:</w:t>
      </w:r>
    </w:p>
    <w:p>
      <w:pPr>
        <w:pStyle w:val="Compact"/>
        <w:numPr>
          <w:ilvl w:val="0"/>
          <w:numId w:val="2"/>
        </w:numPr>
        <w:rPr/>
      </w:pPr>
      <w:r>
        <w:rPr>
          <w:rStyle w:val="VerbatimChar"/>
          <w:b/>
          <w:bCs/>
        </w:rPr>
        <w:t>rapids_snk_beats</w:t>
      </w:r>
      <w:r>
        <w:rPr/>
        <w:t xml:space="preserve"> — write-only. It receives from the network and writes to memory. It never issues an AXI read.</w:t>
      </w:r>
    </w:p>
    <w:p>
      <w:pPr>
        <w:pStyle w:val="Compact"/>
        <w:numPr>
          <w:ilvl w:val="0"/>
          <w:numId w:val="2"/>
        </w:numPr>
        <w:rPr/>
      </w:pPr>
      <w:r>
        <w:rPr>
          <w:rStyle w:val="VerbatimChar"/>
          <w:b/>
          <w:bCs/>
        </w:rPr>
        <w:t>rapids_src_beats</w:t>
      </w:r>
      <w:r>
        <w:rPr/>
        <w:t xml:space="preserve"> — read-only. It reads from memory and sends to the network. It never issues an AXI write.</w:t>
      </w:r>
    </w:p>
    <w:p>
      <w:pPr>
        <w:pStyle w:val="FirstParagraph"/>
        <w:rPr/>
      </w:pPr>
      <w:r>
        <w:rPr>
          <w:sz w:val="20"/>
        </w:rPr>
        <w:t xml:space="preserve">The two are driven by a </w:t>
      </w:r>
      <w:r>
        <w:rPr>
          <w:b/>
          <w:bCs/>
          <w:sz w:val="20"/>
        </w:rPr>
        <w:t>directional scheduler</w:t>
      </w:r>
      <w:r>
        <w:rPr>
          <w:sz w:val="20"/>
        </w:rPr>
        <w:t xml:space="preserve"> parameterized by </w:t>
      </w:r>
      <w:r>
        <w:rPr>
          <w:rStyle w:val="VerbatimChar"/>
          <w:sz w:val="20"/>
        </w:rPr>
        <w:t>EN_READ</w:t>
      </w:r>
      <w:r>
        <w:rPr>
          <w:sz w:val="20"/>
        </w:rPr>
        <w:t xml:space="preserve"> / </w:t>
      </w:r>
      <w:r>
        <w:rPr>
          <w:rStyle w:val="VerbatimChar"/>
          <w:sz w:val="20"/>
        </w:rPr>
        <w:t>EN_WRITE</w:t>
      </w:r>
      <w:r>
        <w:rPr>
          <w:sz w:val="20"/>
        </w:rPr>
        <w:t xml:space="preserve">, so each engine is compiled with only the half of the scheduler it needs. A single APB decode fans configuration to both halves — </w:t>
      </w:r>
      <w:r>
        <w:rPr>
          <w:b/>
          <w:bCs/>
          <w:sz w:val="20"/>
        </w:rPr>
        <w:t xml:space="preserve">SRC at </w:t>
      </w:r>
      <w:r>
        <w:rPr>
          <w:rStyle w:val="VerbatimChar"/>
          <w:b/>
          <w:bCs/>
          <w:sz w:val="20"/>
        </w:rPr>
        <w:t>0x0000</w:t>
      </w:r>
      <w:r>
        <w:rPr>
          <w:b/>
          <w:bCs/>
          <w:sz w:val="20"/>
        </w:rPr>
        <w:t xml:space="preserve">, SNK at </w:t>
      </w:r>
      <w:r>
        <w:rPr>
          <w:rStyle w:val="VerbatimChar"/>
          <w:b/>
          <w:bCs/>
          <w:sz w:val="20"/>
        </w:rPr>
        <w:t>0x1000</w:t>
      </w:r>
      <w:r>
        <w:rPr>
          <w:sz w:val="20"/>
        </w:rPr>
        <w:t xml:space="preserve"> — and each engine drives its own descriptor master. Monitoring from both halves is merged down to a single </w:t>
      </w:r>
      <w:r>
        <w:rPr>
          <w:rStyle w:val="VerbatimChar"/>
          <w:sz w:val="20"/>
        </w:rPr>
        <w:t>m_axil_mon</w:t>
      </w:r>
      <w:r>
        <w:rPr>
          <w:sz w:val="20"/>
        </w:rPr>
        <w:t xml:space="preserve"> egress.</w:t>
      </w:r>
      <w:bookmarkEnd w:id="19"/>
    </w:p>
    <w:p>
      <w:pPr>
        <w:pStyle w:val="Heading3"/>
        <w:spacing w:before="200" w:after="80"/>
        <w:rPr/>
      </w:pPr>
      <w:bookmarkStart w:id="21" w:name="__RefHeading___Toc1600_3931778923"/>
      <w:bookmarkStart w:id="22" w:name="X1995db55acc818c2b28614978e059b2cb11c802"/>
      <w:bookmarkStart w:id="23" w:name="_Fig_3_The_two_data_paths_a"/>
      <w:bookmarkEnd w:id="21"/>
      <w:r>
        <w:rPr>
          <w:rStyle w:val="SectionNumber"/>
          <w:b/>
          <w:color w:val="404040"/>
          <w:sz w:val="24"/>
        </w:rPr>
        <w:t>1.4.2</w:t>
      </w:r>
      <w:r>
        <w:rPr>
          <w:b/>
          <w:color w:val="404040"/>
          <w:sz w:val="24"/>
        </w:rPr>
        <w:tab/>
        <w:t>Figure 3.2: The two data paths are wholly separate</w:t>
      </w:r>
      <w:bookmarkEnd w:id="23"/>
    </w:p>
    <w:p>
      <w:pPr>
        <w:pStyle w:val="CaptionedFigure"/>
        <w:rPr/>
      </w:pPr>
      <w:r>
        <w:rPr/>
        <w:drawing>
          <wp:inline distT="0" distB="0" distL="0" distR="0">
            <wp:extent cx="5334000" cy="4556125"/>
            <wp:effectExtent l="0" t="0" r="0" b="0"/>
            <wp:docPr id="16" name="Image3" descr="data path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Image3" descr="data paths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556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ImageCaption"/>
        <w:rPr/>
      </w:pPr>
      <w:r>
        <w:rPr/>
        <w:t>data paths</w:t>
      </w:r>
    </w:p>
    <w:p>
      <w:pPr>
        <w:pStyle w:val="BodyText"/>
        <w:rPr/>
      </w:pPr>
      <w:r>
        <w:rPr>
          <w:sz w:val="20"/>
        </w:rPr>
        <w:t xml:space="preserve">The sink path is </w:t>
      </w:r>
      <w:r>
        <w:rPr>
          <w:rStyle w:val="VerbatimChar"/>
          <w:sz w:val="20"/>
        </w:rPr>
        <w:t>s_axis</w:t>
      </w:r>
      <w:r>
        <w:rPr>
          <w:sz w:val="20"/>
        </w:rPr>
        <w:t xml:space="preserve"> (with </w:t>
      </w:r>
      <w:r>
        <w:rPr>
          <w:rStyle w:val="VerbatimChar"/>
          <w:sz w:val="20"/>
        </w:rPr>
        <w:t>tid</w:t>
      </w:r>
      <w:r>
        <w:rPr>
          <w:sz w:val="20"/>
        </w:rPr>
        <w:t xml:space="preserve"> = channel) into the sink SRAM, then out </w:t>
      </w:r>
      <w:r>
        <w:rPr>
          <w:rStyle w:val="VerbatimChar"/>
          <w:sz w:val="20"/>
        </w:rPr>
        <w:t>m_axi_wr</w:t>
      </w:r>
      <w:r>
        <w:rPr>
          <w:sz w:val="20"/>
        </w:rPr>
        <w:t xml:space="preserve"> (AW/W/B) to memory. The source path is memory in via </w:t>
      </w:r>
      <w:r>
        <w:rPr>
          <w:rStyle w:val="VerbatimChar"/>
          <w:sz w:val="20"/>
        </w:rPr>
        <w:t>m_axi_rd</w:t>
      </w:r>
      <w:r>
        <w:rPr>
          <w:sz w:val="20"/>
        </w:rPr>
        <w:t xml:space="preserve"> (AR/R), into the source SRAM, then out </w:t>
      </w:r>
      <w:r>
        <w:rPr>
          <w:rStyle w:val="VerbatimChar"/>
          <w:sz w:val="20"/>
        </w:rPr>
        <w:t>m_axis</w:t>
      </w:r>
      <w:r>
        <w:rPr>
          <w:sz w:val="20"/>
        </w:rPr>
        <w:t xml:space="preserve"> (with </w:t>
      </w:r>
      <w:r>
        <w:rPr>
          <w:rStyle w:val="VerbatimChar"/>
          <w:sz w:val="20"/>
        </w:rPr>
        <w:t>tid</w:t>
      </w:r>
      <w:r>
        <w:rPr>
          <w:sz w:val="20"/>
        </w:rPr>
        <w:t xml:space="preserve"> = channel). There is no shared datapath, no shared buffer, and no shared AXI master between the two directions. This is what “wholly separate” means in practice: a change to one engine cannot introduce a datapath hazard in the other.</w:t>
      </w:r>
      <w:bookmarkEnd w:id="22"/>
    </w:p>
    <w:p>
      <w:pPr>
        <w:pStyle w:val="Heading3"/>
        <w:spacing w:before="200" w:after="80"/>
        <w:rPr/>
      </w:pPr>
      <w:bookmarkStart w:id="24" w:name="__RefHeading___Toc1602_3931778923"/>
      <w:bookmarkStart w:id="25" w:name="X10bebdd46224d824c533996a21836093580af71"/>
      <w:bookmarkStart w:id="26" w:name="_Fig_4_Monitor_bus_hierarch"/>
      <w:bookmarkEnd w:id="24"/>
      <w:r>
        <w:rPr>
          <w:rStyle w:val="SectionNumber"/>
          <w:b/>
          <w:color w:val="404040"/>
          <w:sz w:val="24"/>
        </w:rPr>
        <w:t>1.4.3</w:t>
      </w:r>
      <w:r>
        <w:rPr>
          <w:b/>
          <w:color w:val="404040"/>
          <w:sz w:val="24"/>
        </w:rPr>
        <w:tab/>
        <w:t>Figure 3.3: Monitor-bus hierarchy — 3-level merge to one egress</w:t>
      </w:r>
      <w:bookmarkEnd w:id="26"/>
    </w:p>
    <w:p>
      <w:pPr>
        <w:pStyle w:val="CaptionedFigure"/>
        <w:rPr/>
      </w:pPr>
      <w:r>
        <w:rPr/>
        <w:drawing>
          <wp:inline distT="0" distB="0" distL="0" distR="0">
            <wp:extent cx="5334000" cy="5345430"/>
            <wp:effectExtent l="0" t="0" r="0" b="0"/>
            <wp:docPr id="17" name="Image4" descr="monbus hierarchy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Image4" descr="monbus hierarchy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5345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ImageCaption"/>
        <w:rPr/>
      </w:pPr>
      <w:r>
        <w:rPr/>
        <w:t>monbus hierarchy</w:t>
      </w:r>
    </w:p>
    <w:p>
      <w:pPr>
        <w:pStyle w:val="BodyText"/>
        <w:rPr/>
      </w:pPr>
      <w:r>
        <w:rPr>
          <w:sz w:val="20"/>
        </w:rPr>
        <w:t xml:space="preserve">Observability is built in and merges in three levels: a per-half </w:t>
      </w:r>
      <w:r>
        <w:rPr>
          <w:rStyle w:val="VerbatimChar"/>
          <w:sz w:val="20"/>
        </w:rPr>
        <w:t>monbus_arbiter</w:t>
      </w:r>
      <w:r>
        <w:rPr>
          <w:sz w:val="20"/>
        </w:rPr>
        <w:t xml:space="preserve"> inside each of the source and sink engines, a core-level </w:t>
      </w:r>
      <w:r>
        <w:rPr>
          <w:rStyle w:val="VerbatimChar"/>
          <w:sz w:val="20"/>
        </w:rPr>
        <w:t>monbus_arbiter</w:t>
      </w:r>
      <w:r>
        <w:rPr>
          <w:sz w:val="20"/>
        </w:rPr>
        <w:t xml:space="preserve"> that merges the two halves, and finally </w:t>
      </w:r>
      <w:r>
        <w:rPr>
          <w:rStyle w:val="VerbatimChar"/>
          <w:sz w:val="20"/>
        </w:rPr>
        <w:t>monbus_axil4_axil4_group</w:t>
      </w:r>
      <w:r>
        <w:rPr>
          <w:sz w:val="20"/>
        </w:rPr>
        <w:t xml:space="preserve">, which drains the merged stream to the single </w:t>
      </w:r>
      <w:r>
        <w:rPr>
          <w:rStyle w:val="VerbatimChar"/>
          <w:sz w:val="20"/>
        </w:rPr>
        <w:t>m_axil_mon</w:t>
      </w:r>
      <w:r>
        <w:rPr>
          <w:sz w:val="20"/>
        </w:rPr>
        <w:t xml:space="preserve"> egress. One wire off-chip carries every monitor packet from both directions.</w:t>
      </w:r>
    </w:p>
    <w:p>
      <w:pPr>
        <w:pStyle w:val="Normal"/>
        <w:rPr/>
      </w:pPr>
      <w:bookmarkStart w:id="27" w:name="architecture-two-wholly-separate-engines"/>
      <w:bookmarkStart w:id="28" w:name="X10bebdd46224d824c533996a21836093580af71"/>
      <w:r>
        <w:rPr/>
        <mc:AlternateContent>
          <mc:Choice Requires="wps">
            <w:drawing>
              <wp:inline distT="0" distB="0" distL="0" distR="0">
                <wp:extent cx="5943600" cy="19050"/>
                <wp:effectExtent l="0" t="0" r="0" b="0"/>
                <wp:docPr id="18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19" name=""/>
                        <wps:cNvSpPr/>
                      </wps:nvSpPr>
                      <wps:spPr>
                        <a:xfrm>
                          <a:off x="0" y="0"/>
                          <a:ext cx="5943600" cy="19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white" stroked="t" o:allowincell="f" style="position:absolute;margin-left:0pt;margin-top:-1.55pt;width:467.95pt;height:1.45pt;mso-wrap-style:none;v-text-anchor:middle;mso-position-horizontal:center;mso-position-vertical:top">
                <v:fill o:detectmouseclick="t" type="solid" color2="black"/>
                <v:stroke color="black" joinstyle="round" endcap="flat"/>
                <w10:wrap type="topAndBottom"/>
              </v:rect>
            </w:pict>
          </mc:Fallback>
        </mc:AlternateContent>
      </w:r>
      <w:bookmarkEnd w:id="27"/>
      <w:bookmarkEnd w:id="28"/>
      <w:r>
        <w:br w:type="page"/>
      </w:r>
    </w:p>
    <w:p>
      <w:pPr>
        <w:pStyle w:val="Heading2"/>
        <w:pBdr>
          <w:bottom w:val="single" w:sz="12" w:space="0" w:color="228B22"/>
        </w:pBdr>
        <w:spacing w:before="280" w:after="80"/>
        <w:rPr/>
      </w:pPr>
      <w:bookmarkStart w:id="29" w:name="__RefHeading___Toc1604_3931778923"/>
      <w:bookmarkStart w:id="30" w:name="timing-closure-at-100-mhz"/>
      <w:bookmarkEnd w:id="29"/>
      <w:r>
        <w:rPr>
          <w:rStyle w:val="SectionNumber"/>
          <w:b/>
          <w:color w:val="228B22"/>
          <w:sz w:val="28"/>
        </w:rPr>
        <w:t>1.5</w:t>
      </w:r>
      <w:r>
        <w:rPr>
          <w:b/>
          <w:color w:val="228B22"/>
          <w:sz w:val="28"/>
        </w:rPr>
        <w:tab/>
        <w:t>4. Timing closure at 100 MHz</w:t>
      </w:r>
    </w:p>
    <w:p>
      <w:pPr>
        <w:pStyle w:val="FirstParagraph"/>
        <w:rPr/>
      </w:pPr>
      <w:r>
        <w:rPr>
          <w:sz w:val="20"/>
        </w:rPr>
        <w:t xml:space="preserve">Post-route, the build closes with </w:t>
      </w:r>
      <w:r>
        <w:rPr>
          <w:b/>
          <w:bCs/>
          <w:sz w:val="20"/>
        </w:rPr>
        <w:t>setup WNS = +0.007 ns, 0 failing endpoints</w:t>
      </w:r>
      <w:r>
        <w:rPr>
          <w:sz w:val="20"/>
        </w:rPr>
        <w:t>, and hold met (WHS = +0.011 ns). Getting there was not free.</w:t>
      </w:r>
    </w:p>
    <w:p>
      <w:pPr>
        <w:pStyle w:val="Heading3"/>
        <w:spacing w:before="200" w:after="80"/>
        <w:rPr/>
      </w:pPr>
      <w:bookmarkStart w:id="31" w:name="__RefHeading___Toc1606_3931778923"/>
      <w:bookmarkStart w:id="32" w:name="Xf2174f0af95d96debb3d1e06fd5869583b602d9"/>
      <w:bookmarkStart w:id="33" w:name="_Fig_5_100_MHz_setup_WNS___"/>
      <w:bookmarkEnd w:id="31"/>
      <w:r>
        <w:rPr>
          <w:rStyle w:val="SectionNumber"/>
          <w:b/>
          <w:color w:val="404040"/>
          <w:sz w:val="24"/>
        </w:rPr>
        <w:t>1.5.1</w:t>
      </w:r>
      <w:r>
        <w:rPr>
          <w:b/>
          <w:color w:val="404040"/>
          <w:sz w:val="24"/>
        </w:rPr>
        <w:tab/>
        <w:t>Figure 4.1: 100 MHz setup WNS — closure trajectory</w:t>
      </w:r>
      <w:bookmarkEnd w:id="33"/>
    </w:p>
    <w:p>
      <w:pPr>
        <w:pStyle w:val="CaptionedFigure"/>
        <w:rPr/>
      </w:pPr>
      <w:r>
        <w:rPr/>
        <w:drawing>
          <wp:inline distT="0" distB="0" distL="0" distR="0">
            <wp:extent cx="5334000" cy="3000375"/>
            <wp:effectExtent l="0" t="0" r="0" b="0"/>
            <wp:docPr id="20" name="Image5" descr="WNS closure trajectory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Image5" descr="WNS closure trajectory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000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ImageCaption"/>
        <w:rPr/>
      </w:pPr>
      <w:r>
        <w:rPr/>
        <w:t>WNS closure trajectory</w:t>
      </w:r>
    </w:p>
    <w:p>
      <w:pPr>
        <w:pStyle w:val="BodyText"/>
        <w:rPr/>
      </w:pPr>
      <w:r>
        <w:rPr>
          <w:sz w:val="20"/>
        </w:rPr>
        <w:t xml:space="preserve">The closure trajectory ran through four points: an initial post-route WNS of </w:t>
      </w:r>
      <w:r>
        <w:rPr>
          <w:b/>
          <w:bCs/>
          <w:sz w:val="20"/>
        </w:rPr>
        <w:t>-0.365 ns</w:t>
      </w:r>
      <w:r>
        <w:rPr>
          <w:sz w:val="20"/>
        </w:rPr>
        <w:t xml:space="preserve"> (failing), </w:t>
      </w:r>
      <w:r>
        <w:rPr>
          <w:b/>
          <w:bCs/>
          <w:sz w:val="20"/>
        </w:rPr>
        <w:t>-0.089 ns</w:t>
      </w:r>
      <w:r>
        <w:rPr>
          <w:sz w:val="20"/>
        </w:rPr>
        <w:t xml:space="preserve"> after the fix landed at post-route, </w:t>
      </w:r>
      <w:r>
        <w:rPr>
          <w:b/>
          <w:bCs/>
          <w:sz w:val="20"/>
        </w:rPr>
        <w:t>+0.051 ns</w:t>
      </w:r>
      <w:r>
        <w:rPr>
          <w:sz w:val="20"/>
        </w:rPr>
        <w:t xml:space="preserve"> after phys-opt, and a final </w:t>
      </w:r>
      <w:r>
        <w:rPr>
          <w:b/>
          <w:bCs/>
          <w:sz w:val="20"/>
        </w:rPr>
        <w:t>+0.007 ns</w:t>
      </w:r>
      <w:r>
        <w:rPr>
          <w:sz w:val="20"/>
        </w:rPr>
        <w:t xml:space="preserve"> on the rebuild that also folded in the harness pulse-fix of Section 8.</w:t>
      </w:r>
      <w:bookmarkEnd w:id="32"/>
    </w:p>
    <w:p>
      <w:pPr>
        <w:pStyle w:val="Heading3"/>
        <w:spacing w:before="200" w:after="80"/>
        <w:rPr/>
      </w:pPr>
      <w:bookmarkStart w:id="34" w:name="__RefHeading___Toc1608_3931778923"/>
      <w:bookmarkStart w:id="35" w:name="X515e89d3040e87ad6e663367099b775fb006ea5"/>
      <w:bookmarkStart w:id="36" w:name="_Fig_6_The_critical_path___"/>
      <w:bookmarkEnd w:id="34"/>
      <w:r>
        <w:rPr>
          <w:rStyle w:val="SectionNumber"/>
          <w:b/>
          <w:color w:val="404040"/>
          <w:sz w:val="24"/>
        </w:rPr>
        <w:t>1.5.2</w:t>
      </w:r>
      <w:r>
        <w:rPr>
          <w:b/>
          <w:color w:val="404040"/>
          <w:sz w:val="24"/>
        </w:rPr>
        <w:tab/>
        <w:t>Figure 4.2: The critical path — a config CSR into the monbus window math</w:t>
      </w:r>
      <w:bookmarkEnd w:id="36"/>
    </w:p>
    <w:p>
      <w:pPr>
        <w:pStyle w:val="CaptionedFigure"/>
        <w:rPr/>
      </w:pPr>
      <w:r>
        <w:rPr/>
        <w:drawing>
          <wp:inline distT="0" distB="0" distL="0" distR="0">
            <wp:extent cx="5334000" cy="1642745"/>
            <wp:effectExtent l="0" t="0" r="0" b="0"/>
            <wp:docPr id="21" name="Image6" descr="critical path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Image6" descr="critical path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642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ImageCaption"/>
        <w:rPr/>
      </w:pPr>
      <w:r>
        <w:rPr/>
        <w:t>critical path</w:t>
      </w:r>
    </w:p>
    <w:p>
      <w:pPr>
        <w:pStyle w:val="BodyText"/>
        <w:rPr/>
      </w:pPr>
      <w:r>
        <w:rPr>
          <w:sz w:val="20"/>
        </w:rPr>
        <w:t xml:space="preserve">The critical path was </w:t>
      </w:r>
      <w:r>
        <w:rPr>
          <w:b/>
          <w:bCs/>
          <w:sz w:val="20"/>
        </w:rPr>
        <w:t>not</w:t>
      </w:r>
      <w:r>
        <w:rPr>
          <w:sz w:val="20"/>
        </w:rPr>
        <w:t xml:space="preserve"> in the datapath. It ran from </w:t>
      </w:r>
      <w:r>
        <w:rPr>
          <w:rStyle w:val="VerbatimChar"/>
          <w:sz w:val="20"/>
        </w:rPr>
        <w:t>cfg_mon_base_addr</w:t>
      </w:r>
      <w:r>
        <w:rPr>
          <w:sz w:val="20"/>
        </w:rPr>
        <w:t xml:space="preserve"> — a configuration CSR that essentially never changes at runtime — into </w:t>
      </w:r>
      <w:r>
        <w:rPr>
          <w:rStyle w:val="VerbatimChar"/>
          <w:sz w:val="20"/>
        </w:rPr>
        <w:t>monbus_group_core</w:t>
      </w:r>
      <w:r>
        <w:rPr>
          <w:sz w:val="20"/>
        </w:rPr>
        <w:t xml:space="preserve">’s </w:t>
      </w:r>
      <w:r>
        <w:rPr>
          <w:rStyle w:val="VerbatimChar"/>
          <w:sz w:val="20"/>
        </w:rPr>
        <w:t>s1_beats_to_limit</w:t>
      </w:r>
      <w:r>
        <w:rPr>
          <w:sz w:val="20"/>
        </w:rPr>
        <w:t xml:space="preserve">, the stage-1 window-limit subtract. At 19 logic levels it looked like a logic-depth problem, but it was </w:t>
      </w:r>
      <w:r>
        <w:rPr>
          <w:b/>
          <w:bCs/>
          <w:sz w:val="20"/>
        </w:rPr>
        <w:t>route-dominated</w:t>
      </w:r>
      <w:r>
        <w:rPr>
          <w:sz w:val="20"/>
        </w:rPr>
        <w:t xml:space="preserve">: route delay was </w:t>
      </w:r>
      <w:r>
        <w:rPr>
          <w:b/>
          <w:bCs/>
          <w:sz w:val="20"/>
        </w:rPr>
        <w:t>53 %</w:t>
      </w:r>
      <w:r>
        <w:rPr>
          <w:sz w:val="20"/>
        </w:rPr>
        <w:t xml:space="preserve"> of the path, including a high-fanout net (</w:t>
      </w:r>
      <w:r>
        <w:rPr>
          <w:rStyle w:val="VerbatimChar"/>
          <w:sz w:val="20"/>
        </w:rPr>
        <w:t>fo = 124</w:t>
      </w:r>
      <w:r>
        <w:rPr>
          <w:sz w:val="20"/>
        </w:rPr>
        <w:t xml:space="preserve">) and roughly </w:t>
      </w:r>
      <w:r>
        <w:rPr>
          <w:b/>
          <w:bCs/>
          <w:sz w:val="20"/>
        </w:rPr>
        <w:t>0.8 ns</w:t>
      </w:r>
      <w:r>
        <w:rPr>
          <w:sz w:val="20"/>
        </w:rPr>
        <w:t xml:space="preserve"> of pure CSR route just to reach the arithmetic.</w:t>
      </w:r>
    </w:p>
    <w:p>
      <w:pPr>
        <w:pStyle w:val="BodyText"/>
        <w:rPr/>
      </w:pPr>
      <w:r>
        <w:rPr>
          <w:sz w:val="20"/>
        </w:rPr>
        <w:t xml:space="preserve">The fix was to </w:t>
      </w:r>
      <w:r>
        <w:rPr>
          <w:b/>
          <w:bCs/>
          <w:sz w:val="20"/>
        </w:rPr>
        <w:t xml:space="preserve">register </w:t>
      </w:r>
      <w:r>
        <w:rPr>
          <w:rStyle w:val="VerbatimChar"/>
          <w:b/>
          <w:bCs/>
          <w:sz w:val="20"/>
        </w:rPr>
        <w:t>cfg_base_addr</w:t>
      </w:r>
      <w:r>
        <w:rPr>
          <w:b/>
          <w:bCs/>
          <w:sz w:val="20"/>
        </w:rPr>
        <w:t xml:space="preserve"> / </w:t>
      </w:r>
      <w:r>
        <w:rPr>
          <w:rStyle w:val="VerbatimChar"/>
          <w:b/>
          <w:bCs/>
          <w:sz w:val="20"/>
        </w:rPr>
        <w:t>cfg_limit_addr</w:t>
      </w:r>
      <w:r>
        <w:rPr>
          <w:b/>
          <w:bCs/>
          <w:sz w:val="20"/>
        </w:rPr>
        <w:t xml:space="preserve"> locally inside </w:t>
      </w:r>
      <w:r>
        <w:rPr>
          <w:rStyle w:val="VerbatimChar"/>
          <w:b/>
          <w:bCs/>
          <w:sz w:val="20"/>
        </w:rPr>
        <w:t>monbus_group_core</w:t>
      </w:r>
      <w:r>
        <w:rPr>
          <w:sz w:val="20"/>
        </w:rPr>
        <w:t xml:space="preserve"> with </w:t>
      </w:r>
      <w:r>
        <w:rPr>
          <w:rStyle w:val="VerbatimChar"/>
          <w:sz w:val="20"/>
        </w:rPr>
        <w:t>max_fanout = 24</w:t>
      </w:r>
      <w:r>
        <w:rPr>
          <w:sz w:val="20"/>
        </w:rPr>
        <w:t xml:space="preserve">, so the stage-1 subtract sources its operands from flops physically adjacent to the arithmetic rather than from a CSR on the far side of the die. That change alone moved the endpoint from </w:t>
      </w:r>
      <w:r>
        <w:rPr>
          <w:b/>
          <w:bCs/>
          <w:sz w:val="20"/>
        </w:rPr>
        <w:t>-0.365 ns to +0.051 ns</w:t>
      </w:r>
      <w:r>
        <w:rPr>
          <w:sz w:val="20"/>
        </w:rPr>
        <w:t xml:space="preserve"> — no datapath pipelining required. Because </w:t>
      </w:r>
      <w:r>
        <w:rPr>
          <w:rStyle w:val="VerbatimChar"/>
          <w:sz w:val="20"/>
        </w:rPr>
        <w:t>monbus_group_core</w:t>
      </w:r>
      <w:r>
        <w:rPr>
          <w:sz w:val="20"/>
        </w:rPr>
        <w:t xml:space="preserve"> is shared collateral, </w:t>
      </w:r>
      <w:r>
        <w:rPr>
          <w:b/>
          <w:bCs/>
          <w:sz w:val="20"/>
        </w:rPr>
        <w:t>STREAM benefits from the same fix</w:t>
      </w:r>
      <w:r>
        <w:rPr>
          <w:sz w:val="20"/>
        </w:rPr>
        <w:t>.</w:t>
      </w:r>
    </w:p>
    <w:p>
      <w:pPr>
        <w:pStyle w:val="Normal"/>
        <w:rPr/>
      </w:pPr>
      <w:bookmarkStart w:id="37" w:name="timing-closure-at-100-mhz"/>
      <w:bookmarkStart w:id="38" w:name="X515e89d3040e87ad6e663367099b775fb006ea5"/>
      <w:r>
        <w:rPr/>
        <mc:AlternateContent>
          <mc:Choice Requires="wps">
            <w:drawing>
              <wp:inline distT="0" distB="0" distL="0" distR="0">
                <wp:extent cx="5943600" cy="19050"/>
                <wp:effectExtent l="0" t="0" r="0" b="0"/>
                <wp:docPr id="22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23" name=""/>
                        <wps:cNvSpPr/>
                      </wps:nvSpPr>
                      <wps:spPr>
                        <a:xfrm>
                          <a:off x="0" y="0"/>
                          <a:ext cx="5943600" cy="19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white" stroked="t" o:allowincell="f" style="position:absolute;margin-left:0pt;margin-top:-1.55pt;width:467.95pt;height:1.45pt;mso-wrap-style:none;v-text-anchor:middle;mso-position-horizontal:center;mso-position-vertical:top">
                <v:fill o:detectmouseclick="t" type="solid" color2="black"/>
                <v:stroke color="black" joinstyle="round" endcap="flat"/>
                <w10:wrap type="topAndBottom"/>
              </v:rect>
            </w:pict>
          </mc:Fallback>
        </mc:AlternateContent>
      </w:r>
      <w:bookmarkEnd w:id="37"/>
      <w:bookmarkEnd w:id="38"/>
      <w:r>
        <w:br w:type="page"/>
      </w:r>
    </w:p>
    <w:p>
      <w:pPr>
        <w:pStyle w:val="Heading2"/>
        <w:pBdr>
          <w:bottom w:val="single" w:sz="12" w:space="0" w:color="228B22"/>
        </w:pBdr>
        <w:spacing w:before="280" w:after="80"/>
        <w:rPr/>
      </w:pPr>
      <w:bookmarkStart w:id="39" w:name="__RefHeading___Toc1610_3931778923"/>
      <w:bookmarkStart w:id="40" w:name="X36986f44369e4d33ca3f82ada1da6ddd09aa6cf"/>
      <w:bookmarkEnd w:id="39"/>
      <w:r>
        <w:rPr>
          <w:rStyle w:val="SectionNumber"/>
          <w:b/>
          <w:color w:val="228B22"/>
          <w:sz w:val="28"/>
        </w:rPr>
        <w:t>1.6</w:t>
      </w:r>
      <w:r>
        <w:rPr>
          <w:b/>
          <w:color w:val="228B22"/>
          <w:sz w:val="28"/>
        </w:rPr>
        <w:tab/>
        <w:t>5. Vivado bring-up fixes (found vs. Verilator)</w:t>
      </w:r>
    </w:p>
    <w:p>
      <w:pPr>
        <w:pStyle w:val="FirstParagraph"/>
        <w:rPr/>
      </w:pPr>
      <w:r>
        <w:rPr>
          <w:sz w:val="20"/>
        </w:rPr>
        <w:t xml:space="preserve">The design simulated cleanly under Verilator but Vivado elaboration surfaced a class of issue Verilator does not: package-symbol collisions under </w:t>
      </w:r>
      <w:r>
        <w:rPr>
          <w:rStyle w:val="VerbatimChar"/>
          <w:sz w:val="20"/>
        </w:rPr>
        <w:t>$unit</w:t>
      </w:r>
      <w:r>
        <w:rPr>
          <w:sz w:val="20"/>
        </w:rPr>
        <w:t xml:space="preserve"> wildcard imports. Vivado merges all </w:t>
      </w:r>
      <w:r>
        <w:rPr>
          <w:rStyle w:val="VerbatimChar"/>
          <w:sz w:val="20"/>
        </w:rPr>
        <w:t>import pkg::*;</w:t>
      </w:r>
      <w:r>
        <w:rPr>
          <w:sz w:val="20"/>
        </w:rPr>
        <w:t xml:space="preserve"> into one </w:t>
      </w:r>
      <w:r>
        <w:rPr>
          <w:rStyle w:val="VerbatimChar"/>
          <w:sz w:val="20"/>
        </w:rPr>
        <w:t>$unit</w:t>
      </w:r>
      <w:r>
        <w:rPr>
          <w:sz w:val="20"/>
        </w:rPr>
        <w:t xml:space="preserve"> scope, and guarded imports only apply to the first file that imports them — so a symbol defined in two packages becomes ambiguous the moment a second file pulls both in. The fixes, all in the RTL’s package qualification (no logic change):</w:t>
      </w:r>
    </w:p>
    <w:p>
      <w:pPr>
        <w:pStyle w:val="Compact"/>
        <w:numPr>
          <w:ilvl w:val="0"/>
          <w:numId w:val="11"/>
        </w:numPr>
        <w:rPr/>
      </w:pPr>
      <w:r>
        <w:rPr>
          <w:rStyle w:val="VerbatimChar"/>
          <w:b/>
          <w:bCs/>
        </w:rPr>
        <w:t>rapids_pkg</w:t>
      </w:r>
      <w:r>
        <w:rPr>
          <w:b/>
          <w:bCs/>
        </w:rPr>
        <w:t xml:space="preserve"> vs. </w:t>
      </w:r>
      <w:r>
        <w:rPr>
          <w:rStyle w:val="VerbatimChar"/>
          <w:b/>
          <w:bCs/>
        </w:rPr>
        <w:t>stream_pkg</w:t>
      </w:r>
      <w:r>
        <w:rPr>
          <w:b/>
          <w:bCs/>
        </w:rPr>
        <w:t xml:space="preserve"> enum-label collisions.</w:t>
      </w:r>
      <w:r>
        <w:rPr/>
        <w:t xml:space="preserve"> Both packages define </w:t>
      </w:r>
      <w:r>
        <w:rPr>
          <w:rStyle w:val="VerbatimChar"/>
        </w:rPr>
        <w:t>RD_*</w:t>
      </w:r>
      <w:r>
        <w:rPr/>
        <w:t xml:space="preserve"> and </w:t>
      </w:r>
      <w:r>
        <w:rPr>
          <w:rStyle w:val="VerbatimChar"/>
        </w:rPr>
        <w:t>CH_*</w:t>
      </w:r>
      <w:r>
        <w:rPr/>
        <w:t xml:space="preserve"> enum labels. Ambiguous references were qualified with </w:t>
      </w:r>
      <w:r>
        <w:rPr>
          <w:rStyle w:val="VerbatimChar"/>
        </w:rPr>
        <w:t>rapids_pkg::</w:t>
      </w:r>
      <w:r>
        <w:rPr/>
        <w:t>.</w:t>
      </w:r>
    </w:p>
    <w:p>
      <w:pPr>
        <w:pStyle w:val="Compact"/>
        <w:numPr>
          <w:ilvl w:val="0"/>
          <w:numId w:val="12"/>
        </w:numPr>
        <w:rPr/>
      </w:pPr>
      <w:r>
        <w:rPr>
          <w:b/>
          <w:bCs/>
        </w:rPr>
        <w:t>Type collisions.</w:t>
      </w:r>
      <w:r>
        <w:rPr/>
        <w:t xml:space="preserve"> </w:t>
      </w:r>
      <w:r>
        <w:rPr>
          <w:rStyle w:val="VerbatimChar"/>
        </w:rPr>
        <w:t>channel_state_t</w:t>
      </w:r>
      <w:r>
        <w:rPr/>
        <w:t xml:space="preserve">, </w:t>
      </w:r>
      <w:r>
        <w:rPr>
          <w:rStyle w:val="VerbatimChar"/>
        </w:rPr>
        <w:t>descriptor_t</w:t>
      </w:r>
      <w:r>
        <w:rPr/>
        <w:t xml:space="preserve">, and </w:t>
      </w:r>
      <w:r>
        <w:rPr>
          <w:rStyle w:val="VerbatimChar"/>
        </w:rPr>
        <w:t>read_engine_state_t</w:t>
      </w:r>
      <w:r>
        <w:rPr/>
        <w:t xml:space="preserve"> exist in both packages; each use site was qualified with </w:t>
      </w:r>
      <w:r>
        <w:rPr>
          <w:rStyle w:val="VerbatimChar"/>
        </w:rPr>
        <w:t>rapids_pkg::</w:t>
      </w:r>
      <w:r>
        <w:rPr/>
        <w:t>.</w:t>
      </w:r>
    </w:p>
    <w:p>
      <w:pPr>
        <w:pStyle w:val="Compact"/>
        <w:numPr>
          <w:ilvl w:val="0"/>
          <w:numId w:val="13"/>
        </w:numPr>
        <w:rPr/>
      </w:pPr>
      <w:r>
        <w:rPr>
          <w:b/>
          <w:bCs/>
        </w:rPr>
        <w:t>Monitor response codes.</w:t>
      </w:r>
      <w:r>
        <w:rPr/>
        <w:t xml:space="preserve"> </w:t>
      </w:r>
      <w:r>
        <w:rPr>
          <w:rStyle w:val="VerbatimChar"/>
        </w:rPr>
        <w:t>ocelus_amba4_pkg::AXI_ERR_RESP_*</w:t>
      </w:r>
      <w:r>
        <w:rPr/>
        <w:t xml:space="preserve"> was qualified in the control engines, where it otherwise clashed under the merged </w:t>
      </w:r>
      <w:r>
        <w:rPr>
          <w:rStyle w:val="VerbatimChar"/>
        </w:rPr>
        <w:t>$unit</w:t>
      </w:r>
      <w:r>
        <w:rPr/>
        <w:t xml:space="preserve"> scope.</w:t>
      </w:r>
    </w:p>
    <w:p>
      <w:pPr>
        <w:pStyle w:val="FirstParagraph"/>
        <w:rPr/>
      </w:pPr>
      <w:r>
        <w:rPr>
          <w:sz w:val="20"/>
        </w:rPr>
        <w:t>None of these are visible under Verilator’s per-file import handling; they only appear once Vivado flattens the import scope. They are documented here so the next engine that reuses these packages qualifies from the start.</w:t>
      </w:r>
    </w:p>
    <w:p>
      <w:pPr>
        <w:pStyle w:val="Normal"/>
        <w:rPr/>
      </w:pPr>
      <w:bookmarkStart w:id="41" w:name="X36986f44369e4d33ca3f82ada1da6ddd09aa6cf"/>
      <w:r>
        <w:rPr/>
        <mc:AlternateContent>
          <mc:Choice Requires="wps">
            <w:drawing>
              <wp:inline distT="0" distB="0" distL="0" distR="0">
                <wp:extent cx="5943600" cy="19050"/>
                <wp:effectExtent l="0" t="0" r="0" b="0"/>
                <wp:docPr id="24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25" name=""/>
                        <wps:cNvSpPr/>
                      </wps:nvSpPr>
                      <wps:spPr>
                        <a:xfrm>
                          <a:off x="0" y="0"/>
                          <a:ext cx="5943600" cy="19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white" stroked="t" o:allowincell="f" style="position:absolute;margin-left:0pt;margin-top:-1.55pt;width:467.95pt;height:1.45pt;mso-wrap-style:none;v-text-anchor:middle;mso-position-horizontal:center;mso-position-vertical:top">
                <v:fill o:detectmouseclick="t" type="solid" color2="black"/>
                <v:stroke color="black" joinstyle="round" endcap="flat"/>
                <w10:wrap type="topAndBottom"/>
              </v:rect>
            </w:pict>
          </mc:Fallback>
        </mc:AlternateContent>
      </w:r>
      <w:bookmarkEnd w:id="41"/>
      <w:r>
        <w:br w:type="page"/>
      </w:r>
    </w:p>
    <w:p>
      <w:pPr>
        <w:pStyle w:val="Heading2"/>
        <w:pBdr>
          <w:bottom w:val="single" w:sz="12" w:space="0" w:color="228B22"/>
        </w:pBdr>
        <w:spacing w:before="280" w:after="80"/>
        <w:rPr/>
      </w:pPr>
      <w:bookmarkStart w:id="42" w:name="__RefHeading___Toc1612_3931778923"/>
      <w:bookmarkStart w:id="43" w:name="the-characterization-harness"/>
      <w:bookmarkEnd w:id="42"/>
      <w:r>
        <w:rPr>
          <w:rStyle w:val="SectionNumber"/>
          <w:b/>
          <w:color w:val="228B22"/>
          <w:sz w:val="28"/>
        </w:rPr>
        <w:t>1.7</w:t>
      </w:r>
      <w:r>
        <w:rPr>
          <w:b/>
          <w:color w:val="228B22"/>
          <w:sz w:val="28"/>
        </w:rPr>
        <w:tab/>
        <w:t>6. The characterization harness</w:t>
      </w:r>
    </w:p>
    <w:p>
      <w:pPr>
        <w:pStyle w:val="Heading3"/>
        <w:spacing w:before="200" w:after="80"/>
        <w:rPr/>
      </w:pPr>
      <w:bookmarkStart w:id="44" w:name="__RefHeading___Toc1614_3931778923"/>
      <w:bookmarkStart w:id="45" w:name="X73fd32ebad1d6cf96c28b6539f4715833761af3"/>
      <w:bookmarkStart w:id="46" w:name="_Fig_7_rapids_char_harness_"/>
      <w:bookmarkEnd w:id="44"/>
      <w:r>
        <w:rPr>
          <w:rStyle w:val="SectionNumber"/>
          <w:b/>
          <w:color w:val="404040"/>
          <w:sz w:val="24"/>
        </w:rPr>
        <w:t>1.7.1</w:t>
      </w:r>
      <w:r>
        <w:rPr>
          <w:b/>
          <w:color w:val="404040"/>
          <w:sz w:val="24"/>
        </w:rPr>
        <w:tab/>
        <w:t xml:space="preserve">Figure 6.1: </w:t>
      </w:r>
      <w:r>
        <w:rPr>
          <w:rStyle w:val="VerbatimChar"/>
          <w:b/>
          <w:color w:val="404040"/>
          <w:sz w:val="24"/>
        </w:rPr>
        <w:t>rapids_char_harness</w:t>
      </w:r>
      <w:r>
        <w:rPr>
          <w:b/>
          <w:color w:val="404040"/>
          <w:sz w:val="24"/>
        </w:rPr>
        <w:t xml:space="preserve"> block diagram</w:t>
      </w:r>
      <w:bookmarkEnd w:id="46"/>
    </w:p>
    <w:p>
      <w:pPr>
        <w:pStyle w:val="CaptionedFigure"/>
        <w:rPr/>
      </w:pPr>
      <w:r>
        <w:rPr/>
        <w:drawing>
          <wp:inline distT="0" distB="0" distL="0" distR="0">
            <wp:extent cx="5334000" cy="3439160"/>
            <wp:effectExtent l="0" t="0" r="0" b="0"/>
            <wp:docPr id="26" name="Image7" descr="harness block diagra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Image7" descr="harness block diagram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439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ImageCaption"/>
        <w:rPr/>
      </w:pPr>
      <w:r>
        <w:rPr/>
        <w:t>harness block diagram</w:t>
      </w:r>
    </w:p>
    <w:p>
      <w:pPr>
        <w:pStyle w:val="BodyText"/>
        <w:rPr/>
      </w:pPr>
      <w:r>
        <w:rPr>
          <w:sz w:val="20"/>
        </w:rPr>
        <w:t xml:space="preserve">The harness wraps </w:t>
      </w:r>
      <w:r>
        <w:rPr>
          <w:rStyle w:val="VerbatimChar"/>
          <w:sz w:val="20"/>
        </w:rPr>
        <w:t>rapids_beats_top</w:t>
      </w:r>
      <w:r>
        <w:rPr>
          <w:sz w:val="20"/>
        </w:rPr>
        <w:t xml:space="preserve"> with everything needed to drive it from a host PC and check both directions on-chip, while leaving the DUT untouched:</w:t>
      </w:r>
    </w:p>
    <w:p>
      <w:pPr>
        <w:pStyle w:val="Compact"/>
        <w:numPr>
          <w:ilvl w:val="0"/>
          <w:numId w:val="14"/>
        </w:numPr>
        <w:rPr/>
      </w:pPr>
      <w:r>
        <w:rPr>
          <w:b/>
          <w:bCs/>
        </w:rPr>
        <w:t>On-chip AXIS pattern generator and checker.</w:t>
      </w:r>
      <w:r>
        <w:rPr/>
        <w:t xml:space="preserve"> </w:t>
      </w:r>
      <w:r>
        <w:rPr>
          <w:rStyle w:val="VerbatimChar"/>
        </w:rPr>
        <w:t>axis4_master_injector</w:t>
      </w:r>
      <w:r>
        <w:rPr/>
        <w:t xml:space="preserve"> drives </w:t>
      </w:r>
      <w:r>
        <w:rPr>
          <w:rStyle w:val="VerbatimChar"/>
        </w:rPr>
        <w:t>s_axis</w:t>
      </w:r>
      <w:r>
        <w:rPr/>
        <w:t xml:space="preserve"> for the sink path; </w:t>
      </w:r>
      <w:r>
        <w:rPr>
          <w:rStyle w:val="VerbatimChar"/>
        </w:rPr>
        <w:t>axis4_slave_pattern_check</w:t>
      </w:r>
      <w:r>
        <w:rPr/>
        <w:t xml:space="preserve"> consumes </w:t>
      </w:r>
      <w:r>
        <w:rPr>
          <w:rStyle w:val="VerbatimChar"/>
        </w:rPr>
        <w:t>m_axis</w:t>
      </w:r>
      <w:r>
        <w:rPr/>
        <w:t xml:space="preserve"> on the source path. Both are multi-channel with a </w:t>
      </w:r>
      <w:r>
        <w:rPr>
          <w:b/>
          <w:bCs/>
        </w:rPr>
        <w:t xml:space="preserve">per-channel LFSR seeded </w:t>
      </w:r>
      <w:r>
        <w:rPr>
          <w:rStyle w:val="VerbatimChar"/>
          <w:b/>
          <w:bCs/>
        </w:rPr>
        <w:t>seed ^ ch</w:t>
      </w:r>
      <w:r>
        <w:rPr/>
        <w:t xml:space="preserve"> and a </w:t>
      </w:r>
      <w:r>
        <w:rPr>
          <w:b/>
          <w:bCs/>
        </w:rPr>
        <w:t>CRC-32</w:t>
      </w:r>
      <w:r>
        <w:rPr/>
        <w:t xml:space="preserve"> computed over the actual beats, so the data is deterministic and independently reproducible per channel.</w:t>
      </w:r>
    </w:p>
    <w:p>
      <w:pPr>
        <w:pStyle w:val="Compact"/>
        <w:numPr>
          <w:ilvl w:val="0"/>
          <w:numId w:val="15"/>
        </w:numPr>
        <w:rPr/>
      </w:pPr>
      <w:r>
        <w:rPr>
          <w:b/>
          <w:bCs/>
        </w:rPr>
        <w:t>Memory-side pattern / CRC.</w:t>
      </w:r>
      <w:r>
        <w:rPr/>
        <w:t xml:space="preserve"> </w:t>
      </w:r>
      <w:r>
        <w:rPr>
          <w:rStyle w:val="VerbatimChar"/>
        </w:rPr>
        <w:t>axi4_slave_rd_injector</w:t>
      </w:r>
      <w:r>
        <w:rPr/>
        <w:t xml:space="preserve"> backs </w:t>
      </w:r>
      <w:r>
        <w:rPr>
          <w:rStyle w:val="VerbatimChar"/>
        </w:rPr>
        <w:t>m_axi_rd</w:t>
      </w:r>
      <w:r>
        <w:rPr/>
        <w:t xml:space="preserve"> with the same deterministic LFSR stream (this is the source path’s memory), and </w:t>
      </w:r>
      <w:r>
        <w:rPr>
          <w:rStyle w:val="VerbatimChar"/>
        </w:rPr>
        <w:t>axi4_slave_wr_crc_check</w:t>
      </w:r>
      <w:r>
        <w:rPr/>
        <w:t xml:space="preserve"> CRCs everything written on </w:t>
      </w:r>
      <w:r>
        <w:rPr>
          <w:rStyle w:val="VerbatimChar"/>
        </w:rPr>
        <w:t>m_axi_wr</w:t>
      </w:r>
      <w:r>
        <w:rPr/>
        <w:t xml:space="preserve"> (the sink path’s memory).</w:t>
      </w:r>
    </w:p>
    <w:p>
      <w:pPr>
        <w:pStyle w:val="Compact"/>
        <w:numPr>
          <w:ilvl w:val="0"/>
          <w:numId w:val="16"/>
        </w:numPr>
        <w:rPr/>
      </w:pPr>
      <w:r>
        <w:rPr>
          <w:b/>
          <w:bCs/>
        </w:rPr>
        <w:t>Dual descriptor RAMs.</w:t>
      </w:r>
      <w:r>
        <w:rPr/>
        <w:t xml:space="preserve"> One descriptor RAM per engine, feeding the two independent descriptor masters.</w:t>
      </w:r>
    </w:p>
    <w:p>
      <w:pPr>
        <w:pStyle w:val="Compact"/>
        <w:numPr>
          <w:ilvl w:val="0"/>
          <w:numId w:val="17"/>
        </w:numPr>
        <w:rPr/>
      </w:pPr>
      <w:r>
        <w:rPr>
          <w:b/>
          <w:bCs/>
        </w:rPr>
        <w:t>Semaphore RAMs</w:t>
      </w:r>
      <w:r>
        <w:rPr/>
        <w:t xml:space="preserve"> on the control masters, backing the engines’ control-plane accesses.</w:t>
      </w:r>
    </w:p>
    <w:p>
      <w:pPr>
        <w:pStyle w:val="Compact"/>
        <w:numPr>
          <w:ilvl w:val="0"/>
          <w:numId w:val="18"/>
        </w:numPr>
        <w:rPr/>
      </w:pPr>
      <w:r>
        <w:rPr>
          <w:b/>
          <w:bCs/>
        </w:rPr>
        <w:t>Host link.</w:t>
      </w:r>
      <w:r>
        <w:rPr/>
        <w:t xml:space="preserve"> A </w:t>
      </w:r>
      <w:r>
        <w:rPr>
          <w:rStyle w:val="VerbatimChar"/>
        </w:rPr>
        <w:t>uart_axil_bridge</w:t>
      </w:r>
      <w:r>
        <w:rPr/>
        <w:t xml:space="preserve"> fans the single UART into the AXIL host bus, reaching the harness CSRs and the DUT’s APB. The board announces itself with ID </w:t>
      </w:r>
      <w:r>
        <w:rPr>
          <w:rStyle w:val="VerbatimChar"/>
        </w:rPr>
        <w:t>"RAP1"</w:t>
      </w:r>
      <w:r>
        <w:rPr/>
        <w:t xml:space="preserve"> (</w:t>
      </w:r>
      <w:r>
        <w:rPr>
          <w:rStyle w:val="VerbatimChar"/>
        </w:rPr>
        <w:t>0x52415031</w:t>
      </w:r>
      <w:r>
        <w:rPr/>
        <w:t>) so the host script can confirm it is talking to the right bitstream.</w:t>
      </w:r>
    </w:p>
    <w:p>
      <w:pPr>
        <w:pStyle w:val="FirstParagraph"/>
        <w:rPr/>
      </w:pPr>
      <w:r>
        <w:rPr>
          <w:sz w:val="20"/>
        </w:rPr>
        <w:t xml:space="preserve">Every block earned its place: the split engines mean the sink and source each need their own traffic source and their own checker, and the per-channel LFSR / CRC keeps correctness meaningful under multi-channel </w:t>
      </w:r>
      <w:r>
        <w:rPr>
          <w:rStyle w:val="VerbatimChar"/>
          <w:sz w:val="20"/>
        </w:rPr>
        <w:t>tid</w:t>
      </w:r>
      <w:r>
        <w:rPr>
          <w:sz w:val="20"/>
        </w:rPr>
        <w:t xml:space="preserve"> interleave.</w:t>
      </w:r>
    </w:p>
    <w:p>
      <w:pPr>
        <w:pStyle w:val="Normal"/>
        <w:rPr/>
      </w:pPr>
      <w:bookmarkStart w:id="47" w:name="the-characterization-harness"/>
      <w:bookmarkStart w:id="48" w:name="X73fd32ebad1d6cf96c28b6539f4715833761af3"/>
      <w:r>
        <w:rPr/>
        <mc:AlternateContent>
          <mc:Choice Requires="wps">
            <w:drawing>
              <wp:inline distT="0" distB="0" distL="0" distR="0">
                <wp:extent cx="5943600" cy="19050"/>
                <wp:effectExtent l="0" t="0" r="0" b="0"/>
                <wp:docPr id="27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28" name=""/>
                        <wps:cNvSpPr/>
                      </wps:nvSpPr>
                      <wps:spPr>
                        <a:xfrm>
                          <a:off x="0" y="0"/>
                          <a:ext cx="5943600" cy="19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white" stroked="t" o:allowincell="f" style="position:absolute;margin-left:0pt;margin-top:-1.55pt;width:467.95pt;height:1.45pt;mso-wrap-style:none;v-text-anchor:middle;mso-position-horizontal:center;mso-position-vertical:top">
                <v:fill o:detectmouseclick="t" type="solid" color2="black"/>
                <v:stroke color="black" joinstyle="round" endcap="flat"/>
                <w10:wrap type="topAndBottom"/>
              </v:rect>
            </w:pict>
          </mc:Fallback>
        </mc:AlternateContent>
      </w:r>
      <w:bookmarkEnd w:id="47"/>
      <w:bookmarkEnd w:id="48"/>
      <w:r>
        <w:br w:type="page"/>
      </w:r>
    </w:p>
    <w:p>
      <w:pPr>
        <w:pStyle w:val="Heading2"/>
        <w:pBdr>
          <w:bottom w:val="single" w:sz="12" w:space="0" w:color="228B22"/>
        </w:pBdr>
        <w:spacing w:before="280" w:after="80"/>
        <w:rPr/>
      </w:pPr>
      <w:bookmarkStart w:id="49" w:name="__RefHeading___Toc1616_3931778923"/>
      <w:bookmarkStart w:id="50" w:name="Xe6563b2875b9dd982743aa13e96e1ba5e9c572b"/>
      <w:bookmarkEnd w:id="49"/>
      <w:r>
        <w:rPr>
          <w:rStyle w:val="SectionNumber"/>
          <w:b/>
          <w:color w:val="228B22"/>
          <w:sz w:val="28"/>
        </w:rPr>
        <w:t>1.8</w:t>
      </w:r>
      <w:r>
        <w:rPr>
          <w:b/>
          <w:color w:val="228B22"/>
          <w:sz w:val="28"/>
        </w:rPr>
        <w:tab/>
        <w:t>7. CRC validation on both paths against a golden model</w:t>
      </w:r>
    </w:p>
    <w:p>
      <w:pPr>
        <w:pStyle w:val="FirstParagraph"/>
        <w:rPr/>
      </w:pPr>
      <w:r>
        <w:rPr>
          <w:sz w:val="20"/>
        </w:rPr>
        <w:t xml:space="preserve">Both directions are checked against a </w:t>
      </w:r>
      <w:r>
        <w:rPr>
          <w:b/>
          <w:bCs/>
          <w:sz w:val="20"/>
        </w:rPr>
        <w:t>deterministic software golden model</w:t>
      </w:r>
      <w:r>
        <w:rPr>
          <w:sz w:val="20"/>
        </w:rPr>
        <w:t xml:space="preserve">, </w:t>
      </w:r>
      <w:r>
        <w:rPr>
          <w:rStyle w:val="VerbatimChar"/>
          <w:sz w:val="20"/>
        </w:rPr>
        <w:t>flows-rapids-beats/host/rapids_char_golden.py</w:t>
      </w:r>
      <w:r>
        <w:rPr>
          <w:sz w:val="20"/>
        </w:rPr>
        <w:t xml:space="preserve">, which computes the </w:t>
      </w:r>
      <w:r>
        <w:rPr>
          <w:b/>
          <w:bCs/>
          <w:sz w:val="20"/>
        </w:rPr>
        <w:t>reflected CRC-32</w:t>
      </w:r>
      <w:r>
        <w:rPr>
          <w:sz w:val="20"/>
        </w:rPr>
        <w:t xml:space="preserve"> over the per-channel LFSR stream. The model is the single source of truth: the same expected value is asserted on the write side (sink), the read side (source), and the on-chip checker.</w:t>
      </w:r>
    </w:p>
    <w:p>
      <w:pPr>
        <w:pStyle w:val="BodyText"/>
        <w:rPr/>
      </w:pPr>
      <w:r>
        <w:rPr>
          <w:sz w:val="20"/>
        </w:rPr>
        <w:t>For an 8-beat transfer the golden model reproduces, per channel:</w:t>
      </w:r>
    </w:p>
    <w:tbl>
      <w:tblPr>
        <w:tblStyle w:val="Table"/>
        <w:tblW w:w="7920" w:type="dxa"/>
        <w:jc w:val="left"/>
        <w:tblInd w:w="108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20" w:noHBand="0" w:noVBand="0" w:firstColumn="0" w:lastRow="0" w:lastColumn="0" w:firstRow="1"/>
      </w:tblPr>
      <w:tblGrid>
        <w:gridCol w:w="3960"/>
        <w:gridCol w:w="3959"/>
      </w:tblGrid>
      <w:tr>
        <w:trPr>
          <w:tblHeader w:val="true"/>
        </w:trPr>
        <w:tc>
          <w:tcPr>
            <w:tcW w:w="3960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Channel</w:t>
            </w:r>
          </w:p>
        </w:tc>
        <w:tc>
          <w:tcPr>
            <w:tcW w:w="3959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Golden CRC-32</w:t>
            </w:r>
          </w:p>
        </w:tc>
      </w:tr>
      <w:tr>
        <w:trPr/>
        <w:tc>
          <w:tcPr>
            <w:tcW w:w="396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ch0</w:t>
            </w:r>
          </w:p>
        </w:tc>
        <w:tc>
          <w:tcPr>
            <w:tcW w:w="395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0x8C023372</w:t>
            </w:r>
          </w:p>
        </w:tc>
      </w:tr>
      <w:tr>
        <w:trPr/>
        <w:tc>
          <w:tcPr>
            <w:tcW w:w="396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ch1</w:t>
            </w:r>
          </w:p>
        </w:tc>
        <w:tc>
          <w:tcPr>
            <w:tcW w:w="395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0x3FB81189</w:t>
            </w:r>
          </w:p>
        </w:tc>
      </w:tr>
      <w:tr>
        <w:trPr/>
        <w:tc>
          <w:tcPr>
            <w:tcW w:w="396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ch2</w:t>
            </w:r>
          </w:p>
        </w:tc>
        <w:tc>
          <w:tcPr>
            <w:tcW w:w="395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0xD64B4EEC</w:t>
            </w:r>
          </w:p>
        </w:tc>
      </w:tr>
      <w:tr>
        <w:trPr/>
        <w:tc>
          <w:tcPr>
            <w:tcW w:w="396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ch3</w:t>
            </w:r>
          </w:p>
        </w:tc>
        <w:tc>
          <w:tcPr>
            <w:tcW w:w="395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0x65F16C17</w:t>
            </w:r>
          </w:p>
        </w:tc>
      </w:tr>
    </w:tbl>
    <w:p>
      <w:pPr>
        <w:pStyle w:val="BodyText"/>
        <w:rPr/>
      </w:pPr>
      <w:r>
        <w:rPr>
          <w:sz w:val="20"/>
        </w:rPr>
        <w:t>These were validated in two independent places:</w:t>
      </w:r>
    </w:p>
    <w:p>
      <w:pPr>
        <w:pStyle w:val="Compact"/>
        <w:numPr>
          <w:ilvl w:val="0"/>
          <w:numId w:val="19"/>
        </w:numPr>
        <w:rPr/>
      </w:pPr>
      <w:r>
        <w:rPr>
          <w:b/>
          <w:bCs/>
        </w:rPr>
        <w:t>In simulation</w:t>
      </w:r>
      <w:r>
        <w:rPr/>
        <w:t xml:space="preserve"> — the cocotb harness testbench asserts that the sink write CRC, the source read CRC, and the on-chip checker CRC all equal the golden value (2/2 checks pass).</w:t>
      </w:r>
    </w:p>
    <w:p>
      <w:pPr>
        <w:pStyle w:val="Compact"/>
        <w:numPr>
          <w:ilvl w:val="0"/>
          <w:numId w:val="20"/>
        </w:numPr>
        <w:rPr/>
      </w:pPr>
      <w:r>
        <w:rPr>
          <w:b/>
          <w:bCs/>
        </w:rPr>
        <w:t>On the host</w:t>
      </w:r>
      <w:r>
        <w:rPr/>
        <w:t xml:space="preserve"> — </w:t>
      </w:r>
      <w:r>
        <w:rPr>
          <w:rStyle w:val="VerbatimChar"/>
        </w:rPr>
        <w:t>rapids_char_golden.py</w:t>
      </w:r>
      <w:r>
        <w:rPr/>
        <w:t xml:space="preserve"> reproduces the same per-channel values standalone, so a mismatch on hardware points at the RTL, not at a disagreement between the checker and the model.</w:t>
      </w:r>
    </w:p>
    <w:p>
      <w:pPr>
        <w:pStyle w:val="FirstParagraph"/>
        <w:rPr/>
      </w:pPr>
      <w:r>
        <w:rPr>
          <w:sz w:val="20"/>
        </w:rPr>
        <w:t xml:space="preserve">Because the golden model is deterministic in </w:t>
      </w:r>
      <w:r>
        <w:rPr>
          <w:rStyle w:val="VerbatimChar"/>
          <w:sz w:val="20"/>
        </w:rPr>
        <w:t>(seed, channel, beats)</w:t>
      </w:r>
      <w:r>
        <w:rPr>
          <w:sz w:val="20"/>
        </w:rPr>
        <w:t>, the sweep in Section 9 can assert exact per-channel CRC equality for every one of its 48 configurations rather than just “no error flagged.”</w:t>
      </w:r>
    </w:p>
    <w:p>
      <w:pPr>
        <w:pStyle w:val="Normal"/>
        <w:rPr/>
      </w:pPr>
      <w:bookmarkStart w:id="51" w:name="Xe6563b2875b9dd982743aa13e96e1ba5e9c572b"/>
      <w:r>
        <w:rPr/>
        <mc:AlternateContent>
          <mc:Choice Requires="wps">
            <w:drawing>
              <wp:inline distT="0" distB="0" distL="0" distR="0">
                <wp:extent cx="5943600" cy="19050"/>
                <wp:effectExtent l="0" t="0" r="0" b="0"/>
                <wp:docPr id="29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30" name=""/>
                        <wps:cNvSpPr/>
                      </wps:nvSpPr>
                      <wps:spPr>
                        <a:xfrm>
                          <a:off x="0" y="0"/>
                          <a:ext cx="5943600" cy="19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white" stroked="t" o:allowincell="f" style="position:absolute;margin-left:0pt;margin-top:-1.55pt;width:467.95pt;height:1.45pt;mso-wrap-style:none;v-text-anchor:middle;mso-position-horizontal:center;mso-position-vertical:top">
                <v:fill o:detectmouseclick="t" type="solid" color2="black"/>
                <v:stroke color="black" joinstyle="round" endcap="flat"/>
                <w10:wrap type="topAndBottom"/>
              </v:rect>
            </w:pict>
          </mc:Fallback>
        </mc:AlternateContent>
      </w:r>
      <w:bookmarkEnd w:id="51"/>
      <w:r>
        <w:br w:type="page"/>
      </w:r>
    </w:p>
    <w:p>
      <w:pPr>
        <w:pStyle w:val="Heading2"/>
        <w:pBdr>
          <w:bottom w:val="single" w:sz="12" w:space="0" w:color="228B22"/>
        </w:pBdr>
        <w:spacing w:before="280" w:after="80"/>
        <w:rPr/>
      </w:pPr>
      <w:bookmarkStart w:id="52" w:name="__RefHeading___Toc1618_3931778923"/>
      <w:bookmarkStart w:id="53" w:name="a-real-harness-bug-root-caused"/>
      <w:bookmarkEnd w:id="52"/>
      <w:r>
        <w:rPr>
          <w:rStyle w:val="SectionNumber"/>
          <w:b/>
          <w:color w:val="228B22"/>
          <w:sz w:val="28"/>
        </w:rPr>
        <w:t>1.9</w:t>
      </w:r>
      <w:r>
        <w:rPr>
          <w:b/>
          <w:color w:val="228B22"/>
          <w:sz w:val="28"/>
        </w:rPr>
        <w:tab/>
        <w:t>8. A real harness bug, root-caused</w:t>
      </w:r>
    </w:p>
    <w:p>
      <w:pPr>
        <w:pStyle w:val="FirstParagraph"/>
        <w:rPr/>
      </w:pPr>
      <w:r>
        <w:rPr>
          <w:sz w:val="20"/>
        </w:rPr>
        <w:t xml:space="preserve">The most instructive find of the campaign was </w:t>
      </w:r>
      <w:r>
        <w:rPr>
          <w:b/>
          <w:bCs/>
          <w:sz w:val="20"/>
        </w:rPr>
        <w:t>only visible on hardware</w:t>
      </w:r>
      <w:r>
        <w:rPr>
          <w:sz w:val="20"/>
        </w:rPr>
        <w:t>, not in simulation.</w:t>
      </w:r>
    </w:p>
    <w:p>
      <w:pPr>
        <w:pStyle w:val="BodyText"/>
        <w:rPr/>
      </w:pPr>
      <w:r>
        <w:rPr>
          <w:sz w:val="20"/>
        </w:rPr>
        <w:t xml:space="preserve">The AXIS pattern generator’s </w:t>
      </w:r>
      <w:r>
        <w:rPr>
          <w:rStyle w:val="VerbatimChar"/>
          <w:sz w:val="20"/>
        </w:rPr>
        <w:t>start</w:t>
      </w:r>
      <w:r>
        <w:rPr>
          <w:sz w:val="20"/>
        </w:rPr>
        <w:t xml:space="preserve"> control was implemented as a </w:t>
      </w:r>
      <w:r>
        <w:rPr>
          <w:b/>
          <w:bCs/>
          <w:sz w:val="20"/>
        </w:rPr>
        <w:t>held level</w:t>
      </w:r>
      <w:r>
        <w:rPr>
          <w:sz w:val="20"/>
        </w:rPr>
        <w:t xml:space="preserve"> — assert the CSR bit, the generator runs. In simulation that is harmless: the testbench edge-arms the generator and resets it between runs, so the level is asserted for exactly one controlled window. Over UART it is not harmless. A single host write holds that level for the </w:t>
      </w:r>
      <w:r>
        <w:rPr>
          <w:b/>
          <w:bCs/>
          <w:sz w:val="20"/>
        </w:rPr>
        <w:t>~1–2 ms</w:t>
      </w:r>
      <w:r>
        <w:rPr>
          <w:sz w:val="20"/>
        </w:rPr>
        <w:t xml:space="preserve"> it takes the next UART transaction to arrive, and the generator </w:t>
      </w:r>
      <w:r>
        <w:rPr>
          <w:b/>
          <w:bCs/>
          <w:sz w:val="20"/>
        </w:rPr>
        <w:t>re-arms and re-runs repeatedly</w:t>
      </w:r>
      <w:r>
        <w:rPr>
          <w:sz w:val="20"/>
        </w:rPr>
        <w:t xml:space="preserve"> for the entire duration of the held level. Each spurious re-run pushes more beats into the sink than the checker expects, and the sink </w:t>
      </w:r>
      <w:r>
        <w:rPr>
          <w:b/>
          <w:bCs/>
          <w:sz w:val="20"/>
        </w:rPr>
        <w:t>desyncs</w:t>
      </w:r>
      <w:r>
        <w:rPr>
          <w:sz w:val="20"/>
        </w:rPr>
        <w:t xml:space="preserve"> — a failure that never reproduced in sim because sim never holds the level across real UART timing.</w:t>
      </w:r>
    </w:p>
    <w:p>
      <w:pPr>
        <w:pStyle w:val="BodyText"/>
        <w:rPr/>
      </w:pPr>
      <w:r>
        <w:rPr>
          <w:sz w:val="20"/>
        </w:rPr>
        <w:t xml:space="preserve">The fix was to make the generator and checker </w:t>
      </w:r>
      <w:r>
        <w:rPr>
          <w:rStyle w:val="VerbatimChar"/>
          <w:sz w:val="20"/>
        </w:rPr>
        <w:t>start</w:t>
      </w:r>
      <w:r>
        <w:rPr>
          <w:sz w:val="20"/>
        </w:rPr>
        <w:t xml:space="preserve"> controls </w:t>
      </w:r>
      <w:r>
        <w:rPr>
          <w:b/>
          <w:bCs/>
          <w:sz w:val="20"/>
        </w:rPr>
        <w:t>one-cycle pulses</w:t>
      </w:r>
      <w:r>
        <w:rPr>
          <w:sz w:val="20"/>
        </w:rPr>
        <w:t xml:space="preserve"> (the same pattern already used by </w:t>
      </w:r>
      <w:r>
        <w:rPr>
          <w:rStyle w:val="VerbatimChar"/>
          <w:sz w:val="20"/>
        </w:rPr>
        <w:t>cam_clear</w:t>
      </w:r>
      <w:r>
        <w:rPr>
          <w:sz w:val="20"/>
        </w:rPr>
        <w:t xml:space="preserve"> elsewhere in the harness) rather than held levels. One arm equals exactly one run, independent of how long the host leaves the CSR bit set. This is a textbook example of a bug that a simulation-only flow cannot catch: it lives entirely in the interaction between a held CSR level and real-world host timing.</w:t>
      </w:r>
    </w:p>
    <w:p>
      <w:pPr>
        <w:pStyle w:val="Normal"/>
        <w:rPr/>
      </w:pPr>
      <w:bookmarkStart w:id="54" w:name="a-real-harness-bug-root-caused"/>
      <w:r>
        <w:rPr/>
        <mc:AlternateContent>
          <mc:Choice Requires="wps">
            <w:drawing>
              <wp:inline distT="0" distB="0" distL="0" distR="0">
                <wp:extent cx="5943600" cy="19050"/>
                <wp:effectExtent l="0" t="0" r="0" b="0"/>
                <wp:docPr id="31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32" name=""/>
                        <wps:cNvSpPr/>
                      </wps:nvSpPr>
                      <wps:spPr>
                        <a:xfrm>
                          <a:off x="0" y="0"/>
                          <a:ext cx="5943600" cy="19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white" stroked="t" o:allowincell="f" style="position:absolute;margin-left:0pt;margin-top:-1.55pt;width:467.95pt;height:1.45pt;mso-wrap-style:none;v-text-anchor:middle;mso-position-horizontal:center;mso-position-vertical:top">
                <v:fill o:detectmouseclick="t" type="solid" color2="black"/>
                <v:stroke color="black" joinstyle="round" endcap="flat"/>
                <w10:wrap type="topAndBottom"/>
              </v:rect>
            </w:pict>
          </mc:Fallback>
        </mc:AlternateContent>
      </w:r>
      <w:bookmarkEnd w:id="54"/>
      <w:r>
        <w:br w:type="page"/>
      </w:r>
    </w:p>
    <w:p>
      <w:pPr>
        <w:pStyle w:val="Heading2"/>
        <w:pBdr>
          <w:bottom w:val="single" w:sz="12" w:space="0" w:color="228B22"/>
        </w:pBdr>
        <w:spacing w:before="280" w:after="80"/>
        <w:rPr/>
      </w:pPr>
      <w:bookmarkStart w:id="55" w:name="__RefHeading___Toc1620_3931778923"/>
      <w:bookmarkStart w:id="56" w:name="on-silicon-results"/>
      <w:bookmarkEnd w:id="55"/>
      <w:r>
        <w:rPr>
          <w:rStyle w:val="SectionNumber"/>
          <w:b/>
          <w:color w:val="228B22"/>
          <w:sz w:val="28"/>
        </w:rPr>
        <w:t>1.10</w:t>
      </w:r>
      <w:r>
        <w:rPr>
          <w:b/>
          <w:color w:val="228B22"/>
          <w:sz w:val="28"/>
        </w:rPr>
        <w:tab/>
        <w:t>9. On-silicon results</w:t>
      </w:r>
    </w:p>
    <w:p>
      <w:pPr>
        <w:pStyle w:val="FirstParagraph"/>
        <w:rPr/>
      </w:pPr>
      <w:r>
        <w:rPr>
          <w:sz w:val="20"/>
        </w:rPr>
        <w:t>The engine ships with two on-silicon regression targets driven over UART, both producing machine-readable JSON results.</w:t>
      </w:r>
    </w:p>
    <w:p>
      <w:pPr>
        <w:pStyle w:val="Compact"/>
        <w:numPr>
          <w:ilvl w:val="0"/>
          <w:numId w:val="21"/>
        </w:numPr>
        <w:rPr/>
      </w:pPr>
      <w:r>
        <w:rPr>
          <w:rStyle w:val="VerbatimChar"/>
          <w:b/>
          <w:bCs/>
        </w:rPr>
        <w:t>make smoke</w:t>
      </w:r>
      <w:r>
        <w:rPr/>
        <w:t xml:space="preserve"> — a quick both-paths run, golden-validated. </w:t>
      </w:r>
      <w:r>
        <w:rPr>
          <w:b/>
          <w:bCs/>
        </w:rPr>
        <w:t>PASS.</w:t>
      </w:r>
    </w:p>
    <w:p>
      <w:pPr>
        <w:pStyle w:val="Compact"/>
        <w:numPr>
          <w:ilvl w:val="0"/>
          <w:numId w:val="22"/>
        </w:numPr>
        <w:rPr/>
      </w:pPr>
      <w:r>
        <w:rPr>
          <w:rStyle w:val="VerbatimChar"/>
          <w:b/>
          <w:bCs/>
        </w:rPr>
        <w:t>make suite</w:t>
      </w:r>
      <w:r>
        <w:rPr/>
        <w:t xml:space="preserve"> — the full sweep. </w:t>
      </w:r>
      <w:r>
        <w:rPr>
          <w:b/>
          <w:bCs/>
        </w:rPr>
        <w:t>48/48 PASS</w:t>
      </w:r>
      <w:r>
        <w:rPr/>
        <w:t>, both paths CRC-verified against the golden model on every configuration.</w:t>
      </w:r>
    </w:p>
    <w:p>
      <w:pPr>
        <w:pStyle w:val="Heading3"/>
        <w:spacing w:before="200" w:after="80"/>
        <w:rPr/>
      </w:pPr>
      <w:bookmarkStart w:id="57" w:name="__RefHeading___Toc1622_3931778923"/>
      <w:bookmarkStart w:id="58" w:name="Xad875c64e0dd0885eca354634faad79f9fd0214"/>
      <w:bookmarkStart w:id="59" w:name="_Fig_8_On_silicon_suite___4"/>
      <w:bookmarkEnd w:id="57"/>
      <w:r>
        <w:rPr>
          <w:rStyle w:val="SectionNumber"/>
          <w:b/>
          <w:color w:val="404040"/>
          <w:sz w:val="24"/>
        </w:rPr>
        <w:t>1.10.1</w:t>
      </w:r>
      <w:r>
        <w:rPr>
          <w:b/>
          <w:color w:val="404040"/>
          <w:sz w:val="24"/>
        </w:rPr>
        <w:tab/>
        <w:t>Figure 9.1: On-silicon suite — 48/48 configurations PASS</w:t>
      </w:r>
      <w:bookmarkEnd w:id="59"/>
    </w:p>
    <w:p>
      <w:pPr>
        <w:pStyle w:val="CaptionedFigure"/>
        <w:rPr/>
      </w:pPr>
      <w:r>
        <w:rPr/>
        <w:drawing>
          <wp:inline distT="0" distB="0" distL="0" distR="0">
            <wp:extent cx="5334000" cy="5287010"/>
            <wp:effectExtent l="0" t="0" r="0" b="0"/>
            <wp:docPr id="33" name="Image8" descr="suite result gri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" name="Image8" descr="suite result grid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5287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ImageCaption"/>
        <w:rPr/>
      </w:pPr>
      <w:r>
        <w:rPr/>
        <w:t>suite result grid</w:t>
      </w:r>
    </w:p>
    <w:p>
      <w:pPr>
        <w:pStyle w:val="BodyText"/>
        <w:rPr/>
      </w:pPr>
      <w:r>
        <w:rPr>
          <w:sz w:val="20"/>
        </w:rPr>
        <w:t>The suite sweeps a clean cross product:</w:t>
      </w:r>
    </w:p>
    <w:tbl>
      <w:tblPr>
        <w:tblStyle w:val="Table"/>
        <w:tblW w:w="7920" w:type="dxa"/>
        <w:jc w:val="left"/>
        <w:tblInd w:w="108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20" w:noHBand="0" w:noVBand="0" w:firstColumn="0" w:lastRow="0" w:lastColumn="0" w:firstRow="1"/>
      </w:tblPr>
      <w:tblGrid>
        <w:gridCol w:w="3960"/>
        <w:gridCol w:w="3959"/>
      </w:tblGrid>
      <w:tr>
        <w:trPr>
          <w:tblHeader w:val="true"/>
        </w:trPr>
        <w:tc>
          <w:tcPr>
            <w:tcW w:w="3960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Axis</w:t>
            </w:r>
          </w:p>
        </w:tc>
        <w:tc>
          <w:tcPr>
            <w:tcW w:w="3959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Values</w:t>
            </w:r>
          </w:p>
        </w:tc>
      </w:tr>
      <w:tr>
        <w:trPr/>
        <w:tc>
          <w:tcPr>
            <w:tcW w:w="396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Active channels</w:t>
            </w:r>
          </w:p>
        </w:tc>
        <w:tc>
          <w:tcPr>
            <w:tcW w:w="395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1, 2, 4</w:t>
            </w:r>
          </w:p>
        </w:tc>
      </w:tr>
      <w:tr>
        <w:trPr/>
        <w:tc>
          <w:tcPr>
            <w:tcW w:w="396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Beats per transfer</w:t>
            </w:r>
          </w:p>
        </w:tc>
        <w:tc>
          <w:tcPr>
            <w:tcW w:w="395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1, 4, 8, 16</w:t>
            </w:r>
          </w:p>
        </w:tc>
      </w:tr>
      <w:tr>
        <w:trPr/>
        <w:tc>
          <w:tcPr>
            <w:tcW w:w="396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Source backpressure</w:t>
            </w:r>
          </w:p>
        </w:tc>
        <w:tc>
          <w:tcPr>
            <w:tcW w:w="395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off, on</w:t>
            </w:r>
          </w:p>
        </w:tc>
      </w:tr>
      <w:tr>
        <w:trPr/>
        <w:tc>
          <w:tcPr>
            <w:tcW w:w="396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Base seed</w:t>
            </w:r>
          </w:p>
        </w:tc>
        <w:tc>
          <w:tcPr>
            <w:tcW w:w="395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default (</w:t>
            </w: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0xDEADBEEF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), </w:t>
            </w: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0xA5A5A5A5</w:t>
            </w:r>
          </w:p>
        </w:tc>
      </w:tr>
    </w:tbl>
    <w:p>
      <w:pPr>
        <w:pStyle w:val="BodyText"/>
        <w:rPr/>
      </w:pPr>
      <w:r>
        <w:rPr>
          <w:sz w:val="20"/>
        </w:rPr>
        <w:t xml:space="preserve">That is </w:t>
      </w:r>
      <w:r>
        <w:rPr>
          <w:rStyle w:val="VerbatimChar"/>
          <w:sz w:val="20"/>
        </w:rPr>
        <w:t>3 x 4 x 2 x 2 = 48</w:t>
      </w:r>
      <w:r>
        <w:rPr>
          <w:sz w:val="20"/>
        </w:rPr>
        <w:t xml:space="preserve"> configurations. Every cell in Figure 9.1 is green: for each configuration, both the sink path (network to memory) and the source path (memory to network) were exercised, and the per-channel write, read, and generator/checker CRCs were compared against the golden model. There were </w:t>
      </w:r>
      <w:r>
        <w:rPr>
          <w:b/>
          <w:bCs/>
          <w:sz w:val="20"/>
        </w:rPr>
        <w:t>zero mismatches and zero errors</w:t>
      </w:r>
      <w:r>
        <w:rPr>
          <w:sz w:val="20"/>
        </w:rPr>
        <w:t xml:space="preserve"> across the entire grid.</w:t>
      </w:r>
    </w:p>
    <w:p>
      <w:pPr>
        <w:pStyle w:val="Normal"/>
        <w:rPr/>
      </w:pPr>
      <w:bookmarkStart w:id="60" w:name="on-silicon-results"/>
      <w:bookmarkStart w:id="61" w:name="Xad875c64e0dd0885eca354634faad79f9fd0214"/>
      <w:r>
        <w:rPr/>
        <mc:AlternateContent>
          <mc:Choice Requires="wps">
            <w:drawing>
              <wp:inline distT="0" distB="0" distL="0" distR="0">
                <wp:extent cx="5943600" cy="19050"/>
                <wp:effectExtent l="0" t="0" r="0" b="0"/>
                <wp:docPr id="34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35" name=""/>
                        <wps:cNvSpPr/>
                      </wps:nvSpPr>
                      <wps:spPr>
                        <a:xfrm>
                          <a:off x="0" y="0"/>
                          <a:ext cx="5943600" cy="19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white" stroked="t" o:allowincell="f" style="position:absolute;margin-left:0pt;margin-top:-1.55pt;width:467.95pt;height:1.45pt;mso-wrap-style:none;v-text-anchor:middle;mso-position-horizontal:center;mso-position-vertical:top">
                <v:fill o:detectmouseclick="t" type="solid" color2="black"/>
                <v:stroke color="black" joinstyle="round" endcap="flat"/>
                <w10:wrap type="topAndBottom"/>
              </v:rect>
            </w:pict>
          </mc:Fallback>
        </mc:AlternateContent>
      </w:r>
      <w:bookmarkEnd w:id="60"/>
      <w:bookmarkEnd w:id="61"/>
      <w:r>
        <w:br w:type="page"/>
      </w:r>
    </w:p>
    <w:p>
      <w:pPr>
        <w:pStyle w:val="Heading2"/>
        <w:pBdr>
          <w:bottom w:val="single" w:sz="12" w:space="0" w:color="228B22"/>
        </w:pBdr>
        <w:spacing w:before="280" w:after="80"/>
        <w:rPr/>
      </w:pPr>
      <w:bookmarkStart w:id="62" w:name="__RefHeading___Toc1624_3931778923"/>
      <w:bookmarkStart w:id="63" w:name="tooling"/>
      <w:bookmarkEnd w:id="62"/>
      <w:r>
        <w:rPr>
          <w:rStyle w:val="SectionNumber"/>
          <w:b/>
          <w:color w:val="228B22"/>
          <w:sz w:val="28"/>
        </w:rPr>
        <w:t>1.11</w:t>
      </w:r>
      <w:r>
        <w:rPr>
          <w:b/>
          <w:color w:val="228B22"/>
          <w:sz w:val="28"/>
        </w:rPr>
        <w:tab/>
        <w:t>10. Tooling</w:t>
      </w:r>
    </w:p>
    <w:p>
      <w:pPr>
        <w:pStyle w:val="FirstParagraph"/>
        <w:rPr/>
      </w:pPr>
      <w:r>
        <w:rPr>
          <w:sz w:val="20"/>
        </w:rPr>
        <w:t>The RAPIDS beats flow deliberately mirrors STREAM’s characterization flow so the two engines share operator muscle memory and result tooling:</w:t>
      </w:r>
    </w:p>
    <w:p>
      <w:pPr>
        <w:pStyle w:val="Compact"/>
        <w:numPr>
          <w:ilvl w:val="0"/>
          <w:numId w:val="23"/>
        </w:numPr>
        <w:rPr/>
      </w:pPr>
      <w:r>
        <w:rPr>
          <w:rStyle w:val="VerbatimChar"/>
          <w:b/>
          <w:bCs/>
        </w:rPr>
        <w:t>make smoke</w:t>
      </w:r>
      <w:r>
        <w:rPr>
          <w:b/>
          <w:bCs/>
        </w:rPr>
        <w:t xml:space="preserve"> / </w:t>
      </w:r>
      <w:r>
        <w:rPr>
          <w:rStyle w:val="VerbatimChar"/>
          <w:b/>
          <w:bCs/>
        </w:rPr>
        <w:t>make suite</w:t>
      </w:r>
      <w:r>
        <w:rPr/>
        <w:t xml:space="preserve"> drive the board over UART and emit timestamped JSON (</w:t>
      </w:r>
      <w:r>
        <w:rPr>
          <w:rStyle w:val="VerbatimChar"/>
        </w:rPr>
        <w:t>reports/rapids_char_suite_*.json</w:t>
      </w:r>
      <w:r>
        <w:rPr/>
        <w:t>) with per-configuration, per-channel golden/measured CRCs and pass flags.</w:t>
      </w:r>
    </w:p>
    <w:p>
      <w:pPr>
        <w:pStyle w:val="Compact"/>
        <w:numPr>
          <w:ilvl w:val="0"/>
          <w:numId w:val="24"/>
        </w:numPr>
        <w:rPr/>
      </w:pPr>
      <w:r>
        <w:rPr>
          <w:rStyle w:val="VerbatimChar"/>
          <w:b/>
          <w:bCs/>
        </w:rPr>
        <w:t>flows-rapids-beats/host/rapids_char_golden.py</w:t>
      </w:r>
      <w:r>
        <w:rPr/>
        <w:t xml:space="preserve"> is the standalone golden model, usable independently of the board for offline expected-value generation.</w:t>
      </w:r>
    </w:p>
    <w:p>
      <w:pPr>
        <w:pStyle w:val="Compact"/>
        <w:numPr>
          <w:ilvl w:val="0"/>
          <w:numId w:val="25"/>
        </w:numPr>
        <w:rPr/>
      </w:pPr>
      <w:r>
        <w:rPr/>
        <w:t xml:space="preserve">The </w:t>
      </w:r>
      <w:r>
        <w:rPr>
          <w:b/>
          <w:bCs/>
        </w:rPr>
        <w:t>DOCX/PDF report pipeline</w:t>
      </w:r>
      <w:r>
        <w:rPr/>
        <w:t xml:space="preserve"> (this document) uses the same house </w:t>
      </w:r>
      <w:r>
        <w:rPr>
          <w:rStyle w:val="VerbatimChar"/>
        </w:rPr>
        <w:t>md_to_docx.py</w:t>
      </w:r>
      <w:r>
        <w:rPr/>
        <w:t xml:space="preserve"> recipe and corporate style sheet STREAM uses, so both characterization reports render identically.</w:t>
      </w:r>
    </w:p>
    <w:p>
      <w:pPr>
        <w:pStyle w:val="Normal"/>
        <w:rPr/>
      </w:pPr>
      <w:bookmarkStart w:id="64" w:name="tooling"/>
      <w:r>
        <w:rPr/>
        <mc:AlternateContent>
          <mc:Choice Requires="wps">
            <w:drawing>
              <wp:inline distT="0" distB="0" distL="0" distR="0">
                <wp:extent cx="5943600" cy="19050"/>
                <wp:effectExtent l="0" t="0" r="0" b="0"/>
                <wp:docPr id="36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37" name=""/>
                        <wps:cNvSpPr/>
                      </wps:nvSpPr>
                      <wps:spPr>
                        <a:xfrm>
                          <a:off x="0" y="0"/>
                          <a:ext cx="5943600" cy="19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white" stroked="t" o:allowincell="f" style="position:absolute;margin-left:0pt;margin-top:-1.55pt;width:467.95pt;height:1.45pt;mso-wrap-style:none;v-text-anchor:middle;mso-position-horizontal:center;mso-position-vertical:top">
                <v:fill o:detectmouseclick="t" type="solid" color2="black"/>
                <v:stroke color="black" joinstyle="round" endcap="flat"/>
                <w10:wrap type="topAndBottom"/>
              </v:rect>
            </w:pict>
          </mc:Fallback>
        </mc:AlternateContent>
      </w:r>
      <w:bookmarkEnd w:id="64"/>
      <w:r>
        <w:br w:type="page"/>
      </w:r>
    </w:p>
    <w:p>
      <w:pPr>
        <w:pStyle w:val="Heading2"/>
        <w:pBdr>
          <w:bottom w:val="single" w:sz="12" w:space="0" w:color="228B22"/>
        </w:pBdr>
        <w:spacing w:before="280" w:after="80"/>
        <w:rPr/>
      </w:pPr>
      <w:bookmarkStart w:id="65" w:name="__RefHeading___Toc1626_3931778923"/>
      <w:bookmarkStart w:id="66" w:name="what-we-learned"/>
      <w:bookmarkEnd w:id="65"/>
      <w:r>
        <w:rPr>
          <w:rStyle w:val="SectionNumber"/>
          <w:b/>
          <w:color w:val="228B22"/>
          <w:sz w:val="28"/>
        </w:rPr>
        <w:t>1.12</w:t>
      </w:r>
      <w:r>
        <w:rPr>
          <w:b/>
          <w:color w:val="228B22"/>
          <w:sz w:val="28"/>
        </w:rPr>
        <w:tab/>
        <w:t>11. What we learned</w:t>
      </w:r>
    </w:p>
    <w:p>
      <w:pPr>
        <w:pStyle w:val="Normal"/>
        <w:numPr>
          <w:ilvl w:val="0"/>
          <w:numId w:val="26"/>
        </w:numPr>
        <w:rPr/>
      </w:pPr>
      <w:r>
        <w:rPr>
          <w:b/>
          <w:bCs/>
          <w:sz w:val="20"/>
        </w:rPr>
        <w:t>The split is clean on silicon.</w:t>
      </w:r>
      <w:r>
        <w:rPr>
          <w:sz w:val="20"/>
        </w:rPr>
        <w:t xml:space="preserve"> Two wholly-separate engines — write-only sink, read-only source — with no shared datapath, driven by one directional scheduler and merged only at the monitor egress. The 48/48 sweep confirms neither path perturbs the other.</w:t>
      </w:r>
    </w:p>
    <w:p>
      <w:pPr>
        <w:pStyle w:val="Normal"/>
        <w:numPr>
          <w:ilvl w:val="0"/>
          <w:numId w:val="27"/>
        </w:numPr>
        <w:rPr/>
      </w:pPr>
      <w:r>
        <w:rPr>
          <w:b/>
          <w:bCs/>
          <w:sz w:val="20"/>
        </w:rPr>
        <w:t>The chronic critical path was route, not logic.</w:t>
      </w:r>
      <w:r>
        <w:rPr>
          <w:sz w:val="20"/>
        </w:rPr>
        <w:t xml:space="preserve"> The </w:t>
      </w:r>
      <w:r>
        <w:rPr>
          <w:rStyle w:val="VerbatimChar"/>
          <w:sz w:val="20"/>
        </w:rPr>
        <w:t>cfg_mon_base_addr</w:t>
      </w:r>
      <w:r>
        <w:rPr>
          <w:sz w:val="20"/>
        </w:rPr>
        <w:t xml:space="preserve"> into </w:t>
      </w:r>
      <w:r>
        <w:rPr>
          <w:rStyle w:val="VerbatimChar"/>
          <w:sz w:val="20"/>
        </w:rPr>
        <w:t>s1_beats_to_limit</w:t>
      </w:r>
      <w:r>
        <w:rPr>
          <w:sz w:val="20"/>
        </w:rPr>
        <w:t xml:space="preserve"> path looked like 19 levels of logic but was 53 % route. Registering the config operands locally in </w:t>
      </w:r>
      <w:r>
        <w:rPr>
          <w:rStyle w:val="VerbatimChar"/>
          <w:sz w:val="20"/>
        </w:rPr>
        <w:t>monbus_group_core</w:t>
      </w:r>
      <w:r>
        <w:rPr>
          <w:sz w:val="20"/>
        </w:rPr>
        <w:t xml:space="preserve"> (</w:t>
      </w:r>
      <w:r>
        <w:rPr>
          <w:rStyle w:val="VerbatimChar"/>
          <w:sz w:val="20"/>
        </w:rPr>
        <w:t>max_fanout = 24</w:t>
      </w:r>
      <w:r>
        <w:rPr>
          <w:sz w:val="20"/>
        </w:rPr>
        <w:t xml:space="preserve">) closed it — from </w:t>
      </w:r>
      <w:r>
        <w:rPr>
          <w:rStyle w:val="VerbatimChar"/>
          <w:sz w:val="20"/>
        </w:rPr>
        <w:t>-0.365 ns</w:t>
      </w:r>
      <w:r>
        <w:rPr>
          <w:sz w:val="20"/>
        </w:rPr>
        <w:t xml:space="preserve"> to </w:t>
      </w:r>
      <w:r>
        <w:rPr>
          <w:rStyle w:val="VerbatimChar"/>
          <w:sz w:val="20"/>
        </w:rPr>
        <w:t>+0.051 ns</w:t>
      </w:r>
      <w:r>
        <w:rPr>
          <w:sz w:val="20"/>
        </w:rPr>
        <w:t xml:space="preserve"> — with no datapath pipelining, and the fix carries over to STREAM.</w:t>
      </w:r>
    </w:p>
    <w:p>
      <w:pPr>
        <w:pStyle w:val="Normal"/>
        <w:numPr>
          <w:ilvl w:val="0"/>
          <w:numId w:val="28"/>
        </w:numPr>
        <w:rPr/>
      </w:pPr>
      <w:r>
        <w:rPr>
          <w:b/>
          <w:bCs/>
          <w:sz w:val="20"/>
        </w:rPr>
        <w:t>Timing closes at 100 MHz with margin to spare in the datapath.</w:t>
      </w:r>
      <w:r>
        <w:rPr>
          <w:sz w:val="20"/>
        </w:rPr>
        <w:t xml:space="preserve"> Final setup WNS </w:t>
      </w:r>
      <w:r>
        <w:rPr>
          <w:rStyle w:val="VerbatimChar"/>
          <w:sz w:val="20"/>
        </w:rPr>
        <w:t>+0.007 ns</w:t>
      </w:r>
      <w:r>
        <w:rPr>
          <w:sz w:val="20"/>
        </w:rPr>
        <w:t>, hold met, zero failing endpoints on the -1 part.</w:t>
      </w:r>
    </w:p>
    <w:p>
      <w:pPr>
        <w:pStyle w:val="Normal"/>
        <w:numPr>
          <w:ilvl w:val="0"/>
          <w:numId w:val="29"/>
        </w:numPr>
        <w:rPr/>
      </w:pPr>
      <w:r>
        <w:rPr>
          <w:b/>
          <w:bCs/>
          <w:sz w:val="20"/>
        </w:rPr>
        <w:t>Vivado catches package collisions Verilator hides.</w:t>
      </w:r>
      <w:r>
        <w:rPr>
          <w:sz w:val="20"/>
        </w:rPr>
        <w:t xml:space="preserve"> </w:t>
      </w:r>
      <w:r>
        <w:rPr>
          <w:rStyle w:val="VerbatimChar"/>
          <w:sz w:val="20"/>
        </w:rPr>
        <w:t>rapids_pkg</w:t>
      </w:r>
      <w:r>
        <w:rPr>
          <w:sz w:val="20"/>
        </w:rPr>
        <w:t xml:space="preserve"> / </w:t>
      </w:r>
      <w:r>
        <w:rPr>
          <w:rStyle w:val="VerbatimChar"/>
          <w:sz w:val="20"/>
        </w:rPr>
        <w:t>stream_pkg</w:t>
      </w:r>
      <w:r>
        <w:rPr>
          <w:sz w:val="20"/>
        </w:rPr>
        <w:t xml:space="preserve"> enum-label and type clashes only surface once Vivado flattens </w:t>
      </w:r>
      <w:r>
        <w:rPr>
          <w:rStyle w:val="VerbatimChar"/>
          <w:sz w:val="20"/>
        </w:rPr>
        <w:t>$unit</w:t>
      </w:r>
      <w:r>
        <w:rPr>
          <w:sz w:val="20"/>
        </w:rPr>
        <w:t xml:space="preserve"> imports; qualifying at the use site is the durable fix.</w:t>
      </w:r>
    </w:p>
    <w:p>
      <w:pPr>
        <w:pStyle w:val="Normal"/>
        <w:numPr>
          <w:ilvl w:val="0"/>
          <w:numId w:val="30"/>
        </w:numPr>
        <w:rPr/>
      </w:pPr>
      <w:r>
        <w:rPr>
          <w:b/>
          <w:bCs/>
          <w:sz w:val="20"/>
        </w:rPr>
        <w:t>Both data paths are golden-validated, not just error-free.</w:t>
      </w:r>
      <w:r>
        <w:rPr>
          <w:sz w:val="20"/>
        </w:rPr>
        <w:t xml:space="preserve"> A deterministic reflected-CRC-32 model checks exact per-channel values on the sink write side, the source read side, and the on-chip checker — in sim and on the host.</w:t>
      </w:r>
    </w:p>
    <w:p>
      <w:pPr>
        <w:pStyle w:val="Normal"/>
        <w:numPr>
          <w:ilvl w:val="0"/>
          <w:numId w:val="31"/>
        </w:numPr>
        <w:spacing w:before="0" w:after="200"/>
        <w:rPr/>
      </w:pPr>
      <w:r>
        <w:rPr>
          <w:b/>
          <w:bCs/>
          <w:sz w:val="20"/>
        </w:rPr>
        <w:t>Some bugs only exist on hardware.</w:t>
      </w:r>
      <w:r>
        <w:rPr>
          <w:sz w:val="20"/>
        </w:rPr>
        <w:t xml:space="preserve"> The held-level AXIS start CSR re-ran the generator for the whole UART inter-transaction gap and desynced the sink; converting </w:t>
      </w:r>
      <w:r>
        <w:rPr>
          <w:rStyle w:val="VerbatimChar"/>
          <w:sz w:val="20"/>
        </w:rPr>
        <w:t>start</w:t>
      </w:r>
      <w:r>
        <w:rPr>
          <w:sz w:val="20"/>
        </w:rPr>
        <w:t xml:space="preserve"> to a one-cycle pulse fixed it. A simulation-only flow would never have seen it.</w:t>
      </w:r>
      <w:bookmarkEnd w:id="1"/>
      <w:bookmarkEnd w:id="66"/>
    </w:p>
    <w:sectPr>
      <w:footerReference w:type="even" r:id="rId11"/>
      <w:footerReference w:type="default" r:id="rId12"/>
      <w:footerReference w:type="first" r:id="rId13"/>
      <w:type w:val="nextPage"/>
      <w:pgSz w:w="12240" w:h="15840"/>
      <w:pgMar w:left="1440" w:right="1440" w:gutter="0" w:header="0" w:top="1440" w:footer="720" w:bottom="1440"/>
      <w:pgNumType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mbria">
    <w:charset w:val="01"/>
    <w:family w:val="roman"/>
    <w:pitch w:val="variable"/>
  </w:font>
  <w:font w:name="Calibri">
    <w:charset w:val="01"/>
    <w:family w:val="roman"/>
    <w:pitch w:val="variable"/>
  </w:font>
  <w:font w:name="Consolas">
    <w:charset w:val="01"/>
    <w:family w:val="roman"/>
    <w:pitch w:val="variable"/>
  </w:font>
  <w:font w:name="Liberation Sans">
    <w:altName w:val="Arial"/>
    <w:charset w:val="01"/>
    <w:family w:val="swiss"/>
    <w:pitch w:val="variable"/>
  </w:font>
  <w:font w:name="Calibri Light">
    <w:charset w:val="01"/>
    <w:family w:val="roman"/>
    <w:pitch w:val="variable"/>
  </w:font>
  <w:font w:name="Symbol">
    <w:charset w:val="02"/>
    <w:family w:val="auto"/>
    <w:pitch w:val="default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spacing w:before="0" w:after="200"/>
      <w:rPr/>
    </w:pPr>
    <w:r>
      <w:rPr/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  <w:tbl>
    <w:tblPr>
      <w:tblW w:w="9360" w:type="dxa"/>
      <w:jc w:val="left"/>
      <w:tblInd w:w="108" w:type="dxa"/>
      <w:tblLayout w:type="fixed"/>
      <w:tblCellMar>
        <w:top w:w="0" w:type="dxa"/>
        <w:left w:w="108" w:type="dxa"/>
        <w:bottom w:w="0" w:type="dxa"/>
        <w:right w:w="108" w:type="dxa"/>
      </w:tblCellMar>
      <w:tblLook w:val="04a0" w:noHBand="0" w:noVBand="1" w:firstColumn="1" w:lastRow="0" w:lastColumn="0" w:firstRow="1"/>
    </w:tblPr>
    <w:tblGrid>
      <w:gridCol w:w="3120"/>
      <w:gridCol w:w="3120"/>
      <w:gridCol w:w="3120"/>
    </w:tblGrid>
    <w:tr>
      <w:trPr/>
      <w:tc>
        <w:tcPr>
          <w:tcW w:w="3120" w:type="dxa"/>
          <w:tcBorders/>
        </w:tcPr>
        <w:p>
          <w:pPr>
            <w:pStyle w:val="Normal"/>
            <w:spacing w:before="0" w:after="200"/>
            <w:jc w:val="left"/>
            <w:rPr/>
          </w:pPr>
          <w:r>
            <w:rPr>
              <w:rFonts w:ascii="Calibri" w:hAnsi="Calibri"/>
              <w:sz w:val="16"/>
            </w:rPr>
            <w:t>RAPIDS Beats DMA Engine Phase 1 Characterization Report</w:t>
          </w:r>
        </w:p>
      </w:tc>
      <w:tc>
        <w:tcPr>
          <w:tcW w:w="3120" w:type="dxa"/>
          <w:tcBorders/>
        </w:tcPr>
        <w:p>
          <w:pPr>
            <w:pStyle w:val="Normal"/>
            <w:spacing w:before="0" w:after="200"/>
            <w:jc w:val="center"/>
            <w:rPr/>
          </w:pPr>
          <w:r>
            <w:rPr>
              <w:rFonts w:ascii="Calibri" w:hAnsi="Calibri"/>
              <w:sz w:val="16"/>
            </w:rPr>
            <w:t>Open Source - MIT License</w:t>
          </w:r>
        </w:p>
      </w:tc>
      <w:tc>
        <w:tcPr>
          <w:tcW w:w="3120" w:type="dxa"/>
          <w:tcBorders/>
        </w:tcPr>
        <w:p>
          <w:pPr>
            <w:pStyle w:val="Normal"/>
            <w:spacing w:before="0" w:after="200"/>
            <w:jc w:val="right"/>
            <w:rPr/>
          </w:pPr>
          <w:r>
            <w:rPr>
              <w:rFonts w:ascii="Calibri" w:hAnsi="Calibri"/>
              <w:sz w:val="16"/>
            </w:rPr>
            <w:t xml:space="preserve">Page </w:t>
          </w:r>
          <w:r>
            <w:rPr/>
            <w:fldChar w:fldCharType="begin"/>
          </w:r>
          <w:r>
            <w:rPr/>
            <w:instrText xml:space="preserve"> PAGE </w:instrText>
          </w:r>
          <w:r>
            <w:rPr/>
            <w:fldChar w:fldCharType="separate"/>
          </w:r>
          <w:r>
            <w:rPr/>
            <w:t>25</w:t>
          </w:r>
          <w:r>
            <w:rPr/>
            <w:fldChar w:fldCharType="end"/>
          </w:r>
          <w:r>
            <w:rPr>
              <w:rFonts w:ascii="Calibri" w:hAnsi="Calibri"/>
              <w:sz w:val="16"/>
            </w:rPr>
            <w:t xml:space="preserve"> of </w:t>
          </w:r>
          <w:r>
            <w:rPr/>
            <w:fldChar w:fldCharType="begin"/>
          </w:r>
          <w:r>
            <w:rPr/>
            <w:instrText xml:space="preserve"> NUMPAGES </w:instrText>
          </w:r>
          <w:r>
            <w:rPr/>
            <w:fldChar w:fldCharType="separate"/>
          </w:r>
          <w:r>
            <w:rPr/>
            <w:t>25</w:t>
          </w:r>
          <w:r>
            <w:rPr/>
            <w:fldChar w:fldCharType="end"/>
          </w:r>
        </w:p>
      </w:tc>
    </w:tr>
  </w:tbl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  <w:tbl>
    <w:tblPr>
      <w:tblW w:w="9360" w:type="dxa"/>
      <w:jc w:val="left"/>
      <w:tblInd w:w="108" w:type="dxa"/>
      <w:tblLayout w:type="fixed"/>
      <w:tblCellMar>
        <w:top w:w="0" w:type="dxa"/>
        <w:left w:w="108" w:type="dxa"/>
        <w:bottom w:w="0" w:type="dxa"/>
        <w:right w:w="108" w:type="dxa"/>
      </w:tblCellMar>
      <w:tblLook w:val="04a0" w:noHBand="0" w:noVBand="1" w:firstColumn="1" w:lastRow="0" w:lastColumn="0" w:firstRow="1"/>
    </w:tblPr>
    <w:tblGrid>
      <w:gridCol w:w="3120"/>
      <w:gridCol w:w="3120"/>
      <w:gridCol w:w="3120"/>
    </w:tblGrid>
    <w:tr>
      <w:trPr/>
      <w:tc>
        <w:tcPr>
          <w:tcW w:w="3120" w:type="dxa"/>
          <w:tcBorders/>
        </w:tcPr>
        <w:p>
          <w:pPr>
            <w:pStyle w:val="Normal"/>
            <w:spacing w:before="0" w:after="200"/>
            <w:jc w:val="left"/>
            <w:rPr/>
          </w:pPr>
          <w:r>
            <w:rPr>
              <w:rFonts w:ascii="Calibri" w:hAnsi="Calibri"/>
              <w:sz w:val="16"/>
            </w:rPr>
            <w:t>RAPIDS Beats DMA Engine Phase 1 Characterization Report</w:t>
          </w:r>
        </w:p>
      </w:tc>
      <w:tc>
        <w:tcPr>
          <w:tcW w:w="3120" w:type="dxa"/>
          <w:tcBorders/>
        </w:tcPr>
        <w:p>
          <w:pPr>
            <w:pStyle w:val="Normal"/>
            <w:spacing w:before="0" w:after="200"/>
            <w:jc w:val="center"/>
            <w:rPr/>
          </w:pPr>
          <w:r>
            <w:rPr>
              <w:rFonts w:ascii="Calibri" w:hAnsi="Calibri"/>
              <w:sz w:val="16"/>
            </w:rPr>
            <w:t>Open Source - MIT License</w:t>
          </w:r>
        </w:p>
      </w:tc>
      <w:tc>
        <w:tcPr>
          <w:tcW w:w="3120" w:type="dxa"/>
          <w:tcBorders/>
        </w:tcPr>
        <w:p>
          <w:pPr>
            <w:pStyle w:val="Normal"/>
            <w:spacing w:before="0" w:after="200"/>
            <w:jc w:val="right"/>
            <w:rPr/>
          </w:pPr>
          <w:r>
            <w:rPr>
              <w:rFonts w:ascii="Calibri" w:hAnsi="Calibri"/>
              <w:sz w:val="16"/>
            </w:rPr>
            <w:t xml:space="preserve">Page </w:t>
          </w:r>
          <w:r>
            <w:rPr/>
            <w:fldChar w:fldCharType="begin"/>
          </w:r>
          <w:r>
            <w:rPr/>
            <w:instrText xml:space="preserve"> PAGE </w:instrText>
          </w:r>
          <w:r>
            <w:rPr/>
            <w:fldChar w:fldCharType="separate"/>
          </w:r>
          <w:r>
            <w:rPr/>
            <w:t>25</w:t>
          </w:r>
          <w:r>
            <w:rPr/>
            <w:fldChar w:fldCharType="end"/>
          </w:r>
          <w:r>
            <w:rPr>
              <w:rFonts w:ascii="Calibri" w:hAnsi="Calibri"/>
              <w:sz w:val="16"/>
            </w:rPr>
            <w:t xml:space="preserve"> of </w:t>
          </w:r>
          <w:r>
            <w:rPr/>
            <w:fldChar w:fldCharType="begin"/>
          </w:r>
          <w:r>
            <w:rPr/>
            <w:instrText xml:space="preserve"> NUMPAGES </w:instrText>
          </w:r>
          <w:r>
            <w:rPr/>
            <w:fldChar w:fldCharType="separate"/>
          </w:r>
          <w:r>
            <w:rPr/>
            <w:t>25</w:t>
          </w:r>
          <w:r>
            <w:rPr/>
            <w:fldChar w:fldCharType="end"/>
          </w:r>
        </w:p>
      </w:tc>
    </w:tr>
  </w:tbl>
</w:ft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decimal"/>
      <w:lvlText w:val="%1."/>
      <w:lvlJc w:val="left"/>
      <w:pPr>
        <w:tabs>
          <w:tab w:val="num" w:pos="0"/>
        </w:tabs>
        <w:ind w:left="720" w:hanging="480"/>
      </w:pPr>
      <w:rPr/>
    </w:lvl>
    <w:lvl w:ilvl="1">
      <w:start w:val="1"/>
      <w:numFmt w:val="decimal"/>
      <w:lvlText w:val="%2."/>
      <w:lvlJc w:val="left"/>
      <w:pPr>
        <w:tabs>
          <w:tab w:val="num" w:pos="0"/>
        </w:tabs>
        <w:ind w:left="1440" w:hanging="480"/>
      </w:pPr>
      <w:rPr/>
    </w:lvl>
    <w:lvl w:ilvl="2">
      <w:start w:val="1"/>
      <w:numFmt w:val="decimal"/>
      <w:lvlText w:val="%3."/>
      <w:lvlJc w:val="left"/>
      <w:pPr>
        <w:tabs>
          <w:tab w:val="num" w:pos="0"/>
        </w:tabs>
        <w:ind w:left="2160" w:hanging="48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480"/>
      </w:pPr>
      <w:rPr/>
    </w:lvl>
    <w:lvl w:ilvl="4">
      <w:start w:val="1"/>
      <w:numFmt w:val="decimal"/>
      <w:lvlText w:val="%5."/>
      <w:lvlJc w:val="left"/>
      <w:pPr>
        <w:tabs>
          <w:tab w:val="num" w:pos="0"/>
        </w:tabs>
        <w:ind w:left="3600" w:hanging="480"/>
      </w:pPr>
      <w:rPr/>
    </w:lvl>
    <w:lvl w:ilvl="5">
      <w:start w:val="1"/>
      <w:numFmt w:val="decimal"/>
      <w:lvlText w:val="%6."/>
      <w:lvlJc w:val="left"/>
      <w:pPr>
        <w:tabs>
          <w:tab w:val="num" w:pos="0"/>
        </w:tabs>
        <w:ind w:left="4320" w:hanging="48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480"/>
      </w:pPr>
      <w:rPr/>
    </w:lvl>
    <w:lvl w:ilvl="7">
      <w:start w:val="1"/>
      <w:numFmt w:val="decimal"/>
      <w:lvlText w:val="%8."/>
      <w:lvlJc w:val="left"/>
      <w:pPr>
        <w:tabs>
          <w:tab w:val="num" w:pos="0"/>
        </w:tabs>
        <w:ind w:left="5760" w:hanging="480"/>
      </w:pPr>
      <w:rPr/>
    </w:lvl>
    <w:lvl w:ilvl="8">
      <w:start w:val="1"/>
      <w:numFmt w:val="decimal"/>
      <w:lvlText w:val="%9."/>
      <w:lvlJc w:val="left"/>
      <w:pPr>
        <w:tabs>
          <w:tab w:val="num" w:pos="0"/>
        </w:tabs>
        <w:ind w:left="6480" w:hanging="480"/>
      </w:pPr>
      <w:rPr/>
    </w:lvl>
  </w:abstractNum>
  <w:abstractNum w:abstractNumId="2">
    <w:lvl w:ilvl="0">
      <w:numFmt w:val="bullet"/>
      <w:lvlText w:val=""/>
      <w:lvlJc w:val="left"/>
      <w:pPr>
        <w:tabs>
          <w:tab w:val="num" w:pos="0"/>
        </w:tabs>
        <w:ind w:left="720" w:hanging="480"/>
      </w:pPr>
      <w:rPr>
        <w:rFonts w:ascii="Symbol" w:hAnsi="Symbol" w:cs="Symbol" w:hint="default"/>
      </w:rPr>
    </w:lvl>
    <w:lvl w:ilvl="1">
      <w:start w:val="0"/>
      <w:numFmt w:val="bullet"/>
      <w:lvlText w:val=""/>
      <w:lvlJc w:val="left"/>
      <w:pPr>
        <w:tabs>
          <w:tab w:val="num" w:pos="0"/>
        </w:tabs>
        <w:ind w:left="1440" w:hanging="480"/>
      </w:pPr>
      <w:rPr>
        <w:rFonts w:ascii="Symbol" w:hAnsi="Symbol" w:cs="Symbol" w:hint="default"/>
      </w:rPr>
    </w:lvl>
    <w:lvl w:ilvl="2">
      <w:start w:val="0"/>
      <w:numFmt w:val="bullet"/>
      <w:lvlText w:val=""/>
      <w:lvlJc w:val="left"/>
      <w:pPr>
        <w:tabs>
          <w:tab w:val="num" w:pos="0"/>
        </w:tabs>
        <w:ind w:left="2160" w:hanging="480"/>
      </w:pPr>
      <w:rPr>
        <w:rFonts w:ascii="Symbol" w:hAnsi="Symbol" w:cs="Symbol" w:hint="default"/>
      </w:rPr>
    </w:lvl>
    <w:lvl w:ilvl="3">
      <w:start w:val="0"/>
      <w:numFmt w:val="bullet"/>
      <w:lvlText w:val=""/>
      <w:lvlJc w:val="left"/>
      <w:pPr>
        <w:tabs>
          <w:tab w:val="num" w:pos="0"/>
        </w:tabs>
        <w:ind w:left="2880" w:hanging="480"/>
      </w:pPr>
      <w:rPr>
        <w:rFonts w:ascii="Symbol" w:hAnsi="Symbol" w:cs="Symbol" w:hint="default"/>
      </w:rPr>
    </w:lvl>
    <w:lvl w:ilvl="4">
      <w:start w:val="0"/>
      <w:numFmt w:val="bullet"/>
      <w:lvlText w:val=""/>
      <w:lvlJc w:val="left"/>
      <w:pPr>
        <w:tabs>
          <w:tab w:val="num" w:pos="0"/>
        </w:tabs>
        <w:ind w:left="3600" w:hanging="480"/>
      </w:pPr>
      <w:rPr>
        <w:rFonts w:ascii="Symbol" w:hAnsi="Symbol" w:cs="Symbol" w:hint="default"/>
      </w:rPr>
    </w:lvl>
    <w:lvl w:ilvl="5">
      <w:start w:val="0"/>
      <w:numFmt w:val="bullet"/>
      <w:lvlText w:val=""/>
      <w:lvlJc w:val="left"/>
      <w:pPr>
        <w:tabs>
          <w:tab w:val="num" w:pos="0"/>
        </w:tabs>
        <w:ind w:left="4320" w:hanging="480"/>
      </w:pPr>
      <w:rPr>
        <w:rFonts w:ascii="Symbol" w:hAnsi="Symbol" w:cs="Symbol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480"/>
      </w:pPr>
      <w:rPr>
        <w:rFonts w:ascii="Symbol" w:hAnsi="Symbol" w:cs="Symbol" w:hint="default"/>
      </w:rPr>
    </w:lvl>
    <w:lvl w:ilvl="7">
      <w:start w:val="0"/>
      <w:numFmt w:val="bullet"/>
      <w:lvlText w:val=""/>
      <w:lvlJc w:val="left"/>
      <w:pPr>
        <w:tabs>
          <w:tab w:val="num" w:pos="0"/>
        </w:tabs>
        <w:ind w:left="5760" w:hanging="480"/>
      </w:pPr>
      <w:rPr>
        <w:rFonts w:ascii="Symbol" w:hAnsi="Symbol" w:cs="Symbol" w:hint="default"/>
      </w:rPr>
    </w:lvl>
    <w:lvl w:ilvl="8">
      <w:start w:val="0"/>
      <w:numFmt w:val="bullet"/>
      <w:lvlText w:val=""/>
      <w:lvlJc w:val="left"/>
      <w:pPr>
        <w:tabs>
          <w:tab w:val="num" w:pos="0"/>
        </w:tabs>
        <w:ind w:left="6480" w:hanging="480"/>
      </w:pPr>
      <w:rPr>
        <w:rFonts w:ascii="Symbol" w:hAnsi="Symbol" w:cs="Symbol" w:hint="default"/>
      </w:rPr>
    </w:lvl>
  </w:abstractNum>
  <w:abstractNum w:abstractNumId="3">
    <w:lvl w:ilvl="0">
      <w:numFmt w:val="bullet"/>
      <w:lvlText w:val=""/>
      <w:lvlJc w:val="left"/>
      <w:pPr>
        <w:tabs>
          <w:tab w:val="num" w:pos="0"/>
        </w:tabs>
        <w:ind w:left="720" w:hanging="480"/>
      </w:pPr>
      <w:rPr>
        <w:rFonts w:ascii="Symbol" w:hAnsi="Symbol" w:cs="Symbol" w:hint="default"/>
      </w:rPr>
    </w:lvl>
    <w:lvl w:ilvl="1">
      <w:start w:val="0"/>
      <w:numFmt w:val="bullet"/>
      <w:lvlText w:val=""/>
      <w:lvlJc w:val="left"/>
      <w:pPr>
        <w:tabs>
          <w:tab w:val="num" w:pos="0"/>
        </w:tabs>
        <w:ind w:left="1440" w:hanging="480"/>
      </w:pPr>
      <w:rPr>
        <w:rFonts w:ascii="Symbol" w:hAnsi="Symbol" w:cs="Symbol" w:hint="default"/>
      </w:rPr>
    </w:lvl>
    <w:lvl w:ilvl="2">
      <w:start w:val="0"/>
      <w:numFmt w:val="bullet"/>
      <w:lvlText w:val=""/>
      <w:lvlJc w:val="left"/>
      <w:pPr>
        <w:tabs>
          <w:tab w:val="num" w:pos="0"/>
        </w:tabs>
        <w:ind w:left="2160" w:hanging="480"/>
      </w:pPr>
      <w:rPr>
        <w:rFonts w:ascii="Symbol" w:hAnsi="Symbol" w:cs="Symbol" w:hint="default"/>
      </w:rPr>
    </w:lvl>
    <w:lvl w:ilvl="3">
      <w:start w:val="0"/>
      <w:numFmt w:val="bullet"/>
      <w:lvlText w:val=""/>
      <w:lvlJc w:val="left"/>
      <w:pPr>
        <w:tabs>
          <w:tab w:val="num" w:pos="0"/>
        </w:tabs>
        <w:ind w:left="2880" w:hanging="480"/>
      </w:pPr>
      <w:rPr>
        <w:rFonts w:ascii="Symbol" w:hAnsi="Symbol" w:cs="Symbol" w:hint="default"/>
      </w:rPr>
    </w:lvl>
    <w:lvl w:ilvl="4">
      <w:start w:val="0"/>
      <w:numFmt w:val="bullet"/>
      <w:lvlText w:val=""/>
      <w:lvlJc w:val="left"/>
      <w:pPr>
        <w:tabs>
          <w:tab w:val="num" w:pos="0"/>
        </w:tabs>
        <w:ind w:left="3600" w:hanging="480"/>
      </w:pPr>
      <w:rPr>
        <w:rFonts w:ascii="Symbol" w:hAnsi="Symbol" w:cs="Symbol" w:hint="default"/>
      </w:rPr>
    </w:lvl>
    <w:lvl w:ilvl="5">
      <w:start w:val="0"/>
      <w:numFmt w:val="bullet"/>
      <w:lvlText w:val=""/>
      <w:lvlJc w:val="left"/>
      <w:pPr>
        <w:tabs>
          <w:tab w:val="num" w:pos="0"/>
        </w:tabs>
        <w:ind w:left="4320" w:hanging="480"/>
      </w:pPr>
      <w:rPr>
        <w:rFonts w:ascii="Symbol" w:hAnsi="Symbol" w:cs="Symbol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480"/>
      </w:pPr>
      <w:rPr>
        <w:rFonts w:ascii="Symbol" w:hAnsi="Symbol" w:cs="Symbol" w:hint="default"/>
      </w:rPr>
    </w:lvl>
    <w:lvl w:ilvl="7">
      <w:start w:val="0"/>
      <w:numFmt w:val="bullet"/>
      <w:lvlText w:val=""/>
      <w:lvlJc w:val="left"/>
      <w:pPr>
        <w:tabs>
          <w:tab w:val="num" w:pos="0"/>
        </w:tabs>
        <w:ind w:left="5760" w:hanging="480"/>
      </w:pPr>
      <w:rPr>
        <w:rFonts w:ascii="Symbol" w:hAnsi="Symbol" w:cs="Symbol" w:hint="default"/>
      </w:rPr>
    </w:lvl>
    <w:lvl w:ilvl="8">
      <w:start w:val="0"/>
      <w:numFmt w:val="bullet"/>
      <w:lvlText w:val=""/>
      <w:lvlJc w:val="left"/>
      <w:pPr>
        <w:tabs>
          <w:tab w:val="num" w:pos="0"/>
        </w:tabs>
        <w:ind w:left="6480" w:hanging="480"/>
      </w:pPr>
      <w:rPr>
        <w:rFonts w:ascii="Symbol" w:hAnsi="Symbol" w:cs="Symbol" w:hint="default"/>
      </w:rPr>
    </w:lvl>
  </w:abstractNum>
  <w:abstractNum w:abstractNumId="4">
    <w:lvl w:ilvl="0">
      <w:numFmt w:val="bullet"/>
      <w:lvlText w:val=""/>
      <w:lvlJc w:val="left"/>
      <w:pPr>
        <w:tabs>
          <w:tab w:val="num" w:pos="0"/>
        </w:tabs>
        <w:ind w:left="720" w:hanging="480"/>
      </w:pPr>
      <w:rPr>
        <w:rFonts w:ascii="Symbol" w:hAnsi="Symbol" w:cs="Symbol" w:hint="default"/>
      </w:rPr>
    </w:lvl>
    <w:lvl w:ilvl="1">
      <w:start w:val="0"/>
      <w:numFmt w:val="bullet"/>
      <w:lvlText w:val=""/>
      <w:lvlJc w:val="left"/>
      <w:pPr>
        <w:tabs>
          <w:tab w:val="num" w:pos="0"/>
        </w:tabs>
        <w:ind w:left="1440" w:hanging="480"/>
      </w:pPr>
      <w:rPr>
        <w:rFonts w:ascii="Symbol" w:hAnsi="Symbol" w:cs="Symbol" w:hint="default"/>
      </w:rPr>
    </w:lvl>
    <w:lvl w:ilvl="2">
      <w:start w:val="0"/>
      <w:numFmt w:val="bullet"/>
      <w:lvlText w:val=""/>
      <w:lvlJc w:val="left"/>
      <w:pPr>
        <w:tabs>
          <w:tab w:val="num" w:pos="0"/>
        </w:tabs>
        <w:ind w:left="2160" w:hanging="480"/>
      </w:pPr>
      <w:rPr>
        <w:rFonts w:ascii="Symbol" w:hAnsi="Symbol" w:cs="Symbol" w:hint="default"/>
      </w:rPr>
    </w:lvl>
    <w:lvl w:ilvl="3">
      <w:start w:val="0"/>
      <w:numFmt w:val="bullet"/>
      <w:lvlText w:val=""/>
      <w:lvlJc w:val="left"/>
      <w:pPr>
        <w:tabs>
          <w:tab w:val="num" w:pos="0"/>
        </w:tabs>
        <w:ind w:left="2880" w:hanging="480"/>
      </w:pPr>
      <w:rPr>
        <w:rFonts w:ascii="Symbol" w:hAnsi="Symbol" w:cs="Symbol" w:hint="default"/>
      </w:rPr>
    </w:lvl>
    <w:lvl w:ilvl="4">
      <w:start w:val="0"/>
      <w:numFmt w:val="bullet"/>
      <w:lvlText w:val=""/>
      <w:lvlJc w:val="left"/>
      <w:pPr>
        <w:tabs>
          <w:tab w:val="num" w:pos="0"/>
        </w:tabs>
        <w:ind w:left="3600" w:hanging="480"/>
      </w:pPr>
      <w:rPr>
        <w:rFonts w:ascii="Symbol" w:hAnsi="Symbol" w:cs="Symbol" w:hint="default"/>
      </w:rPr>
    </w:lvl>
    <w:lvl w:ilvl="5">
      <w:start w:val="0"/>
      <w:numFmt w:val="bullet"/>
      <w:lvlText w:val=""/>
      <w:lvlJc w:val="left"/>
      <w:pPr>
        <w:tabs>
          <w:tab w:val="num" w:pos="0"/>
        </w:tabs>
        <w:ind w:left="4320" w:hanging="480"/>
      </w:pPr>
      <w:rPr>
        <w:rFonts w:ascii="Symbol" w:hAnsi="Symbol" w:cs="Symbol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480"/>
      </w:pPr>
      <w:rPr>
        <w:rFonts w:ascii="Symbol" w:hAnsi="Symbol" w:cs="Symbol" w:hint="default"/>
      </w:rPr>
    </w:lvl>
    <w:lvl w:ilvl="7">
      <w:start w:val="0"/>
      <w:numFmt w:val="bullet"/>
      <w:lvlText w:val=""/>
      <w:lvlJc w:val="left"/>
      <w:pPr>
        <w:tabs>
          <w:tab w:val="num" w:pos="0"/>
        </w:tabs>
        <w:ind w:left="5760" w:hanging="480"/>
      </w:pPr>
      <w:rPr>
        <w:rFonts w:ascii="Symbol" w:hAnsi="Symbol" w:cs="Symbol" w:hint="default"/>
      </w:rPr>
    </w:lvl>
    <w:lvl w:ilvl="8">
      <w:start w:val="0"/>
      <w:numFmt w:val="bullet"/>
      <w:lvlText w:val=""/>
      <w:lvlJc w:val="left"/>
      <w:pPr>
        <w:tabs>
          <w:tab w:val="num" w:pos="0"/>
        </w:tabs>
        <w:ind w:left="6480" w:hanging="480"/>
      </w:pPr>
      <w:rPr>
        <w:rFonts w:ascii="Symbol" w:hAnsi="Symbol" w:cs="Symbol" w:hint="default"/>
      </w:rPr>
    </w:lvl>
  </w:abstractNum>
  <w:abstractNum w:abstractNumId="5">
    <w:lvl w:ilvl="0">
      <w:numFmt w:val="bullet"/>
      <w:lvlText w:val=""/>
      <w:lvlJc w:val="left"/>
      <w:pPr>
        <w:tabs>
          <w:tab w:val="num" w:pos="0"/>
        </w:tabs>
        <w:ind w:left="720" w:hanging="480"/>
      </w:pPr>
      <w:rPr>
        <w:rFonts w:ascii="Symbol" w:hAnsi="Symbol" w:cs="Symbol" w:hint="default"/>
      </w:rPr>
    </w:lvl>
    <w:lvl w:ilvl="1">
      <w:start w:val="0"/>
      <w:numFmt w:val="bullet"/>
      <w:lvlText w:val=""/>
      <w:lvlJc w:val="left"/>
      <w:pPr>
        <w:tabs>
          <w:tab w:val="num" w:pos="0"/>
        </w:tabs>
        <w:ind w:left="1440" w:hanging="480"/>
      </w:pPr>
      <w:rPr>
        <w:rFonts w:ascii="Symbol" w:hAnsi="Symbol" w:cs="Symbol" w:hint="default"/>
      </w:rPr>
    </w:lvl>
    <w:lvl w:ilvl="2">
      <w:start w:val="0"/>
      <w:numFmt w:val="bullet"/>
      <w:lvlText w:val=""/>
      <w:lvlJc w:val="left"/>
      <w:pPr>
        <w:tabs>
          <w:tab w:val="num" w:pos="0"/>
        </w:tabs>
        <w:ind w:left="2160" w:hanging="480"/>
      </w:pPr>
      <w:rPr>
        <w:rFonts w:ascii="Symbol" w:hAnsi="Symbol" w:cs="Symbol" w:hint="default"/>
      </w:rPr>
    </w:lvl>
    <w:lvl w:ilvl="3">
      <w:start w:val="0"/>
      <w:numFmt w:val="bullet"/>
      <w:lvlText w:val=""/>
      <w:lvlJc w:val="left"/>
      <w:pPr>
        <w:tabs>
          <w:tab w:val="num" w:pos="0"/>
        </w:tabs>
        <w:ind w:left="2880" w:hanging="480"/>
      </w:pPr>
      <w:rPr>
        <w:rFonts w:ascii="Symbol" w:hAnsi="Symbol" w:cs="Symbol" w:hint="default"/>
      </w:rPr>
    </w:lvl>
    <w:lvl w:ilvl="4">
      <w:start w:val="0"/>
      <w:numFmt w:val="bullet"/>
      <w:lvlText w:val=""/>
      <w:lvlJc w:val="left"/>
      <w:pPr>
        <w:tabs>
          <w:tab w:val="num" w:pos="0"/>
        </w:tabs>
        <w:ind w:left="3600" w:hanging="480"/>
      </w:pPr>
      <w:rPr>
        <w:rFonts w:ascii="Symbol" w:hAnsi="Symbol" w:cs="Symbol" w:hint="default"/>
      </w:rPr>
    </w:lvl>
    <w:lvl w:ilvl="5">
      <w:start w:val="0"/>
      <w:numFmt w:val="bullet"/>
      <w:lvlText w:val=""/>
      <w:lvlJc w:val="left"/>
      <w:pPr>
        <w:tabs>
          <w:tab w:val="num" w:pos="0"/>
        </w:tabs>
        <w:ind w:left="4320" w:hanging="480"/>
      </w:pPr>
      <w:rPr>
        <w:rFonts w:ascii="Symbol" w:hAnsi="Symbol" w:cs="Symbol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480"/>
      </w:pPr>
      <w:rPr>
        <w:rFonts w:ascii="Symbol" w:hAnsi="Symbol" w:cs="Symbol" w:hint="default"/>
      </w:rPr>
    </w:lvl>
    <w:lvl w:ilvl="7">
      <w:start w:val="0"/>
      <w:numFmt w:val="bullet"/>
      <w:lvlText w:val=""/>
      <w:lvlJc w:val="left"/>
      <w:pPr>
        <w:tabs>
          <w:tab w:val="num" w:pos="0"/>
        </w:tabs>
        <w:ind w:left="5760" w:hanging="480"/>
      </w:pPr>
      <w:rPr>
        <w:rFonts w:ascii="Symbol" w:hAnsi="Symbol" w:cs="Symbol" w:hint="default"/>
      </w:rPr>
    </w:lvl>
    <w:lvl w:ilvl="8">
      <w:start w:val="0"/>
      <w:numFmt w:val="bullet"/>
      <w:lvlText w:val=""/>
      <w:lvlJc w:val="left"/>
      <w:pPr>
        <w:tabs>
          <w:tab w:val="num" w:pos="0"/>
        </w:tabs>
        <w:ind w:left="6480" w:hanging="480"/>
      </w:pPr>
      <w:rPr>
        <w:rFonts w:ascii="Symbol" w:hAnsi="Symbol" w:cs="Symbol" w:hint="default"/>
      </w:rPr>
    </w:lvl>
  </w:abstractNum>
  <w:abstractNum w:abstractNumId="6">
    <w:lvl w:ilvl="0">
      <w:numFmt w:val="bullet"/>
      <w:lvlText w:val=""/>
      <w:lvlJc w:val="left"/>
      <w:pPr>
        <w:tabs>
          <w:tab w:val="num" w:pos="0"/>
        </w:tabs>
        <w:ind w:left="720" w:hanging="480"/>
      </w:pPr>
      <w:rPr>
        <w:rFonts w:ascii="Symbol" w:hAnsi="Symbol" w:cs="Symbol" w:hint="default"/>
      </w:rPr>
    </w:lvl>
    <w:lvl w:ilvl="1">
      <w:start w:val="0"/>
      <w:numFmt w:val="bullet"/>
      <w:lvlText w:val=""/>
      <w:lvlJc w:val="left"/>
      <w:pPr>
        <w:tabs>
          <w:tab w:val="num" w:pos="0"/>
        </w:tabs>
        <w:ind w:left="1440" w:hanging="480"/>
      </w:pPr>
      <w:rPr>
        <w:rFonts w:ascii="Symbol" w:hAnsi="Symbol" w:cs="Symbol" w:hint="default"/>
      </w:rPr>
    </w:lvl>
    <w:lvl w:ilvl="2">
      <w:start w:val="0"/>
      <w:numFmt w:val="bullet"/>
      <w:lvlText w:val=""/>
      <w:lvlJc w:val="left"/>
      <w:pPr>
        <w:tabs>
          <w:tab w:val="num" w:pos="0"/>
        </w:tabs>
        <w:ind w:left="2160" w:hanging="480"/>
      </w:pPr>
      <w:rPr>
        <w:rFonts w:ascii="Symbol" w:hAnsi="Symbol" w:cs="Symbol" w:hint="default"/>
      </w:rPr>
    </w:lvl>
    <w:lvl w:ilvl="3">
      <w:start w:val="0"/>
      <w:numFmt w:val="bullet"/>
      <w:lvlText w:val=""/>
      <w:lvlJc w:val="left"/>
      <w:pPr>
        <w:tabs>
          <w:tab w:val="num" w:pos="0"/>
        </w:tabs>
        <w:ind w:left="2880" w:hanging="480"/>
      </w:pPr>
      <w:rPr>
        <w:rFonts w:ascii="Symbol" w:hAnsi="Symbol" w:cs="Symbol" w:hint="default"/>
      </w:rPr>
    </w:lvl>
    <w:lvl w:ilvl="4">
      <w:start w:val="0"/>
      <w:numFmt w:val="bullet"/>
      <w:lvlText w:val=""/>
      <w:lvlJc w:val="left"/>
      <w:pPr>
        <w:tabs>
          <w:tab w:val="num" w:pos="0"/>
        </w:tabs>
        <w:ind w:left="3600" w:hanging="480"/>
      </w:pPr>
      <w:rPr>
        <w:rFonts w:ascii="Symbol" w:hAnsi="Symbol" w:cs="Symbol" w:hint="default"/>
      </w:rPr>
    </w:lvl>
    <w:lvl w:ilvl="5">
      <w:start w:val="0"/>
      <w:numFmt w:val="bullet"/>
      <w:lvlText w:val=""/>
      <w:lvlJc w:val="left"/>
      <w:pPr>
        <w:tabs>
          <w:tab w:val="num" w:pos="0"/>
        </w:tabs>
        <w:ind w:left="4320" w:hanging="480"/>
      </w:pPr>
      <w:rPr>
        <w:rFonts w:ascii="Symbol" w:hAnsi="Symbol" w:cs="Symbol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480"/>
      </w:pPr>
      <w:rPr>
        <w:rFonts w:ascii="Symbol" w:hAnsi="Symbol" w:cs="Symbol" w:hint="default"/>
      </w:rPr>
    </w:lvl>
    <w:lvl w:ilvl="7">
      <w:start w:val="0"/>
      <w:numFmt w:val="bullet"/>
      <w:lvlText w:val=""/>
      <w:lvlJc w:val="left"/>
      <w:pPr>
        <w:tabs>
          <w:tab w:val="num" w:pos="0"/>
        </w:tabs>
        <w:ind w:left="5760" w:hanging="480"/>
      </w:pPr>
      <w:rPr>
        <w:rFonts w:ascii="Symbol" w:hAnsi="Symbol" w:cs="Symbol" w:hint="default"/>
      </w:rPr>
    </w:lvl>
    <w:lvl w:ilvl="8">
      <w:start w:val="0"/>
      <w:numFmt w:val="bullet"/>
      <w:lvlText w:val=""/>
      <w:lvlJc w:val="left"/>
      <w:pPr>
        <w:tabs>
          <w:tab w:val="num" w:pos="0"/>
        </w:tabs>
        <w:ind w:left="6480" w:hanging="480"/>
      </w:pPr>
      <w:rPr>
        <w:rFonts w:ascii="Symbol" w:hAnsi="Symbol" w:cs="Symbol" w:hint="default"/>
      </w:rPr>
    </w:lvl>
  </w:abstractNum>
  <w:abstractNum w:abstractNumId="7">
    <w:lvl w:ilvl="0">
      <w:numFmt w:val="bullet"/>
      <w:lvlText w:val=""/>
      <w:lvlJc w:val="left"/>
      <w:pPr>
        <w:tabs>
          <w:tab w:val="num" w:pos="0"/>
        </w:tabs>
        <w:ind w:left="720" w:hanging="480"/>
      </w:pPr>
      <w:rPr>
        <w:rFonts w:ascii="Symbol" w:hAnsi="Symbol" w:cs="Symbol" w:hint="default"/>
      </w:rPr>
    </w:lvl>
    <w:lvl w:ilvl="1">
      <w:start w:val="0"/>
      <w:numFmt w:val="bullet"/>
      <w:lvlText w:val=""/>
      <w:lvlJc w:val="left"/>
      <w:pPr>
        <w:tabs>
          <w:tab w:val="num" w:pos="0"/>
        </w:tabs>
        <w:ind w:left="1440" w:hanging="480"/>
      </w:pPr>
      <w:rPr>
        <w:rFonts w:ascii="Symbol" w:hAnsi="Symbol" w:cs="Symbol" w:hint="default"/>
      </w:rPr>
    </w:lvl>
    <w:lvl w:ilvl="2">
      <w:start w:val="0"/>
      <w:numFmt w:val="bullet"/>
      <w:lvlText w:val=""/>
      <w:lvlJc w:val="left"/>
      <w:pPr>
        <w:tabs>
          <w:tab w:val="num" w:pos="0"/>
        </w:tabs>
        <w:ind w:left="2160" w:hanging="480"/>
      </w:pPr>
      <w:rPr>
        <w:rFonts w:ascii="Symbol" w:hAnsi="Symbol" w:cs="Symbol" w:hint="default"/>
      </w:rPr>
    </w:lvl>
    <w:lvl w:ilvl="3">
      <w:start w:val="0"/>
      <w:numFmt w:val="bullet"/>
      <w:lvlText w:val=""/>
      <w:lvlJc w:val="left"/>
      <w:pPr>
        <w:tabs>
          <w:tab w:val="num" w:pos="0"/>
        </w:tabs>
        <w:ind w:left="2880" w:hanging="480"/>
      </w:pPr>
      <w:rPr>
        <w:rFonts w:ascii="Symbol" w:hAnsi="Symbol" w:cs="Symbol" w:hint="default"/>
      </w:rPr>
    </w:lvl>
    <w:lvl w:ilvl="4">
      <w:start w:val="0"/>
      <w:numFmt w:val="bullet"/>
      <w:lvlText w:val=""/>
      <w:lvlJc w:val="left"/>
      <w:pPr>
        <w:tabs>
          <w:tab w:val="num" w:pos="0"/>
        </w:tabs>
        <w:ind w:left="3600" w:hanging="480"/>
      </w:pPr>
      <w:rPr>
        <w:rFonts w:ascii="Symbol" w:hAnsi="Symbol" w:cs="Symbol" w:hint="default"/>
      </w:rPr>
    </w:lvl>
    <w:lvl w:ilvl="5">
      <w:start w:val="0"/>
      <w:numFmt w:val="bullet"/>
      <w:lvlText w:val=""/>
      <w:lvlJc w:val="left"/>
      <w:pPr>
        <w:tabs>
          <w:tab w:val="num" w:pos="0"/>
        </w:tabs>
        <w:ind w:left="4320" w:hanging="480"/>
      </w:pPr>
      <w:rPr>
        <w:rFonts w:ascii="Symbol" w:hAnsi="Symbol" w:cs="Symbol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480"/>
      </w:pPr>
      <w:rPr>
        <w:rFonts w:ascii="Symbol" w:hAnsi="Symbol" w:cs="Symbol" w:hint="default"/>
      </w:rPr>
    </w:lvl>
    <w:lvl w:ilvl="7">
      <w:start w:val="0"/>
      <w:numFmt w:val="bullet"/>
      <w:lvlText w:val=""/>
      <w:lvlJc w:val="left"/>
      <w:pPr>
        <w:tabs>
          <w:tab w:val="num" w:pos="0"/>
        </w:tabs>
        <w:ind w:left="5760" w:hanging="480"/>
      </w:pPr>
      <w:rPr>
        <w:rFonts w:ascii="Symbol" w:hAnsi="Symbol" w:cs="Symbol" w:hint="default"/>
      </w:rPr>
    </w:lvl>
    <w:lvl w:ilvl="8">
      <w:start w:val="0"/>
      <w:numFmt w:val="bullet"/>
      <w:lvlText w:val=""/>
      <w:lvlJc w:val="left"/>
      <w:pPr>
        <w:tabs>
          <w:tab w:val="num" w:pos="0"/>
        </w:tabs>
        <w:ind w:left="6480" w:hanging="480"/>
      </w:pPr>
      <w:rPr>
        <w:rFonts w:ascii="Symbol" w:hAnsi="Symbol" w:cs="Symbol" w:hint="default"/>
      </w:rPr>
    </w:lvl>
  </w:abstractNum>
  <w:abstractNum w:abstractNumId="8">
    <w:lvl w:ilvl="0">
      <w:start w:val="1"/>
      <w:numFmt w:val="decimal"/>
      <w:lvlText w:val="%1."/>
      <w:lvlJc w:val="left"/>
      <w:pPr>
        <w:tabs>
          <w:tab w:val="num" w:pos="0"/>
        </w:tabs>
        <w:ind w:left="720" w:hanging="480"/>
      </w:pPr>
      <w:rPr/>
    </w:lvl>
    <w:lvl w:ilvl="1">
      <w:start w:val="1"/>
      <w:numFmt w:val="decimal"/>
      <w:lvlText w:val="%2."/>
      <w:lvlJc w:val="left"/>
      <w:pPr>
        <w:tabs>
          <w:tab w:val="num" w:pos="0"/>
        </w:tabs>
        <w:ind w:left="1440" w:hanging="480"/>
      </w:pPr>
      <w:rPr/>
    </w:lvl>
    <w:lvl w:ilvl="2">
      <w:start w:val="1"/>
      <w:numFmt w:val="decimal"/>
      <w:lvlText w:val="%3."/>
      <w:lvlJc w:val="left"/>
      <w:pPr>
        <w:tabs>
          <w:tab w:val="num" w:pos="0"/>
        </w:tabs>
        <w:ind w:left="2160" w:hanging="48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480"/>
      </w:pPr>
      <w:rPr/>
    </w:lvl>
    <w:lvl w:ilvl="4">
      <w:start w:val="1"/>
      <w:numFmt w:val="decimal"/>
      <w:lvlText w:val="%5."/>
      <w:lvlJc w:val="left"/>
      <w:pPr>
        <w:tabs>
          <w:tab w:val="num" w:pos="0"/>
        </w:tabs>
        <w:ind w:left="3600" w:hanging="480"/>
      </w:pPr>
      <w:rPr/>
    </w:lvl>
    <w:lvl w:ilvl="5">
      <w:start w:val="1"/>
      <w:numFmt w:val="decimal"/>
      <w:lvlText w:val="%6."/>
      <w:lvlJc w:val="left"/>
      <w:pPr>
        <w:tabs>
          <w:tab w:val="num" w:pos="0"/>
        </w:tabs>
        <w:ind w:left="4320" w:hanging="48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480"/>
      </w:pPr>
      <w:rPr/>
    </w:lvl>
    <w:lvl w:ilvl="7">
      <w:start w:val="1"/>
      <w:numFmt w:val="decimal"/>
      <w:lvlText w:val="%8."/>
      <w:lvlJc w:val="left"/>
      <w:pPr>
        <w:tabs>
          <w:tab w:val="num" w:pos="0"/>
        </w:tabs>
        <w:ind w:left="5760" w:hanging="480"/>
      </w:pPr>
      <w:rPr/>
    </w:lvl>
    <w:lvl w:ilvl="8">
      <w:start w:val="1"/>
      <w:numFmt w:val="decimal"/>
      <w:lvlText w:val="%9."/>
      <w:lvlJc w:val="left"/>
      <w:pPr>
        <w:tabs>
          <w:tab w:val="num" w:pos="0"/>
        </w:tabs>
        <w:ind w:left="6480" w:hanging="480"/>
      </w:pPr>
      <w:rPr/>
    </w:lvl>
  </w:abstractNum>
  <w:abstractNum w:abstractNumId="9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"/>
    <w:lvlOverride w:ilvl="0">
      <w:startOverride w:val="1"/>
    </w:lvlOverride>
  </w:num>
  <w:num w:numId="11">
    <w:abstractNumId w:val="2"/>
  </w:num>
  <w:num w:numId="12">
    <w:abstractNumId w:val="2"/>
  </w:num>
  <w:num w:numId="13">
    <w:abstractNumId w:val="2"/>
  </w:num>
  <w:num w:numId="14">
    <w:abstractNumId w:val="2"/>
  </w:num>
  <w:num w:numId="15">
    <w:abstractNumId w:val="2"/>
  </w:num>
  <w:num w:numId="16">
    <w:abstractNumId w:val="2"/>
  </w:num>
  <w:num w:numId="17">
    <w:abstractNumId w:val="2"/>
  </w:num>
  <w:num w:numId="18">
    <w:abstractNumId w:val="2"/>
  </w:num>
  <w:num w:numId="19">
    <w:abstractNumId w:val="2"/>
  </w:num>
  <w:num w:numId="20">
    <w:abstractNumId w:val="2"/>
  </w:num>
  <w:num w:numId="21">
    <w:abstractNumId w:val="2"/>
  </w:num>
  <w:num w:numId="22">
    <w:abstractNumId w:val="2"/>
  </w:num>
  <w:num w:numId="23">
    <w:abstractNumId w:val="2"/>
  </w:num>
  <w:num w:numId="24">
    <w:abstractNumId w:val="2"/>
  </w:num>
  <w:num w:numId="25">
    <w:abstractNumId w:val="2"/>
  </w:num>
  <w:num w:numId="26">
    <w:abstractNumId w:val="1"/>
    <w:lvlOverride w:ilvl="0">
      <w:startOverride w:val="1"/>
    </w:lvlOverride>
  </w:num>
  <w:num w:numId="27">
    <w:abstractNumId w:val="1"/>
  </w:num>
  <w:num w:numId="28">
    <w:abstractNumId w:val="1"/>
  </w:num>
  <w:num w:numId="29">
    <w:abstractNumId w:val="1"/>
  </w:num>
  <w:num w:numId="30">
    <w:abstractNumId w:val="1"/>
  </w:num>
  <w:num w:numId="31">
    <w:abstractNumId w:val="1"/>
  </w:num>
</w:numbering>
</file>

<file path=word/settings.xml><?xml version="1.0" encoding="utf-8"?>
<w:settings xmlns:w="http://schemas.openxmlformats.org/wordprocessingml/2006/main">
  <w:zoom w:percent="100"/>
  <w:embedSystemFonts/>
  <w:defaultTabStop w:val="720"/>
  <w:autoHyphenation w:val="true"/>
  <w:compat>
    <w:compatSetting w:name="compatibilityMode" w:uri="http://schemas.microsoft.com/office/word" w:val="12"/>
  </w:compat>
  <w:themeFontLang w:val="en-US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mbria" w:hAnsi="Cambria" w:eastAsia="Cambria" w:cs="" w:asciiTheme="minorHAnsi" w:cstheme="minorBidi" w:eastAsiaTheme="minorHAnsi" w:hAnsiTheme="minorHAnsi"/>
        <w:sz w:val="24"/>
        <w:szCs w:val="24"/>
        <w:lang w:val="en-US" w:eastAsia="en-US" w:bidi="ar-SA"/>
      </w:rPr>
    </w:rPrDefault>
    <w:pPrDefault>
      <w:pPr>
        <w:suppressAutoHyphens w:val="true"/>
      </w:pPr>
    </w:pPrDefault>
  </w:docDefaults>
  <w:latentStyles w:defLockedState="0" w:defUIPriority="0" w:defSemiHidden="0" w:defUnhideWhenUsed="0" w:defQFormat="0" w:count="276"/>
  <w:style w:type="paragraph" w:styleId="Normal" w:default="1">
    <w:name w:val="Normal"/>
    <w:qFormat/>
    <w:pPr>
      <w:widowControl/>
      <w:bidi w:val="0"/>
      <w:spacing w:before="0" w:after="200"/>
      <w:jc w:val="left"/>
    </w:pPr>
    <w:rPr>
      <w:rFonts w:ascii="Cambria" w:hAnsi="Cambria" w:eastAsia="Cambria" w:cs="" w:asciiTheme="minorHAnsi" w:cstheme="minorBidi" w:eastAsiaTheme="minorHAnsi" w:hAnsiTheme="minorHAnsi"/>
      <w:color w:val="auto"/>
      <w:kern w:val="0"/>
      <w:sz w:val="24"/>
      <w:szCs w:val="24"/>
      <w:lang w:val="en-US" w:eastAsia="en-US" w:bidi="ar-SA"/>
    </w:rPr>
  </w:style>
  <w:style w:type="paragraph" w:styleId="Heading1">
    <w:name w:val="Heading 1"/>
    <w:basedOn w:val="Normal"/>
    <w:next w:val="BodyText"/>
    <w:uiPriority w:val="9"/>
    <w:qFormat/>
    <w:pPr>
      <w:keepNext w:val="true"/>
      <w:keepLines/>
      <w:spacing w:before="480" w:after="0"/>
      <w:outlineLvl w:val="0"/>
    </w:pPr>
    <w:rPr>
      <w:rFonts w:ascii="Calibri" w:hAnsi="Calibri" w:eastAsia="" w:cs=""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 w:val="true"/>
      <w:keepLines/>
      <w:spacing w:before="200" w:after="0"/>
      <w:outlineLvl w:val="1"/>
    </w:pPr>
    <w:rPr>
      <w:rFonts w:ascii="Calibri" w:hAnsi="Calibri" w:eastAsia="" w:cs=""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type="paragraph" w:styleId="Heading3">
    <w:name w:val="Heading 3"/>
    <w:basedOn w:val="Normal"/>
    <w:next w:val="BodyText"/>
    <w:uiPriority w:val="9"/>
    <w:unhideWhenUsed/>
    <w:qFormat/>
    <w:pPr>
      <w:keepNext w:val="true"/>
      <w:keepLines/>
      <w:spacing w:before="200" w:after="0"/>
      <w:outlineLvl w:val="2"/>
    </w:pPr>
    <w:rPr>
      <w:rFonts w:ascii="Calibri" w:hAnsi="Calibri" w:eastAsia="" w:cs=""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type="paragraph" w:styleId="Heading4">
    <w:name w:val="Heading 4"/>
    <w:basedOn w:val="Normal"/>
    <w:next w:val="BodyText"/>
    <w:uiPriority w:val="9"/>
    <w:unhideWhenUsed/>
    <w:qFormat/>
    <w:pPr>
      <w:keepNext w:val="true"/>
      <w:keepLines/>
      <w:spacing w:before="200" w:after="0"/>
      <w:outlineLvl w:val="3"/>
    </w:pPr>
    <w:rPr>
      <w:rFonts w:ascii="Calibri" w:hAnsi="Calibri" w:eastAsia="" w:cs="" w:asciiTheme="majorHAnsi" w:cstheme="majorBidi" w:eastAsiaTheme="majorEastAsia" w:hAnsiTheme="majorHAnsi"/>
      <w:bCs/>
      <w:i/>
      <w:color w:themeColor="accent1" w:val="4F81BD"/>
      <w:sz w:val="24"/>
      <w:szCs w:val="24"/>
    </w:rPr>
  </w:style>
  <w:style w:type="paragraph" w:styleId="Heading5">
    <w:name w:val="Heading 5"/>
    <w:basedOn w:val="Normal"/>
    <w:next w:val="BodyText"/>
    <w:uiPriority w:val="9"/>
    <w:unhideWhenUsed/>
    <w:qFormat/>
    <w:pPr>
      <w:keepNext w:val="true"/>
      <w:keepLines/>
      <w:spacing w:before="200" w:after="0"/>
      <w:outlineLvl w:val="4"/>
    </w:pPr>
    <w:rPr>
      <w:rFonts w:ascii="Calibri" w:hAnsi="Calibri" w:eastAsia="" w:cs="" w:asciiTheme="majorHAnsi" w:cstheme="majorBidi" w:eastAsiaTheme="majorEastAsia" w:hAnsiTheme="majorHAnsi"/>
      <w:iCs/>
      <w:color w:themeColor="accent1" w:val="4F81BD"/>
      <w:sz w:val="24"/>
      <w:szCs w:val="24"/>
    </w:rPr>
  </w:style>
  <w:style w:type="paragraph" w:styleId="Heading6">
    <w:name w:val="Heading 6"/>
    <w:basedOn w:val="Normal"/>
    <w:next w:val="BodyText"/>
    <w:uiPriority w:val="9"/>
    <w:unhideWhenUsed/>
    <w:qFormat/>
    <w:pPr>
      <w:keepNext w:val="true"/>
      <w:keepLines/>
      <w:spacing w:before="200" w:after="0"/>
      <w:outlineLvl w:val="5"/>
    </w:pPr>
    <w:rPr>
      <w:rFonts w:ascii="Calibri" w:hAnsi="Calibri" w:eastAsia="" w:cs="" w:asciiTheme="majorHAnsi" w:cstheme="majorBidi" w:eastAsiaTheme="majorEastAsia" w:hAnsiTheme="majorHAnsi"/>
      <w:color w:themeColor="accent1" w:val="4F81BD"/>
      <w:sz w:val="24"/>
      <w:szCs w:val="24"/>
    </w:rPr>
  </w:style>
  <w:style w:type="paragraph" w:styleId="Heading7">
    <w:name w:val="Heading 7"/>
    <w:basedOn w:val="Normal"/>
    <w:next w:val="BodyText"/>
    <w:uiPriority w:val="9"/>
    <w:unhideWhenUsed/>
    <w:qFormat/>
    <w:pPr>
      <w:keepNext w:val="true"/>
      <w:keepLines/>
      <w:spacing w:before="200" w:after="0"/>
      <w:outlineLvl w:val="6"/>
    </w:pPr>
    <w:rPr>
      <w:rFonts w:ascii="Calibri" w:hAnsi="Calibri" w:eastAsia="" w:cs="" w:asciiTheme="majorHAnsi" w:cstheme="majorBidi" w:eastAsiaTheme="majorEastAsia" w:hAnsiTheme="majorHAnsi"/>
      <w:color w:themeColor="accent1" w:val="4F81BD"/>
      <w:sz w:val="24"/>
      <w:szCs w:val="24"/>
    </w:rPr>
  </w:style>
  <w:style w:type="paragraph" w:styleId="Heading8">
    <w:name w:val="Heading 8"/>
    <w:basedOn w:val="Normal"/>
    <w:next w:val="BodyText"/>
    <w:uiPriority w:val="9"/>
    <w:unhideWhenUsed/>
    <w:qFormat/>
    <w:pPr>
      <w:keepNext w:val="true"/>
      <w:keepLines/>
      <w:spacing w:before="200" w:after="0"/>
      <w:outlineLvl w:val="7"/>
    </w:pPr>
    <w:rPr>
      <w:rFonts w:ascii="Calibri" w:hAnsi="Calibri" w:eastAsia="" w:cs="" w:asciiTheme="majorHAnsi" w:cstheme="majorBidi" w:eastAsiaTheme="majorEastAsia" w:hAnsiTheme="majorHAnsi"/>
      <w:color w:themeColor="accent1" w:val="4F81BD"/>
      <w:sz w:val="24"/>
      <w:szCs w:val="24"/>
    </w:rPr>
  </w:style>
  <w:style w:type="paragraph" w:styleId="Heading9">
    <w:name w:val="Heading 9"/>
    <w:basedOn w:val="Normal"/>
    <w:next w:val="BodyText"/>
    <w:uiPriority w:val="9"/>
    <w:unhideWhenUsed/>
    <w:qFormat/>
    <w:pPr>
      <w:keepNext w:val="true"/>
      <w:keepLines/>
      <w:spacing w:before="200" w:after="0"/>
      <w:outlineLvl w:val="8"/>
    </w:pPr>
    <w:rPr>
      <w:rFonts w:ascii="Calibri" w:hAnsi="Calibri" w:eastAsia="" w:cs="" w:asciiTheme="majorHAnsi" w:cstheme="majorBidi" w:eastAsiaTheme="majorEastAsia" w:hAnsiTheme="majorHAnsi"/>
      <w:color w:themeColor="accent1" w:val="4F81BD"/>
      <w:sz w:val="24"/>
      <w:szCs w:val="24"/>
    </w:rPr>
  </w:style>
  <w:style w:type="character" w:styleId="DefaultParagraphFont" w:default="1">
    <w:name w:val="Default Paragraph Font"/>
    <w:semiHidden/>
    <w:unhideWhenUsed/>
    <w:qFormat/>
    <w:rPr/>
  </w:style>
  <w:style w:type="character" w:styleId="BodyTextChar" w:customStyle="1">
    <w:name w:val="Body Text Char"/>
    <w:basedOn w:val="DefaultParagraphFont"/>
    <w:qFormat/>
    <w:rPr/>
  </w:style>
  <w:style w:type="character" w:styleId="VerbatimChar" w:customStyle="1">
    <w:name w:val="Verbatim Char"/>
    <w:basedOn w:val="BodyTextChar"/>
    <w:qFormat/>
    <w:rPr>
      <w:rFonts w:ascii="Consolas" w:hAnsi="Consolas"/>
      <w:sz w:val="22"/>
    </w:rPr>
  </w:style>
  <w:style w:type="character" w:styleId="SectionNumber" w:customStyle="1">
    <w:name w:val="Section Number"/>
    <w:basedOn w:val="BodyTextChar"/>
    <w:qFormat/>
    <w:rPr/>
  </w:style>
  <w:style w:type="character" w:styleId="FootnoteCharacters">
    <w:name w:val="Footnote Characters"/>
    <w:basedOn w:val="BodyTextChar"/>
    <w:qFormat/>
    <w:rPr>
      <w:vertAlign w:val="superscript"/>
    </w:rPr>
  </w:style>
  <w:style w:type="character" w:styleId="FootnoteReference">
    <w:name w:val="Footnote Reference"/>
    <w:rPr>
      <w:vertAlign w:val="superscript"/>
    </w:rPr>
  </w:style>
  <w:style w:type="character" w:styleId="Hyperlink">
    <w:name w:val="Hyperlink"/>
    <w:basedOn w:val="BodyTextChar"/>
    <w:rPr>
      <w:color w:themeColor="accent1" w:val="4F81BD"/>
    </w:rPr>
  </w:style>
  <w:style w:type="character" w:styleId="KeywordTok" w:customStyle="1">
    <w:name w:val="KeywordTok"/>
    <w:basedOn w:val="VerbatimChar"/>
    <w:qFormat/>
    <w:rPr>
      <w:b/>
      <w:color w:val="007020"/>
    </w:rPr>
  </w:style>
  <w:style w:type="character" w:styleId="DataTypeTok" w:customStyle="1">
    <w:name w:val="DataTypeTok"/>
    <w:basedOn w:val="VerbatimChar"/>
    <w:qFormat/>
    <w:rPr>
      <w:color w:val="902000"/>
    </w:rPr>
  </w:style>
  <w:style w:type="character" w:styleId="DecValTok" w:customStyle="1">
    <w:name w:val="DecValTok"/>
    <w:basedOn w:val="VerbatimChar"/>
    <w:qFormat/>
    <w:rPr>
      <w:color w:val="40A070"/>
    </w:rPr>
  </w:style>
  <w:style w:type="character" w:styleId="BaseNTok" w:customStyle="1">
    <w:name w:val="BaseNTok"/>
    <w:basedOn w:val="VerbatimChar"/>
    <w:qFormat/>
    <w:rPr>
      <w:color w:val="40A070"/>
    </w:rPr>
  </w:style>
  <w:style w:type="character" w:styleId="FloatTok" w:customStyle="1">
    <w:name w:val="FloatTok"/>
    <w:basedOn w:val="VerbatimChar"/>
    <w:qFormat/>
    <w:rPr>
      <w:color w:val="40A070"/>
    </w:rPr>
  </w:style>
  <w:style w:type="character" w:styleId="ConstantTok" w:customStyle="1">
    <w:name w:val="ConstantTok"/>
    <w:basedOn w:val="VerbatimChar"/>
    <w:qFormat/>
    <w:rPr>
      <w:color w:val="880000"/>
    </w:rPr>
  </w:style>
  <w:style w:type="character" w:styleId="CharTok" w:customStyle="1">
    <w:name w:val="CharTok"/>
    <w:basedOn w:val="VerbatimChar"/>
    <w:qFormat/>
    <w:rPr>
      <w:color w:val="4070A0"/>
    </w:rPr>
  </w:style>
  <w:style w:type="character" w:styleId="SpecialCharTok" w:customStyle="1">
    <w:name w:val="SpecialCharTok"/>
    <w:basedOn w:val="VerbatimChar"/>
    <w:qFormat/>
    <w:rPr>
      <w:color w:val="4070A0"/>
    </w:rPr>
  </w:style>
  <w:style w:type="character" w:styleId="StringTok" w:customStyle="1">
    <w:name w:val="StringTok"/>
    <w:basedOn w:val="VerbatimChar"/>
    <w:qFormat/>
    <w:rPr>
      <w:color w:val="4070A0"/>
    </w:rPr>
  </w:style>
  <w:style w:type="character" w:styleId="VerbatimStringTok" w:customStyle="1">
    <w:name w:val="VerbatimStringTok"/>
    <w:basedOn w:val="VerbatimChar"/>
    <w:qFormat/>
    <w:rPr>
      <w:color w:val="4070A0"/>
    </w:rPr>
  </w:style>
  <w:style w:type="character" w:styleId="SpecialStringTok" w:customStyle="1">
    <w:name w:val="SpecialStringTok"/>
    <w:basedOn w:val="VerbatimChar"/>
    <w:qFormat/>
    <w:rPr>
      <w:color w:val="BB6688"/>
    </w:rPr>
  </w:style>
  <w:style w:type="character" w:styleId="ImportTok" w:customStyle="1">
    <w:name w:val="ImportTok"/>
    <w:basedOn w:val="VerbatimChar"/>
    <w:qFormat/>
    <w:rPr>
      <w:b/>
      <w:color w:val="008000"/>
    </w:rPr>
  </w:style>
  <w:style w:type="character" w:styleId="CommentTok" w:customStyle="1">
    <w:name w:val="CommentTok"/>
    <w:basedOn w:val="VerbatimChar"/>
    <w:qFormat/>
    <w:rPr>
      <w:i/>
      <w:color w:val="60A0B0"/>
    </w:rPr>
  </w:style>
  <w:style w:type="character" w:styleId="DocumentationTok" w:customStyle="1">
    <w:name w:val="DocumentationTok"/>
    <w:basedOn w:val="VerbatimChar"/>
    <w:qFormat/>
    <w:rPr>
      <w:i/>
      <w:color w:val="BA2121"/>
    </w:rPr>
  </w:style>
  <w:style w:type="character" w:styleId="AnnotationTok" w:customStyle="1">
    <w:name w:val="AnnotationTok"/>
    <w:basedOn w:val="VerbatimChar"/>
    <w:qFormat/>
    <w:rPr>
      <w:b/>
      <w:i/>
      <w:color w:val="60A0B0"/>
    </w:rPr>
  </w:style>
  <w:style w:type="character" w:styleId="CommentVarTok" w:customStyle="1">
    <w:name w:val="CommentVarTok"/>
    <w:basedOn w:val="VerbatimChar"/>
    <w:qFormat/>
    <w:rPr>
      <w:b/>
      <w:i/>
      <w:color w:val="60A0B0"/>
    </w:rPr>
  </w:style>
  <w:style w:type="character" w:styleId="OtherTok" w:customStyle="1">
    <w:name w:val="OtherTok"/>
    <w:basedOn w:val="VerbatimChar"/>
    <w:qFormat/>
    <w:rPr>
      <w:color w:val="007020"/>
    </w:rPr>
  </w:style>
  <w:style w:type="character" w:styleId="FunctionTok" w:customStyle="1">
    <w:name w:val="FunctionTok"/>
    <w:basedOn w:val="VerbatimChar"/>
    <w:qFormat/>
    <w:rPr>
      <w:color w:val="06287E"/>
    </w:rPr>
  </w:style>
  <w:style w:type="character" w:styleId="VariableTok" w:customStyle="1">
    <w:name w:val="VariableTok"/>
    <w:basedOn w:val="VerbatimChar"/>
    <w:qFormat/>
    <w:rPr>
      <w:color w:val="19177C"/>
    </w:rPr>
  </w:style>
  <w:style w:type="character" w:styleId="ControlFlowTok" w:customStyle="1">
    <w:name w:val="ControlFlowTok"/>
    <w:basedOn w:val="VerbatimChar"/>
    <w:qFormat/>
    <w:rPr>
      <w:b/>
      <w:color w:val="007020"/>
    </w:rPr>
  </w:style>
  <w:style w:type="character" w:styleId="OperatorTok" w:customStyle="1">
    <w:name w:val="OperatorTok"/>
    <w:basedOn w:val="VerbatimChar"/>
    <w:qFormat/>
    <w:rPr>
      <w:color w:val="666666"/>
    </w:rPr>
  </w:style>
  <w:style w:type="character" w:styleId="BuiltInTok" w:customStyle="1">
    <w:name w:val="BuiltInTok"/>
    <w:basedOn w:val="VerbatimChar"/>
    <w:qFormat/>
    <w:rPr>
      <w:color w:val="008000"/>
    </w:rPr>
  </w:style>
  <w:style w:type="character" w:styleId="ExtensionTok" w:customStyle="1">
    <w:name w:val="ExtensionTok"/>
    <w:basedOn w:val="VerbatimChar"/>
    <w:qFormat/>
    <w:rPr/>
  </w:style>
  <w:style w:type="character" w:styleId="PreprocessorTok" w:customStyle="1">
    <w:name w:val="PreprocessorTok"/>
    <w:basedOn w:val="VerbatimChar"/>
    <w:qFormat/>
    <w:rPr>
      <w:color w:val="BC7A00"/>
    </w:rPr>
  </w:style>
  <w:style w:type="character" w:styleId="AttributeTok" w:customStyle="1">
    <w:name w:val="AttributeTok"/>
    <w:basedOn w:val="VerbatimChar"/>
    <w:qFormat/>
    <w:rPr>
      <w:color w:val="7D9029"/>
    </w:rPr>
  </w:style>
  <w:style w:type="character" w:styleId="RegionMarkerTok" w:customStyle="1">
    <w:name w:val="RegionMarkerTok"/>
    <w:basedOn w:val="VerbatimChar"/>
    <w:qFormat/>
    <w:rPr/>
  </w:style>
  <w:style w:type="character" w:styleId="InformationTok" w:customStyle="1">
    <w:name w:val="InformationTok"/>
    <w:basedOn w:val="VerbatimChar"/>
    <w:qFormat/>
    <w:rPr>
      <w:b/>
      <w:i/>
      <w:color w:val="60A0B0"/>
    </w:rPr>
  </w:style>
  <w:style w:type="character" w:styleId="WarningTok" w:customStyle="1">
    <w:name w:val="WarningTok"/>
    <w:basedOn w:val="VerbatimChar"/>
    <w:qFormat/>
    <w:rPr>
      <w:b/>
      <w:i/>
      <w:color w:val="60A0B0"/>
    </w:rPr>
  </w:style>
  <w:style w:type="character" w:styleId="AlertTok" w:customStyle="1">
    <w:name w:val="AlertTok"/>
    <w:basedOn w:val="VerbatimChar"/>
    <w:qFormat/>
    <w:rPr>
      <w:b/>
      <w:color w:val="FF0000"/>
    </w:rPr>
  </w:style>
  <w:style w:type="character" w:styleId="ErrorTok" w:customStyle="1">
    <w:name w:val="ErrorTok"/>
    <w:basedOn w:val="VerbatimChar"/>
    <w:qFormat/>
    <w:rPr>
      <w:b/>
      <w:color w:val="FF0000"/>
    </w:rPr>
  </w:style>
  <w:style w:type="character" w:styleId="NormalTok" w:customStyle="1">
    <w:name w:val="NormalTok"/>
    <w:basedOn w:val="VerbatimChar"/>
    <w:qFormat/>
    <w:rPr/>
  </w:style>
  <w:style w:type="character" w:styleId="IndexLink">
    <w:name w:val="Index Link"/>
    <w:qFormat/>
    <w:rPr/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link w:val="BodyTextChar"/>
    <w:qFormat/>
    <w:pPr>
      <w:spacing w:before="180" w:after="18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link w:val="BodyTextChar"/>
    <w:qFormat/>
    <w:pPr>
      <w:spacing w:before="0" w:after="120"/>
    </w:pPr>
    <w:rPr>
      <w:i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FirstParagraph" w:customStyle="1">
    <w:name w:val="First Paragraph"/>
    <w:basedOn w:val="BodyText"/>
    <w:next w:val="BodyText"/>
    <w:qFormat/>
    <w:pPr/>
    <w:rPr/>
  </w:style>
  <w:style w:type="paragraph" w:styleId="Compact" w:customStyle="1">
    <w:name w:val="Compact"/>
    <w:basedOn w:val="BodyText"/>
    <w:qFormat/>
    <w:pPr>
      <w:spacing w:before="36" w:after="36"/>
    </w:pPr>
    <w:rPr/>
  </w:style>
  <w:style w:type="paragraph" w:styleId="Title">
    <w:name w:val="Title"/>
    <w:basedOn w:val="Normal"/>
    <w:next w:val="BodyText"/>
    <w:qFormat/>
    <w:pPr>
      <w:keepNext w:val="true"/>
      <w:keepLines/>
      <w:spacing w:before="480" w:after="240"/>
      <w:jc w:val="center"/>
    </w:pPr>
    <w:rPr>
      <w:rFonts w:ascii="Calibri" w:hAnsi="Calibri" w:eastAsia="" w:cs=""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type="paragraph" w:styleId="Subtitle">
    <w:name w:val="Subtitle"/>
    <w:basedOn w:val="Title"/>
    <w:next w:val="BodyText"/>
    <w:qFormat/>
    <w:pPr>
      <w:keepNext w:val="true"/>
      <w:keepLines/>
      <w:spacing w:before="240" w:after="240"/>
      <w:jc w:val="center"/>
    </w:pPr>
    <w:rPr>
      <w:sz w:val="30"/>
      <w:szCs w:val="30"/>
    </w:rPr>
  </w:style>
  <w:style w:type="paragraph" w:styleId="Author" w:customStyle="1">
    <w:name w:val="Author"/>
    <w:next w:val="BodyText"/>
    <w:qFormat/>
    <w:pPr>
      <w:keepNext w:val="true"/>
      <w:keepLines/>
      <w:widowControl/>
      <w:bidi w:val="0"/>
      <w:spacing w:before="0" w:after="200"/>
      <w:jc w:val="center"/>
    </w:pPr>
    <w:rPr>
      <w:rFonts w:ascii="Cambria" w:hAnsi="Cambria" w:eastAsia="Cambria" w:cs="" w:asciiTheme="minorHAnsi" w:cstheme="minorBidi" w:eastAsiaTheme="minorHAnsi" w:hAnsiTheme="minorHAnsi"/>
      <w:color w:val="auto"/>
      <w:kern w:val="0"/>
      <w:sz w:val="24"/>
      <w:szCs w:val="24"/>
      <w:lang w:val="en-US" w:eastAsia="en-US" w:bidi="ar-SA"/>
    </w:rPr>
  </w:style>
  <w:style w:type="paragraph" w:styleId="Date">
    <w:name w:val="Date"/>
    <w:next w:val="BodyText"/>
    <w:qFormat/>
    <w:pPr>
      <w:keepNext w:val="true"/>
      <w:keepLines/>
      <w:widowControl/>
      <w:bidi w:val="0"/>
      <w:spacing w:before="0" w:after="200"/>
      <w:jc w:val="center"/>
    </w:pPr>
    <w:rPr>
      <w:rFonts w:ascii="Cambria" w:hAnsi="Cambria" w:eastAsia="Cambria" w:cs="" w:asciiTheme="minorHAnsi" w:cstheme="minorBidi" w:eastAsiaTheme="minorHAnsi" w:hAnsiTheme="minorHAnsi"/>
      <w:color w:val="auto"/>
      <w:kern w:val="0"/>
      <w:sz w:val="24"/>
      <w:szCs w:val="24"/>
      <w:lang w:val="en-US" w:eastAsia="en-US" w:bidi="ar-SA"/>
    </w:rPr>
  </w:style>
  <w:style w:type="paragraph" w:styleId="AbstractTitle" w:customStyle="1">
    <w:name w:val="Abstract Title"/>
    <w:basedOn w:val="Normal"/>
    <w:next w:val="Abstract"/>
    <w:qFormat/>
    <w:pPr>
      <w:keepNext w:val="true"/>
      <w:keepLines/>
      <w:spacing w:before="300" w:after="0"/>
      <w:jc w:val="center"/>
    </w:pPr>
    <w:rPr>
      <w:b/>
      <w:color w:val="345A8A"/>
      <w:sz w:val="20"/>
      <w:szCs w:val="20"/>
    </w:rPr>
  </w:style>
  <w:style w:type="paragraph" w:styleId="Abstract" w:customStyle="1">
    <w:name w:val="Abstract"/>
    <w:basedOn w:val="Normal"/>
    <w:next w:val="BodyText"/>
    <w:qFormat/>
    <w:pPr>
      <w:keepNext w:val="true"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qFormat/>
    <w:pPr/>
    <w:rPr/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hanging="0" w:left="480" w:right="480"/>
    </w:pPr>
    <w:rPr/>
  </w:style>
  <w:style w:type="paragraph" w:styleId="FootnoteText">
    <w:name w:val="Footnote Text"/>
    <w:basedOn w:val="Normal"/>
    <w:uiPriority w:val="9"/>
    <w:unhideWhenUsed/>
    <w:qFormat/>
    <w:pPr/>
    <w:rPr/>
  </w:style>
  <w:style w:type="paragraph" w:styleId="DefinitionTerm" w:customStyle="1">
    <w:name w:val="Definition Term"/>
    <w:basedOn w:val="Normal"/>
    <w:next w:val="Definition"/>
    <w:qFormat/>
    <w:pPr>
      <w:keepNext w:val="true"/>
      <w:keepLines/>
      <w:spacing w:before="0" w:after="0"/>
    </w:pPr>
    <w:rPr>
      <w:b/>
    </w:rPr>
  </w:style>
  <w:style w:type="paragraph" w:styleId="Definition" w:customStyle="1">
    <w:name w:val="Definition"/>
    <w:basedOn w:val="Normal"/>
    <w:qFormat/>
    <w:pPr/>
    <w:rPr/>
  </w:style>
  <w:style w:type="paragraph" w:styleId="TableCaption" w:customStyle="1">
    <w:name w:val="Table Caption"/>
    <w:basedOn w:val="Caption"/>
    <w:qFormat/>
    <w:pPr>
      <w:keepNext w:val="true"/>
    </w:pPr>
    <w:rPr/>
  </w:style>
  <w:style w:type="paragraph" w:styleId="ImageCaption" w:customStyle="1">
    <w:name w:val="Image Caption"/>
    <w:basedOn w:val="Caption"/>
    <w:qFormat/>
    <w:pPr/>
    <w:rPr/>
  </w:style>
  <w:style w:type="paragraph" w:styleId="Figure" w:customStyle="1">
    <w:name w:val="Figure"/>
    <w:basedOn w:val="Normal"/>
    <w:qFormat/>
    <w:pPr/>
    <w:rPr/>
  </w:style>
  <w:style w:type="paragraph" w:styleId="CaptionedFigure" w:customStyle="1">
    <w:name w:val="Captioned Figure"/>
    <w:basedOn w:val="Figure"/>
    <w:qFormat/>
    <w:pPr>
      <w:keepNext w:val="true"/>
    </w:pPr>
    <w:rPr/>
  </w:style>
  <w:style w:type="paragraph" w:styleId="IndexHeading">
    <w:name w:val="Index Heading"/>
    <w:basedOn w:val="Heading"/>
    <w:pPr/>
    <w:rPr/>
  </w:style>
  <w:style w:type="paragraph" w:styleId="TOCHeading">
    <w:name w:val="TOC Heading"/>
    <w:basedOn w:val="Heading1"/>
    <w:next w:val="BodyText"/>
    <w:uiPriority w:val="39"/>
    <w:unhideWhenUsed/>
    <w:qFormat/>
    <w:pPr>
      <w:spacing w:lineRule="auto" w:line="259" w:before="240" w:after="0"/>
      <w:outlineLvl w:val="9"/>
    </w:pPr>
    <w:rPr>
      <w:rFonts w:ascii="Calibri" w:hAnsi="Calibri" w:eastAsia="" w:cs="" w:asciiTheme="majorHAnsi" w:cstheme="majorBidi" w:eastAsiaTheme="majorEastAsia" w:hAnsiTheme="majorHAnsi"/>
      <w:b w:val="false"/>
      <w:bCs w:val="false"/>
      <w:color w:themeColor="accent1" w:themeShade="bf" w:val="365F91"/>
    </w:rPr>
  </w:style>
  <w:style w:type="paragraph" w:styleId="SourceCode" w:customStyle="1">
    <w:name w:val="Source Code"/>
    <w:basedOn w:val="Normal"/>
    <w:link w:val="VerbatimChar"/>
    <w:qFormat/>
    <w:pPr/>
    <w:rPr/>
  </w:style>
  <w:style w:type="paragraph" w:styleId="HeaderandFooter">
    <w:name w:val="Header and Footer"/>
    <w:basedOn w:val="Normal"/>
    <w:qFormat/>
    <w:pPr/>
    <w:rPr/>
  </w:style>
  <w:style w:type="paragraph" w:styleId="Footer">
    <w:name w:val="Footer"/>
    <w:basedOn w:val="HeaderandFooter"/>
    <w:pPr/>
    <w:rPr/>
  </w:style>
  <w:style w:type="paragraph" w:styleId="TOC1">
    <w:name w:val="TOC 1"/>
    <w:basedOn w:val="Index"/>
    <w:pPr>
      <w:tabs>
        <w:tab w:val="clear" w:pos="720"/>
        <w:tab w:val="right" w:pos="9360" w:leader="dot"/>
      </w:tabs>
      <w:ind w:hanging="0" w:left="0"/>
    </w:pPr>
    <w:rPr/>
  </w:style>
  <w:style w:type="paragraph" w:styleId="TOC2">
    <w:name w:val="TOC 2"/>
    <w:basedOn w:val="Index"/>
    <w:pPr>
      <w:tabs>
        <w:tab w:val="clear" w:pos="720"/>
        <w:tab w:val="right" w:pos="9077" w:leader="dot"/>
      </w:tabs>
      <w:ind w:hanging="0" w:left="283"/>
    </w:pPr>
    <w:rPr/>
  </w:style>
  <w:style w:type="paragraph" w:styleId="TOC3">
    <w:name w:val="TOC 3"/>
    <w:basedOn w:val="Index"/>
    <w:pPr>
      <w:tabs>
        <w:tab w:val="clear" w:pos="720"/>
        <w:tab w:val="right" w:pos="8793" w:leader="dot"/>
      </w:tabs>
      <w:ind w:hanging="0" w:left="567"/>
    </w:pPr>
    <w:rPr/>
  </w:style>
  <w:style w:type="table" w:default="1" w:styleId="Table">
    <w:name w:val="Table"/>
    <w:basedOn w:val="TableNormal"/>
    <w:semiHidden/>
    <w:unhideWhenUsed/>
    <w:qFormat/>
    <w:tblPr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tcBorders>
          <w:bottom w:val="single"/>
        </w:tcBorders>
        <w:vAlign w:val="bottom"/>
      </w:tcPr>
    </w:tblStyle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2.png"/><Relationship Id="rId4" Type="http://schemas.openxmlformats.org/officeDocument/2006/relationships/image" Target="media/image3.png"/><Relationship Id="rId5" Type="http://schemas.openxmlformats.org/officeDocument/2006/relationships/image" Target="media/image4.png"/><Relationship Id="rId6" Type="http://schemas.openxmlformats.org/officeDocument/2006/relationships/image" Target="media/image5.png"/><Relationship Id="rId7" Type="http://schemas.openxmlformats.org/officeDocument/2006/relationships/image" Target="media/image6.png"/><Relationship Id="rId8" Type="http://schemas.openxmlformats.org/officeDocument/2006/relationships/image" Target="media/image7.png"/><Relationship Id="rId9" Type="http://schemas.openxmlformats.org/officeDocument/2006/relationships/image" Target="media/image8.png"/><Relationship Id="rId10" Type="http://schemas.openxmlformats.org/officeDocument/2006/relationships/image" Target="media/image9.png"/><Relationship Id="rId11" Type="http://schemas.openxmlformats.org/officeDocument/2006/relationships/footer" Target="footer1.xml"/><Relationship Id="rId12" Type="http://schemas.openxmlformats.org/officeDocument/2006/relationships/footer" Target="footer2.xml"/><Relationship Id="rId13" Type="http://schemas.openxmlformats.org/officeDocument/2006/relationships/footer" Target="footer3.xml"/><Relationship Id="rId14" Type="http://schemas.openxmlformats.org/officeDocument/2006/relationships/numbering" Target="numbering.xml"/><Relationship Id="rId15" Type="http://schemas.openxmlformats.org/officeDocument/2006/relationships/fontTable" Target="fontTable.xml"/><Relationship Id="rId16" Type="http://schemas.openxmlformats.org/officeDocument/2006/relationships/settings" Target="settings.xml"/><Relationship Id="rId17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 pitchFamily="0" charset="1"/>
        <a:ea typeface=""/>
        <a:cs typeface=""/>
      </a:majorFont>
      <a:minorFont>
        <a:latin typeface="Cambria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tint val="100000"/>
                <a:shade val="100000"/>
              </a:schemeClr>
            </a:gs>
            <a:gs pos="100000">
              <a:schemeClr val="phClr">
                <a:tint val="50000"/>
                <a:shade val="100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Application>LibreOffice/24.2.7.2$Linux_X86_64 LibreOffice_project/420$Build-2</Application>
  <AppVersion>15.0000</AppVersion>
  <Pages>1</Pages>
  <Words>83</Words>
  <Characters>475</Characters>
  <CharactersWithSpaces>583</CharactersWithSpaces>
  <Paragraphs>8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2026-10-20T14:33:39Z</dcterms:created>
  <dc:creator/>
  <dc:description/>
  <dc:language>en-US</dc:language>
  <cp:lastModifiedBy/>
  <dcterms:modified xsi:type="dcterms:W3CDTF">2026-10-20T07:33:43Z</dcterms:modified>
  <cp:revision>1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