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5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51"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20"/>
        </w:rPr>
        <w:t>Binary BCH UART Harness Genesys 2 FPGA board evidence</w:t>
      </w:r>
    </w:p>
    <w:p>
      <w:pPr>
        <w:pStyle w:val="Normal"/>
        <w:keepNext w:val="true"/>
        <w:spacing w:before="400" w:after="200"/>
        <w:jc w:val="center"/>
        <w:rPr/>
      </w:pPr>
      <w:r>
        <w:rPr>
          <w:rFonts w:ascii="Calibri" w:hAnsi="Calibri"/>
          <w:b/>
          <w:color w:val="000000"/>
          <w:sz w:val="20"/>
        </w:rPr>
        <w:t>October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2859_1924947109">
            <w:r>
              <w:rPr>
                <w:webHidden/>
                <w:rStyle w:val="IndexLink"/>
              </w:rPr>
              <w:t>1 Document Information</w:t>
              <w:tab/>
              <w:t>7</w:t>
            </w:r>
          </w:hyperlink>
        </w:p>
        <w:p>
          <w:pPr>
            <w:pStyle w:val="TOC2"/>
            <w:tabs>
              <w:tab w:val="clear" w:pos="9077"/>
              <w:tab w:val="right" w:pos="9359" w:leader="dot"/>
            </w:tabs>
            <w:rPr/>
          </w:pPr>
          <w:hyperlink w:anchor="__RefHeading___Toc2861_1924947109">
            <w:r>
              <w:rPr>
                <w:webHidden/>
                <w:rStyle w:val="IndexLink"/>
              </w:rPr>
              <w:t>1.1 Revision History</w:t>
              <w:tab/>
              <w:t>7</w:t>
            </w:r>
          </w:hyperlink>
        </w:p>
        <w:p>
          <w:pPr>
            <w:pStyle w:val="TOC2"/>
            <w:tabs>
              <w:tab w:val="clear" w:pos="9077"/>
              <w:tab w:val="right" w:pos="9359" w:leader="dot"/>
            </w:tabs>
            <w:rPr/>
          </w:pPr>
          <w:hyperlink w:anchor="__RefHeading___Toc2863_1924947109">
            <w:r>
              <w:rPr>
                <w:webHidden/>
                <w:rStyle w:val="IndexLink"/>
              </w:rPr>
              <w:t>1.2 Scope</w:t>
              <w:tab/>
              <w:t>8</w:t>
            </w:r>
          </w:hyperlink>
        </w:p>
        <w:p>
          <w:pPr>
            <w:pStyle w:val="TOC2"/>
            <w:tabs>
              <w:tab w:val="clear" w:pos="9077"/>
              <w:tab w:val="right" w:pos="9359" w:leader="dot"/>
            </w:tabs>
            <w:rPr/>
          </w:pPr>
          <w:hyperlink w:anchor="__RefHeading___Toc2865_1924947109">
            <w:r>
              <w:rPr>
                <w:webHidden/>
                <w:rStyle w:val="IndexLink"/>
              </w:rPr>
              <w:t>1.3 Provenance</w:t>
              <w:tab/>
              <w:t>9</w:t>
            </w:r>
          </w:hyperlink>
        </w:p>
        <w:p>
          <w:pPr>
            <w:pStyle w:val="TOC1"/>
            <w:tabs>
              <w:tab w:val="clear" w:pos="9360"/>
              <w:tab w:val="right" w:pos="9359" w:leader="dot"/>
            </w:tabs>
            <w:rPr/>
          </w:pPr>
          <w:hyperlink w:anchor="__RefHeading___Toc2867_1924947109">
            <w:r>
              <w:rPr>
                <w:webHidden/>
                <w:rStyle w:val="IndexLink"/>
              </w:rPr>
              <w:t>2 Purpose and Geometry</w:t>
              <w:tab/>
              <w:t>10</w:t>
            </w:r>
          </w:hyperlink>
        </w:p>
        <w:p>
          <w:pPr>
            <w:pStyle w:val="TOC1"/>
            <w:tabs>
              <w:tab w:val="clear" w:pos="9360"/>
              <w:tab w:val="right" w:pos="9359" w:leader="dot"/>
            </w:tabs>
            <w:rPr/>
          </w:pPr>
          <w:hyperlink w:anchor="__RefHeading___Toc2869_1924947109">
            <w:r>
              <w:rPr>
                <w:webHidden/>
                <w:rStyle w:val="IndexLink"/>
              </w:rPr>
              <w:t>3 What Is In It</w:t>
              <w:tab/>
              <w:t>11</w:t>
            </w:r>
          </w:hyperlink>
        </w:p>
        <w:p>
          <w:pPr>
            <w:pStyle w:val="TOC2"/>
            <w:tabs>
              <w:tab w:val="clear" w:pos="9077"/>
              <w:tab w:val="right" w:pos="9359" w:leader="dot"/>
            </w:tabs>
            <w:rPr/>
          </w:pPr>
          <w:hyperlink w:anchor="__RefHeading___Toc2871_1924947109">
            <w:r>
              <w:rPr>
                <w:webHidden/>
                <w:rStyle w:val="IndexLink"/>
              </w:rPr>
              <w:t>3.1 RTL blocks</w:t>
              <w:tab/>
              <w:t>11</w:t>
            </w:r>
          </w:hyperlink>
        </w:p>
        <w:p>
          <w:pPr>
            <w:pStyle w:val="TOC2"/>
            <w:tabs>
              <w:tab w:val="clear" w:pos="9077"/>
              <w:tab w:val="right" w:pos="9359" w:leader="dot"/>
            </w:tabs>
            <w:rPr/>
          </w:pPr>
          <w:hyperlink w:anchor="__RefHeading___Toc2873_1924947109">
            <w:r>
              <w:rPr>
                <w:webHidden/>
                <w:rStyle w:val="IndexLink"/>
              </w:rPr>
              <w:t>3.2 Host scripts</w:t>
              <w:tab/>
              <w:t>13</w:t>
            </w:r>
          </w:hyperlink>
        </w:p>
        <w:p>
          <w:pPr>
            <w:pStyle w:val="TOC2"/>
            <w:tabs>
              <w:tab w:val="clear" w:pos="9077"/>
              <w:tab w:val="right" w:pos="9359" w:leader="dot"/>
            </w:tabs>
            <w:rPr/>
          </w:pPr>
          <w:hyperlink w:anchor="__RefHeading___Toc2875_1924947109">
            <w:r>
              <w:rPr>
                <w:webHidden/>
                <w:rStyle w:val="IndexLink"/>
              </w:rPr>
              <w:t>3.3 Make targets and build flow</w:t>
              <w:tab/>
              <w:t>14</w:t>
            </w:r>
          </w:hyperlink>
        </w:p>
        <w:p>
          <w:pPr>
            <w:pStyle w:val="TOC1"/>
            <w:tabs>
              <w:tab w:val="clear" w:pos="9360"/>
              <w:tab w:val="right" w:pos="9359" w:leader="dot"/>
            </w:tabs>
            <w:rPr/>
          </w:pPr>
          <w:hyperlink w:anchor="__RefHeading___Toc2877_1924947109">
            <w:r>
              <w:rPr>
                <w:webHidden/>
                <w:rStyle w:val="IndexLink"/>
              </w:rPr>
              <w:t>4 How The Pieces Connect</w:t>
              <w:tab/>
              <w:t>15</w:t>
            </w:r>
          </w:hyperlink>
        </w:p>
        <w:p>
          <w:pPr>
            <w:pStyle w:val="TOC2"/>
            <w:tabs>
              <w:tab w:val="clear" w:pos="9077"/>
              <w:tab w:val="right" w:pos="9359" w:leader="dot"/>
            </w:tabs>
            <w:rPr/>
          </w:pPr>
          <w:hyperlink w:anchor="__RefHeading___Toc2879_1924947109">
            <w:r>
              <w:rPr>
                <w:webHidden/>
                <w:rStyle w:val="IndexLink"/>
              </w:rPr>
              <w:t>4.1 Register path</w:t>
              <w:tab/>
              <w:t>15</w:t>
            </w:r>
          </w:hyperlink>
        </w:p>
        <w:p>
          <w:pPr>
            <w:pStyle w:val="TOC3"/>
            <w:tabs>
              <w:tab w:val="clear" w:pos="8793"/>
              <w:tab w:val="right" w:pos="9359" w:leader="dot"/>
            </w:tabs>
            <w:rPr/>
          </w:pPr>
          <w:hyperlink w:anchor="__RefHeading___Toc2881_1924947109">
            <w:r>
              <w:rPr>
                <w:webHidden/>
                <w:rStyle w:val="IndexLink"/>
              </w:rPr>
              <w:t>4.1.1 Figure 2.1: BCH AXIS datapath and register path</w:t>
              <w:tab/>
              <w:t>16</w:t>
            </w:r>
          </w:hyperlink>
        </w:p>
        <w:p>
          <w:pPr>
            <w:pStyle w:val="TOC3"/>
            <w:tabs>
              <w:tab w:val="clear" w:pos="8793"/>
              <w:tab w:val="right" w:pos="9359" w:leader="dot"/>
            </w:tabs>
            <w:rPr/>
          </w:pPr>
          <w:hyperlink w:anchor="__RefHeading___Toc2883_1924947109">
            <w:r>
              <w:rPr>
                <w:webHidden/>
                <w:rStyle w:val="IndexLink"/>
              </w:rPr>
              <w:t>4.1.2 Figure 2.3: UART harness control path</w:t>
              <w:tab/>
              <w:t>17</w:t>
            </w:r>
          </w:hyperlink>
        </w:p>
        <w:p>
          <w:pPr>
            <w:pStyle w:val="TOC2"/>
            <w:tabs>
              <w:tab w:val="clear" w:pos="9077"/>
              <w:tab w:val="right" w:pos="9359" w:leader="dot"/>
            </w:tabs>
            <w:rPr/>
          </w:pPr>
          <w:hyperlink w:anchor="__RefHeading___Toc2885_1924947109">
            <w:r>
              <w:rPr>
                <w:webHidden/>
                <w:rStyle w:val="IndexLink"/>
              </w:rPr>
              <w:t>4.2 AXI4 flavour datapath</w:t>
              <w:tab/>
              <w:t>18</w:t>
            </w:r>
          </w:hyperlink>
        </w:p>
        <w:p>
          <w:pPr>
            <w:pStyle w:val="TOC3"/>
            <w:tabs>
              <w:tab w:val="clear" w:pos="8793"/>
              <w:tab w:val="right" w:pos="9359" w:leader="dot"/>
            </w:tabs>
            <w:rPr/>
          </w:pPr>
          <w:hyperlink w:anchor="__RefHeading___Toc2887_1924947109">
            <w:r>
              <w:rPr>
                <w:webHidden/>
                <w:rStyle w:val="IndexLink"/>
              </w:rPr>
              <w:t>4.2.1 Figure 2.2: BCH AXI4 memory-to-memory datapath</w:t>
              <w:tab/>
              <w:t>19</w:t>
            </w:r>
          </w:hyperlink>
        </w:p>
        <w:p>
          <w:pPr>
            <w:pStyle w:val="TOC2"/>
            <w:tabs>
              <w:tab w:val="clear" w:pos="9077"/>
              <w:tab w:val="right" w:pos="9359" w:leader="dot"/>
            </w:tabs>
            <w:rPr/>
          </w:pPr>
          <w:hyperlink w:anchor="__RefHeading___Toc2889_1924947109">
            <w:r>
              <w:rPr>
                <w:webHidden/>
                <w:rStyle w:val="IndexLink"/>
              </w:rPr>
              <w:t>4.3 Clock and reset</w:t>
              <w:tab/>
              <w:t>21</w:t>
            </w:r>
          </w:hyperlink>
        </w:p>
        <w:p>
          <w:pPr>
            <w:pStyle w:val="TOC1"/>
            <w:tabs>
              <w:tab w:val="clear" w:pos="9360"/>
              <w:tab w:val="right" w:pos="9359" w:leader="dot"/>
            </w:tabs>
            <w:rPr/>
          </w:pPr>
          <w:hyperlink w:anchor="__RefHeading___Toc2891_1924947109">
            <w:r>
              <w:rPr>
                <w:webHidden/>
                <w:rStyle w:val="IndexLink"/>
              </w:rPr>
              <w:t>5 Address Map</w:t>
              <w:tab/>
              <w:t>22</w:t>
            </w:r>
          </w:hyperlink>
        </w:p>
        <w:p>
          <w:pPr>
            <w:pStyle w:val="TOC2"/>
            <w:tabs>
              <w:tab w:val="clear" w:pos="9077"/>
              <w:tab w:val="right" w:pos="9359" w:leader="dot"/>
            </w:tabs>
            <w:rPr/>
          </w:pPr>
          <w:hyperlink w:anchor="__RefHeading___Toc2893_1924947109">
            <w:r>
              <w:rPr>
                <w:webHidden/>
                <w:rStyle w:val="IndexLink"/>
              </w:rPr>
              <w:t>5.1 Figure 2.4: UART harness address map</w:t>
              <w:tab/>
              <w:t>23</w:t>
            </w:r>
          </w:hyperlink>
        </w:p>
        <w:p>
          <w:pPr>
            <w:pStyle w:val="TOC2"/>
            <w:tabs>
              <w:tab w:val="clear" w:pos="9077"/>
              <w:tab w:val="right" w:pos="9359" w:leader="dot"/>
            </w:tabs>
            <w:rPr/>
          </w:pPr>
          <w:hyperlink w:anchor="__RefHeading___Toc2895_1924947109">
            <w:r>
              <w:rPr>
                <w:webHidden/>
                <w:rStyle w:val="IndexLink"/>
              </w:rPr>
              <w:t>5.2 Window summary</w:t>
              <w:tab/>
              <w:t>24</w:t>
            </w:r>
          </w:hyperlink>
        </w:p>
        <w:p>
          <w:pPr>
            <w:pStyle w:val="TOC2"/>
            <w:tabs>
              <w:tab w:val="clear" w:pos="9077"/>
              <w:tab w:val="right" w:pos="9359" w:leader="dot"/>
            </w:tabs>
            <w:rPr/>
          </w:pPr>
          <w:hyperlink w:anchor="__RefHeading___Toc2897_1924947109">
            <w:r>
              <w:rPr>
                <w:webHidden/>
                <w:rStyle w:val="IndexLink"/>
              </w:rPr>
              <w:t>5.3 Loop CSR registers (window 0)</w:t>
              <w:tab/>
              <w:t>25</w:t>
            </w:r>
          </w:hyperlink>
        </w:p>
        <w:p>
          <w:pPr>
            <w:pStyle w:val="TOC3"/>
            <w:tabs>
              <w:tab w:val="clear" w:pos="8793"/>
              <w:tab w:val="right" w:pos="9359" w:leader="dot"/>
            </w:tabs>
            <w:rPr/>
          </w:pPr>
          <w:hyperlink w:anchor="__RefHeading___Toc2899_1924947109">
            <w:r>
              <w:rPr>
                <w:webHidden/>
                <w:rStyle w:val="IndexLink"/>
              </w:rPr>
              <w:t>5.3.1 Identification and control</w:t>
              <w:tab/>
              <w:t>25</w:t>
            </w:r>
          </w:hyperlink>
        </w:p>
        <w:p>
          <w:pPr>
            <w:pStyle w:val="TOC3"/>
            <w:tabs>
              <w:tab w:val="clear" w:pos="8793"/>
              <w:tab w:val="right" w:pos="9359" w:leader="dot"/>
            </w:tabs>
            <w:rPr/>
          </w:pPr>
          <w:hyperlink w:anchor="__RefHeading___Toc2901_1924947109">
            <w:r>
              <w:rPr>
                <w:webHidden/>
                <w:rStyle w:val="IndexLink"/>
              </w:rPr>
              <w:t>5.3.2 Status and profile</w:t>
              <w:tab/>
              <w:t>26</w:t>
            </w:r>
          </w:hyperlink>
        </w:p>
        <w:p>
          <w:pPr>
            <w:pStyle w:val="TOC3"/>
            <w:tabs>
              <w:tab w:val="clear" w:pos="8793"/>
              <w:tab w:val="right" w:pos="9359" w:leader="dot"/>
            </w:tabs>
            <w:rPr/>
          </w:pPr>
          <w:hyperlink w:anchor="__RefHeading___Toc2903_1924947109">
            <w:r>
              <w:rPr>
                <w:webHidden/>
                <w:rStyle w:val="IndexLink"/>
              </w:rPr>
              <w:t>5.3.3 Bandwidth meters</w:t>
              <w:tab/>
              <w:t>26</w:t>
            </w:r>
          </w:hyperlink>
        </w:p>
        <w:p>
          <w:pPr>
            <w:pStyle w:val="TOC2"/>
            <w:tabs>
              <w:tab w:val="clear" w:pos="9077"/>
              <w:tab w:val="right" w:pos="9359" w:leader="dot"/>
            </w:tabs>
            <w:rPr/>
          </w:pPr>
          <w:hyperlink w:anchor="__RefHeading___Toc2905_1924947109">
            <w:r>
              <w:rPr>
                <w:webHidden/>
                <w:rStyle w:val="IndexLink"/>
              </w:rPr>
              <w:t>5.4 Observer windows (windows 1 and 2)</w:t>
              <w:tab/>
              <w:t>28</w:t>
            </w:r>
          </w:hyperlink>
        </w:p>
        <w:p>
          <w:pPr>
            <w:pStyle w:val="TOC1"/>
            <w:tabs>
              <w:tab w:val="clear" w:pos="9360"/>
              <w:tab w:val="right" w:pos="9359" w:leader="dot"/>
            </w:tabs>
            <w:rPr/>
          </w:pPr>
          <w:hyperlink w:anchor="__RefHeading___Toc2907_1924947109">
            <w:r>
              <w:rPr>
                <w:webHidden/>
                <w:rStyle w:val="IndexLink"/>
              </w:rPr>
              <w:t>6 The FPGA-Testing Choices, And Why</w:t>
              <w:tab/>
              <w:t>29</w:t>
            </w:r>
          </w:hyperlink>
        </w:p>
        <w:p>
          <w:pPr>
            <w:pStyle w:val="TOC2"/>
            <w:tabs>
              <w:tab w:val="clear" w:pos="9077"/>
              <w:tab w:val="right" w:pos="9359" w:leader="dot"/>
            </w:tabs>
            <w:rPr/>
          </w:pPr>
          <w:hyperlink w:anchor="__RefHeading___Toc2909_1924947109">
            <w:r>
              <w:rPr>
                <w:webHidden/>
                <w:rStyle w:val="IndexLink"/>
              </w:rPr>
              <w:t>6.1 Deterministic campaigns</w:t>
              <w:tab/>
              <w:t>29</w:t>
            </w:r>
          </w:hyperlink>
        </w:p>
        <w:p>
          <w:pPr>
            <w:pStyle w:val="TOC2"/>
            <w:tabs>
              <w:tab w:val="clear" w:pos="9077"/>
              <w:tab w:val="right" w:pos="9359" w:leader="dot"/>
            </w:tabs>
            <w:rPr/>
          </w:pPr>
          <w:hyperlink w:anchor="__RefHeading___Toc2911_1924947109">
            <w:r>
              <w:rPr>
                <w:webHidden/>
                <w:rStyle w:val="IndexLink"/>
              </w:rPr>
              <w:t>6.2 Injector modes mapped to real failure mechanisms</w:t>
              <w:tab/>
              <w:t>30</w:t>
            </w:r>
          </w:hyperlink>
        </w:p>
        <w:p>
          <w:pPr>
            <w:pStyle w:val="TOC2"/>
            <w:tabs>
              <w:tab w:val="clear" w:pos="9077"/>
              <w:tab w:val="right" w:pos="9359" w:leader="dot"/>
            </w:tabs>
            <w:rPr/>
          </w:pPr>
          <w:hyperlink w:anchor="__RefHeading___Toc2913_1924947109">
            <w:r>
              <w:rPr>
                <w:webHidden/>
                <w:rStyle w:val="IndexLink"/>
              </w:rPr>
              <w:t>6.3 Post-encoder injection protecting parity bits too</w:t>
              <w:tab/>
              <w:t>31</w:t>
            </w:r>
          </w:hyperlink>
        </w:p>
        <w:p>
          <w:pPr>
            <w:pStyle w:val="TOC2"/>
            <w:tabs>
              <w:tab w:val="clear" w:pos="9077"/>
              <w:tab w:val="right" w:pos="9359" w:leader="dot"/>
            </w:tabs>
            <w:rPr/>
          </w:pPr>
          <w:hyperlink w:anchor="__RefHeading___Toc2915_1924947109">
            <w:r>
              <w:rPr>
                <w:webHidden/>
                <w:rStyle w:val="IndexLink"/>
              </w:rPr>
              <w:t>6.4 Recheck + flip-only verdict as the on-chip oracle</w:t>
              <w:tab/>
              <w:t>32</w:t>
            </w:r>
          </w:hyperlink>
        </w:p>
        <w:p>
          <w:pPr>
            <w:pStyle w:val="TOC2"/>
            <w:tabs>
              <w:tab w:val="clear" w:pos="9077"/>
              <w:tab w:val="right" w:pos="9359" w:leader="dot"/>
            </w:tabs>
            <w:rPr/>
          </w:pPr>
          <w:hyperlink w:anchor="__RefHeading___Toc2917_1924947109">
            <w:r>
              <w:rPr>
                <w:webHidden/>
                <w:rStyle w:val="IndexLink"/>
              </w:rPr>
              <w:t>6.5 UART over a debug core, plus the safety pair</w:t>
              <w:tab/>
              <w:t>33</w:t>
            </w:r>
          </w:hyperlink>
        </w:p>
        <w:p>
          <w:pPr>
            <w:pStyle w:val="TOC2"/>
            <w:tabs>
              <w:tab w:val="clear" w:pos="9077"/>
              <w:tab w:val="right" w:pos="9359" w:leader="dot"/>
            </w:tabs>
            <w:rPr/>
          </w:pPr>
          <w:hyperlink w:anchor="__RefHeading___Toc2919_1924947109">
            <w:r>
              <w:rPr>
                <w:webHidden/>
                <w:rStyle w:val="IndexLink"/>
              </w:rPr>
              <w:t>6.6 AXIS vs AXI4 flavours covering both integration styles</w:t>
              <w:tab/>
              <w:t>34</w:t>
            </w:r>
          </w:hyperlink>
        </w:p>
        <w:p>
          <w:pPr>
            <w:pStyle w:val="TOC1"/>
            <w:tabs>
              <w:tab w:val="clear" w:pos="9360"/>
              <w:tab w:val="right" w:pos="9359" w:leader="dot"/>
            </w:tabs>
            <w:rPr/>
          </w:pPr>
          <w:hyperlink w:anchor="__RefHeading___Toc2921_1924947109">
            <w:r>
              <w:rPr>
                <w:webHidden/>
                <w:rStyle w:val="IndexLink"/>
              </w:rPr>
              <w:t>7 Operating It</w:t>
              <w:tab/>
              <w:t>35</w:t>
            </w:r>
          </w:hyperlink>
        </w:p>
        <w:p>
          <w:pPr>
            <w:pStyle w:val="TOC1"/>
            <w:tabs>
              <w:tab w:val="clear" w:pos="9360"/>
              <w:tab w:val="right" w:pos="9359" w:leader="dot"/>
            </w:tabs>
            <w:rPr/>
          </w:pPr>
          <w:hyperlink w:anchor="__RefHeading___Toc2923_1924947109">
            <w:r>
              <w:rPr>
                <w:webHidden/>
                <w:rStyle w:val="IndexLink"/>
              </w:rPr>
              <w:t>8 What Is Deliberately Not Board-Tested</w:t>
              <w:tab/>
              <w:t>36</w:t>
            </w:r>
          </w:hyperlink>
          <w:r>
            <w:rPr>
              <w:rStyle w:val="IndexLink"/>
            </w:rPr>
            <w:fldChar w:fldCharType="end"/>
          </w:r>
        </w:p>
      </w:sdtContent>
    </w:sdt>
    <w:p>
      <w:pPr>
        <w:pStyle w:val="Normal"/>
        <w:rPr/>
      </w:pPr>
      <w:r>
        <w:rPr/>
      </w:r>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BCH_AXIS_datapath_an">
        <w:r>
          <w:rPr>
            <w:rStyle w:val="ListLabel1"/>
            <w:color w:val="000000"/>
            <w:sz w:val="24"/>
          </w:rPr>
          <w:t>Figure 2.1: BCH AXIS datapath and register path</w:t>
        </w:r>
        <w:r>
          <w:rPr>
            <w:rStyle w:val="ListLabel1"/>
          </w:rPr>
          <w:tab/>
        </w:r>
        <w:r>
          <w:rPr>
            <w:rStyle w:val="ListLabel1"/>
          </w:rPr>
          <w:fldChar w:fldCharType="begin"/>
        </w:r>
        <w:r>
          <w:rPr>
            <w:rStyle w:val="ListLabel1"/>
          </w:rPr>
          <w:instrText xml:space="preserve"> PAGEREF _Fig_1_BCH_AXIS_datapath_an \h </w:instrText>
        </w:r>
        <w:r>
          <w:rPr>
            <w:rStyle w:val="ListLabel1"/>
          </w:rPr>
          <w:fldChar w:fldCharType="separate"/>
        </w:r>
        <w:r>
          <w:rPr>
            <w:rStyle w:val="ListLabel1"/>
          </w:rPr>
          <w:t>16</w:t>
        </w:r>
        <w:r>
          <w:rPr>
            <w:rStyle w:val="ListLabel1"/>
          </w:rPr>
          <w:fldChar w:fldCharType="end"/>
        </w:r>
      </w:hyperlink>
    </w:p>
    <w:p>
      <w:pPr>
        <w:pStyle w:val="Normal"/>
        <w:tabs>
          <w:tab w:val="clear" w:pos="720"/>
          <w:tab w:val="right" w:pos="9360" w:leader="dot"/>
        </w:tabs>
        <w:spacing w:before="0" w:after="0"/>
        <w:rPr/>
      </w:pPr>
      <w:hyperlink w:anchor="_Fig_2_UART_harness_control">
        <w:r>
          <w:rPr>
            <w:rStyle w:val="ListLabel1"/>
            <w:color w:val="000000"/>
            <w:sz w:val="24"/>
          </w:rPr>
          <w:t>Figure 2.3: UART harness control path</w:t>
        </w:r>
        <w:r>
          <w:rPr>
            <w:rStyle w:val="ListLabel1"/>
          </w:rPr>
          <w:tab/>
        </w:r>
        <w:r>
          <w:rPr>
            <w:rStyle w:val="ListLabel1"/>
          </w:rPr>
          <w:fldChar w:fldCharType="begin"/>
        </w:r>
        <w:r>
          <w:rPr>
            <w:rStyle w:val="ListLabel1"/>
          </w:rPr>
          <w:instrText xml:space="preserve"> PAGEREF _Fig_2_UART_harness_control \h </w:instrText>
        </w:r>
        <w:r>
          <w:rPr>
            <w:rStyle w:val="ListLabel1"/>
          </w:rPr>
          <w:fldChar w:fldCharType="separate"/>
        </w:r>
        <w:r>
          <w:rPr>
            <w:rStyle w:val="ListLabel1"/>
          </w:rPr>
          <w:t>17</w:t>
        </w:r>
        <w:r>
          <w:rPr>
            <w:rStyle w:val="ListLabel1"/>
          </w:rPr>
          <w:fldChar w:fldCharType="end"/>
        </w:r>
      </w:hyperlink>
    </w:p>
    <w:p>
      <w:pPr>
        <w:pStyle w:val="Normal"/>
        <w:tabs>
          <w:tab w:val="clear" w:pos="720"/>
          <w:tab w:val="right" w:pos="9360" w:leader="dot"/>
        </w:tabs>
        <w:spacing w:before="0" w:after="0"/>
        <w:rPr/>
      </w:pPr>
      <w:hyperlink w:anchor="_Fig_3_BCH_AXI4_memory_to_m">
        <w:r>
          <w:rPr>
            <w:rStyle w:val="ListLabel1"/>
            <w:color w:val="000000"/>
            <w:sz w:val="24"/>
          </w:rPr>
          <w:t>Figure 2.2: BCH AXI4 memory-to-memory datapath</w:t>
        </w:r>
        <w:r>
          <w:rPr>
            <w:rStyle w:val="ListLabel1"/>
          </w:rPr>
          <w:tab/>
        </w:r>
        <w:r>
          <w:rPr>
            <w:rStyle w:val="ListLabel1"/>
          </w:rPr>
          <w:fldChar w:fldCharType="begin"/>
        </w:r>
        <w:r>
          <w:rPr>
            <w:rStyle w:val="ListLabel1"/>
          </w:rPr>
          <w:instrText xml:space="preserve"> PAGEREF _Fig_3_BCH_AXI4_memory_to_m \h </w:instrText>
        </w:r>
        <w:r>
          <w:rPr>
            <w:rStyle w:val="ListLabel1"/>
          </w:rPr>
          <w:fldChar w:fldCharType="separate"/>
        </w:r>
        <w:r>
          <w:rPr>
            <w:rStyle w:val="ListLabel1"/>
          </w:rPr>
          <w:t>19</w:t>
        </w:r>
        <w:r>
          <w:rPr>
            <w:rStyle w:val="ListLabel1"/>
          </w:rPr>
          <w:fldChar w:fldCharType="end"/>
        </w:r>
      </w:hyperlink>
    </w:p>
    <w:p>
      <w:pPr>
        <w:pStyle w:val="Normal"/>
        <w:tabs>
          <w:tab w:val="clear" w:pos="720"/>
          <w:tab w:val="right" w:pos="9360" w:leader="dot"/>
        </w:tabs>
        <w:spacing w:before="0" w:after="0"/>
        <w:rPr/>
      </w:pPr>
      <w:hyperlink w:anchor="_Fig_4_UART_harness_address">
        <w:r>
          <w:rPr>
            <w:rStyle w:val="ListLabel1"/>
            <w:color w:val="000000"/>
            <w:sz w:val="24"/>
          </w:rPr>
          <w:t>Figure 2.4: UART harness address map</w:t>
        </w:r>
        <w:r>
          <w:rPr>
            <w:rStyle w:val="ListLabel1"/>
          </w:rPr>
          <w:tab/>
        </w:r>
        <w:r>
          <w:rPr>
            <w:rStyle w:val="ListLabel1"/>
          </w:rPr>
          <w:fldChar w:fldCharType="begin"/>
        </w:r>
        <w:r>
          <w:rPr>
            <w:rStyle w:val="ListLabel1"/>
          </w:rPr>
          <w:instrText xml:space="preserve"> PAGEREF _Fig_4_UART_harness_address \h </w:instrText>
        </w:r>
        <w:r>
          <w:rPr>
            <w:rStyle w:val="ListLabel1"/>
          </w:rPr>
          <w:fldChar w:fldCharType="separate"/>
        </w:r>
        <w:r>
          <w:rPr>
            <w:rStyle w:val="ListLabel1"/>
          </w:rPr>
          <w:t>23</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Table_0_1__Revision_">
        <w:r>
          <w:rPr>
            <w:rStyle w:val="ListLabel1"/>
            <w:color w:val="000000"/>
            <w:sz w:val="24"/>
          </w:rPr>
          <w:t>Table 1: Table 0.1: Revision history.</w:t>
        </w:r>
        <w:r>
          <w:rPr>
            <w:rStyle w:val="ListLabel1"/>
          </w:rPr>
          <w:tab/>
        </w:r>
        <w:r>
          <w:rPr>
            <w:rStyle w:val="ListLabel1"/>
          </w:rPr>
          <w:fldChar w:fldCharType="begin"/>
        </w:r>
        <w:r>
          <w:rPr>
            <w:rStyle w:val="ListLabel1"/>
          </w:rPr>
          <w:instrText xml:space="preserve"> PAGEREF _Tab_1_Table_0_1__Revision_ \h </w:instrText>
        </w:r>
        <w:r>
          <w:rPr>
            <w:rStyle w:val="ListLabel1"/>
          </w:rPr>
          <w:fldChar w:fldCharType="separate"/>
        </w:r>
        <w:r>
          <w:rPr>
            <w:rStyle w:val="ListLabel1"/>
          </w:rPr>
          <w:t>7</w:t>
        </w:r>
        <w:r>
          <w:rPr>
            <w:rStyle w:val="ListLabel1"/>
          </w:rPr>
          <w:fldChar w:fldCharType="end"/>
        </w:r>
      </w:hyperlink>
    </w:p>
    <w:p>
      <w:pPr>
        <w:pStyle w:val="Normal"/>
        <w:rPr/>
      </w:pPr>
      <w:r>
        <w:rPr/>
      </w:r>
      <w:r>
        <w:br w:type="page"/>
      </w:r>
    </w:p>
    <w:p>
      <w:pPr>
        <w:pStyle w:val="FirstParagraph"/>
        <w:spacing w:before="0" w:after="180"/>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1"/>
        <w:shd w:val="clear" w:color="auto" w:fill="404040"/>
        <w:spacing w:before="360" w:after="120"/>
        <w:rPr/>
      </w:pPr>
      <w:bookmarkStart w:id="0" w:name="__RefHeading___Toc2859_1924947109"/>
      <w:bookmarkStart w:id="1" w:name="document-information"/>
      <w:bookmarkEnd w:id="0"/>
      <w:r>
        <w:rPr>
          <w:rStyle w:val="SectionNumber"/>
          <w:b/>
          <w:color w:val="FFFFFF"/>
          <w:sz w:val="32"/>
        </w:rPr>
        <w:t>1</w:t>
      </w:r>
      <w:r>
        <w:rPr>
          <w:b/>
          <w:color w:val="FFFFFF"/>
          <w:sz w:val="32"/>
        </w:rPr>
        <w:tab/>
        <w:t>Document Information</w:t>
      </w:r>
    </w:p>
    <w:p>
      <w:pPr>
        <w:pStyle w:val="Heading2"/>
        <w:pageBreakBefore w:val="false"/>
        <w:pBdr>
          <w:bottom w:val="single" w:sz="12" w:space="0" w:color="228B22"/>
        </w:pBdr>
        <w:spacing w:before="280" w:after="80"/>
        <w:rPr/>
      </w:pPr>
      <w:bookmarkStart w:id="2" w:name="__RefHeading___Toc2861_1924947109"/>
      <w:bookmarkEnd w:id="2"/>
      <w:r>
        <w:rPr>
          <w:rStyle w:val="SectionNumber"/>
          <w:b/>
          <w:color w:val="228B22"/>
          <w:sz w:val="28"/>
        </w:rPr>
        <w:t>1.1</w:t>
      </w:r>
      <w:r>
        <w:rPr>
          <w:b/>
          <w:color w:val="228B22"/>
          <w:sz w:val="28"/>
        </w:rPr>
        <w:tab/>
        <w:t>Revision History</w:t>
      </w:r>
    </w:p>
    <w:p>
      <w:pPr>
        <w:pStyle w:val="TableCaption"/>
        <w:rPr/>
      </w:pPr>
      <w:bookmarkStart w:id="3" w:name="_Tab_1_Table_0_1__Revision_"/>
      <w:r>
        <w:rPr/>
        <w:t>Table 0.1: Revision history.</w:t>
      </w:r>
      <w:bookmarkEnd w:id="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29"/>
        <w:gridCol w:w="1518"/>
        <w:gridCol w:w="2023"/>
        <w:gridCol w:w="3289"/>
      </w:tblGrid>
      <w:tr>
        <w:trPr>
          <w:tblHeader w:val="true"/>
        </w:trPr>
        <w:tc>
          <w:tcPr>
            <w:tcW w:w="25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Revision</w:t>
            </w:r>
          </w:p>
        </w:tc>
        <w:tc>
          <w:tcPr>
            <w:tcW w:w="15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0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32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5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2026-10-06</w:t>
            </w:r>
          </w:p>
        </w:tc>
        <w:tc>
          <w:tcPr>
            <w:tcW w:w="2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harness guide for the BCH Genesys 2 UART loop.</w:t>
            </w:r>
          </w:p>
        </w:tc>
      </w:tr>
      <w:tr>
        <w:trPr/>
        <w:tc>
          <w:tcPr>
            <w:tcW w:w="25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w:t>
            </w:r>
          </w:p>
        </w:tc>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2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diagrams redrawn to the repo element key (v3): class fills, double-bordered registered blocks, green return paths and a generated key under each figure. No technical content changed.</w:t>
            </w:r>
          </w:p>
        </w:tc>
      </w:tr>
      <w:tr>
        <w:trPr/>
        <w:tc>
          <w:tcPr>
            <w:tcW w:w="25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0.3</w:t>
            </w:r>
          </w:p>
        </w:tc>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2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Section (h2) headings now open a new page, the pipeline default. No technical content changed.</w:t>
            </w:r>
            <w:bookmarkStart w:id="4" w:name="revision-history"/>
            <w:bookmarkEnd w:id="4"/>
          </w:p>
        </w:tc>
      </w:tr>
    </w:tbl>
    <w:p>
      <w:pPr>
        <w:pStyle w:val="Heading2"/>
        <w:pBdr>
          <w:bottom w:val="single" w:sz="12" w:space="0" w:color="228B22"/>
        </w:pBdr>
        <w:spacing w:before="280" w:after="80"/>
        <w:rPr/>
      </w:pPr>
      <w:r>
        <w:br w:type="page"/>
      </w:r>
      <w:bookmarkStart w:id="5" w:name="__RefHeading___Toc2863_1924947109"/>
      <w:bookmarkEnd w:id="5"/>
      <w:r>
        <w:rPr>
          <w:rStyle w:val="SectionNumber"/>
          <w:b/>
          <w:color w:val="228B22"/>
          <w:sz w:val="28"/>
        </w:rPr>
        <w:t>1.2</w:t>
      </w:r>
      <w:r>
        <w:rPr>
          <w:b/>
          <w:color w:val="228B22"/>
          <w:sz w:val="28"/>
        </w:rPr>
        <w:tab/>
        <w:t>Scope</w:t>
      </w:r>
    </w:p>
    <w:p>
      <w:pPr>
        <w:pStyle w:val="FirstParagraph"/>
        <w:rPr/>
      </w:pPr>
      <w:r>
        <w:rPr>
          <w:sz w:val="20"/>
        </w:rPr>
        <w:t>This book describes the BCH(4224,4120) t=8 UART harness on the Digilent Genesys 2: its contents, connectivity, and the motivations behind the FPGA testing choices. It is the harness guide that pairs with the Binary BCH Board Validation Report, which carries the run evidence.</w:t>
      </w:r>
      <w:r>
        <w:br w:type="page"/>
      </w:r>
    </w:p>
    <w:p>
      <w:pPr>
        <w:pStyle w:val="Heading2"/>
        <w:pBdr>
          <w:bottom w:val="single" w:sz="12" w:space="0" w:color="228B22"/>
        </w:pBdr>
        <w:spacing w:before="280" w:after="80"/>
        <w:rPr/>
      </w:pPr>
      <w:bookmarkStart w:id="6" w:name="__RefHeading___Toc2865_1924947109"/>
      <w:bookmarkStart w:id="7" w:name="provenance"/>
      <w:bookmarkEnd w:id="6"/>
      <w:r>
        <w:rPr>
          <w:rStyle w:val="SectionNumber"/>
          <w:b/>
          <w:color w:val="228B22"/>
          <w:sz w:val="28"/>
        </w:rPr>
        <w:t>1.3</w:t>
      </w:r>
      <w:r>
        <w:rPr>
          <w:b/>
          <w:color w:val="228B22"/>
          <w:sz w:val="28"/>
        </w:rPr>
        <w:tab/>
        <w:t>Provenance</w:t>
      </w:r>
    </w:p>
    <w:p>
      <w:pPr>
        <w:pStyle w:val="FirstParagraph"/>
        <w:rPr/>
      </w:pPr>
      <w:r>
        <w:rPr>
          <w:sz w:val="20"/>
        </w:rPr>
        <w:t xml:space="preserve">The harness description comes from </w:t>
      </w:r>
      <w:r>
        <w:rPr>
          <w:rStyle w:val="VerbatimChar"/>
          <w:sz w:val="20"/>
        </w:rPr>
        <w:t>docs/UART_HARNESS.md</w:t>
      </w:r>
      <w:r>
        <w:rPr>
          <w:sz w:val="20"/>
        </w:rPr>
        <w:t xml:space="preserve">, the living markdown copy in the harness directory. Build facts come from </w:t>
      </w:r>
      <w:r>
        <w:rPr>
          <w:rStyle w:val="VerbatimChar"/>
          <w:sz w:val="20"/>
        </w:rPr>
        <w:t>stable/MANIFEST.md</w:t>
      </w:r>
      <w:r>
        <w:rPr>
          <w:sz w:val="20"/>
        </w:rPr>
        <w:t xml:space="preserve"> and </w:t>
      </w:r>
      <w:r>
        <w:rPr>
          <w:rStyle w:val="VerbatimChar"/>
          <w:sz w:val="20"/>
        </w:rPr>
        <w:t>stable/reports/</w:t>
      </w:r>
      <w:r>
        <w:rPr>
          <w:sz w:val="20"/>
        </w:rPr>
        <w:t xml:space="preserve">. The board used for the runs is Digilent Genesys 2 serial </w:t>
      </w:r>
      <w:r>
        <w:rPr>
          <w:rStyle w:val="VerbatimChar"/>
          <w:sz w:val="20"/>
        </w:rPr>
        <w:t>200300B818A0</w:t>
      </w:r>
      <w:r>
        <w:rPr>
          <w:sz w:val="20"/>
        </w:rPr>
        <w:t xml:space="preserve"> (Kintex-7 </w:t>
      </w:r>
      <w:r>
        <w:rPr>
          <w:rStyle w:val="VerbatimChar"/>
          <w:sz w:val="20"/>
        </w:rPr>
        <w:t>xc7k325t-2</w:t>
      </w:r>
      <w:r>
        <w:rPr>
          <w:sz w:val="20"/>
        </w:rPr>
        <w:t>), programmed and measured with Vivado 2025.1.</w:t>
      </w:r>
      <w:bookmarkEnd w:id="1"/>
      <w:bookmarkEnd w:id="7"/>
      <w:r>
        <w:br w:type="page"/>
      </w:r>
    </w:p>
    <w:p>
      <w:pPr>
        <w:pStyle w:val="Heading1"/>
        <w:shd w:val="clear" w:color="auto" w:fill="404040"/>
        <w:spacing w:before="360" w:after="120"/>
        <w:rPr/>
      </w:pPr>
      <w:bookmarkStart w:id="8" w:name="__RefHeading___Toc2867_1924947109"/>
      <w:bookmarkStart w:id="9" w:name="purpose-and-geometry"/>
      <w:bookmarkEnd w:id="8"/>
      <w:r>
        <w:rPr>
          <w:rStyle w:val="SectionNumber"/>
          <w:b/>
          <w:color w:val="FFFFFF"/>
          <w:sz w:val="32"/>
        </w:rPr>
        <w:t>2</w:t>
      </w:r>
      <w:r>
        <w:rPr>
          <w:b/>
          <w:color w:val="FFFFFF"/>
          <w:sz w:val="32"/>
        </w:rPr>
        <w:tab/>
        <w:t>Purpose and Geometry</w:t>
      </w:r>
    </w:p>
    <w:p>
      <w:pPr>
        <w:pStyle w:val="FirstParagraph"/>
        <w:rPr/>
      </w:pPr>
      <w:r>
        <w:rPr>
          <w:sz w:val="20"/>
        </w:rPr>
        <w:t xml:space="preserve">This is the BCH(4224,4120) t=8 codec on the Digilent Genesys 2, wrapped in a UART-controlled loop that runs the same campaigns in cocotb simulation and on the board. The geometry is frozen in </w:t>
      </w:r>
      <w:r>
        <w:rPr>
          <w:rStyle w:val="VerbatimChar"/>
          <w:sz w:val="20"/>
        </w:rPr>
        <w:t>build-loop/rtl/bch_loop_cfg_pkg.sv</w:t>
      </w:r>
      <w:r>
        <w:rPr>
          <w:sz w:val="20"/>
        </w:rPr>
        <w:t xml:space="preserve">: GF(2^13), primitive polynomial </w:t>
      </w:r>
      <w:r>
        <w:rPr>
          <w:rStyle w:val="VerbatimChar"/>
          <w:sz w:val="20"/>
        </w:rPr>
        <w:t>0x201B</w:t>
      </w:r>
      <w:r>
        <w:rPr>
          <w:sz w:val="20"/>
        </w:rPr>
        <w:t xml:space="preserve">, first root </w:t>
      </w:r>
      <w:r>
        <w:rPr>
          <w:rStyle w:val="VerbatimChar"/>
          <w:sz w:val="20"/>
        </w:rPr>
        <w:t>b=1</w:t>
      </w:r>
      <w:r>
        <w:rPr>
          <w:sz w:val="20"/>
        </w:rPr>
        <w:t xml:space="preserve">, </w:t>
      </w:r>
      <w:r>
        <w:rPr>
          <w:rStyle w:val="VerbatimChar"/>
          <w:sz w:val="20"/>
        </w:rPr>
        <w:t>n=4224</w:t>
      </w:r>
      <w:r>
        <w:rPr>
          <w:sz w:val="20"/>
        </w:rPr>
        <w:t xml:space="preserve"> shortened from </w:t>
      </w:r>
      <w:r>
        <w:rPr>
          <w:rStyle w:val="VerbatimChar"/>
          <w:sz w:val="20"/>
        </w:rPr>
        <w:t>8191 = 2^13 - 1</w:t>
      </w:r>
      <w:r>
        <w:rPr>
          <w:sz w:val="20"/>
        </w:rPr>
        <w:t xml:space="preserve">, parity degree </w:t>
      </w:r>
      <w:r>
        <w:rPr>
          <w:rStyle w:val="VerbatimChar"/>
          <w:sz w:val="20"/>
        </w:rPr>
        <w:t>104 = m*t</w:t>
      </w:r>
      <w:r>
        <w:rPr>
          <w:sz w:val="20"/>
        </w:rPr>
        <w:t xml:space="preserve">. The component core defaults to </w:t>
      </w:r>
      <w:r>
        <w:rPr>
          <w:rStyle w:val="VerbatimChar"/>
          <w:sz w:val="20"/>
        </w:rPr>
        <w:t>BITS_PER_BEAT = 8</w:t>
      </w:r>
      <w:r>
        <w:rPr>
          <w:sz w:val="20"/>
        </w:rPr>
        <w:t>; this harness widens the AXI-Stream/AXI4 wrappers to 32-bit beats.</w:t>
      </w:r>
    </w:p>
    <w:p>
      <w:pPr>
        <w:pStyle w:val="BodyText"/>
        <w:rPr/>
      </w:pPr>
      <w:r>
        <w:rPr>
          <w:sz w:val="20"/>
        </w:rPr>
        <w:t xml:space="preserve">The whole point of the loop is that errors are injected </w:t>
      </w:r>
      <w:r>
        <w:rPr>
          <w:b/>
          <w:bCs/>
          <w:sz w:val="20"/>
        </w:rPr>
        <w:t>after</w:t>
      </w:r>
      <w:r>
        <w:rPr>
          <w:sz w:val="20"/>
        </w:rPr>
        <w:t xml:space="preserve"> the encoder. The checker regenerates the expected LFSR pattern independently and compares it against the decoder’s output, so the verdict comes from a reference that never saw the errors.</w:t>
      </w:r>
    </w:p>
    <w:p>
      <w:pPr>
        <w:pStyle w:val="BodyText"/>
        <w:rPr/>
      </w:pPr>
      <w:r>
        <w:rPr>
          <w:sz w:val="20"/>
        </w:rPr>
        <w:t xml:space="preserve">The harness directory moved from </w:t>
      </w:r>
      <w:r>
        <w:rPr>
          <w:rStyle w:val="VerbatimChar"/>
          <w:sz w:val="20"/>
        </w:rPr>
        <w:t>NexysA7/</w:t>
      </w:r>
      <w:r>
        <w:rPr>
          <w:sz w:val="20"/>
        </w:rPr>
        <w:t xml:space="preserve"> to </w:t>
      </w:r>
      <w:r>
        <w:rPr>
          <w:rStyle w:val="VerbatimChar"/>
          <w:sz w:val="20"/>
        </w:rPr>
        <w:t>Genesys2/</w:t>
      </w:r>
      <w:r>
        <w:rPr>
          <w:sz w:val="20"/>
        </w:rPr>
        <w:t xml:space="preserve"> on 2026-10-05. </w:t>
      </w:r>
      <w:r>
        <w:rPr>
          <w:rStyle w:val="VerbatimChar"/>
          <w:sz w:val="20"/>
        </w:rPr>
        <w:t>BCH_TARGET</w:t>
      </w:r>
      <w:r>
        <w:rPr>
          <w:sz w:val="20"/>
        </w:rPr>
        <w:t xml:space="preserve"> still accepts </w:t>
      </w:r>
      <w:r>
        <w:rPr>
          <w:rStyle w:val="VerbatimChar"/>
          <w:sz w:val="20"/>
        </w:rPr>
        <w:t>nexys_a7_100t</w:t>
      </w:r>
      <w:r>
        <w:rPr>
          <w:sz w:val="20"/>
        </w:rPr>
        <w:t xml:space="preserve"> as a build option, and since 2026-10-07 the same tree carries a first-class small profile for it (issue #82): </w:t>
      </w:r>
      <w:r>
        <w:rPr>
          <w:rStyle w:val="VerbatimChar"/>
          <w:sz w:val="20"/>
        </w:rPr>
        <w:t>BCH_PROFILE=small</w:t>
      </w:r>
      <w:r>
        <w:rPr>
          <w:sz w:val="20"/>
        </w:rPr>
        <w:t xml:space="preserve"> builds BCH(248,224) t=3 for the A7-100T at 50 MHz (WNS +7.8 ns, 38% LUT). The Genesys 2 remains the primary target for the full profile: the k325t-2 has the room and timing margin to hold the full BCH(4224,4120) loop at 100 MHz with both AXIS and AXI4 flavours, and both images came out timing-clean on the board build with positive slack.</w:t>
      </w:r>
    </w:p>
    <w:p>
      <w:pPr>
        <w:pStyle w:val="BodyText"/>
        <w:rPr/>
      </w:pPr>
      <w:r>
        <w:rPr>
          <w:sz w:val="20"/>
        </w:rPr>
        <w:t xml:space="preserve">Two bitstreams are built: </w:t>
      </w:r>
      <w:r>
        <w:rPr>
          <w:rStyle w:val="VerbatimChar"/>
          <w:sz w:val="20"/>
        </w:rPr>
        <w:t>bch_loop_genesys2_axis.bit</w:t>
      </w:r>
      <w:r>
        <w:rPr>
          <w:sz w:val="20"/>
        </w:rPr>
        <w:t xml:space="preserve"> and </w:t>
      </w:r>
      <w:r>
        <w:rPr>
          <w:rStyle w:val="VerbatimChar"/>
          <w:sz w:val="20"/>
        </w:rPr>
        <w:t>bch_loop_genesys2_axi4.bit</w:t>
      </w:r>
      <w:r>
        <w:rPr>
          <w:sz w:val="20"/>
        </w:rPr>
        <w:t xml:space="preserve">. The AXIS flavour is a single streaming pipe; the AXI4 flavour is a memory-to-memory job chain across four AXI4 memories. The AXI4 flavour refuses runs whose </w:t>
      </w:r>
      <w:r>
        <w:rPr>
          <w:rStyle w:val="VerbatimChar"/>
          <w:sz w:val="20"/>
        </w:rPr>
        <w:t>GEN_BLOCKS</w:t>
      </w:r>
      <w:r>
        <w:rPr>
          <w:sz w:val="20"/>
        </w:rPr>
        <w:t xml:space="preserve"> exceed the job-memory capacity rather than letting regions wrap, so long soaks belong on the AXIS image. The host reads </w:t>
      </w:r>
      <w:r>
        <w:rPr>
          <w:rStyle w:val="VerbatimChar"/>
          <w:sz w:val="20"/>
        </w:rPr>
        <w:t>TOPOLOGY</w:t>
      </w:r>
      <w:r>
        <w:rPr>
          <w:sz w:val="20"/>
        </w:rPr>
        <w:t xml:space="preserve"> to discover which datapath is loaded, so the same campaign scripts drive both without a command-line flag.</w:t>
      </w:r>
      <w:bookmarkEnd w:id="9"/>
      <w:r>
        <w:br w:type="page"/>
      </w:r>
    </w:p>
    <w:p>
      <w:pPr>
        <w:pStyle w:val="Heading1"/>
        <w:shd w:val="clear" w:color="auto" w:fill="404040"/>
        <w:spacing w:before="360" w:after="120"/>
        <w:rPr/>
      </w:pPr>
      <w:bookmarkStart w:id="10" w:name="__RefHeading___Toc2869_1924947109"/>
      <w:bookmarkEnd w:id="10"/>
      <w:r>
        <w:rPr>
          <w:rStyle w:val="SectionNumber"/>
          <w:b/>
          <w:color w:val="FFFFFF"/>
          <w:sz w:val="32"/>
        </w:rPr>
        <w:t>3</w:t>
      </w:r>
      <w:r>
        <w:rPr>
          <w:b/>
          <w:color w:val="FFFFFF"/>
          <w:sz w:val="32"/>
        </w:rPr>
        <w:tab/>
        <w:t>What Is In It</w:t>
      </w:r>
    </w:p>
    <w:p>
      <w:pPr>
        <w:pStyle w:val="Heading2"/>
        <w:pageBreakBefore w:val="false"/>
        <w:pBdr>
          <w:bottom w:val="single" w:sz="12" w:space="0" w:color="228B22"/>
        </w:pBdr>
        <w:spacing w:before="280" w:after="80"/>
        <w:rPr/>
      </w:pPr>
      <w:bookmarkStart w:id="11" w:name="__RefHeading___Toc2871_1924947109"/>
      <w:bookmarkEnd w:id="11"/>
      <w:r>
        <w:rPr>
          <w:rStyle w:val="SectionNumber"/>
          <w:b/>
          <w:color w:val="228B22"/>
          <w:sz w:val="28"/>
        </w:rPr>
        <w:t>3.1</w:t>
      </w:r>
      <w:r>
        <w:rPr>
          <w:b/>
          <w:color w:val="228B22"/>
          <w:sz w:val="28"/>
        </w:rPr>
        <w:tab/>
        <w:t>RTL blocks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bch_loop_genesys2_top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build-loop/rtl/bch_loop_genesys2_top.sv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Genesys 2 board top: 200 MHz LVDS input, MMCM to 100 MHz, UART, LEDs.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bch_loop_top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build-loop/rtl/bch_loop_top.sv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Nexys A7-100T board top, kept as the </w:t>
            </w:r>
            <w:r>
              <w:rPr>
                <w:rStyle w:val="VerbatimChar"/>
                <w:rFonts w:eastAsia="Cambria" w:cs=""/>
                <w:kern w:val="0"/>
                <w:szCs w:val="24"/>
                <w:lang w:val="en-US" w:eastAsia="en-US" w:bidi="ar-SA"/>
              </w:rPr>
              <w:t>nexys_a7_100t</w:t>
            </w:r>
            <w:r>
              <w:rPr>
                <w:rFonts w:eastAsia="Cambria" w:cs=""/>
                <w:kern w:val="0"/>
                <w:sz w:val="24"/>
                <w:szCs w:val="24"/>
                <w:lang w:val="en-US" w:eastAsia="en-US" w:bidi="ar-SA"/>
              </w:rPr>
              <w:t xml:space="preserve"> target option.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bch_loop_harness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build-loop/rtl/bch_loop_harness.sv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Board-agnostic datapath, CSR wiring, observer mux, status aggregation.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bch_axi4_pipeline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build-loop/rtl/bch_axi4_pipeline.sv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flavour: memory-to-memory codec chain over three job memories.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bch_loop_cfg_pkg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build-loop/rtl/bch_loop_cfg_pkg.sv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source of geometry, UART baud, build ID </w:t>
            </w:r>
            <w:r>
              <w:rPr>
                <w:rStyle w:val="VerbatimChar"/>
                <w:rFonts w:eastAsia="Cambria" w:cs=""/>
                <w:kern w:val="0"/>
                <w:szCs w:val="24"/>
                <w:lang w:val="en-US" w:eastAsia="en-US" w:bidi="ar-SA"/>
              </w:rPr>
              <w:t>0x4243_4850</w:t>
            </w:r>
            <w:r>
              <w:rPr>
                <w:rFonts w:eastAsia="Cambria" w:cs=""/>
                <w:kern w:val="0"/>
                <w:sz w:val="24"/>
                <w:szCs w:val="24"/>
                <w:lang w:val="en-US" w:eastAsia="en-US" w:bidi="ar-SA"/>
              </w:rPr>
              <w:t xml:space="preserve"> (“BCHP”).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bch_loop_regs</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bch_loop_regs_pkg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build-loop/rtl/generated/bch_loop_regs/rtl/bch_loop_regs.sv</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bch_loop_regs_pkg.sv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PeakRDL-generated CSR block from </w:t>
            </w:r>
            <w:r>
              <w:rPr>
                <w:rStyle w:val="VerbatimChar"/>
                <w:rFonts w:eastAsia="Cambria" w:cs=""/>
                <w:kern w:val="0"/>
                <w:szCs w:val="24"/>
                <w:lang w:val="en-US" w:eastAsia="en-US" w:bidi="ar-SA"/>
              </w:rPr>
              <w:t>build-loop/rtl/bch_loop_regs.rdl</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bridge_bch_loop_axil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rtl/bridges/generated/bridge_bch_loop_axil/bridge_bch_loop_axil.sv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Generated 1-master x 3-slave AXIL-to-APB fabric.</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uart_axil_bridge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projects/components/utility-ip/converters/rtl/uart_to_axil4/uart_axil_bridge.sv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UART byte stream to AXI4-Lite master.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apb4_to_peakrdl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projects/components/utility-ip/converters/rtl/apb4_to_peakrdl.sv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 slave to PeakRDL cpuif shim.</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axis4_master_injector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rtl/amba/shared/axis4_master_injector.sv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LFSR data source, one packet per block, per-channel CRC-32.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bch_encoder_axis4</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bch_encoder_core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projects/components/ecc-ip/bch/rtl/top/bch_encoder_axis4.sv</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rtl/macro/bch_encoder_core.sv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BCH encoder, AXIS wrapper around the core.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bch_beat_packer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projects/components/ecc-ip/bch/rtl/fub/bch_beat_packer.sv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Repacks encoder output into </w:t>
            </w:r>
            <w:r>
              <w:rPr>
                <w:rStyle w:val="VerbatimChar"/>
                <w:rFonts w:eastAsia="Cambria" w:cs=""/>
                <w:kern w:val="0"/>
                <w:szCs w:val="24"/>
                <w:lang w:val="en-US" w:eastAsia="en-US" w:bidi="ar-SA"/>
              </w:rPr>
              <w:t>ceil(n/BITS_PER_BEAT)</w:t>
            </w:r>
            <w:r>
              <w:rPr>
                <w:rFonts w:eastAsia="Cambria" w:cs=""/>
                <w:kern w:val="0"/>
                <w:sz w:val="24"/>
                <w:szCs w:val="24"/>
                <w:lang w:val="en-US" w:eastAsia="en-US" w:bidi="ar-SA"/>
              </w:rPr>
              <w:t xml:space="preserve"> codeword beats.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error_injector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projects/components/utility-ip/misc/rtl/error_injector.sv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bit-granular injector, modes 0..7, sits after the encoder.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bch_decoder_axis4</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bch_decoder_core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projects/components/ecc-ip/bch/rtl/top/bch_decoder_axis4.sv</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rtl/macro/bch_decoder_core.sv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riBM decoder, AXIS wrapper around the core.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axis4_slave_pattern_check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rtl/amba/shared/axis4_slave_pattern_check.sv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Independent reference checker, byte-granular CRC-32.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axis4_intf_observer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projects/components/utility-ip/misc/rtl/axis4_intf_observer.sv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APB-programmable observer on the four AXIS seams.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axi4_intf_master_observer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projects/components/utility-ip/misc/rtl/axi4_intf_master_observer.sv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APB-programmable observer on the AXI4 pipeline ports (AXI4 flavour only).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axi_bus_meter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rtl/amba/shared/axi_bus_meter.sv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Four windowed bandwidth meters inside the harness.</w:t>
            </w:r>
            <w:bookmarkStart w:id="12" w:name="rtl-blocks"/>
            <w:bookmarkEnd w:id="12"/>
          </w:p>
        </w:tc>
      </w:tr>
    </w:tbl>
    <w:p>
      <w:pPr>
        <w:pStyle w:val="Heading2"/>
        <w:pBdr>
          <w:bottom w:val="single" w:sz="12" w:space="0" w:color="228B22"/>
        </w:pBdr>
        <w:spacing w:before="280" w:after="80"/>
        <w:rPr/>
      </w:pPr>
      <w:r>
        <w:br w:type="page"/>
      </w:r>
      <w:bookmarkStart w:id="13" w:name="__RefHeading___Toc2873_1924947109"/>
      <w:bookmarkEnd w:id="13"/>
      <w:r>
        <w:rPr>
          <w:rStyle w:val="SectionNumber"/>
          <w:b/>
          <w:color w:val="228B22"/>
          <w:sz w:val="28"/>
        </w:rPr>
        <w:t>3.2</w:t>
      </w:r>
      <w:r>
        <w:rPr>
          <w:b/>
          <w:color w:val="228B22"/>
          <w:sz w:val="28"/>
        </w:rPr>
        <w:tab/>
        <w:t>Host scripts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Script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bch_env.py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bin/bch_env.py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Path anchor: puts the shared </w:t>
            </w:r>
            <w:r>
              <w:rPr>
                <w:rStyle w:val="VerbatimChar"/>
                <w:rFonts w:eastAsia="Cambria" w:cs=""/>
                <w:kern w:val="0"/>
                <w:szCs w:val="24"/>
                <w:lang w:val="en-US" w:eastAsia="en-US" w:bidi="ar-SA"/>
              </w:rPr>
              <w:t>projects/fpga-systems/bin</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build-loop/host</w:t>
            </w:r>
            <w:r>
              <w:rPr>
                <w:rFonts w:eastAsia="Cambria" w:cs=""/>
                <w:kern w:val="0"/>
                <w:sz w:val="24"/>
                <w:szCs w:val="24"/>
                <w:lang w:val="en-US" w:eastAsia="en-US" w:bidi="ar-SA"/>
              </w:rPr>
              <w:t xml:space="preserve"> on </w:t>
            </w:r>
            <w:r>
              <w:rPr>
                <w:rStyle w:val="VerbatimChar"/>
                <w:rFonts w:eastAsia="Cambria" w:cs=""/>
                <w:kern w:val="0"/>
                <w:szCs w:val="24"/>
                <w:lang w:val="en-US" w:eastAsia="en-US" w:bidi="ar-SA"/>
              </w:rPr>
              <w:t>sys.path</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run_smoke.py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bin/run_smoke.py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Campaign runner: resolves sequences, opens </w:t>
            </w:r>
            <w:r>
              <w:rPr>
                <w:rStyle w:val="VerbatimChar"/>
                <w:rFonts w:eastAsia="Cambria" w:cs=""/>
                <w:kern w:val="0"/>
                <w:szCs w:val="24"/>
                <w:lang w:val="en-US" w:eastAsia="en-US" w:bidi="ar-SA"/>
              </w:rPr>
              <w:t>BchLoopDriver</w:t>
            </w:r>
            <w:r>
              <w:rPr>
                <w:rFonts w:eastAsia="Cambria" w:cs=""/>
                <w:kern w:val="0"/>
                <w:sz w:val="24"/>
                <w:szCs w:val="24"/>
                <w:lang w:val="en-US" w:eastAsia="en-US" w:bidi="ar-SA"/>
              </w:rPr>
              <w:t>, prints report.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bin/seq_init.py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Proves BUILD_ID, SCRATCH round-trip, PROFILE, TOPOLOGY.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Smoke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bin/seq_smoke.py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Bypass, clean, </w:t>
            </w:r>
            <w:r>
              <w:rPr>
                <w:rStyle w:val="VerbatimChar"/>
                <w:rFonts w:eastAsia="Cambria" w:cs=""/>
                <w:kern w:val="0"/>
                <w:szCs w:val="24"/>
                <w:lang w:val="en-US" w:eastAsia="en-US" w:bidi="ar-SA"/>
              </w:rPr>
              <w:t>e=t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e=t+1</w:t>
            </w:r>
            <w:r>
              <w:rPr>
                <w:rFonts w:eastAsia="Cambria" w:cs=""/>
                <w:kern w:val="0"/>
                <w:sz w:val="24"/>
                <w:szCs w:val="24"/>
                <w:lang w:val="en-US" w:eastAsia="en-US" w:bidi="ar-SA"/>
              </w:rPr>
              <w:t>, DEBUG walk.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Sweep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bin/seq_sweep.py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Exact count for </w:t>
            </w:r>
            <w:r>
              <w:rPr>
                <w:rStyle w:val="VerbatimChar"/>
                <w:rFonts w:eastAsia="Cambria" w:cs=""/>
                <w:kern w:val="0"/>
                <w:szCs w:val="24"/>
                <w:lang w:val="en-US" w:eastAsia="en-US" w:bidi="ar-SA"/>
              </w:rPr>
              <w:t>e = 0 .. 2t+2</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RandomCampaign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bin/seq_random.py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Fresh data/error seeds, mixed modes.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Soak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bin/seq_soak.py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Long-running random-pattern stress.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BchLoopDriver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RunResult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build-loop/host/bch_loop.py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By-name register access, status collection, observer readers.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bch_loop_programs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build-loop/host/bch_loop_programs.py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authored-once programs: </w:t>
            </w:r>
            <w:r>
              <w:rPr>
                <w:rStyle w:val="VerbatimChar"/>
                <w:rFonts w:eastAsia="Cambria" w:cs=""/>
                <w:kern w:val="0"/>
                <w:szCs w:val="24"/>
                <w:lang w:val="en-US" w:eastAsia="en-US" w:bidi="ar-SA"/>
              </w:rPr>
              <w:t>smoke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bypass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run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sweep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verdict</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host_bch_loop.py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build-loop/host/host_bch_loop.py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CLI front-end over the same programs.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bch_loop_regs_regmap.py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build-loop/dv/tbclasses/bch_loop_regs_regmap.py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PeakRDL-generated by-name register map.</w:t>
            </w:r>
          </w:p>
        </w:tc>
      </w:tr>
    </w:tbl>
    <w:p>
      <w:pPr>
        <w:pStyle w:val="Heading2"/>
        <w:pBdr>
          <w:bottom w:val="single" w:sz="12" w:space="0" w:color="228B22"/>
        </w:pBdr>
        <w:spacing w:before="280" w:after="80"/>
        <w:rPr/>
      </w:pPr>
      <w:r>
        <w:br w:type="page"/>
      </w:r>
      <w:bookmarkStart w:id="14" w:name="__RefHeading___Toc2875_1924947109"/>
      <w:bookmarkEnd w:id="14"/>
      <w:r>
        <w:rPr>
          <w:rStyle w:val="SectionNumber"/>
          <w:b/>
          <w:color w:val="228B22"/>
          <w:sz w:val="28"/>
        </w:rPr>
        <w:t>3.3</w:t>
      </w:r>
      <w:r>
        <w:rPr>
          <w:b/>
          <w:color w:val="228B22"/>
          <w:sz w:val="28"/>
        </w:rPr>
        <w:tab/>
        <w:t>Make targets and build flow</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Make target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make help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Makefile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Area dispatcher; delegates every target to </w:t>
            </w:r>
            <w:r>
              <w:rPr>
                <w:rStyle w:val="VerbatimChar"/>
                <w:rFonts w:eastAsia="Cambria" w:cs=""/>
                <w:kern w:val="0"/>
                <w:szCs w:val="24"/>
                <w:lang w:val="en-US" w:eastAsia="en-US" w:bidi="ar-SA"/>
              </w:rPr>
              <w:t>build-loop/</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make -C build-loop bitstream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build-loop/Makefile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Vivado build; set </w:t>
            </w:r>
            <w:r>
              <w:rPr>
                <w:rStyle w:val="VerbatimChar"/>
                <w:rFonts w:eastAsia="Cambria" w:cs=""/>
                <w:kern w:val="0"/>
                <w:szCs w:val="24"/>
                <w:lang w:val="en-US" w:eastAsia="en-US" w:bidi="ar-SA"/>
              </w:rPr>
              <w:t>BCH_TARGET=genesys2</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BCH_IFACE={AXIS,AXI4}</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make -C build-loop program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build-loop/Makefile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make/fpga_board.mk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projects/fpga-systems/bin/fpga_board.py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Programs the board after JTAG identity verification.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make regmap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Makefile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Regenerates the CSR RTL and </w:t>
            </w:r>
            <w:r>
              <w:rPr>
                <w:rStyle w:val="VerbatimChar"/>
                <w:rFonts w:eastAsia="Cambria" w:cs=""/>
                <w:kern w:val="0"/>
                <w:szCs w:val="24"/>
                <w:lang w:val="en-US" w:eastAsia="en-US" w:bidi="ar-SA"/>
              </w:rPr>
              <w:t>dv/tbclasses/bch_loop_regs_regmap.py</w:t>
            </w:r>
            <w:r>
              <w:rPr>
                <w:rFonts w:eastAsia="Cambria" w:cs=""/>
                <w:kern w:val="0"/>
                <w:sz w:val="24"/>
                <w:szCs w:val="24"/>
                <w:lang w:val="en-US" w:eastAsia="en-US" w:bidi="ar-SA"/>
              </w:rPr>
              <w:t xml:space="preserve"> from the RDL.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bin/regen_bridges.sh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bin/regen_bridges.sh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Regenerates the 1x3 fabric from </w:t>
            </w:r>
            <w:r>
              <w:rPr>
                <w:rStyle w:val="VerbatimChar"/>
                <w:rFonts w:eastAsia="Cambria" w:cs=""/>
                <w:kern w:val="0"/>
                <w:szCs w:val="24"/>
                <w:lang w:val="en-US" w:eastAsia="en-US" w:bidi="ar-SA"/>
              </w:rPr>
              <w:t>rtl/bridges/configs/bridge_bch_loop_axil.toml</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bin/build_image_matrix.sh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bin/build_image_matrix.sh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Serial build of both </w:t>
            </w:r>
            <w:r>
              <w:rPr>
                <w:rStyle w:val="VerbatimChar"/>
                <w:rFonts w:eastAsia="Cambria" w:cs=""/>
                <w:kern w:val="0"/>
                <w:szCs w:val="24"/>
                <w:lang w:val="en-US" w:eastAsia="en-US" w:bidi="ar-SA"/>
              </w:rPr>
              <w:t>bch_loop_genesys2_axis.bit</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bch_loop_genesys2_axi4.bit</w:t>
            </w:r>
            <w:r>
              <w:rPr>
                <w:rFonts w:eastAsia="Cambria" w:cs=""/>
                <w:kern w:val="0"/>
                <w:sz w:val="24"/>
                <w:szCs w:val="24"/>
                <w:lang w:val="en-US" w:eastAsia="en-US" w:bidi="ar-SA"/>
              </w:rPr>
              <w:t>.</w:t>
            </w:r>
            <w:bookmarkStart w:id="15" w:name="what-is-in-it"/>
            <w:bookmarkEnd w:id="15"/>
          </w:p>
        </w:tc>
      </w:tr>
    </w:tbl>
    <w:p>
      <w:pPr>
        <w:pStyle w:val="Heading1"/>
        <w:shd w:val="clear" w:color="auto" w:fill="404040"/>
        <w:spacing w:before="360" w:after="120"/>
        <w:rPr/>
      </w:pPr>
      <w:r>
        <w:br w:type="page"/>
      </w:r>
      <w:bookmarkStart w:id="16" w:name="__RefHeading___Toc2877_1924947109"/>
      <w:bookmarkEnd w:id="16"/>
      <w:r>
        <w:rPr>
          <w:rStyle w:val="SectionNumber"/>
          <w:b/>
          <w:color w:val="FFFFFF"/>
          <w:sz w:val="32"/>
        </w:rPr>
        <w:t>4</w:t>
      </w:r>
      <w:r>
        <w:rPr>
          <w:b/>
          <w:color w:val="FFFFFF"/>
          <w:sz w:val="32"/>
        </w:rPr>
        <w:tab/>
        <w:t>How The Pieces Connect</w:t>
      </w:r>
    </w:p>
    <w:p>
      <w:pPr>
        <w:pStyle w:val="Heading2"/>
        <w:pageBreakBefore w:val="false"/>
        <w:pBdr>
          <w:bottom w:val="single" w:sz="12" w:space="0" w:color="228B22"/>
        </w:pBdr>
        <w:spacing w:before="280" w:after="80"/>
        <w:rPr/>
      </w:pPr>
      <w:bookmarkStart w:id="17" w:name="__RefHeading___Toc2879_1924947109"/>
      <w:bookmarkStart w:id="18" w:name="register-path"/>
      <w:bookmarkEnd w:id="17"/>
      <w:r>
        <w:rPr>
          <w:rStyle w:val="SectionNumber"/>
          <w:b/>
          <w:color w:val="228B22"/>
          <w:sz w:val="28"/>
        </w:rPr>
        <w:t>4.1</w:t>
      </w:r>
      <w:r>
        <w:rPr>
          <w:b/>
          <w:color w:val="228B22"/>
          <w:sz w:val="28"/>
        </w:rPr>
        <w:tab/>
        <w:t>Register path</w:t>
      </w:r>
    </w:p>
    <w:p>
      <w:pPr>
        <w:pStyle w:val="FirstParagraph"/>
        <w:rPr/>
      </w:pPr>
      <w:r>
        <w:rPr>
          <w:sz w:val="20"/>
        </w:rPr>
        <w:t xml:space="preserve">The host talks by name, not by offset: </w:t>
      </w:r>
      <w:r>
        <w:rPr>
          <w:rStyle w:val="VerbatimChar"/>
          <w:sz w:val="20"/>
        </w:rPr>
        <w:t>BchLoopDriver</w:t>
      </w:r>
      <w:r>
        <w:rPr>
          <w:sz w:val="20"/>
        </w:rPr>
        <w:t xml:space="preserve"> wraps </w:t>
      </w:r>
      <w:r>
        <w:rPr>
          <w:rStyle w:val="VerbatimChar"/>
          <w:sz w:val="20"/>
        </w:rPr>
        <w:t>UARTAxiBridge</w:t>
      </w:r>
      <w:r>
        <w:rPr>
          <w:sz w:val="20"/>
        </w:rPr>
        <w:t xml:space="preserve"> with </w:t>
      </w:r>
      <w:r>
        <w:rPr>
          <w:rStyle w:val="VerbatimChar"/>
          <w:sz w:val="20"/>
        </w:rPr>
        <w:t>UartRegisterMap</w:t>
      </w:r>
      <w:r>
        <w:rPr>
          <w:sz w:val="20"/>
        </w:rPr>
        <w:t xml:space="preserve"> over </w:t>
      </w:r>
      <w:r>
        <w:rPr>
          <w:rStyle w:val="VerbatimChar"/>
          <w:sz w:val="20"/>
        </w:rPr>
        <w:t>bch_loop_regs_regmap.py</w:t>
      </w:r>
      <w:r>
        <w:rPr>
          <w:sz w:val="20"/>
        </w:rPr>
        <w:t>. The diagram shows the path from the laptop to the three APB windows.</w:t>
      </w:r>
    </w:p>
    <w:p>
      <w:pPr>
        <w:pStyle w:val="Heading3"/>
        <w:spacing w:before="200" w:after="80"/>
        <w:rPr/>
      </w:pPr>
      <w:bookmarkStart w:id="19" w:name="__RefHeading___Toc2881_1924947109"/>
      <w:bookmarkStart w:id="20" w:name="X8bce58b1d260b5d325e3470ce4e1ef8c8af14c4"/>
      <w:bookmarkStart w:id="21" w:name="_Fig_1_BCH_AXIS_datapath_an"/>
      <w:bookmarkEnd w:id="19"/>
      <w:r>
        <w:rPr>
          <w:rStyle w:val="SectionNumber"/>
          <w:b/>
          <w:color w:val="404040"/>
          <w:sz w:val="24"/>
        </w:rPr>
        <w:t>4.1.1</w:t>
      </w:r>
      <w:r>
        <w:rPr>
          <w:b/>
          <w:color w:val="404040"/>
          <w:sz w:val="24"/>
        </w:rPr>
        <w:tab/>
        <w:t>Figure 2.1: BCH AXIS datapath and register path</w:t>
      </w:r>
      <w:bookmarkEnd w:id="21"/>
    </w:p>
    <w:p>
      <w:pPr>
        <w:pStyle w:val="CaptionedFigure"/>
        <w:rPr/>
      </w:pPr>
      <w:r>
        <w:rPr/>
        <w:drawing>
          <wp:inline distT="0" distB="0" distL="0" distR="0">
            <wp:extent cx="5334000" cy="5755005"/>
            <wp:effectExtent l="0" t="0" r="0" b="0"/>
            <wp:docPr id="4" name="Picture" descr="BCH AXIS datapath and register 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descr="BCH AXIS datapath and register path"/>
                    <pic:cNvPicPr>
                      <a:picLocks noChangeAspect="1" noChangeArrowheads="1"/>
                    </pic:cNvPicPr>
                  </pic:nvPicPr>
                  <pic:blipFill>
                    <a:blip r:embed="rId3"/>
                    <a:stretch>
                      <a:fillRect/>
                    </a:stretch>
                  </pic:blipFill>
                  <pic:spPr bwMode="auto">
                    <a:xfrm>
                      <a:off x="0" y="0"/>
                      <a:ext cx="5334000" cy="5755005"/>
                    </a:xfrm>
                    <a:prstGeom prst="rect">
                      <a:avLst/>
                    </a:prstGeom>
                  </pic:spPr>
                </pic:pic>
              </a:graphicData>
            </a:graphic>
          </wp:inline>
        </w:drawing>
      </w:r>
    </w:p>
    <w:p>
      <w:pPr>
        <w:pStyle w:val="ImageCaption"/>
        <w:rPr/>
      </w:pPr>
      <w:r>
        <w:rPr/>
        <w:t>BCH AXIS datapath and register path</w:t>
      </w:r>
    </w:p>
    <w:p>
      <w:pPr>
        <w:pStyle w:val="BodyText"/>
        <w:rPr/>
      </w:pPr>
      <w:r>
        <w:rPr>
          <w:b/>
          <w:bCs/>
          <w:sz w:val="20"/>
        </w:rPr>
        <w:t>Source:</w:t>
      </w:r>
      <w:r>
        <w:rPr>
          <w:sz w:val="20"/>
        </w:rPr>
        <w:t xml:space="preserve"> </w:t>
      </w:r>
      <w:hyperlink r:id="rId4">
        <w:r>
          <w:rPr>
            <w:rStyle w:val="Hyperlink"/>
          </w:rPr>
          <w:t>01_bch_axis_loop.dot</w:t>
        </w:r>
      </w:hyperlink>
    </w:p>
    <w:p>
      <w:pPr>
        <w:pStyle w:val="BodyText"/>
        <w:rPr/>
      </w:pPr>
      <w:r>
        <w:rPr>
          <w:sz w:val="20"/>
        </w:rPr>
        <w:t xml:space="preserve">The register path is the same in both flavours. The only raw addresses in the host code are the two expansion-window bases used to attach observer register maps: </w:t>
      </w:r>
      <w:r>
        <w:rPr>
          <w:rStyle w:val="VerbatimChar"/>
          <w:sz w:val="20"/>
        </w:rPr>
        <w:t>OBS_AXI4_BASE = 0x00010000</w:t>
      </w:r>
      <w:r>
        <w:rPr>
          <w:sz w:val="20"/>
        </w:rPr>
        <w:t xml:space="preserve"> and </w:t>
      </w:r>
      <w:r>
        <w:rPr>
          <w:rStyle w:val="VerbatimChar"/>
          <w:sz w:val="20"/>
        </w:rPr>
        <w:t>OBS_AXIS_BASE = 0x00020000</w:t>
      </w:r>
      <w:r>
        <w:rPr>
          <w:sz w:val="20"/>
        </w:rPr>
        <w:t xml:space="preserve"> in </w:t>
      </w:r>
      <w:r>
        <w:rPr>
          <w:rStyle w:val="VerbatimChar"/>
          <w:sz w:val="20"/>
        </w:rPr>
        <w:t>build-loop/host/bch_loop.py</w:t>
      </w:r>
      <w:r>
        <w:rPr>
          <w:sz w:val="20"/>
        </w:rPr>
        <w:t xml:space="preserve">. Those bases match </w:t>
      </w:r>
      <w:r>
        <w:rPr>
          <w:rStyle w:val="VerbatimChar"/>
          <w:sz w:val="20"/>
        </w:rPr>
        <w:t>rtl/bridges/generated/bridge_bch_loop_axil/bridge_bch_loop_axil.toml</w:t>
      </w:r>
      <w:r>
        <w:rPr>
          <w:sz w:val="20"/>
        </w:rPr>
        <w:t>; if a window moves, the bridge is regenerated and the host picks it up in one place.</w:t>
      </w:r>
      <w:bookmarkEnd w:id="20"/>
    </w:p>
    <w:p>
      <w:pPr>
        <w:pStyle w:val="Heading3"/>
        <w:spacing w:before="200" w:after="80"/>
        <w:rPr/>
      </w:pPr>
      <w:bookmarkStart w:id="22" w:name="__RefHeading___Toc2883_1924947109"/>
      <w:bookmarkStart w:id="23" w:name="figure-2.3-uart-harness-control-path"/>
      <w:bookmarkStart w:id="24" w:name="_Fig_2_UART_harness_control"/>
      <w:bookmarkEnd w:id="22"/>
      <w:r>
        <w:rPr>
          <w:rStyle w:val="SectionNumber"/>
          <w:b/>
          <w:color w:val="404040"/>
          <w:sz w:val="24"/>
        </w:rPr>
        <w:t>4.1.2</w:t>
      </w:r>
      <w:r>
        <w:rPr>
          <w:b/>
          <w:color w:val="404040"/>
          <w:sz w:val="24"/>
        </w:rPr>
        <w:tab/>
        <w:t>Figure 2.3: UART harness control path</w:t>
      </w:r>
      <w:bookmarkEnd w:id="24"/>
    </w:p>
    <w:p>
      <w:pPr>
        <w:pStyle w:val="CaptionedFigure"/>
        <w:rPr/>
      </w:pPr>
      <w:r>
        <w:rPr/>
        <w:drawing>
          <wp:inline distT="0" distB="0" distL="0" distR="0">
            <wp:extent cx="5334000" cy="4761865"/>
            <wp:effectExtent l="0" t="0" r="0" b="0"/>
            <wp:docPr id="5" name="Image2" descr="UART harness control 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descr="UART harness control path"/>
                    <pic:cNvPicPr>
                      <a:picLocks noChangeAspect="1" noChangeArrowheads="1"/>
                    </pic:cNvPicPr>
                  </pic:nvPicPr>
                  <pic:blipFill>
                    <a:blip r:embed="rId5"/>
                    <a:stretch>
                      <a:fillRect/>
                    </a:stretch>
                  </pic:blipFill>
                  <pic:spPr bwMode="auto">
                    <a:xfrm>
                      <a:off x="0" y="0"/>
                      <a:ext cx="5334000" cy="4761865"/>
                    </a:xfrm>
                    <a:prstGeom prst="rect">
                      <a:avLst/>
                    </a:prstGeom>
                  </pic:spPr>
                </pic:pic>
              </a:graphicData>
            </a:graphic>
          </wp:inline>
        </w:drawing>
      </w:r>
    </w:p>
    <w:p>
      <w:pPr>
        <w:pStyle w:val="ImageCaption"/>
        <w:rPr/>
      </w:pPr>
      <w:r>
        <w:rPr/>
        <w:t>UART harness control path</w:t>
      </w:r>
    </w:p>
    <w:p>
      <w:pPr>
        <w:pStyle w:val="BodyText"/>
        <w:rPr/>
      </w:pPr>
      <w:r>
        <w:rPr>
          <w:b/>
          <w:bCs/>
          <w:sz w:val="20"/>
        </w:rPr>
        <w:t>Source:</w:t>
      </w:r>
      <w:r>
        <w:rPr>
          <w:sz w:val="20"/>
        </w:rPr>
        <w:t xml:space="preserve"> </w:t>
      </w:r>
      <w:hyperlink r:id="rId6">
        <w:r>
          <w:rPr>
            <w:rStyle w:val="Hyperlink"/>
          </w:rPr>
          <w:t>03_uart_harness_control.dot</w:t>
        </w:r>
      </w:hyperlink>
    </w:p>
    <w:p>
      <w:pPr>
        <w:pStyle w:val="BodyText"/>
        <w:rPr/>
      </w:pPr>
      <w:r>
        <w:rPr>
          <w:sz w:val="20"/>
        </w:rPr>
        <w:t xml:space="preserve">This diagram isolates the command/status path: host Python → UART → </w:t>
      </w:r>
      <w:r>
        <w:rPr>
          <w:rStyle w:val="VerbatimChar"/>
          <w:sz w:val="20"/>
        </w:rPr>
        <w:t>uart_axil_bridge</w:t>
      </w:r>
      <w:r>
        <w:rPr>
          <w:sz w:val="20"/>
        </w:rPr>
        <w:t xml:space="preserve"> → </w:t>
      </w:r>
      <w:r>
        <w:rPr>
          <w:rStyle w:val="VerbatimChar"/>
          <w:sz w:val="20"/>
        </w:rPr>
        <w:t>bridge_bch_loop_axil</w:t>
      </w:r>
      <w:r>
        <w:rPr>
          <w:sz w:val="20"/>
        </w:rPr>
        <w:t xml:space="preserve"> → APB window → </w:t>
      </w:r>
      <w:r>
        <w:rPr>
          <w:rStyle w:val="VerbatimChar"/>
          <w:sz w:val="20"/>
        </w:rPr>
        <w:t>apb4_to_peakrdl</w:t>
      </w:r>
      <w:r>
        <w:rPr>
          <w:sz w:val="20"/>
        </w:rPr>
        <w:t xml:space="preserve"> → </w:t>
      </w:r>
      <w:r>
        <w:rPr>
          <w:rStyle w:val="VerbatimChar"/>
          <w:sz w:val="20"/>
        </w:rPr>
        <w:t>bch_loop_regs</w:t>
      </w:r>
      <w:r>
        <w:rPr>
          <w:sz w:val="20"/>
        </w:rPr>
        <w:t xml:space="preserve"> → harness control and status. The datapath blocks drawn in Figure 2.1 and Figure 2.2 receive their control from this path and write sampled status back into it.</w:t>
      </w:r>
      <w:bookmarkEnd w:id="18"/>
      <w:bookmarkEnd w:id="23"/>
      <w:r>
        <w:br w:type="page"/>
      </w:r>
    </w:p>
    <w:p>
      <w:pPr>
        <w:pStyle w:val="Heading2"/>
        <w:pBdr>
          <w:bottom w:val="single" w:sz="12" w:space="0" w:color="228B22"/>
        </w:pBdr>
        <w:spacing w:before="280" w:after="80"/>
        <w:rPr/>
      </w:pPr>
      <w:bookmarkStart w:id="25" w:name="__RefHeading___Toc2885_1924947109"/>
      <w:bookmarkStart w:id="26" w:name="axi4-flavour-datapath"/>
      <w:bookmarkEnd w:id="25"/>
      <w:r>
        <w:rPr>
          <w:rStyle w:val="SectionNumber"/>
          <w:b/>
          <w:color w:val="228B22"/>
          <w:sz w:val="28"/>
        </w:rPr>
        <w:t>4.2</w:t>
      </w:r>
      <w:r>
        <w:rPr>
          <w:b/>
          <w:color w:val="228B22"/>
          <w:sz w:val="28"/>
        </w:rPr>
        <w:tab/>
        <w:t>AXI4 flavour datapath</w:t>
      </w:r>
    </w:p>
    <w:p>
      <w:pPr>
        <w:pStyle w:val="FirstParagraph"/>
        <w:rPr/>
      </w:pPr>
      <w:r>
        <w:rPr>
          <w:sz w:val="20"/>
        </w:rPr>
        <w:t>The AXI4 flavour replaces the streaming middle with a memory-to-memory job chain across three job memories.</w:t>
      </w:r>
    </w:p>
    <w:p>
      <w:pPr>
        <w:pStyle w:val="Heading3"/>
        <w:spacing w:before="200" w:after="80"/>
        <w:rPr/>
      </w:pPr>
      <w:bookmarkStart w:id="27" w:name="__RefHeading___Toc2887_1924947109"/>
      <w:bookmarkStart w:id="28" w:name="X95e220d01eb04ea275aef5e01c6660554f765c9"/>
      <w:bookmarkStart w:id="29" w:name="_Fig_3_BCH_AXI4_memory_to_m"/>
      <w:bookmarkEnd w:id="27"/>
      <w:r>
        <w:rPr>
          <w:rStyle w:val="SectionNumber"/>
          <w:b/>
          <w:color w:val="404040"/>
          <w:sz w:val="24"/>
        </w:rPr>
        <w:t>4.2.1</w:t>
      </w:r>
      <w:r>
        <w:rPr>
          <w:b/>
          <w:color w:val="404040"/>
          <w:sz w:val="24"/>
        </w:rPr>
        <w:tab/>
        <w:t>Figure 2.2: BCH AXI4 memory-to-memory datapath</w:t>
      </w:r>
      <w:bookmarkEnd w:id="29"/>
    </w:p>
    <w:p>
      <w:pPr>
        <w:pStyle w:val="CaptionedFigure"/>
        <w:rPr/>
      </w:pPr>
      <w:r>
        <w:rPr/>
        <w:drawing>
          <wp:inline distT="0" distB="0" distL="0" distR="0">
            <wp:extent cx="5111750" cy="7404100"/>
            <wp:effectExtent l="0" t="0" r="0" b="0"/>
            <wp:docPr id="6" name="Image3" descr="BCH AXI4 memory-to-memory data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 descr="BCH AXI4 memory-to-memory datapath"/>
                    <pic:cNvPicPr>
                      <a:picLocks noChangeAspect="1" noChangeArrowheads="1"/>
                    </pic:cNvPicPr>
                  </pic:nvPicPr>
                  <pic:blipFill>
                    <a:blip r:embed="rId7"/>
                    <a:stretch>
                      <a:fillRect/>
                    </a:stretch>
                  </pic:blipFill>
                  <pic:spPr bwMode="auto">
                    <a:xfrm>
                      <a:off x="0" y="0"/>
                      <a:ext cx="5111750" cy="7404100"/>
                    </a:xfrm>
                    <a:prstGeom prst="rect">
                      <a:avLst/>
                    </a:prstGeom>
                  </pic:spPr>
                </pic:pic>
              </a:graphicData>
            </a:graphic>
          </wp:inline>
        </w:drawing>
      </w:r>
    </w:p>
    <w:p>
      <w:pPr>
        <w:pStyle w:val="ImageCaption"/>
        <w:rPr/>
      </w:pPr>
      <w:r>
        <w:rPr/>
        <w:t>BCH AXI4 memory-to-memory datapath</w:t>
      </w:r>
    </w:p>
    <w:p>
      <w:pPr>
        <w:pStyle w:val="BodyText"/>
        <w:rPr/>
      </w:pPr>
      <w:r>
        <w:rPr>
          <w:b/>
          <w:bCs/>
          <w:sz w:val="20"/>
        </w:rPr>
        <w:t>Source:</w:t>
      </w:r>
      <w:r>
        <w:rPr>
          <w:sz w:val="20"/>
        </w:rPr>
        <w:t xml:space="preserve"> </w:t>
      </w:r>
      <w:hyperlink r:id="rId8">
        <w:r>
          <w:rPr>
            <w:rStyle w:val="Hyperlink"/>
          </w:rPr>
          <w:t>02_bch_axi4_loop.dot</w:t>
        </w:r>
      </w:hyperlink>
      <w:bookmarkEnd w:id="26"/>
      <w:bookmarkEnd w:id="28"/>
      <w:r>
        <w:br w:type="page"/>
      </w:r>
    </w:p>
    <w:p>
      <w:pPr>
        <w:pStyle w:val="Heading2"/>
        <w:pBdr>
          <w:bottom w:val="single" w:sz="12" w:space="0" w:color="228B22"/>
        </w:pBdr>
        <w:spacing w:before="280" w:after="80"/>
        <w:rPr/>
      </w:pPr>
      <w:bookmarkStart w:id="30" w:name="__RefHeading___Toc2889_1924947109"/>
      <w:bookmarkStart w:id="31" w:name="clock-and-reset"/>
      <w:bookmarkEnd w:id="30"/>
      <w:r>
        <w:rPr>
          <w:rStyle w:val="SectionNumber"/>
          <w:b/>
          <w:color w:val="228B22"/>
          <w:sz w:val="28"/>
        </w:rPr>
        <w:t>4.3</w:t>
      </w:r>
      <w:r>
        <w:rPr>
          <w:b/>
          <w:color w:val="228B22"/>
          <w:sz w:val="28"/>
        </w:rPr>
        <w:tab/>
        <w:t>Clock and reset</w:t>
      </w:r>
    </w:p>
    <w:p>
      <w:pPr>
        <w:pStyle w:val="FirstParagraph"/>
        <w:rPr/>
      </w:pPr>
      <w:r>
        <w:rPr>
          <w:sz w:val="20"/>
        </w:rPr>
        <w:t xml:space="preserve">Clock and reset come from </w:t>
      </w:r>
      <w:r>
        <w:rPr>
          <w:rStyle w:val="VerbatimChar"/>
          <w:sz w:val="20"/>
        </w:rPr>
        <w:t>bch_loop_genesys2_top</w:t>
      </w:r>
      <w:r>
        <w:rPr>
          <w:sz w:val="20"/>
        </w:rPr>
        <w:t xml:space="preserve">: the 200 MHz LVDS system clock passes through </w:t>
      </w:r>
      <w:r>
        <w:rPr>
          <w:rStyle w:val="VerbatimChar"/>
          <w:sz w:val="20"/>
        </w:rPr>
        <w:t>IBUFDS</w:t>
      </w:r>
      <w:r>
        <w:rPr>
          <w:sz w:val="20"/>
        </w:rPr>
        <w:t xml:space="preserve"> and an </w:t>
      </w:r>
      <w:r>
        <w:rPr>
          <w:rStyle w:val="VerbatimChar"/>
          <w:sz w:val="20"/>
        </w:rPr>
        <w:t>MMCME2_BASE</w:t>
      </w:r>
      <w:r>
        <w:rPr>
          <w:sz w:val="20"/>
        </w:rPr>
        <w:t xml:space="preserve"> with </w:t>
      </w:r>
      <w:r>
        <w:rPr>
          <w:rStyle w:val="VerbatimChar"/>
          <w:sz w:val="20"/>
        </w:rPr>
        <w:t>CLKFBOUT_MULT_F = 6</w:t>
      </w:r>
      <w:r>
        <w:rPr>
          <w:sz w:val="20"/>
        </w:rPr>
        <w:t xml:space="preserve"> and </w:t>
      </w:r>
      <w:r>
        <w:rPr>
          <w:rStyle w:val="VerbatimChar"/>
          <w:sz w:val="20"/>
        </w:rPr>
        <w:t>CLKOUT0_DIVIDE_F = 12</w:t>
      </w:r>
      <w:r>
        <w:rPr>
          <w:sz w:val="20"/>
        </w:rPr>
        <w:t>, giving a 100 MHz harness clock. The Nexys A7 top runs the same 100 MHz directly. That frequency was chosen because the BCH loop and the UART divisor both close timing comfortably at 100 MHz on the k325t-2, and it keeps the AXIS and AXI4 flavours interchangeable from the host’s point of view.</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2" w:name="clock-and-reset"/>
      <w:r>
        <w:rPr/>
        <mc:AlternateContent>
          <mc:Choice Requires="wps">
            <w:drawing>
              <wp:inline distT="0" distB="0" distL="0" distR="0">
                <wp:extent cx="594360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
      <w:r>
        <w:br w:type="page"/>
      </w:r>
    </w:p>
    <w:p>
      <w:pPr>
        <w:pStyle w:val="Heading1"/>
        <w:shd w:val="clear" w:color="auto" w:fill="404040"/>
        <w:spacing w:before="360" w:after="120"/>
        <w:rPr/>
      </w:pPr>
      <w:bookmarkStart w:id="33" w:name="__RefHeading___Toc2891_1924947109"/>
      <w:bookmarkStart w:id="34" w:name="address-map"/>
      <w:bookmarkEnd w:id="33"/>
      <w:r>
        <w:rPr>
          <w:rStyle w:val="SectionNumber"/>
          <w:b/>
          <w:color w:val="FFFFFF"/>
          <w:sz w:val="32"/>
        </w:rPr>
        <w:t>5</w:t>
      </w:r>
      <w:r>
        <w:rPr>
          <w:b/>
          <w:color w:val="FFFFFF"/>
          <w:sz w:val="32"/>
        </w:rPr>
        <w:tab/>
        <w:t>Address Map</w:t>
      </w:r>
    </w:p>
    <w:p>
      <w:pPr>
        <w:pStyle w:val="FirstParagraph"/>
        <w:rPr/>
      </w:pPr>
      <w:r>
        <w:rPr>
          <w:sz w:val="20"/>
        </w:rPr>
        <w:t xml:space="preserve">The harness exposes one 32-bit AXI4-Lite slave through the UART bridge. The generated </w:t>
      </w:r>
      <w:r>
        <w:rPr>
          <w:rStyle w:val="VerbatimChar"/>
          <w:sz w:val="20"/>
        </w:rPr>
        <w:t>bridge_bch_loop_axil</w:t>
      </w:r>
      <w:r>
        <w:rPr>
          <w:sz w:val="20"/>
        </w:rPr>
        <w:t xml:space="preserve"> fabric decodes three APB windows; the first window holds the loop’s own CSR block. The host code in </w:t>
      </w:r>
      <w:r>
        <w:rPr>
          <w:rStyle w:val="VerbatimChar"/>
          <w:sz w:val="20"/>
        </w:rPr>
        <w:t>build-loop/host/bch_loop.py</w:t>
      </w:r>
      <w:r>
        <w:rPr>
          <w:sz w:val="20"/>
        </w:rPr>
        <w:t xml:space="preserve"> knows only two raw addresses — </w:t>
      </w:r>
      <w:r>
        <w:rPr>
          <w:rStyle w:val="VerbatimChar"/>
          <w:sz w:val="20"/>
        </w:rPr>
        <w:t>OBS_AXI4_BASE = 0x00010000</w:t>
      </w:r>
      <w:r>
        <w:rPr>
          <w:sz w:val="20"/>
        </w:rPr>
        <w:t xml:space="preserve"> and </w:t>
      </w:r>
      <w:r>
        <w:rPr>
          <w:rStyle w:val="VerbatimChar"/>
          <w:sz w:val="20"/>
        </w:rPr>
        <w:t>OBS_AXIS_BASE = 0x00020000</w:t>
      </w:r>
      <w:r>
        <w:rPr>
          <w:sz w:val="20"/>
        </w:rPr>
        <w:t xml:space="preserve"> — everything else is by-name access through the PeakRDL-generated </w:t>
      </w:r>
      <w:r>
        <w:rPr>
          <w:rStyle w:val="VerbatimChar"/>
          <w:sz w:val="20"/>
        </w:rPr>
        <w:t>bch_loop_regs_regmap.py</w:t>
      </w:r>
      <w:r>
        <w:rPr>
          <w:sz w:val="20"/>
        </w:rPr>
        <w:t>.</w:t>
      </w:r>
    </w:p>
    <w:p>
      <w:pPr>
        <w:pStyle w:val="Normal"/>
        <w:rPr/>
      </w:pPr>
      <w:r>
        <w:rPr/>
        <mc:AlternateContent>
          <mc:Choice Requires="wps">
            <w:drawing>
              <wp:inline distT="0" distB="0" distL="0" distR="0">
                <wp:extent cx="594360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35" w:name="__RefHeading___Toc2893_1924947109"/>
      <w:bookmarkStart w:id="36" w:name="figure-2.4-uart-harness-address-map"/>
      <w:bookmarkStart w:id="37" w:name="_Fig_4_UART_harness_address"/>
      <w:bookmarkEnd w:id="35"/>
      <w:r>
        <w:rPr>
          <w:rStyle w:val="SectionNumber"/>
          <w:b/>
          <w:color w:val="228B22"/>
          <w:sz w:val="28"/>
        </w:rPr>
        <w:t>5.1</w:t>
      </w:r>
      <w:r>
        <w:rPr>
          <w:b/>
          <w:color w:val="228B22"/>
          <w:sz w:val="28"/>
        </w:rPr>
        <w:tab/>
        <w:t>Figure 2.4: UART harness address map</w:t>
      </w:r>
      <w:bookmarkEnd w:id="37"/>
    </w:p>
    <w:p>
      <w:pPr>
        <w:pStyle w:val="CaptionedFigure"/>
        <w:rPr/>
      </w:pPr>
      <w:r>
        <w:rPr/>
        <w:drawing>
          <wp:inline distT="0" distB="0" distL="0" distR="0">
            <wp:extent cx="5334000" cy="1967230"/>
            <wp:effectExtent l="0" t="0" r="0" b="0"/>
            <wp:docPr id="11" name="Image4" descr="BCH UART harness address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4" descr="BCH UART harness address map"/>
                    <pic:cNvPicPr>
                      <a:picLocks noChangeAspect="1" noChangeArrowheads="1"/>
                    </pic:cNvPicPr>
                  </pic:nvPicPr>
                  <pic:blipFill>
                    <a:blip r:embed="rId9"/>
                    <a:stretch>
                      <a:fillRect/>
                    </a:stretch>
                  </pic:blipFill>
                  <pic:spPr bwMode="auto">
                    <a:xfrm>
                      <a:off x="0" y="0"/>
                      <a:ext cx="5334000" cy="1967230"/>
                    </a:xfrm>
                    <a:prstGeom prst="rect">
                      <a:avLst/>
                    </a:prstGeom>
                  </pic:spPr>
                </pic:pic>
              </a:graphicData>
            </a:graphic>
          </wp:inline>
        </w:drawing>
      </w:r>
    </w:p>
    <w:p>
      <w:pPr>
        <w:pStyle w:val="ImageCaption"/>
        <w:rPr/>
      </w:pPr>
      <w:r>
        <w:rPr/>
        <w:t>BCH UART harness address map</w:t>
      </w:r>
    </w:p>
    <w:p>
      <w:pPr>
        <w:pStyle w:val="BodyText"/>
        <w:rPr/>
      </w:pPr>
      <w:r>
        <w:rPr>
          <w:b/>
          <w:bCs/>
          <w:sz w:val="20"/>
        </w:rPr>
        <w:t>Source:</w:t>
      </w:r>
      <w:r>
        <w:rPr>
          <w:sz w:val="20"/>
        </w:rPr>
        <w:t xml:space="preserve"> </w:t>
      </w:r>
      <w:hyperlink r:id="rId10">
        <w:r>
          <w:rPr>
            <w:rStyle w:val="Hyperlink"/>
          </w:rPr>
          <w:t>04_address_map.dot</w:t>
        </w:r>
      </w:hyperlink>
    </w:p>
    <w:p>
      <w:pPr>
        <w:pStyle w:val="Normal"/>
        <w:rPr/>
      </w:pPr>
      <w:bookmarkStart w:id="38" w:name="figure-2.4-uart-harness-address-map"/>
      <w:r>
        <w:rPr/>
        <mc:AlternateContent>
          <mc:Choice Requires="wps">
            <w:drawing>
              <wp:inline distT="0" distB="0" distL="0" distR="0">
                <wp:extent cx="594360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8"/>
      <w:r>
        <w:br w:type="page"/>
      </w:r>
    </w:p>
    <w:p>
      <w:pPr>
        <w:pStyle w:val="Heading2"/>
        <w:pBdr>
          <w:bottom w:val="single" w:sz="12" w:space="0" w:color="228B22"/>
        </w:pBdr>
        <w:spacing w:before="280" w:after="80"/>
        <w:rPr/>
      </w:pPr>
      <w:bookmarkStart w:id="39" w:name="__RefHeading___Toc2895_1924947109"/>
      <w:bookmarkStart w:id="40" w:name="window-summary"/>
      <w:bookmarkEnd w:id="39"/>
      <w:r>
        <w:rPr>
          <w:rStyle w:val="SectionNumber"/>
          <w:b/>
          <w:color w:val="228B22"/>
          <w:sz w:val="28"/>
        </w:rPr>
        <w:t>5.2</w:t>
      </w:r>
      <w:r>
        <w:rPr>
          <w:b/>
          <w:color w:val="228B22"/>
          <w:sz w:val="28"/>
        </w:rPr>
        <w:tab/>
        <w:t>Window summary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Base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Size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Window</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As-built use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0x0000_0000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0x0000_0000 - 0x0000_0FFF</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KB</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bch_loop_apb</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Loop CSRs (</w:t>
            </w:r>
            <w:r>
              <w:rPr>
                <w:rStyle w:val="VerbatimChar"/>
                <w:rFonts w:eastAsia="Cambria" w:cs=""/>
                <w:kern w:val="0"/>
                <w:szCs w:val="24"/>
                <w:lang w:val="en-US" w:eastAsia="en-US" w:bidi="ar-SA"/>
              </w:rPr>
              <w:t>bch_loop_regs</w:t>
            </w:r>
            <w:r>
              <w:rPr>
                <w:rFonts w:eastAsia="Cambria" w:cs=""/>
                <w:kern w:val="0"/>
                <w:sz w:val="24"/>
                <w:szCs w:val="24"/>
                <w:lang w:val="en-US" w:eastAsia="en-US" w:bidi="ar-SA"/>
              </w:rPr>
              <w:t>) — expanded below.</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0x0001_0000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0x0001_0000 - 0x0001_0FFF</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KB</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bch_regs_apb</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PLANNED:</w:t>
            </w:r>
            <w:r>
              <w:rPr>
                <w:rFonts w:eastAsia="Cambria" w:cs=""/>
                <w:kern w:val="0"/>
                <w:sz w:val="24"/>
                <w:szCs w:val="24"/>
                <w:lang w:val="en-US" w:eastAsia="en-US" w:bidi="ar-SA"/>
              </w:rPr>
              <w:t xml:space="preserve"> codec-native register block. </w:t>
            </w:r>
            <w:r>
              <w:rPr>
                <w:rFonts w:eastAsia="Cambria" w:cs=""/>
                <w:b/>
                <w:bCs/>
                <w:kern w:val="0"/>
                <w:sz w:val="24"/>
                <w:szCs w:val="24"/>
                <w:lang w:val="en-US" w:eastAsia="en-US" w:bidi="ar-SA"/>
              </w:rPr>
              <w:t>As-built:</w:t>
            </w:r>
            <w:r>
              <w:rPr>
                <w:rFonts w:eastAsia="Cambria" w:cs=""/>
                <w:kern w:val="0"/>
                <w:sz w:val="24"/>
                <w:szCs w:val="24"/>
                <w:lang w:val="en-US" w:eastAsia="en-US" w:bidi="ar-SA"/>
              </w:rPr>
              <w:t xml:space="preserve"> AXI4 flavour hosts </w:t>
            </w:r>
            <w:r>
              <w:rPr>
                <w:rStyle w:val="VerbatimChar"/>
                <w:rFonts w:eastAsia="Cambria" w:cs=""/>
                <w:kern w:val="0"/>
                <w:szCs w:val="24"/>
                <w:lang w:val="en-US" w:eastAsia="en-US" w:bidi="ar-SA"/>
              </w:rPr>
              <w:t>axi4_intf_master_observer</w:t>
            </w:r>
            <w:r>
              <w:rPr>
                <w:rFonts w:eastAsia="Cambria" w:cs=""/>
                <w:kern w:val="0"/>
                <w:sz w:val="24"/>
                <w:szCs w:val="24"/>
                <w:lang w:val="en-US" w:eastAsia="en-US" w:bidi="ar-SA"/>
              </w:rPr>
              <w:t>; AXIS flavour returns read-0.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0x0002_0000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0x0002_0000 - 0x0002_0FFF</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KB</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obs_apb</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axis4_intf_observer</w:t>
            </w:r>
            <w:r>
              <w:rPr>
                <w:rFonts w:eastAsia="Cambria" w:cs=""/>
                <w:kern w:val="0"/>
                <w:sz w:val="24"/>
                <w:szCs w:val="24"/>
                <w:lang w:val="en-US" w:eastAsia="en-US" w:bidi="ar-SA"/>
              </w:rPr>
              <w:t xml:space="preserve"> on the four AXIS seams. On the AXI4 flavour the seams are tied off and reads return 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0x0003_0000+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unmapped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Sticky </w:t>
            </w:r>
            <w:r>
              <w:rPr>
                <w:rStyle w:val="VerbatimChar"/>
                <w:rFonts w:eastAsia="Cambria" w:cs=""/>
                <w:kern w:val="0"/>
                <w:szCs w:val="24"/>
                <w:lang w:val="en-US" w:eastAsia="en-US" w:bidi="ar-SA"/>
              </w:rPr>
              <w:t>unmapped_irq</w:t>
            </w:r>
            <w:r>
              <w:rPr>
                <w:rFonts w:eastAsia="Cambria" w:cs=""/>
                <w:kern w:val="0"/>
                <w:sz w:val="24"/>
                <w:szCs w:val="24"/>
                <w:lang w:val="en-US" w:eastAsia="en-US" w:bidi="ar-SA"/>
              </w:rPr>
              <w:t xml:space="preserve"> in the bridge.</w:t>
            </w:r>
          </w:p>
        </w:tc>
      </w:tr>
    </w:tbl>
    <w:p>
      <w:pPr>
        <w:pStyle w:val="Normal"/>
        <w:rPr/>
      </w:pPr>
      <w:bookmarkStart w:id="41" w:name="window-summary"/>
      <w:r>
        <w:rPr/>
        <mc:AlternateContent>
          <mc:Choice Requires="wps">
            <w:drawing>
              <wp:inline distT="0" distB="0" distL="0" distR="0">
                <wp:extent cx="635"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1"/>
      <w:r>
        <w:br w:type="page"/>
      </w:r>
    </w:p>
    <w:p>
      <w:pPr>
        <w:pStyle w:val="Heading2"/>
        <w:pBdr>
          <w:bottom w:val="single" w:sz="12" w:space="0" w:color="228B22"/>
        </w:pBdr>
        <w:spacing w:before="280" w:after="80"/>
        <w:rPr/>
      </w:pPr>
      <w:bookmarkStart w:id="42" w:name="__RefHeading___Toc2897_1924947109"/>
      <w:bookmarkStart w:id="43" w:name="loop-csr-registers-window-0"/>
      <w:bookmarkEnd w:id="42"/>
      <w:r>
        <w:rPr>
          <w:rStyle w:val="SectionNumber"/>
          <w:b/>
          <w:color w:val="228B22"/>
          <w:sz w:val="28"/>
        </w:rPr>
        <w:t>5.3</w:t>
      </w:r>
      <w:r>
        <w:rPr>
          <w:b/>
          <w:color w:val="228B22"/>
          <w:sz w:val="28"/>
        </w:rPr>
        <w:tab/>
        <w:t>Loop CSR registers (window 0)</w:t>
      </w:r>
    </w:p>
    <w:p>
      <w:pPr>
        <w:pStyle w:val="FirstParagraph"/>
        <w:rPr/>
      </w:pPr>
      <w:r>
        <w:rPr>
          <w:sz w:val="20"/>
        </w:rPr>
        <w:t xml:space="preserve">All registers are 32 bits and word-aligned. The address space is defined in </w:t>
      </w:r>
      <w:r>
        <w:rPr>
          <w:rStyle w:val="VerbatimChar"/>
          <w:sz w:val="20"/>
        </w:rPr>
        <w:t>build-loop/rtl/bch_loop_regs.rdl</w:t>
      </w:r>
      <w:r>
        <w:rPr>
          <w:sz w:val="20"/>
        </w:rPr>
        <w:t xml:space="preserve"> and generated into </w:t>
      </w:r>
      <w:r>
        <w:rPr>
          <w:rStyle w:val="VerbatimChar"/>
          <w:sz w:val="20"/>
        </w:rPr>
        <w:t>build-loop/rtl/generated/bch_loop_regs/rtl/bch_loop_regs.sv</w:t>
      </w:r>
      <w:r>
        <w:rPr>
          <w:sz w:val="20"/>
        </w:rPr>
        <w:t xml:space="preserve"> plus </w:t>
      </w:r>
      <w:r>
        <w:rPr>
          <w:rStyle w:val="VerbatimChar"/>
          <w:sz w:val="20"/>
        </w:rPr>
        <w:t>build-loop/dv/tbclasses/bch_loop_regs_regmap.py</w:t>
      </w:r>
      <w:r>
        <w:rPr>
          <w:sz w:val="20"/>
        </w:rPr>
        <w:t>.</w:t>
      </w:r>
    </w:p>
    <w:p>
      <w:pPr>
        <w:pStyle w:val="Heading3"/>
        <w:spacing w:before="200" w:after="80"/>
        <w:rPr/>
      </w:pPr>
      <w:bookmarkStart w:id="44" w:name="__RefHeading___Toc2899_1924947109"/>
      <w:bookmarkEnd w:id="44"/>
      <w:r>
        <w:rPr>
          <w:rStyle w:val="SectionNumber"/>
          <w:b/>
          <w:color w:val="404040"/>
          <w:sz w:val="24"/>
        </w:rPr>
        <w:t>5.3.1</w:t>
      </w:r>
      <w:r>
        <w:rPr>
          <w:b/>
          <w:color w:val="404040"/>
          <w:sz w:val="24"/>
        </w:rPr>
        <w:tab/>
        <w:t>Identification and control</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BUILD_ID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ASCII identifier: </w:t>
            </w:r>
            <w:r>
              <w:rPr>
                <w:rStyle w:val="VerbatimChar"/>
                <w:rFonts w:eastAsia="Cambria" w:cs=""/>
                <w:kern w:val="0"/>
                <w:szCs w:val="24"/>
                <w:lang w:val="en-US" w:eastAsia="en-US" w:bidi="ar-SA"/>
              </w:rPr>
              <w:t>0x4243_4850</w:t>
            </w:r>
            <w:r>
              <w:rPr>
                <w:rFonts w:eastAsia="Cambria" w:cs=""/>
                <w:kern w:val="0"/>
                <w:sz w:val="24"/>
                <w:szCs w:val="24"/>
                <w:lang w:val="en-US" w:eastAsia="en-US" w:bidi="ar-SA"/>
              </w:rPr>
              <w:t xml:space="preserve"> “BCHP” (board) or </w:t>
            </w:r>
            <w:r>
              <w:rPr>
                <w:rStyle w:val="VerbatimChar"/>
                <w:rFonts w:eastAsia="Cambria" w:cs=""/>
                <w:kern w:val="0"/>
                <w:szCs w:val="24"/>
                <w:lang w:val="en-US" w:eastAsia="en-US" w:bidi="ar-SA"/>
              </w:rPr>
              <w:t>0x4243_4853</w:t>
            </w:r>
            <w:r>
              <w:rPr>
                <w:rFonts w:eastAsia="Cambria" w:cs=""/>
                <w:kern w:val="0"/>
                <w:sz w:val="24"/>
                <w:szCs w:val="24"/>
                <w:lang w:val="en-US" w:eastAsia="en-US" w:bidi="ar-SA"/>
              </w:rPr>
              <w:t xml:space="preserve"> “BCHS” (small).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SCRATCH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Host link sanity.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 RW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soft_reset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clear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bypass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throttle_a/b</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inj_seed_on_start</w:t>
            </w: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0x080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Pulse </w:t>
            </w:r>
            <w:r>
              <w:rPr>
                <w:rStyle w:val="VerbatimChar"/>
                <w:rFonts w:eastAsia="Cambria" w:cs=""/>
                <w:kern w:val="0"/>
                <w:szCs w:val="24"/>
                <w:lang w:val="en-US" w:eastAsia="en-US" w:bidi="ar-SA"/>
              </w:rPr>
              <w:t>start</w:t>
            </w:r>
            <w:r>
              <w:rPr>
                <w:rFonts w:eastAsia="Cambria" w:cs=""/>
                <w:kern w:val="0"/>
                <w:sz w:val="24"/>
                <w:szCs w:val="24"/>
                <w:lang w:val="en-US" w:eastAsia="en-US" w:bidi="ar-SA"/>
              </w:rPr>
              <w:t xml:space="preserve"> to run </w:t>
            </w:r>
            <w:r>
              <w:rPr>
                <w:rStyle w:val="VerbatimChar"/>
                <w:rFonts w:eastAsia="Cambria" w:cs=""/>
                <w:kern w:val="0"/>
                <w:szCs w:val="24"/>
                <w:lang w:val="en-US" w:eastAsia="en-US" w:bidi="ar-SA"/>
              </w:rPr>
              <w:t>GEN_BLOCKS</w:t>
            </w:r>
            <w:r>
              <w:rPr>
                <w:rFonts w:eastAsia="Cambria" w:cs=""/>
                <w:kern w:val="0"/>
                <w:sz w:val="24"/>
                <w:szCs w:val="24"/>
                <w:lang w:val="en-US" w:eastAsia="en-US" w:bidi="ar-SA"/>
              </w:rPr>
              <w:t xml:space="preserve"> blocks.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GEN_BLOCKS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Blocks per run.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GEN_SEED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Pattern generator LFSR seed.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INJ_CFG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Injector mode (</w:t>
            </w:r>
            <w:r>
              <w:rPr>
                <w:rStyle w:val="VerbatimChar"/>
                <w:rFonts w:eastAsia="Cambria" w:cs=""/>
                <w:kern w:val="0"/>
                <w:szCs w:val="24"/>
                <w:lang w:val="en-US" w:eastAsia="en-US" w:bidi="ar-SA"/>
              </w:rPr>
              <w:t>0..7</w:t>
            </w:r>
            <w:r>
              <w:rPr>
                <w:rFonts w:eastAsia="Cambria" w:cs=""/>
                <w:kern w:val="0"/>
                <w:sz w:val="24"/>
                <w:szCs w:val="24"/>
                <w:lang w:val="en-US" w:eastAsia="en-US" w:bidi="ar-SA"/>
              </w:rPr>
              <w:t>), error count, rate.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INJ_SEED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Injector LFSR seed.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0x088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INJ_CNT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Cluster mode min/max cluster count.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0x08C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INJ_LEN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Cluster mode min/max cluster length.</w:t>
            </w:r>
            <w:bookmarkStart w:id="45" w:name="identification-and-control"/>
            <w:bookmarkEnd w:id="45"/>
          </w:p>
        </w:tc>
      </w:tr>
    </w:tbl>
    <w:p>
      <w:pPr>
        <w:pStyle w:val="Heading3"/>
        <w:spacing w:before="200" w:after="80"/>
        <w:rPr/>
      </w:pPr>
      <w:bookmarkStart w:id="46" w:name="__RefHeading___Toc2901_1924947109"/>
      <w:bookmarkEnd w:id="46"/>
      <w:r>
        <w:rPr>
          <w:rStyle w:val="SectionNumber"/>
          <w:b/>
          <w:color w:val="404040"/>
          <w:sz w:val="24"/>
        </w:rPr>
        <w:t>5.3.2</w:t>
      </w:r>
      <w:r>
        <w:rPr>
          <w:b/>
          <w:color w:val="404040"/>
          <w:sz w:val="24"/>
        </w:rPr>
        <w:tab/>
        <w:t>Status and profile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0x084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TOPOLOGY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decoders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kes_a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iface</w:t>
            </w:r>
            <w:r>
              <w:rPr>
                <w:rFonts w:eastAsia="Cambria" w:cs=""/>
                <w:kern w:val="0"/>
                <w:sz w:val="24"/>
                <w:szCs w:val="24"/>
                <w:lang w:val="en-US" w:eastAsia="en-US" w:bidi="ar-SA"/>
              </w:rPr>
              <w:t xml:space="preserve"> (AXIS vs AXI4).</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PROFILE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spb</w:t>
            </w:r>
            <w:r>
              <w:rPr>
                <w:rFonts w:eastAsia="Cambria" w:cs=""/>
                <w:kern w:val="0"/>
                <w:sz w:val="24"/>
                <w:szCs w:val="24"/>
                <w:lang w:val="en-US" w:eastAsia="en-US" w:bidi="ar-SA"/>
              </w:rPr>
              <w:t xml:space="preserve"> (bytes per beat).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STATUS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busy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gen_done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chk_a_done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data_err_a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crc_a_ok</w:t>
            </w:r>
            <w:r>
              <w:rPr>
                <w:rFonts w:eastAsia="Cambria" w:cs=""/>
                <w:kern w:val="0"/>
                <w:sz w:val="24"/>
                <w:szCs w:val="24"/>
                <w:lang w:val="en-US" w:eastAsia="en-US" w:bidi="ar-SA"/>
              </w:rPr>
              <w:t>, AXI4 stage/overflow.</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0x024 - 0x038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CRC_EXPECTED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CRC_A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CRC_B</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PKTS_A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PKTS_B</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CYCLES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Run-level CRC, packet and cycle counts.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0x03C - 0x060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BLK_OK_A</w:t>
            </w:r>
            <w:r>
              <w:rPr>
                <w:rFonts w:eastAsia="Cambria" w:cs=""/>
                <w:kern w:val="0"/>
                <w:sz w:val="24"/>
                <w:szCs w:val="24"/>
                <w:lang w:val="en-US" w:eastAsia="en-US" w:bidi="ar-SA"/>
              </w:rPr>
              <w:t>..</w:t>
            </w:r>
            <w:r>
              <w:rPr>
                <w:rStyle w:val="VerbatimChar"/>
                <w:rFonts w:eastAsia="Cambria" w:cs=""/>
                <w:kern w:val="0"/>
                <w:szCs w:val="24"/>
                <w:lang w:val="en-US" w:eastAsia="en-US" w:bidi="ar-SA"/>
              </w:rPr>
              <w:t>SYM_CORR_A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BLK_OK_B</w:t>
            </w:r>
            <w:r>
              <w:rPr>
                <w:rFonts w:eastAsia="Cambria" w:cs=""/>
                <w:kern w:val="0"/>
                <w:sz w:val="24"/>
                <w:szCs w:val="24"/>
                <w:lang w:val="en-US" w:eastAsia="en-US" w:bidi="ar-SA"/>
              </w:rPr>
              <w:t>..</w:t>
            </w:r>
            <w:r>
              <w:rPr>
                <w:rStyle w:val="VerbatimChar"/>
                <w:rFonts w:eastAsia="Cambria" w:cs=""/>
                <w:kern w:val="0"/>
                <w:szCs w:val="24"/>
                <w:lang w:val="en-US" w:eastAsia="en-US" w:bidi="ar-SA"/>
              </w:rPr>
              <w:t>SYM_CORR_B</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Decoder verdict tallies; B-side tied off.</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0x064 - 0x070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INJ_SYMBOLS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INJ_BLOCKS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INJ_OVER_T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INJ_LAST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Injector statistics.</w:t>
            </w:r>
          </w:p>
        </w:tc>
      </w:tr>
    </w:tbl>
    <w:p>
      <w:pPr>
        <w:pStyle w:val="Heading3"/>
        <w:spacing w:before="200" w:after="80"/>
        <w:rPr/>
      </w:pPr>
      <w:bookmarkStart w:id="47" w:name="__RefHeading___Toc2903_1924947109"/>
      <w:bookmarkEnd w:id="47"/>
      <w:r>
        <w:rPr>
          <w:rStyle w:val="SectionNumber"/>
          <w:b/>
          <w:color w:val="404040"/>
          <w:sz w:val="24"/>
        </w:rPr>
        <w:t>5.3.3</w:t>
      </w:r>
      <w:r>
        <w:rPr>
          <w:b/>
          <w:color w:val="404040"/>
          <w:sz w:val="24"/>
        </w:rPr>
        <w:tab/>
        <w:t>Bandwidth meters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0x090 - 0x09C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OBS_IN_*</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Codec input end: productive / backpressure / starvation / idle cycles.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0x0A0 - 0x0AC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OBS_OUT_*</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Codec output end meters.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0x0B0 - 0x0BC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OBS_CW_OUT_*</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Codeword out of encoder meters.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0x0C0 - 0x0CC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OBS_CW_IN_*</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Codeword into decoder meters.</w:t>
            </w:r>
          </w:p>
        </w:tc>
      </w:tr>
    </w:tbl>
    <w:p>
      <w:pPr>
        <w:pStyle w:val="Normal"/>
        <w:rPr/>
      </w:pPr>
      <w:bookmarkStart w:id="48" w:name="loop-csr-registers-window-0"/>
      <w:r>
        <w:rPr/>
        <mc:AlternateContent>
          <mc:Choice Requires="wps">
            <w:drawing>
              <wp:inline distT="0" distB="0" distL="0" distR="0">
                <wp:extent cx="635" cy="19050"/>
                <wp:effectExtent l="0" t="0" r="0" b="0"/>
                <wp:docPr id="16" name=""/>
                <a:graphic xmlns:a="http://schemas.openxmlformats.org/drawingml/2006/main">
                  <a:graphicData uri="http://schemas.microsoft.com/office/word/2010/wordprocessingShape">
                    <wps:wsp>
                      <wps:cNvSpPr/>
                      <wps:nvSpPr>
                        <wps:cNvPr id="1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8"/>
      <w:r>
        <w:br w:type="page"/>
      </w:r>
    </w:p>
    <w:p>
      <w:pPr>
        <w:pStyle w:val="Heading2"/>
        <w:pBdr>
          <w:bottom w:val="single" w:sz="12" w:space="0" w:color="228B22"/>
        </w:pBdr>
        <w:spacing w:before="280" w:after="80"/>
        <w:rPr/>
      </w:pPr>
      <w:bookmarkStart w:id="49" w:name="__RefHeading___Toc2905_1924947109"/>
      <w:bookmarkStart w:id="50" w:name="observer-windows-windows-1-and-2"/>
      <w:bookmarkEnd w:id="49"/>
      <w:r>
        <w:rPr>
          <w:rStyle w:val="SectionNumber"/>
          <w:b/>
          <w:color w:val="228B22"/>
          <w:sz w:val="28"/>
        </w:rPr>
        <w:t>5.4</w:t>
      </w:r>
      <w:r>
        <w:rPr>
          <w:b/>
          <w:color w:val="228B22"/>
          <w:sz w:val="28"/>
        </w:rPr>
        <w:tab/>
        <w:t>Observer windows (windows 1 and 2)</w:t>
      </w:r>
    </w:p>
    <w:p>
      <w:pPr>
        <w:pStyle w:val="FirstParagraph"/>
        <w:rPr/>
      </w:pPr>
      <w:r>
        <w:rPr>
          <w:sz w:val="20"/>
        </w:rPr>
        <w:t xml:space="preserve">The observer blocks run their own copy of the shared </w:t>
      </w:r>
      <w:r>
        <w:rPr>
          <w:rStyle w:val="VerbatimChar"/>
          <w:sz w:val="20"/>
        </w:rPr>
        <w:t>obs_regs</w:t>
      </w:r>
      <w:r>
        <w:rPr>
          <w:sz w:val="20"/>
        </w:rPr>
        <w:t xml:space="preserve"> register block (</w:t>
      </w:r>
      <w:r>
        <w:rPr>
          <w:rStyle w:val="VerbatimChar"/>
          <w:sz w:val="20"/>
        </w:rPr>
        <w:t>projects/components/utility-ip/misc/rtl/regs/generated/obs_regs_top_regmap.py</w:t>
      </w:r>
      <w:r>
        <w:rPr>
          <w:sz w:val="20"/>
        </w:rPr>
        <w:t xml:space="preserve">). The host attaches a second </w:t>
      </w:r>
      <w:r>
        <w:rPr>
          <w:rStyle w:val="VerbatimChar"/>
          <w:sz w:val="20"/>
        </w:rPr>
        <w:t>UartRegisterMap</w:t>
      </w:r>
      <w:r>
        <w:rPr>
          <w:sz w:val="20"/>
        </w:rPr>
        <w:t xml:space="preserve"> instance at each window base to read observer statistics by name. See </w:t>
      </w:r>
      <w:r>
        <w:rPr>
          <w:rStyle w:val="VerbatimChar"/>
          <w:sz w:val="20"/>
        </w:rPr>
        <w:t>BchLoopDriver.axis_observer()</w:t>
      </w:r>
      <w:r>
        <w:rPr>
          <w:sz w:val="20"/>
        </w:rPr>
        <w:t xml:space="preserve"> and </w:t>
      </w:r>
      <w:r>
        <w:rPr>
          <w:rStyle w:val="VerbatimChar"/>
          <w:sz w:val="20"/>
        </w:rPr>
        <w:t>BchLoopDriver.axi4_observer()</w:t>
      </w:r>
      <w:r>
        <w:rPr>
          <w:sz w:val="20"/>
        </w:rPr>
        <w:t xml:space="preserve"> in </w:t>
      </w:r>
      <w:r>
        <w:rPr>
          <w:rStyle w:val="VerbatimChar"/>
          <w:sz w:val="20"/>
        </w:rPr>
        <w:t>build-loop/host/bch_loop.py</w:t>
      </w:r>
      <w:r>
        <w:rPr>
          <w:sz w:val="20"/>
        </w:rPr>
        <w:t>.</w:t>
      </w:r>
      <w:bookmarkEnd w:id="34"/>
      <w:bookmarkEnd w:id="50"/>
      <w:r>
        <w:br w:type="page"/>
      </w:r>
    </w:p>
    <w:p>
      <w:pPr>
        <w:pStyle w:val="Heading1"/>
        <w:shd w:val="clear" w:color="auto" w:fill="404040"/>
        <w:spacing w:before="360" w:after="120"/>
        <w:rPr/>
      </w:pPr>
      <w:bookmarkStart w:id="51" w:name="__RefHeading___Toc2907_1924947109"/>
      <w:bookmarkStart w:id="52" w:name="the-fpga-testing-choices-and-why"/>
      <w:bookmarkEnd w:id="51"/>
      <w:r>
        <w:rPr>
          <w:rStyle w:val="SectionNumber"/>
          <w:b/>
          <w:color w:val="FFFFFF"/>
          <w:sz w:val="32"/>
        </w:rPr>
        <w:t>6</w:t>
      </w:r>
      <w:r>
        <w:rPr>
          <w:b/>
          <w:color w:val="FFFFFF"/>
          <w:sz w:val="32"/>
        </w:rPr>
        <w:tab/>
        <w:t>The FPGA-Testing Choices, And Why</w:t>
      </w:r>
    </w:p>
    <w:p>
      <w:pPr>
        <w:pStyle w:val="Heading2"/>
        <w:pageBreakBefore w:val="false"/>
        <w:pBdr>
          <w:bottom w:val="single" w:sz="12" w:space="0" w:color="228B22"/>
        </w:pBdr>
        <w:spacing w:before="280" w:after="80"/>
        <w:rPr/>
      </w:pPr>
      <w:bookmarkStart w:id="53" w:name="__RefHeading___Toc2909_1924947109"/>
      <w:bookmarkStart w:id="54" w:name="deterministic-campaigns"/>
      <w:bookmarkEnd w:id="53"/>
      <w:r>
        <w:rPr>
          <w:rStyle w:val="SectionNumber"/>
          <w:b/>
          <w:color w:val="228B22"/>
          <w:sz w:val="28"/>
        </w:rPr>
        <w:t>6.1</w:t>
      </w:r>
      <w:r>
        <w:rPr>
          <w:b/>
          <w:color w:val="228B22"/>
          <w:sz w:val="28"/>
        </w:rPr>
        <w:tab/>
        <w:t>Deterministic campaigns</w:t>
      </w:r>
    </w:p>
    <w:p>
      <w:pPr>
        <w:pStyle w:val="FirstParagraph"/>
        <w:rPr/>
      </w:pPr>
      <w:r>
        <w:rPr>
          <w:sz w:val="20"/>
        </w:rPr>
        <w:t xml:space="preserve">Every board campaign is deterministic: the default </w:t>
      </w:r>
      <w:r>
        <w:rPr>
          <w:rStyle w:val="VerbatimChar"/>
          <w:sz w:val="20"/>
        </w:rPr>
        <w:t>gen_seed</w:t>
      </w:r>
      <w:r>
        <w:rPr>
          <w:sz w:val="20"/>
        </w:rPr>
        <w:t xml:space="preserve"> and </w:t>
      </w:r>
      <w:r>
        <w:rPr>
          <w:rStyle w:val="VerbatimChar"/>
          <w:sz w:val="20"/>
        </w:rPr>
        <w:t>inj_seed</w:t>
      </w:r>
      <w:r>
        <w:rPr>
          <w:sz w:val="20"/>
        </w:rPr>
        <w:t xml:space="preserve"> are 1, and the sequences in </w:t>
      </w:r>
      <w:r>
        <w:rPr>
          <w:rStyle w:val="VerbatimChar"/>
          <w:sz w:val="20"/>
        </w:rPr>
        <w:t>bin/seq_*.py</w:t>
      </w:r>
      <w:r>
        <w:rPr>
          <w:sz w:val="20"/>
        </w:rPr>
        <w:t xml:space="preserve"> produce the same bit-exact runs in cocotb simulation and on the board. That matters because a failure you can replay is a failure you can fix; a non-deterministic board-only failure is just a scary story. </w:t>
      </w:r>
      <w:r>
        <w:rPr>
          <w:rStyle w:val="VerbatimChar"/>
          <w:sz w:val="20"/>
        </w:rPr>
        <w:t>seq_random.py</w:t>
      </w:r>
      <w:r>
        <w:rPr>
          <w:sz w:val="20"/>
        </w:rPr>
        <w:t xml:space="preserve"> still varies its draws, but those draws come from a host-side </w:t>
      </w:r>
      <w:r>
        <w:rPr>
          <w:rStyle w:val="VerbatimChar"/>
          <w:sz w:val="20"/>
        </w:rPr>
        <w:t>random.Random(seed)</w:t>
      </w:r>
      <w:r>
        <w:rPr>
          <w:sz w:val="20"/>
        </w:rPr>
        <w:t xml:space="preserve"> seeded by the caller, so the variation is reproducible when you need it.</w:t>
      </w:r>
      <w:bookmarkEnd w:id="54"/>
      <w:r>
        <w:br w:type="page"/>
      </w:r>
    </w:p>
    <w:p>
      <w:pPr>
        <w:pStyle w:val="Heading2"/>
        <w:pBdr>
          <w:bottom w:val="single" w:sz="12" w:space="0" w:color="228B22"/>
        </w:pBdr>
        <w:spacing w:before="280" w:after="80"/>
        <w:rPr/>
      </w:pPr>
      <w:bookmarkStart w:id="55" w:name="__RefHeading___Toc2911_1924947109"/>
      <w:bookmarkStart w:id="56" w:name="X53a199f0e05baf626d45c0740703794633d0362"/>
      <w:bookmarkEnd w:id="55"/>
      <w:r>
        <w:rPr>
          <w:rStyle w:val="SectionNumber"/>
          <w:b/>
          <w:color w:val="228B22"/>
          <w:sz w:val="28"/>
        </w:rPr>
        <w:t>6.2</w:t>
      </w:r>
      <w:r>
        <w:rPr>
          <w:b/>
          <w:color w:val="228B22"/>
          <w:sz w:val="28"/>
        </w:rPr>
        <w:tab/>
        <w:t>Injector modes mapped to real failure mechanisms</w:t>
      </w:r>
    </w:p>
    <w:p>
      <w:pPr>
        <w:pStyle w:val="FirstParagraph"/>
        <w:rPr/>
      </w:pPr>
      <w:r>
        <w:rPr>
          <w:sz w:val="20"/>
        </w:rPr>
        <w:t xml:space="preserve">The shared </w:t>
      </w:r>
      <w:r>
        <w:rPr>
          <w:rStyle w:val="VerbatimChar"/>
          <w:sz w:val="20"/>
        </w:rPr>
        <w:t>error_injector</w:t>
      </w:r>
      <w:r>
        <w:rPr>
          <w:sz w:val="20"/>
        </w:rPr>
        <w:t xml:space="preserve"> exposes eight modes, and each one answers a different physical question. Exact-count mode proves the correction boundary: at </w:t>
      </w:r>
      <w:r>
        <w:rPr>
          <w:rStyle w:val="VerbatimChar"/>
          <w:sz w:val="20"/>
        </w:rPr>
        <w:t>e &lt;= t</w:t>
      </w:r>
      <w:r>
        <w:rPr>
          <w:sz w:val="20"/>
        </w:rPr>
        <w:t xml:space="preserve"> every block must correct with exactly </w:t>
      </w:r>
      <w:r>
        <w:rPr>
          <w:rStyle w:val="VerbatimChar"/>
          <w:sz w:val="20"/>
        </w:rPr>
        <w:t>e</w:t>
      </w:r>
      <w:r>
        <w:rPr>
          <w:sz w:val="20"/>
        </w:rPr>
        <w:t xml:space="preserve"> bits flipped, and at </w:t>
      </w:r>
      <w:r>
        <w:rPr>
          <w:rStyle w:val="VerbatimChar"/>
          <w:sz w:val="20"/>
        </w:rPr>
        <w:t>e &gt; t</w:t>
      </w:r>
      <w:r>
        <w:rPr>
          <w:sz w:val="20"/>
        </w:rPr>
        <w:t xml:space="preserve"> the decoder must flag uncorrectable. Burst and rate modes model raw bit-error behaviour on a noisy channel. Clusters and localized mode stand in for spatially correlated faults — a bad DRAM row, a disturbed NAND page, a half-plane failure — because real errors are rarely uniform. Badblock mode models retention tails and worn blocks: most of the stream stays clean while a hard minority runs at a much higher error rate. Debug mode is the bring-up helper, a deterministic walking pattern that closes by inspection.</w:t>
      </w:r>
      <w:bookmarkEnd w:id="56"/>
      <w:r>
        <w:br w:type="page"/>
      </w:r>
    </w:p>
    <w:p>
      <w:pPr>
        <w:pStyle w:val="Heading2"/>
        <w:pBdr>
          <w:bottom w:val="single" w:sz="12" w:space="0" w:color="228B22"/>
        </w:pBdr>
        <w:spacing w:before="280" w:after="80"/>
        <w:rPr/>
      </w:pPr>
      <w:bookmarkStart w:id="57" w:name="__RefHeading___Toc2913_1924947109"/>
      <w:bookmarkStart w:id="58" w:name="X33425c8a372d93eb7f1a792208a4c72a5622771"/>
      <w:bookmarkEnd w:id="57"/>
      <w:r>
        <w:rPr>
          <w:rStyle w:val="SectionNumber"/>
          <w:b/>
          <w:color w:val="228B22"/>
          <w:sz w:val="28"/>
        </w:rPr>
        <w:t>6.3</w:t>
      </w:r>
      <w:r>
        <w:rPr>
          <w:b/>
          <w:color w:val="228B22"/>
          <w:sz w:val="28"/>
        </w:rPr>
        <w:tab/>
        <w:t>Post-encoder injection protecting parity bits too</w:t>
      </w:r>
    </w:p>
    <w:p>
      <w:pPr>
        <w:pStyle w:val="FirstParagraph"/>
        <w:rPr/>
      </w:pPr>
      <w:r>
        <w:rPr>
          <w:sz w:val="20"/>
        </w:rPr>
        <w:t xml:space="preserve">The injector sits after the encoder, not inside the generator. That is not an accident: an error in the generator data would be encoded faithfully and the code would never see it. By corrupting the codeword, the parity bits are exposed to the same errors as the data, which is what happens when a real packet is stored, transmitted, or read back from memory. The </w:t>
      </w:r>
      <w:r>
        <w:rPr>
          <w:rStyle w:val="VerbatimChar"/>
          <w:sz w:val="20"/>
        </w:rPr>
        <w:t>bch_loop_harness.sv</w:t>
      </w:r>
      <w:r>
        <w:rPr>
          <w:sz w:val="20"/>
        </w:rPr>
        <w:t xml:space="preserve"> header comment calls this out explicitly, and the layout follows from it.</w:t>
      </w:r>
      <w:bookmarkEnd w:id="58"/>
      <w:r>
        <w:br w:type="page"/>
      </w:r>
    </w:p>
    <w:p>
      <w:pPr>
        <w:pStyle w:val="Heading2"/>
        <w:pBdr>
          <w:bottom w:val="single" w:sz="12" w:space="0" w:color="228B22"/>
        </w:pBdr>
        <w:spacing w:before="280" w:after="80"/>
        <w:rPr/>
      </w:pPr>
      <w:bookmarkStart w:id="59" w:name="__RefHeading___Toc2915_1924947109"/>
      <w:bookmarkStart w:id="60" w:name="X28597d5f952d8edbf8e0506b6bb6ce9edca9d3e"/>
      <w:bookmarkEnd w:id="59"/>
      <w:r>
        <w:rPr>
          <w:rStyle w:val="SectionNumber"/>
          <w:b/>
          <w:color w:val="228B22"/>
          <w:sz w:val="28"/>
        </w:rPr>
        <w:t>6.4</w:t>
      </w:r>
      <w:r>
        <w:rPr>
          <w:b/>
          <w:color w:val="228B22"/>
          <w:sz w:val="28"/>
        </w:rPr>
        <w:tab/>
        <w:t>Recheck + flip-only verdict as the on-chip oracle</w:t>
      </w:r>
    </w:p>
    <w:p>
      <w:pPr>
        <w:pStyle w:val="FirstParagraph"/>
        <w:rPr/>
      </w:pPr>
      <w:r>
        <w:rPr>
          <w:sz w:val="20"/>
        </w:rPr>
        <w:t>The BCH decoder uses riBM with odd-syndrome computation and even syndromes by squaring. It runs a second-syndrome recheck (</w:t>
      </w:r>
      <w:r>
        <w:rPr>
          <w:rStyle w:val="VerbatimChar"/>
          <w:sz w:val="20"/>
        </w:rPr>
        <w:t>ENABLE_RECHECK</w:t>
      </w:r>
      <w:r>
        <w:rPr>
          <w:sz w:val="20"/>
        </w:rPr>
        <w:t xml:space="preserve">) and performs flip-only correction — there is no Forney, because binary values are always 1. The checker independently regenerates the expected stream and reports </w:t>
      </w:r>
      <w:r>
        <w:rPr>
          <w:rStyle w:val="VerbatimChar"/>
          <w:sz w:val="20"/>
        </w:rPr>
        <w:t>data_err</w:t>
      </w:r>
      <w:r>
        <w:rPr>
          <w:sz w:val="20"/>
        </w:rPr>
        <w:t xml:space="preserve"> on any mismatched beat. Together they form the on-chip oracle: the decoder decides whether it thinks it corrected the block, and the checker decides whether the recovered bytes actually match the reference.</w:t>
      </w:r>
      <w:bookmarkEnd w:id="60"/>
      <w:r>
        <w:br w:type="page"/>
      </w:r>
    </w:p>
    <w:p>
      <w:pPr>
        <w:pStyle w:val="Heading2"/>
        <w:pBdr>
          <w:bottom w:val="single" w:sz="12" w:space="0" w:color="228B22"/>
        </w:pBdr>
        <w:spacing w:before="280" w:after="80"/>
        <w:rPr/>
      </w:pPr>
      <w:bookmarkStart w:id="61" w:name="__RefHeading___Toc2917_1924947109"/>
      <w:bookmarkStart w:id="62" w:name="X0c98aa677c1a3dce27fae4ce98d2159186982bf"/>
      <w:bookmarkEnd w:id="61"/>
      <w:r>
        <w:rPr>
          <w:rStyle w:val="SectionNumber"/>
          <w:b/>
          <w:color w:val="228B22"/>
          <w:sz w:val="28"/>
        </w:rPr>
        <w:t>6.5</w:t>
      </w:r>
      <w:r>
        <w:rPr>
          <w:b/>
          <w:color w:val="228B22"/>
          <w:sz w:val="28"/>
        </w:rPr>
        <w:tab/>
        <w:t>UART over a debug core, plus the safety pair</w:t>
      </w:r>
    </w:p>
    <w:p>
      <w:pPr>
        <w:pStyle w:val="FirstParagraph"/>
        <w:rPr/>
      </w:pPr>
      <w:r>
        <w:rPr>
          <w:sz w:val="20"/>
        </w:rPr>
        <w:t xml:space="preserve">The host link is a plain UART at 115200 baud, driven by </w:t>
      </w:r>
      <w:r>
        <w:rPr>
          <w:rStyle w:val="VerbatimChar"/>
          <w:sz w:val="20"/>
        </w:rPr>
        <w:t>uart_axil_bridge</w:t>
      </w:r>
      <w:r>
        <w:rPr>
          <w:sz w:val="20"/>
        </w:rPr>
        <w:t xml:space="preserve">. That choice keeps the harness scriptable from Python without a debug core licence and without vendor-specific probes. But scriptable does not mean careless. Two pieces of shared tooling guard the board: </w:t>
      </w:r>
      <w:r>
        <w:rPr>
          <w:rStyle w:val="VerbatimChar"/>
          <w:sz w:val="20"/>
        </w:rPr>
        <w:t>projects/fpga-systems/bin/board_lock.sh</w:t>
      </w:r>
      <w:r>
        <w:rPr>
          <w:sz w:val="20"/>
        </w:rPr>
        <w:t xml:space="preserve"> serializes programming flows by JTAG serial, and </w:t>
      </w:r>
      <w:r>
        <w:rPr>
          <w:rStyle w:val="VerbatimChar"/>
          <w:sz w:val="20"/>
        </w:rPr>
        <w:t>projects/fpga-systems/bin/fpga_board.py</w:t>
      </w:r>
      <w:r>
        <w:rPr>
          <w:sz w:val="20"/>
        </w:rPr>
        <w:t xml:space="preserve"> refuses to program until a JTAG readback confirms the expected Genesys 2 serial </w:t>
      </w:r>
      <w:r>
        <w:rPr>
          <w:rStyle w:val="VerbatimChar"/>
          <w:sz w:val="20"/>
        </w:rPr>
        <w:t>200300B818A0</w:t>
      </w:r>
      <w:r>
        <w:rPr>
          <w:sz w:val="20"/>
        </w:rPr>
        <w:t xml:space="preserve"> on the chain with a device behind it. The readback also bounces </w:t>
      </w:r>
      <w:r>
        <w:rPr>
          <w:rStyle w:val="VerbatimChar"/>
          <w:sz w:val="20"/>
        </w:rPr>
        <w:t>hw_server</w:t>
      </w:r>
      <w:r>
        <w:rPr>
          <w:sz w:val="20"/>
        </w:rPr>
        <w:t xml:space="preserve"> and retries up to five times on the deviceless-enumeration race that otherwise refused roughly half of programming attempts when a second Digilent board shared the chain.</w:t>
      </w:r>
      <w:bookmarkEnd w:id="62"/>
      <w:r>
        <w:br w:type="page"/>
      </w:r>
    </w:p>
    <w:p>
      <w:pPr>
        <w:pStyle w:val="Heading2"/>
        <w:pBdr>
          <w:bottom w:val="single" w:sz="12" w:space="0" w:color="228B22"/>
        </w:pBdr>
        <w:spacing w:before="280" w:after="80"/>
        <w:rPr/>
      </w:pPr>
      <w:bookmarkStart w:id="63" w:name="__RefHeading___Toc2919_1924947109"/>
      <w:bookmarkStart w:id="64" w:name="Xeb2c1eca342142d59e7b837f5707d394fe730c6"/>
      <w:bookmarkEnd w:id="63"/>
      <w:r>
        <w:rPr>
          <w:rStyle w:val="SectionNumber"/>
          <w:b/>
          <w:color w:val="228B22"/>
          <w:sz w:val="28"/>
        </w:rPr>
        <w:t>6.6</w:t>
      </w:r>
      <w:r>
        <w:rPr>
          <w:b/>
          <w:color w:val="228B22"/>
          <w:sz w:val="28"/>
        </w:rPr>
        <w:tab/>
        <w:t>AXIS vs AXI4 flavours covering both integration styles</w:t>
      </w:r>
    </w:p>
    <w:p>
      <w:pPr>
        <w:pStyle w:val="FirstParagraph"/>
        <w:rPr/>
      </w:pPr>
      <w:r>
        <w:rPr>
          <w:sz w:val="20"/>
        </w:rPr>
        <w:t xml:space="preserve">Two bitstreams are built and both are exercised. The AXIS flavour is a single streaming pipe; the AXI4 flavour is a memory-to-memory job chain. The AXI4 flavour refuses runs whose </w:t>
      </w:r>
      <w:r>
        <w:rPr>
          <w:rStyle w:val="VerbatimChar"/>
          <w:sz w:val="20"/>
        </w:rPr>
        <w:t>GEN_BLOCKS</w:t>
      </w:r>
      <w:r>
        <w:rPr>
          <w:sz w:val="20"/>
        </w:rPr>
        <w:t xml:space="preserve"> exceed the job-memory capacity rather than letting regions wrap, so long soaks belong on the AXIS image. The host reads </w:t>
      </w:r>
      <w:r>
        <w:rPr>
          <w:rStyle w:val="VerbatimChar"/>
          <w:sz w:val="20"/>
        </w:rPr>
        <w:t>TOPOLOGY</w:t>
      </w:r>
      <w:r>
        <w:rPr>
          <w:sz w:val="20"/>
        </w:rPr>
        <w:t xml:space="preserve"> to discover which datapath is loaded, so the same campaign scripts drive both without a command-line flag.</w:t>
      </w:r>
      <w:bookmarkEnd w:id="52"/>
      <w:bookmarkEnd w:id="64"/>
      <w:r>
        <w:br w:type="page"/>
      </w:r>
    </w:p>
    <w:p>
      <w:pPr>
        <w:pStyle w:val="Heading1"/>
        <w:shd w:val="clear" w:color="auto" w:fill="404040"/>
        <w:spacing w:before="360" w:after="120"/>
        <w:rPr/>
      </w:pPr>
      <w:bookmarkStart w:id="65" w:name="__RefHeading___Toc2921_1924947109"/>
      <w:bookmarkStart w:id="66" w:name="operating-it"/>
      <w:bookmarkEnd w:id="65"/>
      <w:r>
        <w:rPr>
          <w:rStyle w:val="SectionNumber"/>
          <w:b/>
          <w:color w:val="FFFFFF"/>
          <w:sz w:val="32"/>
        </w:rPr>
        <w:t>7</w:t>
      </w:r>
      <w:r>
        <w:rPr>
          <w:b/>
          <w:color w:val="FFFFFF"/>
          <w:sz w:val="32"/>
        </w:rPr>
        <w:tab/>
        <w:t>Operating It</w:t>
      </w:r>
    </w:p>
    <w:p>
      <w:pPr>
        <w:pStyle w:val="FirstParagraph"/>
        <w:rPr/>
      </w:pPr>
      <w:r>
        <w:rPr>
          <w:sz w:val="20"/>
        </w:rPr>
        <w:t xml:space="preserve">Start with </w:t>
      </w:r>
      <w:r>
        <w:rPr>
          <w:rStyle w:val="VerbatimChar"/>
          <w:sz w:val="20"/>
        </w:rPr>
        <w:t>make help</w:t>
      </w:r>
      <w:r>
        <w:rPr>
          <w:sz w:val="20"/>
        </w:rPr>
        <w:t xml:space="preserve"> in </w:t>
      </w:r>
      <w:r>
        <w:rPr>
          <w:rStyle w:val="VerbatimChar"/>
          <w:sz w:val="20"/>
        </w:rPr>
        <w:t>projects/fpga-systems/Genesys2/ecc-ip/bch/</w:t>
      </w:r>
      <w:r>
        <w:rPr>
          <w:sz w:val="20"/>
        </w:rPr>
        <w:t xml:space="preserve"> and the per-build help under </w:t>
      </w:r>
      <w:r>
        <w:rPr>
          <w:rStyle w:val="VerbatimChar"/>
          <w:sz w:val="20"/>
        </w:rPr>
        <w:t>build-loop/</w:t>
      </w:r>
      <w:r>
        <w:rPr>
          <w:sz w:val="20"/>
        </w:rPr>
        <w:t>. A typical board run looks like:</w:t>
      </w:r>
    </w:p>
    <w:p>
      <w:pPr>
        <w:pStyle w:val="SourceCode"/>
        <w:rPr/>
      </w:pPr>
      <w:r>
        <w:rPr>
          <w:rStyle w:val="ExtensionTok"/>
        </w:rPr>
        <w:t>bin/run_smoke.py</w:t>
      </w:r>
      <w:r>
        <w:rPr>
          <w:rStyle w:val="NormalTok"/>
        </w:rPr>
        <w:t xml:space="preserve"> </w:t>
      </w:r>
      <w:r>
        <w:rPr>
          <w:rStyle w:val="AttributeTok"/>
        </w:rPr>
        <w:t>--board</w:t>
      </w:r>
      <w:r>
        <w:rPr>
          <w:rStyle w:val="NormalTok"/>
        </w:rPr>
        <w:t xml:space="preserve"> genesys2 </w:t>
      </w:r>
      <w:r>
        <w:rPr>
          <w:rStyle w:val="AttributeTok"/>
        </w:rPr>
        <w:t>--port</w:t>
      </w:r>
      <w:r>
        <w:rPr>
          <w:rStyle w:val="NormalTok"/>
        </w:rPr>
        <w:t xml:space="preserve"> /dev/ttyUSB0 </w:t>
      </w:r>
      <w:r>
        <w:rPr>
          <w:rStyle w:val="AttributeTok"/>
        </w:rPr>
        <w:t>--sequences</w:t>
      </w:r>
      <w:r>
        <w:rPr>
          <w:rStyle w:val="NormalTok"/>
        </w:rPr>
        <w:t xml:space="preserve"> init smoke sweep</w:t>
      </w:r>
    </w:p>
    <w:p>
      <w:pPr>
        <w:pStyle w:val="FirstParagraph"/>
        <w:rPr/>
      </w:pPr>
      <w:r>
        <w:rPr>
          <w:sz w:val="20"/>
        </w:rPr>
        <w:t xml:space="preserve">For the Nexys A7 small profile, build the bitstream with </w:t>
      </w:r>
      <w:r>
        <w:rPr>
          <w:rStyle w:val="VerbatimChar"/>
          <w:sz w:val="20"/>
        </w:rPr>
        <w:t>make -C build-loop bitstream BCH_TARGET=nexys_a7_100t BCH_PROFILE=small</w:t>
      </w:r>
      <w:r>
        <w:rPr>
          <w:sz w:val="20"/>
        </w:rPr>
        <w:t xml:space="preserve"> and drive the same sequences over the A7’s UART; </w:t>
      </w:r>
      <w:r>
        <w:rPr>
          <w:rStyle w:val="VerbatimChar"/>
          <w:sz w:val="20"/>
        </w:rPr>
        <w:t>init</w:t>
      </w:r>
      <w:r>
        <w:rPr>
          <w:sz w:val="20"/>
        </w:rPr>
        <w:t xml:space="preserve"> proves the “BCHS” BUILD_ID and the PROFILE CSR reports n=248, t=3, so the host programs pick up the geometry from the board.</w:t>
      </w:r>
    </w:p>
    <w:p>
      <w:pPr>
        <w:pStyle w:val="BodyText"/>
        <w:rPr/>
      </w:pPr>
      <w:r>
        <w:rPr>
          <w:sz w:val="20"/>
        </w:rPr>
        <w:t xml:space="preserve">Board timing, utilisation, and the matrix summary are recorded in </w:t>
      </w:r>
      <w:r>
        <w:rPr>
          <w:rStyle w:val="VerbatimChar"/>
          <w:sz w:val="20"/>
        </w:rPr>
        <w:t>stable/MANIFEST.md</w:t>
      </w:r>
      <w:r>
        <w:rPr>
          <w:sz w:val="20"/>
        </w:rPr>
        <w:t xml:space="preserve"> and </w:t>
      </w:r>
      <w:r>
        <w:rPr>
          <w:rStyle w:val="VerbatimChar"/>
          <w:sz w:val="20"/>
        </w:rPr>
        <w:t>stable/reports/{genesys2_axis,genesys2_axi4}/</w:t>
      </w:r>
      <w:r>
        <w:rPr>
          <w:sz w:val="20"/>
        </w:rPr>
        <w:t xml:space="preserve">. Campaign transcripts turn into reports with </w:t>
      </w:r>
      <w:r>
        <w:rPr>
          <w:rStyle w:val="VerbatimChar"/>
          <w:sz w:val="20"/>
        </w:rPr>
        <w:t>projects/fpga-systems/bin/report_battery.py</w:t>
      </w:r>
      <w:r>
        <w:rPr>
          <w:sz w:val="20"/>
        </w:rPr>
        <w:t xml:space="preserve"> (JSON artifacts, correction-boundary / decode-cost / soak-timeline figures, and a generated </w:t>
      </w:r>
      <w:r>
        <w:rPr>
          <w:rStyle w:val="VerbatimChar"/>
          <w:sz w:val="20"/>
        </w:rPr>
        <w:t>FINDINGS.md</w:t>
      </w:r>
      <w:r>
        <w:rPr>
          <w:sz w:val="20"/>
        </w:rPr>
        <w:t xml:space="preserve">); published runs live under </w:t>
      </w:r>
      <w:r>
        <w:rPr>
          <w:rStyle w:val="VerbatimChar"/>
          <w:sz w:val="20"/>
        </w:rPr>
        <w:t>stable/results/</w:t>
      </w:r>
      <w:r>
        <w:rPr>
          <w:sz w:val="20"/>
        </w:rPr>
        <w:t xml:space="preserve">. The run evidence — the 2026-10-05 battery and the one-million-block soak — is rolled up in the companion </w:t>
      </w:r>
      <w:r>
        <w:rPr>
          <w:i/>
          <w:iCs/>
          <w:sz w:val="20"/>
        </w:rPr>
        <w:t>Binary BCH Board Validation Report</w:t>
      </w:r>
      <w:r>
        <w:rPr>
          <w:sz w:val="20"/>
        </w:rPr>
        <w:t xml:space="preserve"> (</w:t>
      </w:r>
      <w:r>
        <w:rPr>
          <w:rStyle w:val="VerbatimChar"/>
          <w:sz w:val="20"/>
        </w:rPr>
        <w:t>docs/Binary_BCH_Board_Validation_v0.1.pdf</w:t>
      </w:r>
      <w:r>
        <w:rPr>
          <w:sz w:val="20"/>
        </w:rPr>
        <w:t xml:space="preserve">). For the Galois-field math behind the profile, see the component HAS chapter 7 under </w:t>
      </w:r>
      <w:r>
        <w:rPr>
          <w:rStyle w:val="VerbatimChar"/>
          <w:sz w:val="20"/>
        </w:rPr>
        <w:t>projects/components/ecc-ip/bch/docs/</w:t>
      </w:r>
      <w:r>
        <w:rPr>
          <w:sz w:val="20"/>
        </w:rPr>
        <w:t xml:space="preserve">. The sister harness has the matching guide at </w:t>
      </w:r>
      <w:r>
        <w:rPr>
          <w:rStyle w:val="VerbatimChar"/>
          <w:sz w:val="20"/>
        </w:rPr>
        <w:t>../../reed-solomon/docs/Reed_Solomon_UART_Harness_v0.1.pdf</w:t>
      </w:r>
      <w:r>
        <w:rPr>
          <w:sz w:val="20"/>
        </w:rPr>
        <w:t>.</w:t>
      </w:r>
      <w:bookmarkEnd w:id="66"/>
      <w:r>
        <w:br w:type="page"/>
      </w:r>
    </w:p>
    <w:p>
      <w:pPr>
        <w:pStyle w:val="Heading1"/>
        <w:shd w:val="clear" w:color="auto" w:fill="404040"/>
        <w:spacing w:before="360" w:after="120"/>
        <w:rPr/>
      </w:pPr>
      <w:bookmarkStart w:id="67" w:name="__RefHeading___Toc2923_1924947109"/>
      <w:bookmarkStart w:id="68" w:name="what-is-deliberately-not-board-tested"/>
      <w:bookmarkEnd w:id="67"/>
      <w:r>
        <w:rPr>
          <w:rStyle w:val="SectionNumber"/>
          <w:b/>
          <w:color w:val="FFFFFF"/>
          <w:sz w:val="32"/>
        </w:rPr>
        <w:t>8</w:t>
      </w:r>
      <w:r>
        <w:rPr>
          <w:b/>
          <w:color w:val="FFFFFF"/>
          <w:sz w:val="32"/>
        </w:rPr>
        <w:tab/>
        <w:t>What Is Deliberately Not Board-Tested</w:t>
      </w:r>
    </w:p>
    <w:p>
      <w:pPr>
        <w:pStyle w:val="FirstParagraph"/>
        <w:rPr/>
      </w:pPr>
      <w:r>
        <w:rPr>
          <w:sz w:val="20"/>
        </w:rPr>
        <w:t>Some things are out of scope, and it is worth saying so plainly.</w:t>
      </w:r>
    </w:p>
    <w:p>
      <w:pPr>
        <w:pStyle w:val="Compact"/>
        <w:numPr>
          <w:ilvl w:val="0"/>
          <w:numId w:val="1"/>
        </w:numPr>
        <w:rPr/>
      </w:pPr>
      <w:r>
        <w:rPr/>
        <w:t xml:space="preserve">BCH has no erasure path in this harness: the injector’s </w:t>
      </w:r>
      <w:r>
        <w:rPr>
          <w:rStyle w:val="VerbatimChar"/>
        </w:rPr>
        <w:t>out_erasure</w:t>
      </w:r>
      <w:r>
        <w:rPr/>
        <w:t xml:space="preserve"> is tied off and </w:t>
      </w:r>
      <w:r>
        <w:rPr>
          <w:rStyle w:val="VerbatimChar"/>
        </w:rPr>
        <w:t>cfg_mark_erasure</w:t>
      </w:r>
      <w:r>
        <w:rPr/>
        <w:t xml:space="preserve"> is held low.</w:t>
      </w:r>
    </w:p>
    <w:p>
      <w:pPr>
        <w:pStyle w:val="Compact"/>
        <w:numPr>
          <w:ilvl w:val="0"/>
          <w:numId w:val="1"/>
        </w:numPr>
        <w:rPr/>
      </w:pPr>
      <w:r>
        <w:rPr/>
        <w:t xml:space="preserve">The board validates only the </w:t>
      </w:r>
      <w:r>
        <w:rPr>
          <w:rStyle w:val="VerbatimChar"/>
        </w:rPr>
        <w:t>BCH(4224,4120) t=8</w:t>
      </w:r>
      <w:r>
        <w:rPr/>
        <w:t xml:space="preserve"> profile; smaller profiles like </w:t>
      </w:r>
      <w:r>
        <w:rPr>
          <w:rStyle w:val="VerbatimChar"/>
        </w:rPr>
        <w:t>(63,57) t=1</w:t>
      </w:r>
      <w:r>
        <w:rPr/>
        <w:t xml:space="preserve"> are covered in simulation and component DV, not on the board.</w:t>
      </w:r>
    </w:p>
    <w:p>
      <w:pPr>
        <w:pStyle w:val="Compact"/>
        <w:numPr>
          <w:ilvl w:val="0"/>
          <w:numId w:val="1"/>
        </w:numPr>
        <w:rPr/>
      </w:pPr>
      <w:r>
        <w:rPr/>
        <w:t>The component DV matrix exercises the codec in ways the board harness does not replicate.</w:t>
      </w:r>
    </w:p>
    <w:p>
      <w:pPr>
        <w:pStyle w:val="Compact"/>
        <w:numPr>
          <w:ilvl w:val="0"/>
          <w:numId w:val="1"/>
        </w:numPr>
        <w:spacing w:before="36" w:after="36"/>
        <w:rPr/>
      </w:pPr>
      <w:bookmarkStart w:id="69" w:name="what-is-deliberately-not-board-tested"/>
      <w:r>
        <w:rPr/>
        <w:t>The 2026-10-05 million-block soak is statistical, not exhaustive; its counters and the bounded mis-decode criterion are reported in the Board Validation Report.</w:t>
      </w:r>
      <w:bookmarkEnd w:id="69"/>
    </w:p>
    <w:sectPr>
      <w:footerReference w:type="even" r:id="rId11"/>
      <w:footerReference w:type="default" r:id="rId12"/>
      <w:footerReference w:type="first" r:id="rId13"/>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Binary BCH UART Harness Genesys 2 FPGA board evidence</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36</w:t>
          </w:r>
          <w:r>
            <w:rPr/>
            <w:fldChar w:fldCharType="end"/>
          </w:r>
          <w:r>
            <w:rPr>
              <w:rFonts w:ascii="Calibri" w:hAnsi="Calibri"/>
              <w:sz w:val="16"/>
            </w:rPr>
            <w:t xml:space="preserve"> of </w:t>
          </w:r>
          <w:r>
            <w:rPr/>
            <w:fldChar w:fldCharType="begin"/>
          </w:r>
          <w:r>
            <w:rPr/>
            <w:instrText xml:space="preserve"> NUMPAGES </w:instrText>
          </w:r>
          <w:r>
            <w:rPr/>
            <w:fldChar w:fldCharType="separate"/>
          </w:r>
          <w:r>
            <w:rPr/>
            <w:t>36</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Binary BCH UART Harness Genesys 2 FPGA board evidence</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36</w:t>
          </w:r>
          <w:r>
            <w:rPr/>
            <w:fldChar w:fldCharType="end"/>
          </w:r>
          <w:r>
            <w:rPr>
              <w:rFonts w:ascii="Calibri" w:hAnsi="Calibri"/>
              <w:sz w:val="16"/>
            </w:rPr>
            <w:t xml:space="preserve"> of </w:t>
          </w:r>
          <w:r>
            <w:rPr/>
            <w:fldChar w:fldCharType="begin"/>
          </w:r>
          <w:r>
            <w:rPr/>
            <w:instrText xml:space="preserve"> NUMPAGES </w:instrText>
          </w:r>
          <w:r>
            <w:rPr/>
            <w:fldChar w:fldCharType="separate"/>
          </w:r>
          <w:r>
            <w:rPr/>
            <w:t>36</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assets/graphviz/01_bch_axis_loop.dot" TargetMode="External"/><Relationship Id="rId5" Type="http://schemas.openxmlformats.org/officeDocument/2006/relationships/image" Target="media/image3.png"/><Relationship Id="rId6" Type="http://schemas.openxmlformats.org/officeDocument/2006/relationships/hyperlink" Target="../assets/graphviz/03_uart_harness_control.dot" TargetMode="External"/><Relationship Id="rId7" Type="http://schemas.openxmlformats.org/officeDocument/2006/relationships/image" Target="media/image4.png"/><Relationship Id="rId8" Type="http://schemas.openxmlformats.org/officeDocument/2006/relationships/hyperlink" Target="../assets/graphviz/02_bch_axi4_loop.dot" TargetMode="External"/><Relationship Id="rId9" Type="http://schemas.openxmlformats.org/officeDocument/2006/relationships/image" Target="media/image5.png"/><Relationship Id="rId10" Type="http://schemas.openxmlformats.org/officeDocument/2006/relationships/hyperlink" Target="../assets/graphviz/04_address_map.dot" TargetMode="Externa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oter" Target="footer3.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2026-10-20T14:33:54Z</dcterms:created>
  <dc:creator/>
  <dc:description/>
  <dc:language>en-US</dc:language>
  <cp:lastModifiedBy/>
  <dcterms:modified xsi:type="dcterms:W3CDTF">2026-10-20T07:33:58Z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