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47_2848141881">
            <w:r>
              <w:rPr>
                <w:webHidden/>
                <w:rStyle w:val="IndexLink"/>
              </w:rPr>
              <w:t>1 Document Information</w:t>
              <w:tab/>
              <w:t>8</w:t>
            </w:r>
          </w:hyperlink>
        </w:p>
        <w:p>
          <w:pPr>
            <w:pStyle w:val="TOC2"/>
            <w:tabs>
              <w:tab w:val="clear" w:pos="9077"/>
              <w:tab w:val="right" w:pos="9359" w:leader="dot"/>
            </w:tabs>
            <w:rPr/>
          </w:pPr>
          <w:hyperlink w:anchor="__RefHeading___Toc3349_2848141881">
            <w:r>
              <w:rPr>
                <w:webHidden/>
                <w:rStyle w:val="IndexLink"/>
              </w:rPr>
              <w:t>1.1 Revision History</w:t>
              <w:tab/>
              <w:t>8</w:t>
            </w:r>
          </w:hyperlink>
        </w:p>
        <w:p>
          <w:pPr>
            <w:pStyle w:val="TOC2"/>
            <w:tabs>
              <w:tab w:val="clear" w:pos="9077"/>
              <w:tab w:val="right" w:pos="9359" w:leader="dot"/>
            </w:tabs>
            <w:rPr/>
          </w:pPr>
          <w:hyperlink w:anchor="__RefHeading___Toc3351_2848141881">
            <w:r>
              <w:rPr>
                <w:webHidden/>
                <w:rStyle w:val="IndexLink"/>
              </w:rPr>
              <w:t>1.2 Scope</w:t>
              <w:tab/>
              <w:t>9</w:t>
            </w:r>
          </w:hyperlink>
        </w:p>
        <w:p>
          <w:pPr>
            <w:pStyle w:val="TOC2"/>
            <w:tabs>
              <w:tab w:val="clear" w:pos="9077"/>
              <w:tab w:val="right" w:pos="9359" w:leader="dot"/>
            </w:tabs>
            <w:rPr/>
          </w:pPr>
          <w:hyperlink w:anchor="__RefHeading___Toc3353_2848141881">
            <w:r>
              <w:rPr>
                <w:webHidden/>
                <w:rStyle w:val="IndexLink"/>
              </w:rPr>
              <w:t>1.3 Provenance</w:t>
              <w:tab/>
              <w:t>10</w:t>
            </w:r>
          </w:hyperlink>
        </w:p>
        <w:p>
          <w:pPr>
            <w:pStyle w:val="TOC1"/>
            <w:tabs>
              <w:tab w:val="clear" w:pos="9360"/>
              <w:tab w:val="right" w:pos="9359" w:leader="dot"/>
            </w:tabs>
            <w:rPr/>
          </w:pPr>
          <w:hyperlink w:anchor="__RefHeading___Toc3355_2848141881">
            <w:r>
              <w:rPr>
                <w:webHidden/>
                <w:rStyle w:val="IndexLink"/>
              </w:rPr>
              <w:t>2 Scope and Claims</w:t>
              <w:tab/>
              <w:t>11</w:t>
            </w:r>
          </w:hyperlink>
        </w:p>
        <w:p>
          <w:pPr>
            <w:pStyle w:val="TOC2"/>
            <w:tabs>
              <w:tab w:val="clear" w:pos="9077"/>
              <w:tab w:val="right" w:pos="9359" w:leader="dot"/>
            </w:tabs>
            <w:rPr/>
          </w:pPr>
          <w:hyperlink w:anchor="__RefHeading___Toc3357_2848141881">
            <w:r>
              <w:rPr>
                <w:webHidden/>
                <w:rStyle w:val="IndexLink"/>
              </w:rPr>
              <w:t>2.1 What this book is</w:t>
              <w:tab/>
              <w:t>11</w:t>
            </w:r>
          </w:hyperlink>
        </w:p>
        <w:p>
          <w:pPr>
            <w:pStyle w:val="TOC2"/>
            <w:tabs>
              <w:tab w:val="clear" w:pos="9077"/>
              <w:tab w:val="right" w:pos="9359" w:leader="dot"/>
            </w:tabs>
            <w:rPr/>
          </w:pPr>
          <w:hyperlink w:anchor="__RefHeading___Toc3359_2848141881">
            <w:r>
              <w:rPr>
                <w:webHidden/>
                <w:rStyle w:val="IndexLink"/>
              </w:rPr>
              <w:t>2.2 What is claimed</w:t>
              <w:tab/>
              <w:t>12</w:t>
            </w:r>
          </w:hyperlink>
        </w:p>
        <w:p>
          <w:pPr>
            <w:pStyle w:val="TOC2"/>
            <w:tabs>
              <w:tab w:val="clear" w:pos="9077"/>
              <w:tab w:val="right" w:pos="9359" w:leader="dot"/>
            </w:tabs>
            <w:rPr/>
          </w:pPr>
          <w:hyperlink w:anchor="__RefHeading___Toc3361_2848141881">
            <w:r>
              <w:rPr>
                <w:webHidden/>
                <w:rStyle w:val="IndexLink"/>
              </w:rPr>
              <w:t>2.3 What is not claimed</w:t>
              <w:tab/>
              <w:t>13</w:t>
            </w:r>
          </w:hyperlink>
        </w:p>
        <w:p>
          <w:pPr>
            <w:pStyle w:val="TOC1"/>
            <w:tabs>
              <w:tab w:val="clear" w:pos="9360"/>
              <w:tab w:val="right" w:pos="9359" w:leader="dot"/>
            </w:tabs>
            <w:rPr/>
          </w:pPr>
          <w:hyperlink w:anchor="__RefHeading___Toc3363_2848141881">
            <w:r>
              <w:rPr>
                <w:webHidden/>
                <w:rStyle w:val="IndexLink"/>
              </w:rPr>
              <w:t>3 Images and Codec Profile</w:t>
              <w:tab/>
              <w:t>14</w:t>
            </w:r>
          </w:hyperlink>
        </w:p>
        <w:p>
          <w:pPr>
            <w:pStyle w:val="TOC2"/>
            <w:tabs>
              <w:tab w:val="clear" w:pos="9077"/>
              <w:tab w:val="right" w:pos="9359" w:leader="dot"/>
            </w:tabs>
            <w:rPr/>
          </w:pPr>
          <w:hyperlink w:anchor="__RefHeading___Toc3365_2848141881">
            <w:r>
              <w:rPr>
                <w:webHidden/>
                <w:rStyle w:val="IndexLink"/>
              </w:rPr>
              <w:t>3.1 Image matrix</w:t>
              <w:tab/>
              <w:t>14</w:t>
            </w:r>
          </w:hyperlink>
        </w:p>
        <w:p>
          <w:pPr>
            <w:pStyle w:val="TOC2"/>
            <w:tabs>
              <w:tab w:val="clear" w:pos="9077"/>
              <w:tab w:val="right" w:pos="9359" w:leader="dot"/>
            </w:tabs>
            <w:rPr/>
          </w:pPr>
          <w:hyperlink w:anchor="__RefHeading___Toc3367_2848141881">
            <w:r>
              <w:rPr>
                <w:webHidden/>
                <w:rStyle w:val="IndexLink"/>
              </w:rPr>
              <w:t>3.2 Codec profile</w:t>
              <w:tab/>
              <w:t>15</w:t>
            </w:r>
          </w:hyperlink>
        </w:p>
        <w:p>
          <w:pPr>
            <w:pStyle w:val="TOC1"/>
            <w:tabs>
              <w:tab w:val="clear" w:pos="9360"/>
              <w:tab w:val="right" w:pos="9359" w:leader="dot"/>
            </w:tabs>
            <w:rPr/>
          </w:pPr>
          <w:hyperlink w:anchor="__RefHeading___Toc3369_2848141881">
            <w:r>
              <w:rPr>
                <w:webHidden/>
                <w:rStyle w:val="IndexLink"/>
              </w:rPr>
              <w:t>4 Harness Architecture</w:t>
              <w:tab/>
              <w:t>16</w:t>
            </w:r>
          </w:hyperlink>
        </w:p>
        <w:p>
          <w:pPr>
            <w:pStyle w:val="TOC2"/>
            <w:tabs>
              <w:tab w:val="clear" w:pos="9077"/>
              <w:tab w:val="right" w:pos="9359" w:leader="dot"/>
            </w:tabs>
            <w:rPr/>
          </w:pPr>
          <w:hyperlink w:anchor="__RefHeading___Toc3371_2848141881">
            <w:r>
              <w:rPr>
                <w:webHidden/>
                <w:rStyle w:val="IndexLink"/>
              </w:rPr>
              <w:t>4.1 RTL inventory</w:t>
              <w:tab/>
              <w:t>16</w:t>
            </w:r>
          </w:hyperlink>
        </w:p>
        <w:p>
          <w:pPr>
            <w:pStyle w:val="TOC2"/>
            <w:tabs>
              <w:tab w:val="clear" w:pos="9077"/>
              <w:tab w:val="right" w:pos="9359" w:leader="dot"/>
            </w:tabs>
            <w:rPr/>
          </w:pPr>
          <w:hyperlink w:anchor="__RefHeading___Toc3373_2848141881">
            <w:r>
              <w:rPr>
                <w:webHidden/>
                <w:rStyle w:val="IndexLink"/>
              </w:rPr>
              <w:t>4.2 Host and build inventory</w:t>
              <w:tab/>
              <w:t>18</w:t>
            </w:r>
          </w:hyperlink>
        </w:p>
        <w:p>
          <w:pPr>
            <w:pStyle w:val="TOC2"/>
            <w:tabs>
              <w:tab w:val="clear" w:pos="9077"/>
              <w:tab w:val="right" w:pos="9359" w:leader="dot"/>
            </w:tabs>
            <w:rPr/>
          </w:pPr>
          <w:hyperlink w:anchor="__RefHeading___Toc3375_2848141881">
            <w:r>
              <w:rPr>
                <w:webHidden/>
                <w:rStyle w:val="IndexLink"/>
              </w:rPr>
              <w:t>4.3 Datapath diagram</w:t>
              <w:tab/>
              <w:t>19</w:t>
            </w:r>
          </w:hyperlink>
        </w:p>
        <w:p>
          <w:pPr>
            <w:pStyle w:val="TOC3"/>
            <w:tabs>
              <w:tab w:val="clear" w:pos="8793"/>
              <w:tab w:val="right" w:pos="9359" w:leader="dot"/>
            </w:tabs>
            <w:rPr/>
          </w:pPr>
          <w:hyperlink w:anchor="__RefHeading___Toc3377_2848141881">
            <w:r>
              <w:rPr>
                <w:webHidden/>
                <w:rStyle w:val="IndexLink"/>
              </w:rPr>
              <w:t>4.3.1 Figure 2.1: Reed-Solomon AXIS datapath and register path.</w:t>
              <w:tab/>
              <w:t>19</w:t>
            </w:r>
          </w:hyperlink>
        </w:p>
        <w:p>
          <w:pPr>
            <w:pStyle w:val="TOC2"/>
            <w:tabs>
              <w:tab w:val="clear" w:pos="9077"/>
              <w:tab w:val="right" w:pos="9359" w:leader="dot"/>
            </w:tabs>
            <w:rPr/>
          </w:pPr>
          <w:hyperlink w:anchor="__RefHeading___Toc3379_2848141881">
            <w:r>
              <w:rPr>
                <w:webHidden/>
                <w:rStyle w:val="IndexLink"/>
              </w:rPr>
              <w:t>4.4 Register path, clock, and reset</w:t>
              <w:tab/>
              <w:t>20</w:t>
            </w:r>
          </w:hyperlink>
        </w:p>
        <w:p>
          <w:pPr>
            <w:pStyle w:val="TOC1"/>
            <w:tabs>
              <w:tab w:val="clear" w:pos="9360"/>
              <w:tab w:val="right" w:pos="9359" w:leader="dot"/>
            </w:tabs>
            <w:rPr/>
          </w:pPr>
          <w:hyperlink w:anchor="__RefHeading___Toc3381_2848141881">
            <w:r>
              <w:rPr>
                <w:webHidden/>
                <w:rStyle w:val="IndexLink"/>
              </w:rPr>
              <w:t>5 Campaigns and the Oracle Argument</w:t>
              <w:tab/>
              <w:t>21</w:t>
            </w:r>
          </w:hyperlink>
        </w:p>
        <w:p>
          <w:pPr>
            <w:pStyle w:val="TOC2"/>
            <w:tabs>
              <w:tab w:val="clear" w:pos="9077"/>
              <w:tab w:val="right" w:pos="9359" w:leader="dot"/>
            </w:tabs>
            <w:rPr/>
          </w:pPr>
          <w:hyperlink w:anchor="__RefHeading___Toc3383_2848141881">
            <w:r>
              <w:rPr>
                <w:webHidden/>
                <w:rStyle w:val="IndexLink"/>
              </w:rPr>
              <w:t>5.1 Campaign inventory</w:t>
              <w:tab/>
              <w:t>21</w:t>
            </w:r>
          </w:hyperlink>
        </w:p>
        <w:p>
          <w:pPr>
            <w:pStyle w:val="TOC2"/>
            <w:tabs>
              <w:tab w:val="clear" w:pos="9077"/>
              <w:tab w:val="right" w:pos="9359" w:leader="dot"/>
            </w:tabs>
            <w:rPr/>
          </w:pPr>
          <w:hyperlink w:anchor="__RefHeading___Toc3385_2848141881">
            <w:r>
              <w:rPr>
                <w:webHidden/>
                <w:rStyle w:val="IndexLink"/>
              </w:rPr>
              <w:t>5.2 Determinism and cross-solver agreement</w:t>
              <w:tab/>
              <w:t>22</w:t>
            </w:r>
          </w:hyperlink>
        </w:p>
        <w:p>
          <w:pPr>
            <w:pStyle w:val="TOC2"/>
            <w:tabs>
              <w:tab w:val="clear" w:pos="9077"/>
              <w:tab w:val="right" w:pos="9359" w:leader="dot"/>
            </w:tabs>
            <w:rPr/>
          </w:pPr>
          <w:hyperlink w:anchor="__RefHeading___Toc3387_2848141881">
            <w:r>
              <w:rPr>
                <w:webHidden/>
                <w:rStyle w:val="IndexLink"/>
              </w:rPr>
              <w:t>5.3 The dual-solver loop as oracle</w:t>
              <w:tab/>
              <w:t>23</w:t>
            </w:r>
          </w:hyperlink>
        </w:p>
        <w:p>
          <w:pPr>
            <w:pStyle w:val="TOC1"/>
            <w:tabs>
              <w:tab w:val="clear" w:pos="9360"/>
              <w:tab w:val="right" w:pos="9359" w:leader="dot"/>
            </w:tabs>
            <w:rPr/>
          </w:pPr>
          <w:hyperlink w:anchor="__RefHeading___Toc3389_2848141881">
            <w:r>
              <w:rPr>
                <w:webHidden/>
                <w:rStyle w:val="IndexLink"/>
              </w:rPr>
              <w:t>6 Testing Choices</w:t>
              <w:tab/>
              <w:t>24</w:t>
            </w:r>
          </w:hyperlink>
        </w:p>
        <w:p>
          <w:pPr>
            <w:pStyle w:val="TOC2"/>
            <w:tabs>
              <w:tab w:val="clear" w:pos="9077"/>
              <w:tab w:val="right" w:pos="9359" w:leader="dot"/>
            </w:tabs>
            <w:rPr/>
          </w:pPr>
          <w:hyperlink w:anchor="__RefHeading___Toc3391_2848141881">
            <w:r>
              <w:rPr>
                <w:webHidden/>
                <w:rStyle w:val="IndexLink"/>
              </w:rPr>
              <w:t>6.1 Injector modes mapped to failure mechanisms</w:t>
              <w:tab/>
              <w:t>24</w:t>
            </w:r>
          </w:hyperlink>
        </w:p>
        <w:p>
          <w:pPr>
            <w:pStyle w:val="TOC2"/>
            <w:tabs>
              <w:tab w:val="clear" w:pos="9077"/>
              <w:tab w:val="right" w:pos="9359" w:leader="dot"/>
            </w:tabs>
            <w:rPr/>
          </w:pPr>
          <w:hyperlink w:anchor="__RefHeading___Toc3393_2848141881">
            <w:r>
              <w:rPr>
                <w:webHidden/>
                <w:rStyle w:val="IndexLink"/>
              </w:rPr>
              <w:t>6.2 Post-encoder injection protects parity symbols</w:t>
              <w:tab/>
              <w:t>25</w:t>
            </w:r>
          </w:hyperlink>
        </w:p>
        <w:p>
          <w:pPr>
            <w:pStyle w:val="TOC2"/>
            <w:tabs>
              <w:tab w:val="clear" w:pos="9077"/>
              <w:tab w:val="right" w:pos="9359" w:leader="dot"/>
            </w:tabs>
            <w:rPr/>
          </w:pPr>
          <w:hyperlink w:anchor="__RefHeading___Toc3395_2848141881">
            <w:r>
              <w:rPr>
                <w:webHidden/>
                <w:rStyle w:val="IndexLink"/>
              </w:rPr>
              <w:t>6.3 UART and the safety pair</w:t>
              <w:tab/>
              <w:t>26</w:t>
            </w:r>
          </w:hyperlink>
        </w:p>
        <w:p>
          <w:pPr>
            <w:pStyle w:val="TOC2"/>
            <w:tabs>
              <w:tab w:val="clear" w:pos="9077"/>
              <w:tab w:val="right" w:pos="9359" w:leader="dot"/>
            </w:tabs>
            <w:rPr/>
          </w:pPr>
          <w:hyperlink w:anchor="__RefHeading___Toc3397_2848141881">
            <w:r>
              <w:rPr>
                <w:webHidden/>
                <w:rStyle w:val="IndexLink"/>
              </w:rPr>
              <w:t>6.4 Genesys 2 vs Nexys A7</w:t>
              <w:tab/>
              <w:t>27</w:t>
            </w:r>
          </w:hyperlink>
        </w:p>
        <w:p>
          <w:pPr>
            <w:pStyle w:val="TOC2"/>
            <w:tabs>
              <w:tab w:val="clear" w:pos="9077"/>
              <w:tab w:val="right" w:pos="9359" w:leader="dot"/>
            </w:tabs>
            <w:rPr/>
          </w:pPr>
          <w:hyperlink w:anchor="__RefHeading___Toc3399_2848141881">
            <w:r>
              <w:rPr>
                <w:webHidden/>
                <w:rStyle w:val="IndexLink"/>
              </w:rPr>
              <w:t>6.5 AXIS and AXI4 flavors cover both integration styles</w:t>
              <w:tab/>
              <w:t>28</w:t>
            </w:r>
          </w:hyperlink>
        </w:p>
        <w:p>
          <w:pPr>
            <w:pStyle w:val="TOC2"/>
            <w:tabs>
              <w:tab w:val="clear" w:pos="9077"/>
              <w:tab w:val="right" w:pos="9359" w:leader="dot"/>
            </w:tabs>
            <w:rPr/>
          </w:pPr>
          <w:hyperlink w:anchor="__RefHeading___Toc3401_2848141881">
            <w:r>
              <w:rPr>
                <w:webHidden/>
                <w:rStyle w:val="IndexLink"/>
              </w:rPr>
              <w:t>6.6 Deliberately not board-tested</w:t>
              <w:tab/>
              <w:t>29</w:t>
            </w:r>
          </w:hyperlink>
        </w:p>
        <w:p>
          <w:pPr>
            <w:pStyle w:val="TOC1"/>
            <w:tabs>
              <w:tab w:val="clear" w:pos="9360"/>
              <w:tab w:val="right" w:pos="9359" w:leader="dot"/>
            </w:tabs>
            <w:rPr/>
          </w:pPr>
          <w:hyperlink w:anchor="__RefHeading___Toc3403_2848141881">
            <w:r>
              <w:rPr>
                <w:webHidden/>
                <w:rStyle w:val="IndexLink"/>
              </w:rPr>
              <w:t>7 Erasure Campaign</w:t>
              <w:tab/>
              <w:t>30</w:t>
            </w:r>
          </w:hyperlink>
        </w:p>
        <w:p>
          <w:pPr>
            <w:pStyle w:val="TOC2"/>
            <w:tabs>
              <w:tab w:val="clear" w:pos="9077"/>
              <w:tab w:val="right" w:pos="9359" w:leader="dot"/>
            </w:tabs>
            <w:rPr/>
          </w:pPr>
          <w:hyperlink w:anchor="__RefHeading___Toc3405_2848141881">
            <w:r>
              <w:rPr>
                <w:webHidden/>
                <w:rStyle w:val="IndexLink"/>
              </w:rPr>
              <w:t>7.1 What erasure decoding adds</w:t>
              <w:tab/>
              <w:t>30</w:t>
            </w:r>
          </w:hyperlink>
        </w:p>
        <w:p>
          <w:pPr>
            <w:pStyle w:val="TOC2"/>
            <w:tabs>
              <w:tab w:val="clear" w:pos="9077"/>
              <w:tab w:val="right" w:pos="9359" w:leader="dot"/>
            </w:tabs>
            <w:rPr/>
          </w:pPr>
          <w:hyperlink w:anchor="__RefHeading___Toc3407_2848141881">
            <w:r>
              <w:rPr>
                <w:webHidden/>
                <w:rStyle w:val="IndexLink"/>
              </w:rPr>
              <w:t>7.2 Board findings</w:t>
              <w:tab/>
              <w:t>31</w:t>
            </w:r>
          </w:hyperlink>
        </w:p>
        <w:p>
          <w:pPr>
            <w:pStyle w:val="TOC2"/>
            <w:tabs>
              <w:tab w:val="clear" w:pos="9077"/>
              <w:tab w:val="right" w:pos="9359" w:leader="dot"/>
            </w:tabs>
            <w:rPr/>
          </w:pPr>
          <w:hyperlink w:anchor="__RefHeading___Toc3409_2848141881">
            <w:r>
              <w:rPr>
                <w:webHidden/>
                <w:rStyle w:val="IndexLink"/>
              </w:rPr>
              <w:t>7.3 TASK-005 boundary</w:t>
              <w:tab/>
              <w:t>32</w:t>
            </w:r>
          </w:hyperlink>
        </w:p>
        <w:p>
          <w:pPr>
            <w:pStyle w:val="TOC1"/>
            <w:tabs>
              <w:tab w:val="clear" w:pos="9360"/>
              <w:tab w:val="right" w:pos="9359" w:leader="dot"/>
            </w:tabs>
            <w:rPr/>
          </w:pPr>
          <w:hyperlink w:anchor="__RefHeading___Toc3411_2848141881">
            <w:r>
              <w:rPr>
                <w:webHidden/>
                <w:rStyle w:val="IndexLink"/>
              </w:rPr>
              <w:t>8 Battery Results</w:t>
              <w:tab/>
              <w:t>33</w:t>
            </w:r>
          </w:hyperlink>
        </w:p>
        <w:p>
          <w:pPr>
            <w:pStyle w:val="TOC2"/>
            <w:tabs>
              <w:tab w:val="clear" w:pos="9077"/>
              <w:tab w:val="right" w:pos="9359" w:leader="dot"/>
            </w:tabs>
            <w:rPr/>
          </w:pPr>
          <w:hyperlink w:anchor="__RefHeading___Toc3413_2848141881">
            <w:r>
              <w:rPr>
                <w:webHidden/>
                <w:rStyle w:val="IndexLink"/>
              </w:rPr>
              <w:t>8.1 Per-image campaign status</w:t>
              <w:tab/>
              <w:t>33</w:t>
            </w:r>
          </w:hyperlink>
        </w:p>
        <w:p>
          <w:pPr>
            <w:pStyle w:val="TOC2"/>
            <w:tabs>
              <w:tab w:val="clear" w:pos="9077"/>
              <w:tab w:val="right" w:pos="9359" w:leader="dot"/>
            </w:tabs>
            <w:rPr/>
          </w:pPr>
          <w:hyperlink w:anchor="__RefHeading___Toc3415_2848141881">
            <w:r>
              <w:rPr>
                <w:webHidden/>
                <w:rStyle w:val="IndexLink"/>
              </w:rPr>
              <w:t>8.2 Correction boundary</w:t>
              <w:tab/>
              <w:t>34</w:t>
            </w:r>
          </w:hyperlink>
        </w:p>
        <w:p>
          <w:pPr>
            <w:pStyle w:val="TOC3"/>
            <w:tabs>
              <w:tab w:val="clear" w:pos="8793"/>
              <w:tab w:val="right" w:pos="9359" w:leader="dot"/>
            </w:tabs>
            <w:rPr/>
          </w:pPr>
          <w:hyperlink w:anchor="__RefHeading___Toc3417_2848141881">
            <w:r>
              <w:rPr>
                <w:webHidden/>
                <w:rStyle w:val="IndexLink"/>
              </w:rPr>
              <w:t>8.2.1 Figure 4.1: Reed-Solomon correction boundary across all four images.</w:t>
              <w:tab/>
              <w:t>34</w:t>
            </w:r>
          </w:hyperlink>
        </w:p>
        <w:p>
          <w:pPr>
            <w:pStyle w:val="TOC2"/>
            <w:tabs>
              <w:tab w:val="clear" w:pos="9077"/>
              <w:tab w:val="right" w:pos="9359" w:leader="dot"/>
            </w:tabs>
            <w:rPr/>
          </w:pPr>
          <w:hyperlink w:anchor="__RefHeading___Toc3419_2848141881">
            <w:r>
              <w:rPr>
                <w:webHidden/>
                <w:rStyle w:val="IndexLink"/>
              </w:rPr>
              <w:t>8.3 Decode cost</w:t>
              <w:tab/>
              <w:t>35</w:t>
            </w:r>
          </w:hyperlink>
        </w:p>
        <w:p>
          <w:pPr>
            <w:pStyle w:val="TOC3"/>
            <w:tabs>
              <w:tab w:val="clear" w:pos="8793"/>
              <w:tab w:val="right" w:pos="9359" w:leader="dot"/>
            </w:tabs>
            <w:rPr/>
          </w:pPr>
          <w:hyperlink w:anchor="__RefHeading___Toc3421_2848141881">
            <w:r>
              <w:rPr>
                <w:webHidden/>
                <w:rStyle w:val="IndexLink"/>
              </w:rPr>
              <w:t>8.3.1 Figure 4.2: Reed-Solomon decode cost across all four images.</w:t>
              <w:tab/>
              <w:t>35</w:t>
            </w:r>
          </w:hyperlink>
        </w:p>
        <w:p>
          <w:pPr>
            <w:pStyle w:val="TOC2"/>
            <w:tabs>
              <w:tab w:val="clear" w:pos="9077"/>
              <w:tab w:val="right" w:pos="9359" w:leader="dot"/>
            </w:tabs>
            <w:rPr/>
          </w:pPr>
          <w:hyperlink w:anchor="__RefHeading___Toc3423_2848141881">
            <w:r>
              <w:rPr>
                <w:webHidden/>
                <w:rStyle w:val="IndexLink"/>
              </w:rPr>
              <w:t>8.4 Sweep verdict table</w:t>
              <w:tab/>
              <w:t>36</w:t>
            </w:r>
          </w:hyperlink>
        </w:p>
        <w:p>
          <w:pPr>
            <w:pStyle w:val="TOC2"/>
            <w:tabs>
              <w:tab w:val="clear" w:pos="9077"/>
              <w:tab w:val="right" w:pos="9359" w:leader="dot"/>
            </w:tabs>
            <w:rPr/>
          </w:pPr>
          <w:hyperlink w:anchor="__RefHeading___Toc3425_2848141881">
            <w:r>
              <w:rPr>
                <w:webHidden/>
                <w:rStyle w:val="IndexLink"/>
              </w:rPr>
              <w:t>8.5 Solver agreement</w:t>
              <w:tab/>
              <w:t>38</w:t>
            </w:r>
          </w:hyperlink>
        </w:p>
        <w:p>
          <w:pPr>
            <w:pStyle w:val="TOC3"/>
            <w:tabs>
              <w:tab w:val="clear" w:pos="8793"/>
              <w:tab w:val="right" w:pos="9359" w:leader="dot"/>
            </w:tabs>
            <w:rPr/>
          </w:pPr>
          <w:hyperlink w:anchor="__RefHeading___Toc3427_2848141881">
            <w:r>
              <w:rPr>
                <w:webHidden/>
                <w:rStyle w:val="IndexLink"/>
              </w:rPr>
              <w:t>8.5.1 Figure 4.3: Reed-Solomon solver agreement matrix (riBM vs Euclid).</w:t>
              <w:tab/>
              <w:t>38</w:t>
            </w:r>
          </w:hyperlink>
        </w:p>
        <w:p>
          <w:pPr>
            <w:pStyle w:val="TOC1"/>
            <w:tabs>
              <w:tab w:val="clear" w:pos="9360"/>
              <w:tab w:val="right" w:pos="9359" w:leader="dot"/>
            </w:tabs>
            <w:rPr/>
          </w:pPr>
          <w:hyperlink w:anchor="__RefHeading___Toc3429_2848141881">
            <w:r>
              <w:rPr>
                <w:webHidden/>
                <w:rStyle w:val="IndexLink"/>
              </w:rPr>
              <w:t>9 Soak Results</w:t>
              <w:tab/>
              <w:t>39</w:t>
            </w:r>
          </w:hyperlink>
        </w:p>
        <w:p>
          <w:pPr>
            <w:pStyle w:val="TOC2"/>
            <w:tabs>
              <w:tab w:val="clear" w:pos="9077"/>
              <w:tab w:val="right" w:pos="9359" w:leader="dot"/>
            </w:tabs>
            <w:rPr/>
          </w:pPr>
          <w:hyperlink w:anchor="__RefHeading___Toc3431_2848141881">
            <w:r>
              <w:rPr>
                <w:webHidden/>
                <w:rStyle w:val="IndexLink"/>
              </w:rPr>
              <w:t>9.1 One million blocks on the AXI4 image</w:t>
              <w:tab/>
              <w:t>39</w:t>
            </w:r>
          </w:hyperlink>
        </w:p>
        <w:p>
          <w:pPr>
            <w:pStyle w:val="TOC2"/>
            <w:tabs>
              <w:tab w:val="clear" w:pos="9077"/>
              <w:tab w:val="right" w:pos="9359" w:leader="dot"/>
            </w:tabs>
            <w:rPr/>
          </w:pPr>
          <w:hyperlink w:anchor="__RefHeading___Toc3433_2848141881">
            <w:r>
              <w:rPr>
                <w:webHidden/>
                <w:rStyle w:val="IndexLink"/>
              </w:rPr>
              <w:t>9.2 Mis-decodes versus the model</w:t>
              <w:tab/>
              <w:t>40</w:t>
            </w:r>
          </w:hyperlink>
        </w:p>
        <w:p>
          <w:pPr>
            <w:pStyle w:val="TOC2"/>
            <w:tabs>
              <w:tab w:val="clear" w:pos="9077"/>
              <w:tab w:val="right" w:pos="9359" w:leader="dot"/>
            </w:tabs>
            <w:rPr/>
          </w:pPr>
          <w:hyperlink w:anchor="__RefHeading___Toc3435_2848141881">
            <w:r>
              <w:rPr>
                <w:webHidden/>
                <w:rStyle w:val="IndexLink"/>
              </w:rPr>
              <w:t>9.3 Soak timeline</w:t>
              <w:tab/>
              <w:t>41</w:t>
            </w:r>
          </w:hyperlink>
        </w:p>
        <w:p>
          <w:pPr>
            <w:pStyle w:val="TOC3"/>
            <w:tabs>
              <w:tab w:val="clear" w:pos="8793"/>
              <w:tab w:val="right" w:pos="9359" w:leader="dot"/>
            </w:tabs>
            <w:rPr/>
          </w:pPr>
          <w:hyperlink w:anchor="__RefHeading___Toc3437_2848141881">
            <w:r>
              <w:rPr>
                <w:webHidden/>
                <w:rStyle w:val="IndexLink"/>
              </w:rPr>
              <w:t>9.3.1 Figure 4.4: RS soak timeline over one million blocks.</w:t>
              <w:tab/>
              <w:t>41</w:t>
            </w:r>
          </w:hyperlink>
        </w:p>
        <w:p>
          <w:pPr>
            <w:pStyle w:val="TOC2"/>
            <w:tabs>
              <w:tab w:val="clear" w:pos="9077"/>
              <w:tab w:val="right" w:pos="9359" w:leader="dot"/>
            </w:tabs>
            <w:rPr/>
          </w:pPr>
          <w:hyperlink w:anchor="__RefHeading___Toc3439_2848141881">
            <w:r>
              <w:rPr>
                <w:webHidden/>
                <w:rStyle w:val="IndexLink"/>
              </w:rPr>
              <w:t>9.4 What 29 blk/s means</w:t>
              <w:tab/>
              <w:t>42</w:t>
            </w:r>
          </w:hyperlink>
        </w:p>
        <w:p>
          <w:pPr>
            <w:pStyle w:val="TOC2"/>
            <w:tabs>
              <w:tab w:val="clear" w:pos="9077"/>
              <w:tab w:val="right" w:pos="9359" w:leader="dot"/>
            </w:tabs>
            <w:rPr/>
          </w:pPr>
          <w:hyperlink w:anchor="__RefHeading___Toc3441_2848141881">
            <w:r>
              <w:rPr>
                <w:webHidden/>
                <w:rStyle w:val="IndexLink"/>
              </w:rPr>
              <w:t>9.5 Image notes</w:t>
              <w:tab/>
              <w:t>43</w:t>
            </w:r>
          </w:hyperlink>
        </w:p>
        <w:p>
          <w:pPr>
            <w:pStyle w:val="TOC1"/>
            <w:tabs>
              <w:tab w:val="clear" w:pos="9360"/>
              <w:tab w:val="right" w:pos="9359" w:leader="dot"/>
            </w:tabs>
            <w:rPr/>
          </w:pPr>
          <w:hyperlink w:anchor="__RefHeading___Toc3443_2848141881">
            <w:r>
              <w:rPr>
                <w:webHidden/>
                <w:rStyle w:val="IndexLink"/>
              </w:rPr>
              <w:t>10 Honest Limits</w:t>
              <w:tab/>
              <w:t>44</w:t>
            </w:r>
          </w:hyperlink>
        </w:p>
        <w:p>
          <w:pPr>
            <w:pStyle w:val="TOC2"/>
            <w:tabs>
              <w:tab w:val="clear" w:pos="9077"/>
              <w:tab w:val="right" w:pos="9359" w:leader="dot"/>
            </w:tabs>
            <w:rPr/>
          </w:pPr>
          <w:hyperlink w:anchor="__RefHeading___Toc3445_2848141881">
            <w:r>
              <w:rPr>
                <w:webHidden/>
                <w:rStyle w:val="IndexLink"/>
              </w:rPr>
              <w:t>10.1 What the board evidence does not cover</w:t>
              <w:tab/>
              <w:t>44</w:t>
            </w:r>
          </w:hyperlink>
        </w:p>
        <w:p>
          <w:pPr>
            <w:pStyle w:val="TOC2"/>
            <w:tabs>
              <w:tab w:val="clear" w:pos="9077"/>
              <w:tab w:val="right" w:pos="9359" w:leader="dot"/>
            </w:tabs>
            <w:rPr/>
          </w:pPr>
          <w:hyperlink w:anchor="__RefHeading___Toc3447_2848141881">
            <w:r>
              <w:rPr>
                <w:webHidden/>
                <w:rStyle w:val="IndexLink"/>
              </w:rPr>
              <w:t>10.2 Traceability</w:t>
              <w:tab/>
              <w:t>45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2_Reed_Solomon_correct">
        <w:r>
          <w:rPr>
            <w:rStyle w:val="ListLabel1"/>
            <w:color w:val="000000"/>
            <w:sz w:val="24"/>
          </w:rPr>
          <w:t>Figure 4.1: Reed-Solomon correction boundary across all four images.</w:t>
        </w:r>
        <w:r>
          <w:rPr>
            <w:rStyle w:val="ListLabel1"/>
          </w:rPr>
          <w:tab/>
        </w:r>
        <w:r>
          <w:rPr>
            <w:rStyle w:val="ListLabel1"/>
          </w:rPr>
          <w:fldChar w:fldCharType="begin"/>
        </w:r>
        <w:r>
          <w:rPr>
            <w:rStyle w:val="ListLabel1"/>
          </w:rPr>
          <w:instrText xml:space="preserve"> PAGEREF _Fig_2_Reed_Solomon_correct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3_Reed_Solomon_decode_">
        <w:r>
          <w:rPr>
            <w:rStyle w:val="ListLabel1"/>
            <w:color w:val="000000"/>
            <w:sz w:val="24"/>
          </w:rPr>
          <w:t>Figure 4.2: Reed-Solomon decode cost across all four images.</w:t>
        </w:r>
        <w:r>
          <w:rPr>
            <w:rStyle w:val="ListLabel1"/>
          </w:rPr>
          <w:tab/>
        </w:r>
        <w:r>
          <w:rPr>
            <w:rStyle w:val="ListLabel1"/>
          </w:rPr>
          <w:fldChar w:fldCharType="begin"/>
        </w:r>
        <w:r>
          <w:rPr>
            <w:rStyle w:val="ListLabel1"/>
          </w:rPr>
          <w:instrText xml:space="preserve"> PAGEREF _Fig_3_Reed_Solomon_decode_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4_Reed_Solomon_solver_">
        <w:r>
          <w:rPr>
            <w:rStyle w:val="ListLabel1"/>
            <w:color w:val="000000"/>
            <w:sz w:val="24"/>
          </w:rPr>
          <w:t>Figure 4.3: Reed-Solomon solver agreement matrix (riBM vs Euclid).</w:t>
        </w:r>
        <w:r>
          <w:rPr>
            <w:rStyle w:val="ListLabel1"/>
          </w:rPr>
          <w:tab/>
        </w:r>
        <w:r>
          <w:rPr>
            <w:rStyle w:val="ListLabel1"/>
          </w:rPr>
          <w:fldChar w:fldCharType="begin"/>
        </w:r>
        <w:r>
          <w:rPr>
            <w:rStyle w:val="ListLabel1"/>
          </w:rPr>
          <w:instrText xml:space="preserve"> PAGEREF _Fig_4_Reed_Solomon_solver_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5_RS_soak_timeline_ove">
        <w:r>
          <w:rPr>
            <w:rStyle w:val="ListLabel1"/>
            <w:color w:val="000000"/>
            <w:sz w:val="24"/>
          </w:rPr>
          <w:t>Figure 4.4: RS soak timeline over one million blocks.</w:t>
        </w:r>
        <w:r>
          <w:rPr>
            <w:rStyle w:val="ListLabel1"/>
          </w:rPr>
          <w:tab/>
        </w:r>
        <w:r>
          <w:rPr>
            <w:rStyle w:val="ListLabel1"/>
          </w:rPr>
          <w:fldChar w:fldCharType="begin"/>
        </w:r>
        <w:r>
          <w:rPr>
            <w:rStyle w:val="ListLabel1"/>
          </w:rPr>
          <w:instrText xml:space="preserve"> PAGEREF _Fig_5_RS_soak_timeline_ove \h </w:instrText>
        </w:r>
        <w:r>
          <w:rPr>
            <w:rStyle w:val="ListLabel1"/>
          </w:rPr>
          <w:fldChar w:fldCharType="separate"/>
        </w:r>
        <w:r>
          <w:rPr>
            <w:rStyle w:val="ListLabel1"/>
          </w:rPr>
          <w:t>41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1_1__Reed_Solo">
        <w:r>
          <w:rPr>
            <w:rStyle w:val="ListLabel1"/>
            <w:color w:val="000000"/>
            <w:sz w:val="24"/>
          </w:rPr>
          <w:t>Table 2: Table 1.1: Reed-Solomon Genesys 2 image matrix.</w:t>
        </w:r>
        <w:r>
          <w:rPr>
            <w:rStyle w:val="ListLabel1"/>
          </w:rPr>
          <w:tab/>
        </w:r>
        <w:r>
          <w:rPr>
            <w:rStyle w:val="ListLabel1"/>
          </w:rPr>
          <w:fldChar w:fldCharType="begin"/>
        </w:r>
        <w:r>
          <w:rPr>
            <w:rStyle w:val="ListLabel1"/>
          </w:rPr>
          <w:instrText xml:space="preserve"> PAGEREF _Tab_2_Table_1_1__Reed_Solo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Reed-Solomon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Table_3_1__Reed_Solo">
        <w:r>
          <w:rPr>
            <w:rStyle w:val="ListLabel1"/>
            <w:color w:val="000000"/>
            <w:sz w:val="24"/>
          </w:rPr>
          <w:t>Table 5: Table 3.1: Reed-Solomon board campaign inventory.</w:t>
        </w:r>
        <w:r>
          <w:rPr>
            <w:rStyle w:val="ListLabel1"/>
          </w:rPr>
          <w:tab/>
        </w:r>
        <w:r>
          <w:rPr>
            <w:rStyle w:val="ListLabel1"/>
          </w:rPr>
          <w:fldChar w:fldCharType="begin"/>
        </w:r>
        <w:r>
          <w:rPr>
            <w:rStyle w:val="ListLabel1"/>
          </w:rPr>
          <w:instrText xml:space="preserve"> PAGEREF _Tab_5_Table_3_1__Reed_Solo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3_2__Reed_Solo">
        <w:r>
          <w:rPr>
            <w:rStyle w:val="ListLabel1"/>
            <w:color w:val="000000"/>
            <w:sz w:val="24"/>
          </w:rPr>
          <w:t>Table 6: Table 3.2: Reed-Solomon erasure boundary results.</w:t>
        </w:r>
        <w:r>
          <w:rPr>
            <w:rStyle w:val="ListLabel1"/>
          </w:rPr>
          <w:tab/>
        </w:r>
        <w:r>
          <w:rPr>
            <w:rStyle w:val="ListLabel1"/>
          </w:rPr>
          <w:fldChar w:fldCharType="begin"/>
        </w:r>
        <w:r>
          <w:rPr>
            <w:rStyle w:val="ListLabel1"/>
          </w:rPr>
          <w:instrText xml:space="preserve"> PAGEREF _Tab_6_Table_3_2__Reed_Solo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Table_4_1__Reed_Solo">
        <w:r>
          <w:rPr>
            <w:rStyle w:val="ListLabel1"/>
            <w:color w:val="000000"/>
            <w:sz w:val="24"/>
          </w:rPr>
          <w:t>Table 7: Table 4.1: Reed-Solomon 2026-10-05 battery per-image status.</w:t>
        </w:r>
        <w:r>
          <w:rPr>
            <w:rStyle w:val="ListLabel1"/>
          </w:rPr>
          <w:tab/>
        </w:r>
        <w:r>
          <w:rPr>
            <w:rStyle w:val="ListLabel1"/>
          </w:rPr>
          <w:fldChar w:fldCharType="begin"/>
        </w:r>
        <w:r>
          <w:rPr>
            <w:rStyle w:val="ListLabel1"/>
          </w:rPr>
          <w:instrText xml:space="preserve"> PAGEREF _Tab_7_Table_4_1__Reed_Solo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4_2__Reed_Solo">
        <w:r>
          <w:rPr>
            <w:rStyle w:val="ListLabel1"/>
            <w:color w:val="000000"/>
            <w:sz w:val="24"/>
          </w:rPr>
          <w:t>Table 8: Table 4.2: Reed-Solomon sweep verdicts.</w:t>
        </w:r>
        <w:r>
          <w:rPr>
            <w:rStyle w:val="ListLabel1"/>
          </w:rPr>
          <w:tab/>
        </w:r>
        <w:r>
          <w:rPr>
            <w:rStyle w:val="ListLabel1"/>
          </w:rPr>
          <w:fldChar w:fldCharType="begin"/>
        </w:r>
        <w:r>
          <w:rPr>
            <w:rStyle w:val="ListLabel1"/>
          </w:rPr>
          <w:instrText xml:space="preserve"> PAGEREF _Tab_8_Table_4_2__Reed_Solo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9_Table_4_1__RS_soak_f">
        <w:r>
          <w:rPr>
            <w:rStyle w:val="ListLabel1"/>
            <w:color w:val="000000"/>
            <w:sz w:val="24"/>
          </w:rPr>
          <w:t>Table 9: Table 4.1: RS soak final counters.</w:t>
        </w:r>
        <w:r>
          <w:rPr>
            <w:rStyle w:val="ListLabel1"/>
          </w:rPr>
          <w:tab/>
        </w:r>
        <w:r>
          <w:rPr>
            <w:rStyle w:val="ListLabel1"/>
          </w:rPr>
          <w:fldChar w:fldCharType="begin"/>
        </w:r>
        <w:r>
          <w:rPr>
            <w:rStyle w:val="ListLabel1"/>
          </w:rPr>
          <w:instrText xml:space="preserve"> PAGEREF _Tab_9_Table_4_1__RS_soak_f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Table_5_1__Traceabil">
        <w:r>
          <w:rPr>
            <w:rStyle w:val="ListLabel1"/>
            <w:color w:val="000000"/>
            <w:sz w:val="24"/>
          </w:rPr>
          <w:t>Table 10: Table 5.1: Traceability from claim to artifact.</w:t>
        </w:r>
        <w:r>
          <w:rPr>
            <w:rStyle w:val="ListLabel1"/>
          </w:rPr>
          <w:tab/>
        </w:r>
        <w:r>
          <w:rPr>
            <w:rStyle w:val="ListLabel1"/>
          </w:rPr>
          <w:fldChar w:fldCharType="begin"/>
        </w:r>
        <w:r>
          <w:rPr>
            <w:rStyle w:val="ListLabel1"/>
          </w:rPr>
          <w:instrText xml:space="preserve"> PAGEREF _Tab_10_Table_5_1__Traceabil \h </w:instrText>
        </w:r>
        <w:r>
          <w:rPr>
            <w:rStyle w:val="ListLabel1"/>
          </w:rPr>
          <w:fldChar w:fldCharType="separate"/>
        </w:r>
        <w:r>
          <w:rPr>
            <w:rStyle w:val="ListLabel1"/>
          </w:rPr>
          <w:t>45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3347_2848141881"/>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3349_2848141881"/>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Reed-Solomon Genesys 2 harness.</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3351_2848141881"/>
      <w:bookmarkEnd w:id="5"/>
      <w:r>
        <w:rPr>
          <w:rStyle w:val="SectionNumber"/>
          <w:b/>
          <w:color w:val="228B22"/>
          <w:sz w:val="28"/>
        </w:rPr>
        <w:t>1.2</w:t>
      </w:r>
      <w:r>
        <w:rPr>
          <w:b/>
          <w:color w:val="228B22"/>
          <w:sz w:val="28"/>
        </w:rPr>
        <w:tab/>
        <w:t>Scope</w:t>
      </w:r>
    </w:p>
    <w:p>
      <w:pPr>
        <w:pStyle w:val="FirstParagraph"/>
        <w:rPr/>
      </w:pPr>
      <w:r>
        <w:rPr>
          <w:sz w:val="20"/>
        </w:rPr>
        <w:t>This book covers the RS(252,236) t=8 codec as exercised on the Digilent Genesys 2 board. It describes the harness, the campaign methodology, the 2026-10-05 battery, the erasure boundary finding, and the completed million-block soak.</w:t>
      </w:r>
      <w:r>
        <w:br w:type="page"/>
      </w:r>
    </w:p>
    <w:p>
      <w:pPr>
        <w:pStyle w:val="Heading2"/>
        <w:pBdr>
          <w:bottom w:val="single" w:sz="12" w:space="0" w:color="228B22"/>
        </w:pBdr>
        <w:spacing w:before="280" w:after="80"/>
        <w:rPr/>
      </w:pPr>
      <w:bookmarkStart w:id="6" w:name="__RefHeading___Toc3353_2848141881"/>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w:t>
      </w:r>
      <w:r>
        <w:rPr>
          <w:rStyle w:val="VerbatimChar"/>
          <w:sz w:val="20"/>
        </w:rPr>
        <w:t>stable/results/2026-10-05_battery/</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3355_2848141881"/>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3357_2848141881"/>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RS(252,236)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3359_2848141881"/>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The 2026-10-05 battery demonstrates that four single-decoder bitstreams (two flavours times two solvers) pass the same deterministic campaign set:</w:t>
      </w:r>
    </w:p>
    <w:p>
      <w:pPr>
        <w:pStyle w:val="Compact"/>
        <w:numPr>
          <w:ilvl w:val="0"/>
          <w:numId w:val="1"/>
        </w:numPr>
        <w:rPr/>
      </w:pPr>
      <w:r>
        <w:rPr>
          <w:rStyle w:val="VerbatimChar"/>
        </w:rPr>
        <w:t>init</w:t>
      </w:r>
      <w:r>
        <w:rPr/>
        <w:t xml:space="preserve">, </w:t>
      </w:r>
      <w:r>
        <w:rPr>
          <w:rStyle w:val="VerbatimChar"/>
        </w:rPr>
        <w:t>smoke</w:t>
      </w:r>
      <w:r>
        <w:rPr/>
        <w:t xml:space="preserve">, </w:t>
      </w:r>
      <w:r>
        <w:rPr>
          <w:rStyle w:val="VerbatimChar"/>
        </w:rPr>
        <w:t>sweep</w:t>
      </w:r>
      <w:r>
        <w:rPr/>
        <w:t xml:space="preserve">, </w:t>
      </w:r>
      <w:r>
        <w:rPr>
          <w:rStyle w:val="VerbatimChar"/>
        </w:rPr>
        <w:t>random</w:t>
      </w:r>
      <w:r>
        <w:rPr/>
        <w:t xml:space="preserve">, </w:t>
      </w:r>
      <w:r>
        <w:rPr>
          <w:rStyle w:val="VerbatimChar"/>
        </w:rPr>
        <w:t>clusters</w:t>
      </w:r>
      <w:r>
        <w:rPr/>
        <w:t xml:space="preserve">, </w:t>
      </w:r>
      <w:r>
        <w:rPr>
          <w:rStyle w:val="VerbatimChar"/>
        </w:rPr>
        <w:t>localized</w:t>
      </w:r>
      <w:r>
        <w:rPr/>
        <w:t xml:space="preserve">, and </w:t>
      </w:r>
      <w:r>
        <w:rPr>
          <w:rStyle w:val="VerbatimChar"/>
        </w:rPr>
        <w:t>badblock</w:t>
      </w:r>
      <w:r>
        <w:rPr/>
        <w:t xml:space="preserve"> all PASS on </w:t>
      </w:r>
      <w:r>
        <w:rPr>
          <w:rStyle w:val="VerbatimChar"/>
        </w:rPr>
        <w:t>axis_ribm</w:t>
      </w:r>
      <w:r>
        <w:rPr/>
        <w:t xml:space="preserve">, </w:t>
      </w:r>
      <w:r>
        <w:rPr>
          <w:rStyle w:val="VerbatimChar"/>
        </w:rPr>
        <w:t>axis_euclid</w:t>
      </w:r>
      <w:r>
        <w:rPr/>
        <w:t xml:space="preserve">, </w:t>
      </w:r>
      <w:r>
        <w:rPr>
          <w:rStyle w:val="VerbatimChar"/>
        </w:rPr>
        <w:t>axi4_ribm</w:t>
      </w:r>
      <w:r>
        <w:rPr/>
        <w:t xml:space="preserve">, and </w:t>
      </w:r>
      <w:r>
        <w:rPr>
          <w:rStyle w:val="VerbatimChar"/>
        </w:rPr>
        <w:t>axi4_euclid</w:t>
      </w:r>
      <w:r>
        <w:rPr/>
        <w:t>.</w:t>
      </w:r>
    </w:p>
    <w:p>
      <w:pPr>
        <w:pStyle w:val="Compact"/>
        <w:numPr>
          <w:ilvl w:val="0"/>
          <w:numId w:val="1"/>
        </w:numPr>
        <w:rPr/>
      </w:pPr>
      <w:r>
        <w:rPr/>
        <w:t>The sweep shows e &lt;= 8 corrected, e = 9 .. 18 uncorrectable, on every image.</w:t>
      </w:r>
    </w:p>
    <w:p>
      <w:pPr>
        <w:pStyle w:val="Compact"/>
        <w:numPr>
          <w:ilvl w:val="0"/>
          <w:numId w:val="1"/>
        </w:numPr>
        <w:rPr/>
      </w:pPr>
      <w:r>
        <w:rPr/>
        <w:t>The random campaign recorded 64 runs x 16 blocks with 0 failing runs across all images.</w:t>
      </w:r>
    </w:p>
    <w:p>
      <w:pPr>
        <w:pStyle w:val="Compact"/>
        <w:numPr>
          <w:ilvl w:val="0"/>
          <w:numId w:val="1"/>
        </w:numPr>
        <w:rPr/>
      </w:pPr>
      <w:r>
        <w:rPr/>
        <w:t>The matching verdict counts between riBM and Euclid images are themselves a cross-solver check.</w:t>
      </w:r>
    </w:p>
    <w:p>
      <w:pPr>
        <w:pStyle w:val="Compact"/>
        <w:numPr>
          <w:ilvl w:val="0"/>
          <w:numId w:val="1"/>
        </w:numPr>
        <w:rPr/>
      </w:pPr>
      <w:r>
        <w:rPr/>
        <w:t xml:space="preserve">The 2026-10-05 million-block soak on </w:t>
      </w:r>
      <w:r>
        <w:rPr>
          <w:rStyle w:val="VerbatimChar"/>
        </w:rPr>
        <w:t>axi4_ribm</w:t>
      </w:r>
      <w:r>
        <w:rPr/>
        <w:t xml:space="preserve"> passed: 0 failing runs, and 2 mis-decodes out of 74,240 over-t blocks, below the model’s approximately 1-in-20,000 bound at e = t + 1.</w:t>
      </w:r>
    </w:p>
    <w:p>
      <w:pPr>
        <w:pStyle w:val="FirstParagraph"/>
        <w:rPr/>
      </w:pPr>
      <w:bookmarkStart w:id="15" w:name="what-is-claimed"/>
      <w:r>
        <w:rPr>
          <w:sz w:val="20"/>
        </w:rPr>
        <w:t>That is board evidence that both key-equation solvers behave identically under the same workload and that the codec honours the correction boundary.</w:t>
      </w:r>
      <w:bookmarkEnd w:id="15"/>
      <w:r>
        <w:br w:type="page"/>
      </w:r>
    </w:p>
    <w:p>
      <w:pPr>
        <w:pStyle w:val="Heading2"/>
        <w:pBdr>
          <w:bottom w:val="single" w:sz="12" w:space="0" w:color="228B22"/>
        </w:pBdr>
        <w:spacing w:before="280" w:after="80"/>
        <w:rPr/>
      </w:pPr>
      <w:bookmarkStart w:id="16" w:name="__RefHeading___Toc3361_2848141881"/>
      <w:bookmarkStart w:id="17" w:name="what-is-not-claimed"/>
      <w:bookmarkEnd w:id="16"/>
      <w:r>
        <w:rPr>
          <w:rStyle w:val="SectionNumber"/>
          <w:b/>
          <w:color w:val="228B22"/>
          <w:sz w:val="28"/>
        </w:rPr>
        <w:t>2.3</w:t>
      </w:r>
      <w:r>
        <w:rPr>
          <w:b/>
          <w:color w:val="228B22"/>
          <w:sz w:val="28"/>
        </w:rPr>
        <w:tab/>
        <w:t>What is not claimed</w:t>
      </w:r>
    </w:p>
    <w:p>
      <w:pPr>
        <w:pStyle w:val="FirstParagraph"/>
        <w:rPr/>
      </w:pPr>
      <w:r>
        <w:rPr>
          <w:sz w:val="20"/>
        </w:rPr>
        <w:t xml:space="preserve">This book does not replace the component DV matrix. It does not prove every possible error pattern or every smaller RS profile. The dual-decoder on-chip comparator is present in simulation but not in the production board matrix; agreement is proven by running identical deterministic campaigns on the two single-decoder images. The erasure </w:t>
      </w:r>
      <w:r>
        <w:rPr>
          <w:rStyle w:val="VerbatimChar"/>
          <w:sz w:val="20"/>
        </w:rPr>
        <w:t>f = 2t</w:t>
      </w:r>
      <w:r>
        <w:rPr>
          <w:sz w:val="20"/>
        </w:rPr>
        <w:t xml:space="preserve"> boundary is a known open issue (TASK-005) and is called out in Chapter 3 and Chapter 5. The million-block soak completed on 2026-10-06; Chapter 4 reports its counters.</w:t>
      </w:r>
      <w:bookmarkEnd w:id="9"/>
      <w:bookmarkEnd w:id="17"/>
      <w:r>
        <w:br w:type="page"/>
      </w:r>
    </w:p>
    <w:p>
      <w:pPr>
        <w:pStyle w:val="Heading1"/>
        <w:shd w:val="clear" w:color="auto" w:fill="404040"/>
        <w:spacing w:before="360" w:after="120"/>
        <w:rPr/>
      </w:pPr>
      <w:bookmarkStart w:id="18" w:name="__RefHeading___Toc3363_2848141881"/>
      <w:bookmarkStart w:id="19" w:name="images-and-codec-profile"/>
      <w:bookmarkEnd w:id="18"/>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0" w:name="__RefHeading___Toc3365_2848141881"/>
      <w:bookmarkStart w:id="21" w:name="image-matrix"/>
      <w:bookmarkEnd w:id="20"/>
      <w:r>
        <w:rPr>
          <w:rStyle w:val="SectionNumber"/>
          <w:b/>
          <w:color w:val="228B22"/>
          <w:sz w:val="28"/>
        </w:rPr>
        <w:t>3.1</w:t>
      </w:r>
      <w:r>
        <w:rPr>
          <w:b/>
          <w:color w:val="228B22"/>
          <w:sz w:val="28"/>
        </w:rPr>
        <w:tab/>
        <w:t>Image matrix</w:t>
      </w:r>
    </w:p>
    <w:p>
      <w:pPr>
        <w:pStyle w:val="FirstParagraph"/>
        <w:rPr/>
      </w:pPr>
      <w:r>
        <w:rPr>
          <w:sz w:val="20"/>
        </w:rPr>
        <w:t xml:space="preserve">Four Genesys 2 bitstreams were built and kept in </w:t>
      </w:r>
      <w:r>
        <w:rPr>
          <w:rStyle w:val="VerbatimChar"/>
          <w:sz w:val="20"/>
        </w:rPr>
        <w:t>stable/reports/</w:t>
      </w:r>
      <w:r>
        <w:rPr>
          <w:sz w:val="20"/>
        </w:rPr>
        <w:t>:</w:t>
      </w:r>
    </w:p>
    <w:p>
      <w:pPr>
        <w:pStyle w:val="TableCaption"/>
        <w:rPr/>
      </w:pPr>
      <w:bookmarkStart w:id="22" w:name="_Tab_2_Table_1_1__Reed_Solo"/>
      <w:r>
        <w:rPr/>
        <w:t>Table 1.1: Reed-Solomon Genesys 2 image matrix.</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6"/>
        <w:gridCol w:w="1208"/>
        <w:gridCol w:w="1660"/>
        <w:gridCol w:w="1510"/>
        <w:gridCol w:w="2869"/>
        <w:gridCol w:w="1056"/>
      </w:tblGrid>
      <w:tr>
        <w:trPr>
          <w:tblHeader w:val="true"/>
        </w:trPr>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2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1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+0.875</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bl>
    <w:p>
      <w:pPr>
        <w:pStyle w:val="BodyText"/>
        <w:rPr/>
      </w:pPr>
      <w:r>
        <w:rPr>
          <w:sz w:val="20"/>
        </w:rPr>
        <w:t xml:space="preserve">All four images are timing-clean at 100 MHz on the </w:t>
      </w:r>
      <w:r>
        <w:rPr>
          <w:rStyle w:val="VerbatimChar"/>
          <w:sz w:val="20"/>
        </w:rPr>
        <w:t>k325t-2</w:t>
      </w:r>
      <w:r>
        <w:rPr>
          <w:sz w:val="20"/>
        </w:rPr>
        <w:t xml:space="preserve">. The WNS values were read from the four </w:t>
      </w:r>
      <w:r>
        <w:rPr>
          <w:rStyle w:val="VerbatimChar"/>
          <w:sz w:val="20"/>
        </w:rPr>
        <w:t>stable/reports/genesys2_*/timing_summary.txt</w:t>
      </w:r>
      <w:r>
        <w:rPr>
          <w:sz w:val="20"/>
        </w:rPr>
        <w:t xml:space="preserve"> files.</w:t>
      </w:r>
      <w:bookmarkEnd w:id="21"/>
      <w:r>
        <w:br w:type="page"/>
      </w:r>
    </w:p>
    <w:p>
      <w:pPr>
        <w:pStyle w:val="Heading2"/>
        <w:pBdr>
          <w:bottom w:val="single" w:sz="12" w:space="0" w:color="228B22"/>
        </w:pBdr>
        <w:spacing w:before="280" w:after="80"/>
        <w:rPr/>
      </w:pPr>
      <w:bookmarkStart w:id="23" w:name="__RefHeading___Toc3367_2848141881"/>
      <w:bookmarkStart w:id="24" w:name="codec-profile"/>
      <w:bookmarkEnd w:id="23"/>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build-loop/rtl/rs_loop_cfg_pkg.sv</w:t>
      </w:r>
      <w:r>
        <w:rPr>
          <w:sz w:val="20"/>
        </w:rPr>
        <w:t>:</w:t>
      </w:r>
    </w:p>
    <w:p>
      <w:pPr>
        <w:pStyle w:val="Compact"/>
        <w:numPr>
          <w:ilvl w:val="0"/>
          <w:numId w:val="6"/>
        </w:numPr>
        <w:rPr/>
      </w:pPr>
      <w:r>
        <w:rPr/>
        <w:t>Code: RS(252,236), t=8, m=8.</w:t>
      </w:r>
    </w:p>
    <w:p>
      <w:pPr>
        <w:pStyle w:val="Compact"/>
        <w:numPr>
          <w:ilvl w:val="0"/>
          <w:numId w:val="7"/>
        </w:numPr>
        <w:rPr/>
      </w:pPr>
      <w:r>
        <w:rPr/>
        <w:t>Symbols per beat: 4 (S=4), so a 32-bit beat carries four 8-bit symbols.</w:t>
      </w:r>
    </w:p>
    <w:p>
      <w:pPr>
        <w:pStyle w:val="Compact"/>
        <w:numPr>
          <w:ilvl w:val="0"/>
          <w:numId w:val="8"/>
        </w:numPr>
        <w:rPr/>
      </w:pPr>
      <w:r>
        <w:rPr/>
        <w:t>Shortened from the natural 255-symbol RS block so that n=252 and k=236 are both multiples of the beat size. A full codeword is 63 beats; the message is 59 beats.</w:t>
      </w:r>
    </w:p>
    <w:p>
      <w:pPr>
        <w:pStyle w:val="FirstParagraph"/>
        <w:rPr/>
      </w:pPr>
      <w:r>
        <w:rPr>
          <w:sz w:val="20"/>
        </w:rPr>
        <w:t xml:space="preserve">The shortening was deliberate: it makes the AXIS datapath line-rate at 63 cycles per block and keeps the AXI4 memory alignment clean.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and solver are loaded.</w:t>
      </w:r>
      <w:bookmarkEnd w:id="19"/>
      <w:bookmarkEnd w:id="24"/>
      <w:r>
        <w:br w:type="page"/>
      </w:r>
    </w:p>
    <w:p>
      <w:pPr>
        <w:pStyle w:val="Heading1"/>
        <w:shd w:val="clear" w:color="auto" w:fill="404040"/>
        <w:spacing w:before="360" w:after="120"/>
        <w:rPr/>
      </w:pPr>
      <w:bookmarkStart w:id="25" w:name="__RefHeading___Toc3369_2848141881"/>
      <w:bookmarkStart w:id="26" w:name="harness-architecture"/>
      <w:bookmarkEnd w:id="25"/>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7" w:name="__RefHeading___Toc3371_2848141881"/>
      <w:bookmarkEnd w:id="27"/>
      <w:r>
        <w:rPr>
          <w:rStyle w:val="SectionNumber"/>
          <w:b/>
          <w:color w:val="228B22"/>
          <w:sz w:val="28"/>
        </w:rPr>
        <w:t>4.1</w:t>
      </w:r>
      <w:r>
        <w:rPr>
          <w:b/>
          <w:color w:val="228B22"/>
          <w:sz w:val="28"/>
        </w:rPr>
        <w:tab/>
        <w:t>RTL inventory</w:t>
      </w:r>
    </w:p>
    <w:p>
      <w:pPr>
        <w:pStyle w:val="TableCaption"/>
        <w:rPr/>
      </w:pPr>
      <w:bookmarkStart w:id="28" w:name="_Tab_3_Table_2_1__RTL_block"/>
      <w:r>
        <w:rPr/>
        <w:t>Table 2.1: RTL blocks in the Reed-Solomon harness.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0..7 plus erasure mark.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locator / transform used when </w:t>
            </w:r>
            <w:r>
              <w:rPr>
                <w:rStyle w:val="VerbatimChar"/>
                <w:rFonts w:eastAsia="Cambria" w:cs=""/>
                <w:kern w:val="0"/>
                <w:szCs w:val="24"/>
                <w:lang w:val="en-US" w:eastAsia="en-US" w:bidi="ar-SA"/>
              </w:rPr>
              <w:t>ERASURE_SUPPORT=1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29" w:name="rtl-inventory"/>
            <w:bookmarkEnd w:id="29"/>
          </w:p>
        </w:tc>
      </w:tr>
    </w:tbl>
    <w:p>
      <w:pPr>
        <w:pStyle w:val="Heading2"/>
        <w:pBdr>
          <w:bottom w:val="single" w:sz="12" w:space="0" w:color="228B22"/>
        </w:pBdr>
        <w:spacing w:before="280" w:after="80"/>
        <w:rPr/>
      </w:pPr>
      <w:r>
        <w:br w:type="page"/>
      </w:r>
      <w:bookmarkStart w:id="30" w:name="__RefHeading___Toc3373_2848141881"/>
      <w:bookmarkEnd w:id="30"/>
      <w:r>
        <w:rPr>
          <w:rStyle w:val="SectionNumber"/>
          <w:b/>
          <w:color w:val="228B22"/>
          <w:sz w:val="28"/>
        </w:rPr>
        <w:t>4.2</w:t>
      </w:r>
      <w:r>
        <w:rPr>
          <w:b/>
          <w:color w:val="228B22"/>
          <w:sz w:val="28"/>
        </w:rPr>
        <w:tab/>
        <w:t>Host and build inventory</w:t>
      </w:r>
    </w:p>
    <w:p>
      <w:pPr>
        <w:pStyle w:val="TableCaption"/>
        <w:rPr/>
      </w:pPr>
      <w:bookmarkStart w:id="31" w:name="_Tab_4_Table_2_2__Host_scri"/>
      <w:r>
        <w:rPr/>
        <w:t>Table 2.2: Host scripts and build flow.</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RS_TARGET=genesys2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2" w:name="__RefHeading___Toc3375_2848141881"/>
      <w:bookmarkEnd w:id="32"/>
      <w:r>
        <w:rPr>
          <w:rStyle w:val="SectionNumber"/>
          <w:b/>
          <w:color w:val="228B22"/>
          <w:sz w:val="28"/>
        </w:rPr>
        <w:t>4.3</w:t>
      </w:r>
      <w:r>
        <w:rPr>
          <w:b/>
          <w:color w:val="228B22"/>
          <w:sz w:val="28"/>
        </w:rPr>
        <w:tab/>
        <w:t>Datapath diagram</w:t>
      </w:r>
    </w:p>
    <w:p>
      <w:pPr>
        <w:pStyle w:val="CaptionedFigure"/>
        <w:rPr/>
      </w:pPr>
      <w:r>
        <w:rPr/>
        <w:drawing>
          <wp:inline distT="0" distB="0" distL="0" distR="0">
            <wp:extent cx="5334000" cy="4013835"/>
            <wp:effectExtent l="0" t="0" r="0" b="0"/>
            <wp:docPr id="4" name="Picture" descr="Reed-Solomon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eed-Solomon AXIS datapath and register path"/>
                    <pic:cNvPicPr>
                      <a:picLocks noChangeAspect="1" noChangeArrowheads="1"/>
                    </pic:cNvPicPr>
                  </pic:nvPicPr>
                  <pic:blipFill>
                    <a:blip r:embed="rId3"/>
                    <a:stretch>
                      <a:fillRect/>
                    </a:stretch>
                  </pic:blipFill>
                  <pic:spPr bwMode="auto">
                    <a:xfrm>
                      <a:off x="0" y="0"/>
                      <a:ext cx="5334000" cy="4013835"/>
                    </a:xfrm>
                    <a:prstGeom prst="rect">
                      <a:avLst/>
                    </a:prstGeom>
                  </pic:spPr>
                </pic:pic>
              </a:graphicData>
            </a:graphic>
          </wp:inline>
        </w:drawing>
      </w:r>
    </w:p>
    <w:p>
      <w:pPr>
        <w:pStyle w:val="ImageCaption"/>
        <w:rPr/>
      </w:pPr>
      <w:r>
        <w:rPr/>
        <w:t>Reed-Solomon AXIS datapath and register path</w:t>
      </w:r>
    </w:p>
    <w:p>
      <w:pPr>
        <w:pStyle w:val="Heading3"/>
        <w:spacing w:before="200" w:after="80"/>
        <w:rPr/>
      </w:pPr>
      <w:bookmarkStart w:id="33" w:name="__RefHeading___Toc3377_2848141881"/>
      <w:bookmarkStart w:id="34" w:name="X68792c9258fca26be422d89b352eb4e736ef16d"/>
      <w:bookmarkStart w:id="35" w:name="_Fig_1_Reed_Solomon_AXIS_da"/>
      <w:bookmarkEnd w:id="33"/>
      <w:r>
        <w:rPr>
          <w:rStyle w:val="SectionNumber"/>
          <w:b/>
          <w:color w:val="404040"/>
          <w:sz w:val="24"/>
        </w:rPr>
        <w:t>4.3.1</w:t>
      </w:r>
      <w:r>
        <w:rPr>
          <w:b/>
          <w:color w:val="404040"/>
          <w:sz w:val="24"/>
        </w:rPr>
        <w:tab/>
        <w:t>Figure 2.1: Reed-Solomon AXIS datapath and register path.</w:t>
      </w:r>
      <w:bookmarkEnd w:id="35"/>
    </w:p>
    <w:p>
      <w:pPr>
        <w:pStyle w:val="FirstParagraph"/>
        <w:rPr/>
      </w:pPr>
      <w:r>
        <w:rPr>
          <w:b/>
          <w:bCs/>
          <w:sz w:val="20"/>
        </w:rPr>
        <w:t>Source:</w:t>
      </w:r>
      <w:r>
        <w:rPr>
          <w:sz w:val="20"/>
        </w:rPr>
        <w:t xml:space="preserve"> </w:t>
      </w:r>
      <w:hyperlink r:id="rId4">
        <w:r>
          <w:rPr>
            <w:rStyle w:val="Hyperlink"/>
          </w:rPr>
          <w:t>01_rs_axis_loop.dot</w:t>
        </w:r>
      </w:hyperlink>
      <w:bookmarkEnd w:id="34"/>
      <w:r>
        <w:br w:type="page"/>
      </w:r>
    </w:p>
    <w:p>
      <w:pPr>
        <w:pStyle w:val="Heading2"/>
        <w:pBdr>
          <w:bottom w:val="single" w:sz="12" w:space="0" w:color="228B22"/>
        </w:pBdr>
        <w:spacing w:before="280" w:after="80"/>
        <w:rPr/>
      </w:pPr>
      <w:bookmarkStart w:id="36" w:name="__RefHeading___Toc3379_2848141881"/>
      <w:bookmarkStart w:id="37" w:name="register-path-clock-and-reset"/>
      <w:bookmarkEnd w:id="36"/>
      <w:r>
        <w:rPr>
          <w:rStyle w:val="SectionNumber"/>
          <w:b/>
          <w:color w:val="228B22"/>
          <w:sz w:val="28"/>
        </w:rPr>
        <w:t>4.4</w:t>
      </w:r>
      <w:r>
        <w:rPr>
          <w:b/>
          <w:color w:val="228B22"/>
          <w:sz w:val="28"/>
        </w:rPr>
        <w:tab/>
        <w:t>Register path, clock, and reset</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 Window 0 at </w:t>
      </w:r>
      <w:r>
        <w:rPr>
          <w:rStyle w:val="VerbatimChar"/>
          <w:sz w:val="20"/>
        </w:rPr>
        <w:t>0x00000000</w:t>
      </w:r>
      <w:r>
        <w:rPr>
          <w:sz w:val="20"/>
        </w:rPr>
        <w:t xml:space="preserve"> holds </w:t>
      </w:r>
      <w:r>
        <w:rPr>
          <w:rStyle w:val="VerbatimChar"/>
          <w:sz w:val="20"/>
        </w:rPr>
        <w:t>rs_loop_regs</w:t>
      </w:r>
      <w:r>
        <w:rPr>
          <w:sz w:val="20"/>
        </w:rPr>
        <w:t xml:space="preserve"> (BUILD_ID, SCRATCH, PROFILE, TOPOLOGY, INJ_CFG, etc.). Window 1 at </w:t>
      </w:r>
      <w:r>
        <w:rPr>
          <w:rStyle w:val="VerbatimChar"/>
          <w:sz w:val="20"/>
        </w:rPr>
        <w:t>0x00010000</w:t>
      </w:r>
      <w:r>
        <w:rPr>
          <w:sz w:val="20"/>
        </w:rPr>
        <w:t xml:space="preserve"> hosts the AXI4 master observer on AXI4 flavours and is a read-zero stub on AXIS. Window 2 at </w:t>
      </w:r>
      <w:r>
        <w:rPr>
          <w:rStyle w:val="VerbatimChar"/>
          <w:sz w:val="20"/>
        </w:rPr>
        <w:t>0x00020000</w:t>
      </w:r>
      <w:r>
        <w:rPr>
          <w:sz w:val="20"/>
        </w:rPr>
        <w:t xml:space="preserve"> is always live and hosts the AXIS seam observer.</w:t>
      </w:r>
    </w:p>
    <w:p>
      <w:pPr>
        <w:pStyle w:val="BodyText"/>
        <w:rPr/>
      </w:pPr>
      <w:r>
        <w:rPr>
          <w:sz w:val="20"/>
        </w:rPr>
        <w:t xml:space="preserve">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The Nexys A7 top uses the on-board 100 MHz clock directly.</w:t>
      </w:r>
      <w:bookmarkEnd w:id="26"/>
      <w:bookmarkEnd w:id="37"/>
      <w:r>
        <w:br w:type="page"/>
      </w:r>
    </w:p>
    <w:p>
      <w:pPr>
        <w:pStyle w:val="Heading1"/>
        <w:shd w:val="clear" w:color="auto" w:fill="404040"/>
        <w:spacing w:before="360" w:after="120"/>
        <w:rPr/>
      </w:pPr>
      <w:bookmarkStart w:id="38" w:name="__RefHeading___Toc3381_2848141881"/>
      <w:bookmarkStart w:id="39" w:name="campaigns-and-the-oracle-argument"/>
      <w:bookmarkEnd w:id="38"/>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0" w:name="__RefHeading___Toc3383_2848141881"/>
      <w:bookmarkEnd w:id="40"/>
      <w:r>
        <w:rPr>
          <w:rStyle w:val="SectionNumber"/>
          <w:b/>
          <w:color w:val="228B22"/>
          <w:sz w:val="28"/>
        </w:rPr>
        <w:t>5.1</w:t>
      </w:r>
      <w:r>
        <w:rPr>
          <w:b/>
          <w:color w:val="228B22"/>
          <w:sz w:val="28"/>
        </w:rPr>
        <w:tab/>
        <w:t>Campaign inventory</w:t>
      </w:r>
    </w:p>
    <w:p>
      <w:pPr>
        <w:pStyle w:val="TableCaption"/>
        <w:rPr/>
      </w:pPr>
      <w:bookmarkStart w:id="41" w:name="_Tab_5_Table_3_1__Reed_Solo"/>
      <w:r>
        <w:rPr/>
        <w:t>Table 3.1: Reed-Solomon board campaign inventory.</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Retention-tail / worn-block behaviour.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Marked-symbol runs at f = t, 2t, 2t+1.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2" w:name="campaign-inventory"/>
            <w:bookmarkEnd w:id="42"/>
          </w:p>
        </w:tc>
      </w:tr>
    </w:tbl>
    <w:p>
      <w:pPr>
        <w:pStyle w:val="Heading2"/>
        <w:pBdr>
          <w:bottom w:val="single" w:sz="12" w:space="0" w:color="228B22"/>
        </w:pBdr>
        <w:spacing w:before="280" w:after="80"/>
        <w:rPr/>
      </w:pPr>
      <w:r>
        <w:br w:type="page"/>
      </w:r>
      <w:bookmarkStart w:id="43" w:name="__RefHeading___Toc3385_2848141881"/>
      <w:bookmarkEnd w:id="43"/>
      <w:r>
        <w:rPr>
          <w:rStyle w:val="SectionNumber"/>
          <w:b/>
          <w:color w:val="228B22"/>
          <w:sz w:val="28"/>
        </w:rPr>
        <w:t>5.2</w:t>
      </w:r>
      <w:r>
        <w:rPr>
          <w:b/>
          <w:color w:val="228B22"/>
          <w:sz w:val="28"/>
        </w:rPr>
        <w:tab/>
        <w:t>Determinism and cross-solver agreement</w:t>
      </w:r>
    </w:p>
    <w:p>
      <w:pPr>
        <w:pStyle w:val="FirstParagraph"/>
        <w:rPr/>
      </w:pPr>
      <w:r>
        <w:rPr>
          <w:sz w:val="20"/>
        </w:rPr>
        <w:t>The host-side RNG seed defaults to 1. With that default, the random, soak, clusters, localized, and badblock campaigns are fully deterministic. Because the riBM and Euclid images run bit-identical workloads, the matching verdict counts between them are the cross-check. You do not need the on-chip comparator to know the two solvers agree; the campaigns prove it.</w:t>
      </w:r>
      <w:r>
        <w:br w:type="page"/>
      </w:r>
    </w:p>
    <w:p>
      <w:pPr>
        <w:pStyle w:val="Heading2"/>
        <w:pBdr>
          <w:bottom w:val="single" w:sz="12" w:space="0" w:color="228B22"/>
        </w:pBdr>
        <w:spacing w:before="280" w:after="80"/>
        <w:rPr/>
      </w:pPr>
      <w:bookmarkStart w:id="44" w:name="__RefHeading___Toc3387_2848141881"/>
      <w:bookmarkStart w:id="45" w:name="the-dual-solver-loop-as-oracle"/>
      <w:bookmarkEnd w:id="44"/>
      <w:r>
        <w:rPr>
          <w:rStyle w:val="SectionNumber"/>
          <w:b/>
          <w:color w:val="228B22"/>
          <w:sz w:val="28"/>
        </w:rPr>
        <w:t>5.3</w:t>
      </w:r>
      <w:r>
        <w:rPr>
          <w:b/>
          <w:color w:val="228B22"/>
          <w:sz w:val="28"/>
        </w:rPr>
        <w:tab/>
        <w:t>The dual-solver loop as oracle</w:t>
      </w:r>
    </w:p>
    <w:p>
      <w:pPr>
        <w:pStyle w:val="FirstParagraph"/>
        <w:rPr/>
      </w:pPr>
      <w:r>
        <w:rPr>
          <w:sz w:val="20"/>
        </w:rPr>
        <w:t xml:space="preserve">The AXIS datapath in simulation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A separate comparator then requires the two decoders to agree on every beat and on every block’s verdict. On the board images this comparator is absent by construction; the cross-check is the deterministic campaign battery.</w:t>
      </w:r>
      <w:bookmarkEnd w:id="39"/>
      <w:bookmarkEnd w:id="45"/>
      <w:r>
        <w:br w:type="page"/>
      </w:r>
    </w:p>
    <w:p>
      <w:pPr>
        <w:pStyle w:val="Heading1"/>
        <w:shd w:val="clear" w:color="auto" w:fill="404040"/>
        <w:spacing w:before="360" w:after="120"/>
        <w:rPr/>
      </w:pPr>
      <w:bookmarkStart w:id="46" w:name="__RefHeading___Toc3389_2848141881"/>
      <w:bookmarkStart w:id="47" w:name="testing-choices"/>
      <w:bookmarkEnd w:id="46"/>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48" w:name="__RefHeading___Toc3391_2848141881"/>
      <w:bookmarkStart w:id="49" w:name="X8d236ce34556ebaf33b14981fd5c50a974c9d5f"/>
      <w:bookmarkEnd w:id="48"/>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operates on 8-bit symbols. Mode 1 exact-count places exactly e errors per block at uniformly random distinct positions, which is what makes the e = t / e = t + 1 boundary sharp. Mode 2 burst and mode 3 rate model raw channel bit-error behaviour. Modes 4 clusters and 5 localized model spatially correlated faults. Mode 6 badblock models the tail of NAND retention. Mode 7 debug is the deterministic bring-up walk.</w:t>
      </w:r>
      <w:bookmarkEnd w:id="49"/>
      <w:r>
        <w:br w:type="page"/>
      </w:r>
    </w:p>
    <w:p>
      <w:pPr>
        <w:pStyle w:val="Heading2"/>
        <w:pBdr>
          <w:bottom w:val="single" w:sz="12" w:space="0" w:color="228B22"/>
        </w:pBdr>
        <w:spacing w:before="280" w:after="80"/>
        <w:rPr/>
      </w:pPr>
      <w:bookmarkStart w:id="50" w:name="__RefHeading___Toc3393_2848141881"/>
      <w:bookmarkStart w:id="51" w:name="X39b5670bd0cc349c34063d439e0ead0eedf07cb"/>
      <w:bookmarkEnd w:id="50"/>
      <w:r>
        <w:rPr>
          <w:rStyle w:val="SectionNumber"/>
          <w:b/>
          <w:color w:val="228B22"/>
          <w:sz w:val="28"/>
        </w:rPr>
        <w:t>6.2</w:t>
      </w:r>
      <w:r>
        <w:rPr>
          <w:b/>
          <w:color w:val="228B22"/>
          <w:sz w:val="28"/>
        </w:rPr>
        <w:tab/>
        <w:t>Post-encoder injection protects parity symbols</w:t>
      </w:r>
    </w:p>
    <w:p>
      <w:pPr>
        <w:pStyle w:val="FirstParagraph"/>
        <w:rPr/>
      </w:pPr>
      <w:bookmarkStart w:id="52"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w:t>
      </w:r>
      <w:bookmarkEnd w:id="52"/>
      <w:r>
        <w:br w:type="page"/>
      </w:r>
    </w:p>
    <w:p>
      <w:pPr>
        <w:pStyle w:val="Heading2"/>
        <w:pBdr>
          <w:bottom w:val="single" w:sz="12" w:space="0" w:color="228B22"/>
        </w:pBdr>
        <w:spacing w:before="280" w:after="80"/>
        <w:rPr/>
      </w:pPr>
      <w:bookmarkStart w:id="53" w:name="__RefHeading___Toc3395_2848141881"/>
      <w:bookmarkStart w:id="54" w:name="uart-and-the-safety-pair"/>
      <w:bookmarkEnd w:id="53"/>
      <w:r>
        <w:rPr>
          <w:rStyle w:val="SectionNumber"/>
          <w:b/>
          <w:color w:val="228B22"/>
          <w:sz w:val="28"/>
        </w:rPr>
        <w:t>6.3</w:t>
      </w:r>
      <w:r>
        <w:rPr>
          <w:b/>
          <w:color w:val="228B22"/>
          <w:sz w:val="28"/>
        </w:rPr>
        <w:tab/>
        <w:t>UART and the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JTAG serial, and </w:t>
      </w:r>
      <w:r>
        <w:rPr>
          <w:rStyle w:val="VerbatimChar"/>
          <w:sz w:val="20"/>
        </w:rPr>
        <w:t>fpga_board.py</w:t>
      </w:r>
      <w:r>
        <w:rPr>
          <w:sz w:val="20"/>
        </w:rPr>
        <w:t xml:space="preserve"> reads the JTAG chain before programming to confirm the expected Genesys 2 serial (</w:t>
      </w:r>
      <w:r>
        <w:rPr>
          <w:rStyle w:val="VerbatimChar"/>
          <w:sz w:val="20"/>
        </w:rPr>
        <w:t>200300B818A0</w:t>
      </w:r>
      <w:r>
        <w:rPr>
          <w:sz w:val="20"/>
        </w:rPr>
        <w:t>) is present with a device behind it.</w:t>
      </w:r>
      <w:bookmarkEnd w:id="54"/>
      <w:r>
        <w:br w:type="page"/>
      </w:r>
    </w:p>
    <w:p>
      <w:pPr>
        <w:pStyle w:val="Heading2"/>
        <w:pBdr>
          <w:bottom w:val="single" w:sz="12" w:space="0" w:color="228B22"/>
        </w:pBdr>
        <w:spacing w:before="280" w:after="80"/>
        <w:rPr/>
      </w:pPr>
      <w:bookmarkStart w:id="55" w:name="__RefHeading___Toc3397_2848141881"/>
      <w:bookmarkStart w:id="56" w:name="genesys-2-vs-nexys-a7"/>
      <w:bookmarkEnd w:id="55"/>
      <w:r>
        <w:rPr>
          <w:rStyle w:val="SectionNumber"/>
          <w:b/>
          <w:color w:val="228B22"/>
          <w:sz w:val="28"/>
        </w:rPr>
        <w:t>6.4</w:t>
      </w:r>
      <w:r>
        <w:rPr>
          <w:b/>
          <w:color w:val="228B22"/>
          <w:sz w:val="28"/>
        </w:rPr>
        <w:tab/>
        <w:t>Genesys 2 vs Nexys A7</w:t>
      </w:r>
    </w:p>
    <w:p>
      <w:pPr>
        <w:pStyle w:val="FirstParagraph"/>
        <w:rPr/>
      </w:pPr>
      <w:r>
        <w:rPr>
          <w:sz w:val="20"/>
        </w:rPr>
        <w:t>The Kintex-7 XC7K325T-2 was chosen because it has room for the full harness plus observers and still closes timing with positive slack. The Nexys A7-100T flow is kept as a target option (</w:t>
      </w:r>
      <w:r>
        <w:rPr>
          <w:rStyle w:val="VerbatimChar"/>
          <w:sz w:val="20"/>
        </w:rPr>
        <w:t>RS_TARGET=nexys_a7_100t</w:t>
      </w:r>
      <w:r>
        <w:rPr>
          <w:sz w:val="20"/>
        </w:rPr>
        <w:t>) but the Genesys 2 is the primary target for harness-class work.</w:t>
      </w:r>
      <w:bookmarkEnd w:id="56"/>
      <w:r>
        <w:br w:type="page"/>
      </w:r>
    </w:p>
    <w:p>
      <w:pPr>
        <w:pStyle w:val="Heading2"/>
        <w:pBdr>
          <w:bottom w:val="single" w:sz="12" w:space="0" w:color="228B22"/>
        </w:pBdr>
        <w:spacing w:before="280" w:after="80"/>
        <w:rPr/>
      </w:pPr>
      <w:bookmarkStart w:id="57" w:name="__RefHeading___Toc3399_2848141881"/>
      <w:bookmarkStart w:id="58" w:name="X795ba1d5d597264028343fd225a136bc41bb7e4"/>
      <w:bookmarkEnd w:id="57"/>
      <w:r>
        <w:rPr>
          <w:rStyle w:val="SectionNumber"/>
          <w:b/>
          <w:color w:val="228B22"/>
          <w:sz w:val="28"/>
        </w:rPr>
        <w:t>6.5</w:t>
      </w:r>
      <w:r>
        <w:rPr>
          <w:b/>
          <w:color w:val="228B22"/>
          <w:sz w:val="28"/>
        </w:rPr>
        <w:tab/>
        <w:t>AXIS and AXI4 flavors cover both integration styles</w:t>
      </w:r>
    </w:p>
    <w:p>
      <w:pPr>
        <w:pStyle w:val="FirstParagraph"/>
        <w:rPr/>
      </w:pPr>
      <w:r>
        <w:rPr>
          <w:sz w:val="20"/>
        </w:rPr>
        <w:t xml:space="preserve">The AXIS flavor is a single streaming pipe;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Running the same deterministic campaign on both flavours is a free sanity check. The AXI4 flavor refuses a </w:t>
      </w:r>
      <w:r>
        <w:rPr>
          <w:rStyle w:val="VerbatimChar"/>
          <w:sz w:val="20"/>
        </w:rPr>
        <w:t>GEN_BLOCKS</w:t>
      </w:r>
      <w:r>
        <w:rPr>
          <w:sz w:val="20"/>
        </w:rPr>
        <w:t xml:space="preserve"> value that would exceed the job memories.</w:t>
      </w:r>
      <w:bookmarkEnd w:id="58"/>
      <w:r>
        <w:br w:type="page"/>
      </w:r>
    </w:p>
    <w:p>
      <w:pPr>
        <w:pStyle w:val="Heading2"/>
        <w:pBdr>
          <w:bottom w:val="single" w:sz="12" w:space="0" w:color="228B22"/>
        </w:pBdr>
        <w:spacing w:before="280" w:after="80"/>
        <w:rPr/>
      </w:pPr>
      <w:bookmarkStart w:id="59" w:name="__RefHeading___Toc3401_2848141881"/>
      <w:bookmarkStart w:id="60" w:name="deliberately-not-board-tested"/>
      <w:bookmarkEnd w:id="59"/>
      <w:r>
        <w:rPr>
          <w:rStyle w:val="SectionNumber"/>
          <w:b/>
          <w:color w:val="228B22"/>
          <w:sz w:val="28"/>
        </w:rPr>
        <w:t>6.6</w:t>
      </w:r>
      <w:r>
        <w:rPr>
          <w:b/>
          <w:color w:val="228B22"/>
          <w:sz w:val="28"/>
        </w:rPr>
        <w:tab/>
        <w:t>Deliberately not board-tested</w:t>
      </w:r>
    </w:p>
    <w:p>
      <w:pPr>
        <w:pStyle w:val="FirstParagraph"/>
        <w:rPr/>
      </w:pPr>
      <w:r>
        <w:rPr>
          <w:sz w:val="20"/>
        </w:rPr>
        <w:t xml:space="preserve">The dual-decoder comparator with </w:t>
      </w:r>
      <w:r>
        <w:rPr>
          <w:rStyle w:val="VerbatimChar"/>
          <w:sz w:val="20"/>
        </w:rPr>
        <w:t>ENABLE_COMPARE=1</w:t>
      </w:r>
      <w:r>
        <w:rPr>
          <w:sz w:val="20"/>
        </w:rPr>
        <w:t xml:space="preserve"> is the sim/DV domain. The soak campaign runs separately from the battery because of its wall time — hours at UART rates; it completed on 2026-10-06 and is reported in Chapter 4. The component DV matrix exercises the codec in ways the board harness does not replicate. The erasure </w:t>
      </w:r>
      <w:r>
        <w:rPr>
          <w:rStyle w:val="VerbatimChar"/>
          <w:sz w:val="20"/>
        </w:rPr>
        <w:t>f = 2t</w:t>
      </w:r>
      <w:r>
        <w:rPr>
          <w:sz w:val="20"/>
        </w:rPr>
        <w:t xml:space="preserve"> boundary is a known open issue, detailed in the next section.</w:t>
      </w:r>
      <w:bookmarkEnd w:id="47"/>
      <w:bookmarkEnd w:id="60"/>
      <w:r>
        <w:br w:type="page"/>
      </w:r>
    </w:p>
    <w:p>
      <w:pPr>
        <w:pStyle w:val="Heading1"/>
        <w:shd w:val="clear" w:color="auto" w:fill="404040"/>
        <w:spacing w:before="360" w:after="120"/>
        <w:rPr/>
      </w:pPr>
      <w:bookmarkStart w:id="61" w:name="__RefHeading___Toc3403_2848141881"/>
      <w:bookmarkStart w:id="62" w:name="erasure-campaign"/>
      <w:bookmarkEnd w:id="61"/>
      <w:r>
        <w:rPr>
          <w:rStyle w:val="SectionNumber"/>
          <w:b/>
          <w:color w:val="FFFFFF"/>
          <w:sz w:val="32"/>
        </w:rPr>
        <w:t>7</w:t>
      </w:r>
      <w:r>
        <w:rPr>
          <w:b/>
          <w:color w:val="FFFFFF"/>
          <w:sz w:val="32"/>
        </w:rPr>
        <w:tab/>
        <w:t>Erasure Campaign</w:t>
      </w:r>
    </w:p>
    <w:p>
      <w:pPr>
        <w:pStyle w:val="Heading2"/>
        <w:pageBreakBefore w:val="false"/>
        <w:pBdr>
          <w:bottom w:val="single" w:sz="12" w:space="0" w:color="228B22"/>
        </w:pBdr>
        <w:spacing w:before="280" w:after="80"/>
        <w:rPr/>
      </w:pPr>
      <w:bookmarkStart w:id="63" w:name="__RefHeading___Toc3405_2848141881"/>
      <w:bookmarkStart w:id="64" w:name="what-erasure-decoding-adds"/>
      <w:bookmarkEnd w:id="63"/>
      <w:r>
        <w:rPr>
          <w:rStyle w:val="SectionNumber"/>
          <w:b/>
          <w:color w:val="228B22"/>
          <w:sz w:val="28"/>
        </w:rPr>
        <w:t>7.1</w:t>
      </w:r>
      <w:r>
        <w:rPr>
          <w:b/>
          <w:color w:val="228B22"/>
          <w:sz w:val="28"/>
        </w:rPr>
        <w:tab/>
        <w:t>What erasure decoding adds</w:t>
      </w:r>
    </w:p>
    <w:p>
      <w:pPr>
        <w:pStyle w:val="FirstParagraph"/>
        <w:rPr/>
      </w:pPr>
      <w:r>
        <w:rPr>
          <w:sz w:val="20"/>
        </w:rPr>
        <w:t xml:space="preserve">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The decoder is then told which symbols were corrupted, so the correction bound doubles: the decoder can correct e errors plus f erasures whenever 2e + f &lt;= 2t. For RS(252,236) t=8, that means:</w:t>
      </w:r>
    </w:p>
    <w:p>
      <w:pPr>
        <w:pStyle w:val="Compact"/>
        <w:numPr>
          <w:ilvl w:val="0"/>
          <w:numId w:val="9"/>
        </w:numPr>
        <w:rPr/>
      </w:pPr>
      <w:r>
        <w:rPr/>
        <w:t>f = t = 8 erasures alone should correct.</w:t>
      </w:r>
    </w:p>
    <w:p>
      <w:pPr>
        <w:pStyle w:val="Compact"/>
        <w:numPr>
          <w:ilvl w:val="0"/>
          <w:numId w:val="10"/>
        </w:numPr>
        <w:rPr/>
      </w:pPr>
      <w:r>
        <w:rPr/>
        <w:t>f = 2t = 16 erasures alone should correct.</w:t>
      </w:r>
    </w:p>
    <w:p>
      <w:pPr>
        <w:pStyle w:val="Compact"/>
        <w:numPr>
          <w:ilvl w:val="0"/>
          <w:numId w:val="11"/>
        </w:numPr>
        <w:rPr/>
      </w:pPr>
      <w:bookmarkStart w:id="65" w:name="what-erasure-decoding-adds"/>
      <w:r>
        <w:rPr/>
        <w:t>f = 2t + 1 = 17 erasures should be refused by inspection.</w:t>
      </w:r>
      <w:bookmarkEnd w:id="65"/>
      <w:r>
        <w:br w:type="page"/>
      </w:r>
    </w:p>
    <w:p>
      <w:pPr>
        <w:pStyle w:val="Heading2"/>
        <w:pBdr>
          <w:bottom w:val="single" w:sz="12" w:space="0" w:color="228B22"/>
        </w:pBdr>
        <w:spacing w:before="280" w:after="80"/>
        <w:rPr/>
      </w:pPr>
      <w:bookmarkStart w:id="66" w:name="__RefHeading___Toc3407_2848141881"/>
      <w:bookmarkEnd w:id="66"/>
      <w:r>
        <w:rPr>
          <w:rStyle w:val="SectionNumber"/>
          <w:b/>
          <w:color w:val="228B22"/>
          <w:sz w:val="28"/>
        </w:rPr>
        <w:t>7.2</w:t>
      </w:r>
      <w:r>
        <w:rPr>
          <w:b/>
          <w:color w:val="228B22"/>
          <w:sz w:val="28"/>
        </w:rPr>
        <w:tab/>
        <w:t>Board findings</w:t>
      </w:r>
    </w:p>
    <w:p>
      <w:pPr>
        <w:pStyle w:val="FirstParagraph"/>
        <w:rPr/>
      </w:pPr>
      <w:r>
        <w:rPr>
          <w:sz w:val="20"/>
        </w:rPr>
        <w:t xml:space="preserve">The </w:t>
      </w:r>
      <w:r>
        <w:rPr>
          <w:rStyle w:val="VerbatimChar"/>
          <w:sz w:val="20"/>
        </w:rPr>
        <w:t>erasure</w:t>
      </w:r>
      <w:r>
        <w:rPr>
          <w:sz w:val="20"/>
        </w:rPr>
        <w:t xml:space="preserve"> sequence was run on the Genesys 2 board:</w:t>
      </w:r>
    </w:p>
    <w:p>
      <w:pPr>
        <w:pStyle w:val="TableCaption"/>
        <w:rPr/>
      </w:pPr>
      <w:bookmarkStart w:id="67" w:name="_Tab_6_Table_3_2__Reed_Solo"/>
      <w:r>
        <w:rPr/>
        <w:t>Table 3.2: Reed-Solomon erasure boundary results.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0"/>
        <w:gridCol w:w="4070"/>
        <w:gridCol w:w="4070"/>
      </w:tblGrid>
      <w:tr>
        <w:trPr>
          <w:tblHeader w:val="true"/>
        </w:trPr>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Observed</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16/16 blocks corrected, A=B solver agreement.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Flagged uncorrectable: </w:t>
            </w:r>
            <w:r>
              <w:rPr>
                <w:rStyle w:val="VerbatimChar"/>
                <w:rFonts w:eastAsia="Cambria" w:cs=""/>
                <w:kern w:val="0"/>
                <w:szCs w:val="24"/>
                <w:lang w:val="en-US" w:eastAsia="en-US" w:bidi="ar-SA"/>
              </w:rPr>
              <w:t>ok/corr/unc = 0/0/16</w:t>
            </w:r>
            <w:r>
              <w:rPr>
                <w:rFonts w:eastAsia="Cambria" w:cs=""/>
                <w:kern w:val="0"/>
                <w:sz w:val="24"/>
                <w:szCs w:val="24"/>
                <w:lang w:val="en-US" w:eastAsia="en-US" w:bidi="ar-SA"/>
              </w:rPr>
              <w: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(2t+1)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 by inspection</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Refused: 16/16 blocks uncorrectable.</w:t>
            </w:r>
            <w:bookmarkStart w:id="68" w:name="board-findings"/>
            <w:bookmarkEnd w:id="68"/>
          </w:p>
        </w:tc>
      </w:tr>
    </w:tbl>
    <w:p>
      <w:pPr>
        <w:pStyle w:val="Heading2"/>
        <w:pBdr>
          <w:bottom w:val="single" w:sz="12" w:space="0" w:color="228B22"/>
        </w:pBdr>
        <w:spacing w:before="280" w:after="80"/>
        <w:rPr/>
      </w:pPr>
      <w:r>
        <w:br w:type="page"/>
      </w:r>
      <w:bookmarkStart w:id="69" w:name="__RefHeading___Toc3409_2848141881"/>
      <w:bookmarkEnd w:id="69"/>
      <w:r>
        <w:rPr>
          <w:rStyle w:val="SectionNumber"/>
          <w:b/>
          <w:color w:val="228B22"/>
          <w:sz w:val="28"/>
        </w:rPr>
        <w:t>7.3</w:t>
      </w:r>
      <w:r>
        <w:rPr>
          <w:b/>
          <w:color w:val="228B22"/>
          <w:sz w:val="28"/>
        </w:rPr>
        <w:tab/>
        <w:t>TASK-005 boundary</w:t>
      </w:r>
    </w:p>
    <w:p>
      <w:pPr>
        <w:pStyle w:val="FirstParagraph"/>
        <w:rPr/>
      </w:pPr>
      <w:r>
        <w:rPr>
          <w:sz w:val="20"/>
        </w:rPr>
        <w:t>The f = 2t case is the known open issue TASK-005 (</w:t>
      </w:r>
      <w:r>
        <w:rPr>
          <w:rStyle w:val="VerbatimChar"/>
          <w:sz w:val="20"/>
        </w:rPr>
        <w:t>vault/tracking/projects/components/ecc-ip/reed-solomon/task/open/TASK-005.md</w:t>
      </w:r>
      <w:r>
        <w:rPr>
          <w:sz w:val="20"/>
        </w:rPr>
        <w:t xml:space="preserve">): the B-stage </w:t>
      </w:r>
      <w:r>
        <w:rPr>
          <w:rStyle w:val="VerbatimChar"/>
          <w:sz w:val="20"/>
        </w:rPr>
        <w:t>t_zero</w:t>
      </w:r>
      <w:r>
        <w:rPr>
          <w:sz w:val="20"/>
        </w:rPr>
        <w:t xml:space="preserve"> bypass intends to pass f = 16, but the final verdict fires downstream. The f = t and f = 2t+1 paths are correct; the f = 2t path must be fixed in the component DV and then re-run on the board. This report documents the finding exactly as measured and does not fabricate a corrected result.</w:t>
      </w:r>
      <w:bookmarkEnd w:id="62"/>
      <w:r>
        <w:br w:type="page"/>
      </w:r>
    </w:p>
    <w:p>
      <w:pPr>
        <w:pStyle w:val="Heading1"/>
        <w:shd w:val="clear" w:color="auto" w:fill="404040"/>
        <w:spacing w:before="360" w:after="120"/>
        <w:rPr/>
      </w:pPr>
      <w:bookmarkStart w:id="70" w:name="__RefHeading___Toc3411_2848141881"/>
      <w:bookmarkStart w:id="71" w:name="battery-results"/>
      <w:bookmarkEnd w:id="70"/>
      <w:r>
        <w:rPr>
          <w:rStyle w:val="SectionNumber"/>
          <w:b/>
          <w:color w:val="FFFFFF"/>
          <w:sz w:val="32"/>
        </w:rPr>
        <w:t>8</w:t>
      </w:r>
      <w:r>
        <w:rPr>
          <w:b/>
          <w:color w:val="FFFFFF"/>
          <w:sz w:val="32"/>
        </w:rPr>
        <w:tab/>
        <w:t>Battery Results</w:t>
      </w:r>
    </w:p>
    <w:p>
      <w:pPr>
        <w:pStyle w:val="Heading2"/>
        <w:pageBreakBefore w:val="false"/>
        <w:pBdr>
          <w:bottom w:val="single" w:sz="12" w:space="0" w:color="228B22"/>
        </w:pBdr>
        <w:spacing w:before="280" w:after="80"/>
        <w:rPr/>
      </w:pPr>
      <w:bookmarkStart w:id="72" w:name="__RefHeading___Toc3413_2848141881"/>
      <w:bookmarkEnd w:id="72"/>
      <w:r>
        <w:rPr>
          <w:rStyle w:val="SectionNumber"/>
          <w:b/>
          <w:color w:val="228B22"/>
          <w:sz w:val="28"/>
        </w:rPr>
        <w:t>8.1</w:t>
      </w:r>
      <w:r>
        <w:rPr>
          <w:b/>
          <w:color w:val="228B22"/>
          <w:sz w:val="28"/>
        </w:rPr>
        <w:tab/>
        <w:t>Per-image campaign status</w:t>
      </w:r>
    </w:p>
    <w:p>
      <w:pPr>
        <w:pStyle w:val="FirstParagraph"/>
        <w:rPr/>
      </w:pPr>
      <w:r>
        <w:rPr>
          <w:sz w:val="20"/>
        </w:rPr>
        <w:t>All four images passed every campaign in the 2026-10-05 battery:</w:t>
      </w:r>
    </w:p>
    <w:p>
      <w:pPr>
        <w:pStyle w:val="TableCaption"/>
        <w:rPr/>
      </w:pPr>
      <w:bookmarkStart w:id="73" w:name="_Tab_7_Table_4_1__Reed_Solo"/>
      <w:r>
        <w:rPr/>
        <w:t>Table 4.1: Reed-Solomon 2026-10-05 battery per-image status.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759"/>
        <w:gridCol w:w="885"/>
        <w:gridCol w:w="886"/>
        <w:gridCol w:w="1012"/>
        <w:gridCol w:w="1264"/>
        <w:gridCol w:w="1392"/>
        <w:gridCol w:w="1264"/>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Init</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Smoke</w:t>
            </w:r>
          </w:p>
        </w:tc>
        <w:tc>
          <w:tcPr>
            <w:tcW w:w="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Random</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Clusters</w:t>
            </w:r>
          </w:p>
        </w:tc>
        <w:tc>
          <w:tcPr>
            <w:tcW w:w="1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Localized</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Badblock</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74" w:name="per-image-campaign-status"/>
            <w:bookmarkEnd w:id="74"/>
          </w:p>
        </w:tc>
      </w:tr>
    </w:tbl>
    <w:p>
      <w:pPr>
        <w:pStyle w:val="Heading2"/>
        <w:pBdr>
          <w:bottom w:val="single" w:sz="12" w:space="0" w:color="228B22"/>
        </w:pBdr>
        <w:spacing w:before="280" w:after="80"/>
        <w:rPr/>
      </w:pPr>
      <w:r>
        <w:br w:type="page"/>
      </w:r>
      <w:bookmarkStart w:id="75" w:name="__RefHeading___Toc3415_2848141881"/>
      <w:bookmarkEnd w:id="75"/>
      <w:r>
        <w:rPr>
          <w:rStyle w:val="SectionNumber"/>
          <w:b/>
          <w:color w:val="228B22"/>
          <w:sz w:val="28"/>
        </w:rPr>
        <w:t>8.2</w:t>
      </w:r>
      <w:r>
        <w:rPr>
          <w:b/>
          <w:color w:val="228B22"/>
          <w:sz w:val="28"/>
        </w:rPr>
        <w:tab/>
        <w:t>Correction boundary</w:t>
      </w:r>
    </w:p>
    <w:p>
      <w:pPr>
        <w:pStyle w:val="CaptionedFigure"/>
        <w:rPr/>
      </w:pPr>
      <w:r>
        <w:rPr/>
        <w:drawing>
          <wp:inline distT="0" distB="0" distL="0" distR="0">
            <wp:extent cx="5334000" cy="4417695"/>
            <wp:effectExtent l="0" t="0" r="0" b="0"/>
            <wp:docPr id="5" name="Image2" descr="fig_1_correction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fig_1_correction_boundary.png"/>
                    <pic:cNvPicPr>
                      <a:picLocks noChangeAspect="1" noChangeArrowheads="1"/>
                    </pic:cNvPicPr>
                  </pic:nvPicPr>
                  <pic:blipFill>
                    <a:blip r:embed="rId5"/>
                    <a:stretch>
                      <a:fillRect/>
                    </a:stretch>
                  </pic:blipFill>
                  <pic:spPr bwMode="auto">
                    <a:xfrm>
                      <a:off x="0" y="0"/>
                      <a:ext cx="5334000" cy="4417695"/>
                    </a:xfrm>
                    <a:prstGeom prst="rect">
                      <a:avLst/>
                    </a:prstGeom>
                  </pic:spPr>
                </pic:pic>
              </a:graphicData>
            </a:graphic>
          </wp:inline>
        </w:drawing>
      </w:r>
    </w:p>
    <w:p>
      <w:pPr>
        <w:pStyle w:val="ImageCaption"/>
        <w:rPr/>
      </w:pPr>
      <w:r>
        <w:rPr/>
        <w:t>fig_1_correction_boundary.png</w:t>
      </w:r>
    </w:p>
    <w:p>
      <w:pPr>
        <w:pStyle w:val="Heading3"/>
        <w:spacing w:before="200" w:after="80"/>
        <w:rPr/>
      </w:pPr>
      <w:bookmarkStart w:id="76" w:name="__RefHeading___Toc3417_2848141881"/>
      <w:bookmarkStart w:id="77" w:name="X58bbb23f7f0f279aa358d7d60f440641ac1834b"/>
      <w:bookmarkStart w:id="78" w:name="_Fig_2_Reed_Solomon_correct"/>
      <w:bookmarkEnd w:id="76"/>
      <w:r>
        <w:rPr>
          <w:rStyle w:val="SectionNumber"/>
          <w:b/>
          <w:color w:val="404040"/>
          <w:sz w:val="24"/>
        </w:rPr>
        <w:t>8.2.1</w:t>
      </w:r>
      <w:r>
        <w:rPr>
          <w:b/>
          <w:color w:val="404040"/>
          <w:sz w:val="24"/>
        </w:rPr>
        <w:tab/>
        <w:t>Figure 4.1: Reed-Solomon correction boundary across all four images.</w:t>
      </w:r>
      <w:bookmarkEnd w:id="77"/>
      <w:bookmarkEnd w:id="78"/>
      <w:r>
        <w:br w:type="page"/>
      </w:r>
    </w:p>
    <w:p>
      <w:pPr>
        <w:pStyle w:val="Heading2"/>
        <w:pBdr>
          <w:bottom w:val="single" w:sz="12" w:space="0" w:color="228B22"/>
        </w:pBdr>
        <w:spacing w:before="280" w:after="80"/>
        <w:rPr/>
      </w:pPr>
      <w:bookmarkStart w:id="79" w:name="__RefHeading___Toc3419_2848141881"/>
      <w:bookmarkStart w:id="80" w:name="decode-cost"/>
      <w:bookmarkEnd w:id="79"/>
      <w:r>
        <w:rPr>
          <w:rStyle w:val="SectionNumber"/>
          <w:b/>
          <w:color w:val="228B22"/>
          <w:sz w:val="28"/>
        </w:rPr>
        <w:t>8.3</w:t>
      </w:r>
      <w:r>
        <w:rPr>
          <w:b/>
          <w:color w:val="228B22"/>
          <w:sz w:val="28"/>
        </w:rPr>
        <w:tab/>
        <w:t>Decode cost</w:t>
      </w:r>
    </w:p>
    <w:p>
      <w:pPr>
        <w:pStyle w:val="CaptionedFigure"/>
        <w:rPr/>
      </w:pPr>
      <w:r>
        <w:rPr/>
        <w:drawing>
          <wp:inline distT="0" distB="0" distL="0" distR="0">
            <wp:extent cx="5334000" cy="3333750"/>
            <wp:effectExtent l="0" t="0" r="0" b="0"/>
            <wp:docPr id="6" name="Image3" descr="fig_2_decode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2_decode_cost.png"/>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t>fig_2_decode_cost.png</w:t>
      </w:r>
    </w:p>
    <w:p>
      <w:pPr>
        <w:pStyle w:val="Heading3"/>
        <w:spacing w:before="200" w:after="80"/>
        <w:rPr/>
      </w:pPr>
      <w:bookmarkStart w:id="81" w:name="__RefHeading___Toc3421_2848141881"/>
      <w:bookmarkStart w:id="82" w:name="Xbd76f93528fb9398249af7b8793150605e473fb"/>
      <w:bookmarkStart w:id="83" w:name="_Fig_3_Reed_Solomon_decode_"/>
      <w:bookmarkEnd w:id="81"/>
      <w:r>
        <w:rPr>
          <w:rStyle w:val="SectionNumber"/>
          <w:b/>
          <w:color w:val="404040"/>
          <w:sz w:val="24"/>
        </w:rPr>
        <w:t>8.3.1</w:t>
      </w:r>
      <w:r>
        <w:rPr>
          <w:b/>
          <w:color w:val="404040"/>
          <w:sz w:val="24"/>
        </w:rPr>
        <w:tab/>
        <w:t>Figure 4.2: Reed-Solomon decode cost across all four images.</w:t>
      </w:r>
      <w:bookmarkEnd w:id="80"/>
      <w:bookmarkEnd w:id="82"/>
      <w:bookmarkEnd w:id="83"/>
      <w:r>
        <w:br w:type="page"/>
      </w:r>
    </w:p>
    <w:p>
      <w:pPr>
        <w:pStyle w:val="Heading2"/>
        <w:pBdr>
          <w:bottom w:val="single" w:sz="12" w:space="0" w:color="228B22"/>
        </w:pBdr>
        <w:spacing w:before="280" w:after="80"/>
        <w:rPr/>
      </w:pPr>
      <w:bookmarkStart w:id="84" w:name="__RefHeading___Toc3423_2848141881"/>
      <w:bookmarkEnd w:id="84"/>
      <w:r>
        <w:rPr>
          <w:rStyle w:val="SectionNumber"/>
          <w:b/>
          <w:color w:val="228B22"/>
          <w:sz w:val="28"/>
        </w:rPr>
        <w:t>8.4</w:t>
      </w:r>
      <w:r>
        <w:rPr>
          <w:b/>
          <w:color w:val="228B22"/>
          <w:sz w:val="28"/>
        </w:rPr>
        <w:tab/>
        <w:t>Sweep verdict table</w:t>
      </w:r>
    </w:p>
    <w:p>
      <w:pPr>
        <w:pStyle w:val="FirstParagraph"/>
        <w:rPr/>
      </w:pPr>
      <w:r>
        <w:rPr>
          <w:sz w:val="20"/>
        </w:rPr>
        <w:t>The sweep ran e = 0 .. 18 with 16 blocks per count on every image:</w:t>
      </w:r>
    </w:p>
    <w:p>
      <w:pPr>
        <w:pStyle w:val="TableCaption"/>
        <w:rPr/>
      </w:pPr>
      <w:bookmarkStart w:id="85" w:name="_Tab_8_Table_4_2__Reed_Solo"/>
      <w:r>
        <w:rPr/>
        <w:t>Table 4.2: Reed-Solomon sweep verdicts.</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bookmarkStart w:id="86" w:name="sweep-verdict-table"/>
            <w:bookmarkEnd w:id="86"/>
          </w:p>
        </w:tc>
      </w:tr>
    </w:tbl>
    <w:p>
      <w:pPr>
        <w:pStyle w:val="Heading2"/>
        <w:pBdr>
          <w:bottom w:val="single" w:sz="12" w:space="0" w:color="228B22"/>
        </w:pBdr>
        <w:spacing w:before="280" w:after="80"/>
        <w:rPr/>
      </w:pPr>
      <w:r>
        <w:br w:type="page"/>
      </w:r>
      <w:bookmarkStart w:id="87" w:name="__RefHeading___Toc3425_2848141881"/>
      <w:bookmarkEnd w:id="87"/>
      <w:r>
        <w:rPr>
          <w:rStyle w:val="SectionNumber"/>
          <w:b/>
          <w:color w:val="228B22"/>
          <w:sz w:val="28"/>
        </w:rPr>
        <w:t>8.5</w:t>
      </w:r>
      <w:r>
        <w:rPr>
          <w:b/>
          <w:color w:val="228B22"/>
          <w:sz w:val="28"/>
        </w:rPr>
        <w:tab/>
        <w:t>Solver agreement</w:t>
      </w:r>
    </w:p>
    <w:p>
      <w:pPr>
        <w:pStyle w:val="CaptionedFigure"/>
        <w:rPr/>
      </w:pPr>
      <w:r>
        <w:rPr/>
        <w:drawing>
          <wp:inline distT="0" distB="0" distL="0" distR="0">
            <wp:extent cx="5334000" cy="3333750"/>
            <wp:effectExtent l="0" t="0" r="0" b="0"/>
            <wp:docPr id="7" name="Image4" descr="fig_5_solve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fig_5_solver_agreement.png"/>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t>fig_5_solver_agreement.png</w:t>
      </w:r>
    </w:p>
    <w:p>
      <w:pPr>
        <w:pStyle w:val="Heading3"/>
        <w:spacing w:before="200" w:after="80"/>
        <w:rPr/>
      </w:pPr>
      <w:bookmarkStart w:id="88" w:name="__RefHeading___Toc3427_2848141881"/>
      <w:bookmarkStart w:id="89" w:name="X716233a5ff908087d5e190a9a5f2fe1ad8866d7"/>
      <w:bookmarkStart w:id="90" w:name="_Fig_4_Reed_Solomon_solver_"/>
      <w:bookmarkEnd w:id="88"/>
      <w:r>
        <w:rPr>
          <w:rStyle w:val="SectionNumber"/>
          <w:b/>
          <w:color w:val="404040"/>
          <w:sz w:val="24"/>
        </w:rPr>
        <w:t>8.5.1</w:t>
      </w:r>
      <w:r>
        <w:rPr>
          <w:b/>
          <w:color w:val="404040"/>
          <w:sz w:val="24"/>
        </w:rPr>
        <w:tab/>
        <w:t>Figure 4.3: Reed-Solomon solver agreement matrix (riBM vs Euclid).</w:t>
      </w:r>
      <w:bookmarkEnd w:id="90"/>
    </w:p>
    <w:p>
      <w:pPr>
        <w:pStyle w:val="FirstParagraph"/>
        <w:rPr/>
      </w:pPr>
      <w:bookmarkStart w:id="91" w:name="battery-results"/>
      <w:bookmarkStart w:id="92" w:name="X716233a5ff908087d5e190a9a5f2fe1ad8866d7"/>
      <w:r>
        <w:rPr>
          <w:sz w:val="20"/>
        </w:rPr>
        <w:t>The matrix is entirely green with a Y in every cell. That means no image, at any injected error count from 0 to 18, disagreed with its sibling solver on the same deterministic workload. The absence of any red cell is the board evidence that the two key-equation solvers are consistent.</w:t>
      </w:r>
      <w:bookmarkEnd w:id="91"/>
      <w:bookmarkEnd w:id="92"/>
      <w:r>
        <w:br w:type="page"/>
      </w:r>
    </w:p>
    <w:p>
      <w:pPr>
        <w:pStyle w:val="Heading1"/>
        <w:shd w:val="clear" w:color="auto" w:fill="404040"/>
        <w:spacing w:before="360" w:after="120"/>
        <w:rPr/>
      </w:pPr>
      <w:bookmarkStart w:id="93" w:name="__RefHeading___Toc3429_2848141881"/>
      <w:bookmarkStart w:id="94" w:name="soak-results"/>
      <w:bookmarkEnd w:id="93"/>
      <w:r>
        <w:rPr>
          <w:rStyle w:val="SectionNumber"/>
          <w:b/>
          <w:color w:val="FFFFFF"/>
          <w:sz w:val="32"/>
        </w:rPr>
        <w:t>9</w:t>
      </w:r>
      <w:r>
        <w:rPr>
          <w:b/>
          <w:color w:val="FFFFFF"/>
          <w:sz w:val="32"/>
        </w:rPr>
        <w:tab/>
        <w:t>Soak Results</w:t>
      </w:r>
    </w:p>
    <w:p>
      <w:pPr>
        <w:pStyle w:val="Heading2"/>
        <w:pageBreakBefore w:val="false"/>
        <w:pBdr>
          <w:bottom w:val="single" w:sz="12" w:space="0" w:color="228B22"/>
        </w:pBdr>
        <w:spacing w:before="280" w:after="80"/>
        <w:rPr/>
      </w:pPr>
      <w:bookmarkStart w:id="95" w:name="__RefHeading___Toc3431_2848141881"/>
      <w:bookmarkStart w:id="96" w:name="one-million-blocks-on-the-axi4-image"/>
      <w:bookmarkEnd w:id="95"/>
      <w:r>
        <w:rPr>
          <w:rStyle w:val="SectionNumber"/>
          <w:b/>
          <w:color w:val="228B22"/>
          <w:sz w:val="28"/>
        </w:rPr>
        <w:t>9.1</w:t>
      </w:r>
      <w:r>
        <w:rPr>
          <w:b/>
          <w:color w:val="228B22"/>
          <w:sz w:val="28"/>
        </w:rPr>
        <w:tab/>
        <w:t>One million blocks on the AXI4 image</w:t>
      </w:r>
    </w:p>
    <w:p>
      <w:pPr>
        <w:pStyle w:val="FirstParagraph"/>
        <w:rPr/>
      </w:pPr>
      <w:r>
        <w:rPr>
          <w:sz w:val="20"/>
        </w:rPr>
        <w:t xml:space="preserve">The 2026-10-05 soak ran the </w:t>
      </w:r>
      <w:r>
        <w:rPr>
          <w:rStyle w:val="VerbatimChar"/>
          <w:sz w:val="20"/>
        </w:rPr>
        <w:t>axi4_ribm</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97" w:name="_Tab_9_Table_4_1__RS_soak_f"/>
      <w:r>
        <w:rPr/>
        <w:t>Table 4.1: RS soak final counters.</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34,902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113,143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768,077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118,780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3,119,170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74,240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2.69e-05 (1 in 37,120)</w:t>
            </w:r>
          </w:p>
        </w:tc>
      </w:tr>
    </w:tbl>
    <w:p>
      <w:pPr>
        <w:pStyle w:val="BodyText"/>
        <w:rPr/>
      </w:pPr>
      <w:r>
        <w:rPr>
          <w:sz w:val="20"/>
        </w:rPr>
        <w:t>The confidence statement is:</w:t>
      </w:r>
    </w:p>
    <w:p>
      <w:pPr>
        <w:pStyle w:val="BlockText"/>
        <w:rPr/>
      </w:pPr>
      <w:bookmarkStart w:id="98" w:name="one-million-blocks-on-the-axi4-image"/>
      <w:r>
        <w:rPr/>
        <w:t>1,000,000 blocks, 3,119,170 symbols corrected, 0 failing runs, 9h42m at 29 blk/s UART-bound. Of the 74,240 blocks pushed past the correction limit, 2 were accepted and silently mis-decoded — a rate of 1 in 37,120, which is below the model’s predicted roughly 1-in-20,000 mis-decode rate at e = t + 1 for this profile.</w:t>
      </w:r>
      <w:bookmarkEnd w:id="98"/>
      <w:r>
        <w:br w:type="page"/>
      </w:r>
    </w:p>
    <w:p>
      <w:pPr>
        <w:pStyle w:val="Heading2"/>
        <w:pBdr>
          <w:bottom w:val="single" w:sz="12" w:space="0" w:color="228B22"/>
        </w:pBdr>
        <w:spacing w:before="280" w:after="80"/>
        <w:rPr/>
      </w:pPr>
      <w:bookmarkStart w:id="99" w:name="__RefHeading___Toc3433_2848141881"/>
      <w:bookmarkStart w:id="100" w:name="mis-decodes-versus-the-model"/>
      <w:bookmarkEnd w:id="99"/>
      <w:r>
        <w:rPr>
          <w:rStyle w:val="SectionNumber"/>
          <w:b/>
          <w:color w:val="228B22"/>
          <w:sz w:val="28"/>
        </w:rPr>
        <w:t>9.2</w:t>
      </w:r>
      <w:r>
        <w:rPr>
          <w:b/>
          <w:color w:val="228B22"/>
          <w:sz w:val="28"/>
        </w:rPr>
        <w:tab/>
        <w:t>Mis-decodes versus the model</w:t>
      </w:r>
    </w:p>
    <w:p>
      <w:pPr>
        <w:pStyle w:val="FirstParagraph"/>
        <w:rPr/>
      </w:pPr>
      <w:bookmarkStart w:id="101" w:name="mis-decodes-versus-the-model"/>
      <w:r>
        <w:rPr>
          <w:sz w:val="20"/>
        </w:rPr>
        <w:t>The soak’s pass criterion is a bounded mis-decode rate, not zero mis-decodes. A block carrying more than t = 8 symbol errors is beyond the code’s guaranteed radius; the decoder is mathematically permitted to return a codeword other than the transmitted one. The harness counts every such event, and the acceptance bound is the analytic failure rate for the profile. The observed 2 of 74,240 sits under the model bound, which is what “soak PASS” means here. Every other over-t block was flagged uncorrectable, and all 768,077 corrected blocks matched the oracle.</w:t>
      </w:r>
      <w:bookmarkEnd w:id="101"/>
      <w:r>
        <w:br w:type="page"/>
      </w:r>
    </w:p>
    <w:p>
      <w:pPr>
        <w:pStyle w:val="Heading2"/>
        <w:pBdr>
          <w:bottom w:val="single" w:sz="12" w:space="0" w:color="228B22"/>
        </w:pBdr>
        <w:spacing w:before="280" w:after="80"/>
        <w:rPr/>
      </w:pPr>
      <w:bookmarkStart w:id="102" w:name="__RefHeading___Toc3435_2848141881"/>
      <w:bookmarkStart w:id="103" w:name="soak-timeline"/>
      <w:bookmarkEnd w:id="102"/>
      <w:r>
        <w:rPr>
          <w:rStyle w:val="SectionNumber"/>
          <w:b/>
          <w:color w:val="228B22"/>
          <w:sz w:val="28"/>
        </w:rPr>
        <w:t>9.3</w:t>
      </w:r>
      <w:r>
        <w:rPr>
          <w:b/>
          <w:color w:val="228B22"/>
          <w:sz w:val="28"/>
        </w:rPr>
        <w:tab/>
        <w:t>Soak timeline</w:t>
      </w:r>
    </w:p>
    <w:p>
      <w:pPr>
        <w:pStyle w:val="CaptionedFigure"/>
        <w:rPr/>
      </w:pPr>
      <w:r>
        <w:rPr/>
        <w:drawing>
          <wp:inline distT="0" distB="0" distL="0" distR="0">
            <wp:extent cx="5334000" cy="3333750"/>
            <wp:effectExtent l="0" t="0" r="0" b="0"/>
            <wp:docPr id="8" name="Image5"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fig_3_soak_timeline.png"/>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104" w:name="__RefHeading___Toc3437_2848141881"/>
      <w:bookmarkStart w:id="105" w:name="Xc53d46731f70aba44e745fe5d2a85ebd0b4ea71"/>
      <w:bookmarkStart w:id="106" w:name="_Fig_5_RS_soak_timeline_ove"/>
      <w:bookmarkEnd w:id="104"/>
      <w:r>
        <w:rPr>
          <w:rStyle w:val="SectionNumber"/>
          <w:b/>
          <w:color w:val="404040"/>
          <w:sz w:val="24"/>
        </w:rPr>
        <w:t>9.3.1</w:t>
      </w:r>
      <w:r>
        <w:rPr>
          <w:b/>
          <w:color w:val="404040"/>
          <w:sz w:val="24"/>
        </w:rPr>
        <w:tab/>
        <w:t>Figure 4.4: RS soak timeline over one million blocks.</w:t>
      </w:r>
      <w:bookmarkEnd w:id="103"/>
      <w:bookmarkEnd w:id="105"/>
      <w:bookmarkEnd w:id="106"/>
      <w:r>
        <w:br w:type="page"/>
      </w:r>
    </w:p>
    <w:p>
      <w:pPr>
        <w:pStyle w:val="Heading2"/>
        <w:pBdr>
          <w:bottom w:val="single" w:sz="12" w:space="0" w:color="228B22"/>
        </w:pBdr>
        <w:spacing w:before="280" w:after="80"/>
        <w:rPr/>
      </w:pPr>
      <w:bookmarkStart w:id="107" w:name="__RefHeading___Toc3439_2848141881"/>
      <w:bookmarkStart w:id="108" w:name="what-29-blks-means"/>
      <w:bookmarkEnd w:id="107"/>
      <w:r>
        <w:rPr>
          <w:rStyle w:val="SectionNumber"/>
          <w:b/>
          <w:color w:val="228B22"/>
          <w:sz w:val="28"/>
        </w:rPr>
        <w:t>9.4</w:t>
      </w:r>
      <w:r>
        <w:rPr>
          <w:b/>
          <w:color w:val="228B22"/>
          <w:sz w:val="28"/>
        </w:rPr>
        <w:tab/>
        <w:t>What 29 blk/s means</w:t>
      </w:r>
    </w:p>
    <w:p>
      <w:pPr>
        <w:pStyle w:val="FirstParagraph"/>
        <w:rPr/>
      </w:pPr>
      <w:bookmarkStart w:id="109" w:name="what-29-blks-means"/>
      <w:r>
        <w:rPr>
          <w:sz w:val="20"/>
        </w:rPr>
        <w:t>The codec itself can run at roughly 500k blocks per second at 100 MHz. The soak measured 29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109"/>
      <w:r>
        <w:br w:type="page"/>
      </w:r>
    </w:p>
    <w:p>
      <w:pPr>
        <w:pStyle w:val="Heading2"/>
        <w:pBdr>
          <w:bottom w:val="single" w:sz="12" w:space="0" w:color="228B22"/>
        </w:pBdr>
        <w:spacing w:before="280" w:after="80"/>
        <w:rPr/>
      </w:pPr>
      <w:bookmarkStart w:id="110" w:name="__RefHeading___Toc3441_2848141881"/>
      <w:bookmarkStart w:id="111" w:name="image-notes"/>
      <w:bookmarkEnd w:id="110"/>
      <w:r>
        <w:rPr>
          <w:rStyle w:val="SectionNumber"/>
          <w:b/>
          <w:color w:val="228B22"/>
          <w:sz w:val="28"/>
        </w:rPr>
        <w:t>9.5</w:t>
      </w:r>
      <w:r>
        <w:rPr>
          <w:b/>
          <w:color w:val="228B22"/>
          <w:sz w:val="28"/>
        </w:rPr>
        <w:tab/>
        <w:t>Image notes</w:t>
      </w:r>
    </w:p>
    <w:p>
      <w:pPr>
        <w:pStyle w:val="FirstParagraph"/>
        <w:rPr/>
      </w:pPr>
      <w:r>
        <w:rPr>
          <w:sz w:val="20"/>
        </w:rPr>
        <w:t xml:space="preserve">The soak ran on the memory-to-memory AXI4 image. The earlier plan to prefer the AXIS flavour for soaks turned out to be unnecessary: the AXI4 job memories accept the soak’s per-block job pattern without issue. The </w:t>
      </w:r>
      <w:r>
        <w:rPr>
          <w:rStyle w:val="VerbatimChar"/>
          <w:sz w:val="20"/>
        </w:rPr>
        <w:t>axi4_ribm</w:t>
      </w:r>
      <w:r>
        <w:rPr>
          <w:sz w:val="20"/>
        </w:rPr>
        <w:t xml:space="preserve"> image is single-decoder, so the riBM-versus-Euclid comparator counters read 0 by design; solver agreement on the board is covered by the deterministic cross-image campaigns in the battery chapter.</w:t>
      </w:r>
      <w:bookmarkEnd w:id="94"/>
      <w:bookmarkEnd w:id="111"/>
      <w:r>
        <w:br w:type="page"/>
      </w:r>
    </w:p>
    <w:p>
      <w:pPr>
        <w:pStyle w:val="Heading1"/>
        <w:shd w:val="clear" w:color="auto" w:fill="404040"/>
        <w:spacing w:before="360" w:after="120"/>
        <w:rPr/>
      </w:pPr>
      <w:bookmarkStart w:id="112" w:name="__RefHeading___Toc3443_2848141881"/>
      <w:bookmarkEnd w:id="112"/>
      <w:r>
        <w:rPr>
          <w:rStyle w:val="SectionNumber"/>
          <w:b/>
          <w:color w:val="FFFFFF"/>
          <w:sz w:val="32"/>
        </w:rPr>
        <w:t>10</w:t>
      </w:r>
      <w:r>
        <w:rPr>
          <w:b/>
          <w:color w:val="FFFFFF"/>
          <w:sz w:val="32"/>
        </w:rPr>
        <w:tab/>
        <w:t>Honest Limits</w:t>
      </w:r>
    </w:p>
    <w:p>
      <w:pPr>
        <w:pStyle w:val="Heading2"/>
        <w:pageBreakBefore w:val="false"/>
        <w:pBdr>
          <w:bottom w:val="single" w:sz="12" w:space="0" w:color="228B22"/>
        </w:pBdr>
        <w:spacing w:before="280" w:after="80"/>
        <w:rPr/>
      </w:pPr>
      <w:bookmarkStart w:id="113" w:name="__RefHeading___Toc3445_2848141881"/>
      <w:bookmarkStart w:id="114" w:name="what-the-board-evidence-does-not-cover"/>
      <w:bookmarkEnd w:id="113"/>
      <w:r>
        <w:rPr>
          <w:rStyle w:val="SectionNumber"/>
          <w:b/>
          <w:color w:val="228B22"/>
          <w:sz w:val="28"/>
        </w:rPr>
        <w:t>10.1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 Two blocks out of 74,240 pushed past the correction limit were silently mis-decoded (1 in 37,120), below the model’s predicted roughly 1-in-20,000 rate at e = t + 1; the soak’s pass criterion is the bounded rate, not zero.</w:t>
      </w:r>
    </w:p>
    <w:p>
      <w:pPr>
        <w:pStyle w:val="Compact"/>
        <w:numPr>
          <w:ilvl w:val="0"/>
          <w:numId w:val="13"/>
        </w:numPr>
        <w:rPr/>
      </w:pPr>
      <w:r>
        <w:rPr/>
        <w:t xml:space="preserve">The erasure </w:t>
      </w:r>
      <w:r>
        <w:rPr>
          <w:rStyle w:val="VerbatimChar"/>
        </w:rPr>
        <w:t>f = 2t</w:t>
      </w:r>
      <w:r>
        <w:rPr/>
        <w:t xml:space="preserve"> boundary is an open issue (TASK-005). f = t corrects and f = 2t+1 refuses on the board; f = 2t is flagged uncorrectable even though the design intent says it should correct.</w:t>
      </w:r>
    </w:p>
    <w:p>
      <w:pPr>
        <w:pStyle w:val="Compact"/>
        <w:numPr>
          <w:ilvl w:val="0"/>
          <w:numId w:val="14"/>
        </w:numPr>
        <w:rPr/>
      </w:pPr>
      <w:r>
        <w:rPr/>
        <w:t xml:space="preserve">The dual-decoder comparator with </w:t>
      </w:r>
      <w:r>
        <w:rPr>
          <w:rStyle w:val="VerbatimChar"/>
        </w:rPr>
        <w:t>ENABLE_COMPARE=1</w:t>
      </w:r>
      <w:r>
        <w:rPr/>
        <w:t xml:space="preserve"> is sim-only on the board matrix. Solver agreement on the board is proven by running identical deterministic campaigns on the single-decoder images.</w:t>
      </w:r>
    </w:p>
    <w:p>
      <w:pPr>
        <w:pStyle w:val="Compact"/>
        <w:numPr>
          <w:ilvl w:val="0"/>
          <w:numId w:val="15"/>
        </w:numPr>
        <w:rPr/>
      </w:pPr>
      <w:r>
        <w:rPr/>
        <w:t>BCH has no erasure path by design; that comparison is RS-only.</w:t>
      </w:r>
    </w:p>
    <w:p>
      <w:pPr>
        <w:pStyle w:val="Compact"/>
        <w:numPr>
          <w:ilvl w:val="0"/>
          <w:numId w:val="16"/>
        </w:numPr>
        <w:rPr/>
      </w:pPr>
      <w:r>
        <w:rPr/>
        <w:t>The board validates only the RS(252,236) t=8, S=4 profile. Other profiles are covered in simulation and component DV.</w:t>
      </w:r>
    </w:p>
    <w:p>
      <w:pPr>
        <w:pStyle w:val="Compact"/>
        <w:numPr>
          <w:ilvl w:val="0"/>
          <w:numId w:val="17"/>
        </w:numPr>
        <w:rPr/>
      </w:pPr>
      <w:bookmarkStart w:id="115" w:name="what-the-board-evidence-does-not-cover"/>
      <w:r>
        <w:rPr/>
        <w:t>The component DV matrix exercises the codec in ways the board harness does not replicate.</w:t>
      </w:r>
      <w:bookmarkEnd w:id="115"/>
      <w:r>
        <w:br w:type="page"/>
      </w:r>
    </w:p>
    <w:p>
      <w:pPr>
        <w:pStyle w:val="Heading2"/>
        <w:pBdr>
          <w:bottom w:val="single" w:sz="12" w:space="0" w:color="228B22"/>
        </w:pBdr>
        <w:spacing w:before="280" w:after="80"/>
        <w:rPr/>
      </w:pPr>
      <w:bookmarkStart w:id="116" w:name="__RefHeading___Toc3447_2848141881"/>
      <w:bookmarkEnd w:id="116"/>
      <w:r>
        <w:rPr>
          <w:rStyle w:val="SectionNumber"/>
          <w:b/>
          <w:color w:val="228B22"/>
          <w:sz w:val="28"/>
        </w:rPr>
        <w:t>10.2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117" w:name="_Tab_10_Table_5_1__Traceabil"/>
      <w:r>
        <w:rPr/>
        <w:t>Table 5.1: Traceability from claim to artifact.</w:t>
      </w:r>
      <w:bookmarkEnd w:id="117"/>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images 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stable/reports/genesys2_{axis_ribm,axis_euclid,axi4_ribm,axi4_euclid}/timing_summary.txt</w:t>
            </w:r>
            <w:r>
              <w:rPr>
                <w:rFonts w:eastAsia="Cambria" w:cs=""/>
                <w:kern w:val="0"/>
                <w:sz w:val="24"/>
                <w:szCs w:val="24"/>
                <w:lang w:val="en-US" w:eastAsia="en-US" w:bidi="ar-SA"/>
              </w:rPr>
              <w:t>, all WNS positive,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campaigns PASS on all images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&lt;= 8 corrected, e &gt; 8 uncorrectable</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array.</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agreement matrix all green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stable/results/2026-10-05_battery/fig_5_solver_agreement.png</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Million-block soak PASS on </w:t>
            </w:r>
            <w:r>
              <w:rPr>
                <w:rStyle w:val="VerbatimChar"/>
                <w:rFonts w:eastAsia="Cambria" w:cs=""/>
                <w:kern w:val="0"/>
                <w:szCs w:val="24"/>
                <w:lang w:val="en-US" w:eastAsia="en-US" w:bidi="ar-SA"/>
              </w:rPr>
              <w:t>axi4_ribm</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 2t erasure boundary open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vault/tracking/projects/components/ecc-ip/reed-solomon/task/open/TASK-005.md</w:t>
            </w:r>
            <w:r>
              <w:rPr>
                <w:rFonts w:eastAsia="Cambria" w:cs=""/>
                <w:kern w:val="0"/>
                <w:sz w:val="24"/>
                <w:szCs w:val="24"/>
                <w:lang w:val="en-US" w:eastAsia="en-US" w:bidi="ar-SA"/>
              </w:rPr>
              <w:t>.</w:t>
            </w:r>
            <w:bookmarkStart w:id="118" w:name="honest-limits"/>
            <w:bookmarkStart w:id="119" w:name="traceability"/>
            <w:bookmarkEnd w:id="118"/>
            <w:bookmarkEnd w:id="119"/>
          </w:p>
        </w:tc>
      </w:tr>
    </w:tbl>
    <w:sectPr>
      <w:footerReference w:type="even"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rs_axis_loop.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2026-10-20T14:33:59Z</dcterms:created>
  <dc:creator/>
  <dc:description/>
  <dc:language>en-US</dc:language>
  <cp:lastModifiedBy/>
  <dcterms:modified xsi:type="dcterms:W3CDTF">2026-10-20T07:34:03Z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