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pumice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81_2083114603">
            <w:r>
              <w:rPr>
                <w:webHidden/>
                <w:rStyle w:val="IndexLink"/>
              </w:rPr>
              <w:t>1 Document Information</w:t>
              <w:tab/>
              <w:t>7</w:t>
            </w:r>
          </w:hyperlink>
        </w:p>
        <w:p>
          <w:pPr>
            <w:pStyle w:val="TOC2"/>
            <w:tabs>
              <w:tab w:val="clear" w:pos="9077"/>
              <w:tab w:val="right" w:pos="9359" w:leader="dot"/>
            </w:tabs>
            <w:rPr/>
          </w:pPr>
          <w:hyperlink w:anchor="__RefHeading___Toc3283_2083114603">
            <w:r>
              <w:rPr>
                <w:webHidden/>
                <w:rStyle w:val="IndexLink"/>
              </w:rPr>
              <w:t>1.1 Related documents</w:t>
              <w:tab/>
              <w:t>8</w:t>
            </w:r>
          </w:hyperlink>
        </w:p>
        <w:p>
          <w:pPr>
            <w:pStyle w:val="TOC2"/>
            <w:tabs>
              <w:tab w:val="clear" w:pos="9077"/>
              <w:tab w:val="right" w:pos="9359" w:leader="dot"/>
            </w:tabs>
            <w:rPr/>
          </w:pPr>
          <w:hyperlink w:anchor="__RefHeading___Toc3285_2083114603">
            <w:r>
              <w:rPr>
                <w:webHidden/>
                <w:rStyle w:val="IndexLink"/>
              </w:rPr>
              <w:t>1.2 Terminology</w:t>
              <w:tab/>
              <w:t>8</w:t>
            </w:r>
          </w:hyperlink>
        </w:p>
        <w:p>
          <w:pPr>
            <w:pStyle w:val="TOC2"/>
            <w:tabs>
              <w:tab w:val="clear" w:pos="9077"/>
              <w:tab w:val="right" w:pos="9359" w:leader="dot"/>
            </w:tabs>
            <w:rPr/>
          </w:pPr>
          <w:hyperlink w:anchor="__RefHeading___Toc3287_2083114603">
            <w:r>
              <w:rPr>
                <w:webHidden/>
                <w:rStyle w:val="IndexLink"/>
              </w:rPr>
              <w:t>1.3 Revision History</w:t>
              <w:tab/>
              <w:t>9</w:t>
            </w:r>
          </w:hyperlink>
        </w:p>
        <w:p>
          <w:pPr>
            <w:pStyle w:val="TOC2"/>
            <w:tabs>
              <w:tab w:val="clear" w:pos="9077"/>
              <w:tab w:val="right" w:pos="9359" w:leader="dot"/>
            </w:tabs>
            <w:rPr/>
          </w:pPr>
          <w:hyperlink w:anchor="__RefHeading___Toc3289_2083114603">
            <w:r>
              <w:rPr>
                <w:webHidden/>
                <w:rStyle w:val="IndexLink"/>
              </w:rPr>
              <w:t>1.4 How to read this book</w:t>
              <w:tab/>
              <w:t>9</w:t>
            </w:r>
          </w:hyperlink>
        </w:p>
        <w:p>
          <w:pPr>
            <w:pStyle w:val="TOC1"/>
            <w:tabs>
              <w:tab w:val="clear" w:pos="9360"/>
              <w:tab w:val="right" w:pos="9359" w:leader="dot"/>
            </w:tabs>
            <w:rPr/>
          </w:pPr>
          <w:hyperlink w:anchor="__RefHeading___Toc3291_2083114603">
            <w:r>
              <w:rPr>
                <w:webHidden/>
                <w:rStyle w:val="IndexLink"/>
              </w:rPr>
              <w:t>2 The System</w:t>
              <w:tab/>
              <w:t>9</w:t>
            </w:r>
          </w:hyperlink>
        </w:p>
        <w:p>
          <w:pPr>
            <w:pStyle w:val="TOC2"/>
            <w:tabs>
              <w:tab w:val="clear" w:pos="9077"/>
              <w:tab w:val="right" w:pos="9359" w:leader="dot"/>
            </w:tabs>
            <w:rPr/>
          </w:pPr>
          <w:hyperlink w:anchor="__RefHeading___Toc3293_2083114603">
            <w:r>
              <w:rPr>
                <w:webHidden/>
                <w:rStyle w:val="IndexLink"/>
              </w:rPr>
              <w:t>2.1 What is on the bench</w:t>
              <w:tab/>
              <w:t>9</w:t>
            </w:r>
          </w:hyperlink>
        </w:p>
        <w:p>
          <w:pPr>
            <w:pStyle w:val="TOC3"/>
            <w:tabs>
              <w:tab w:val="clear" w:pos="8793"/>
              <w:tab w:val="right" w:pos="9359" w:leader="dot"/>
            </w:tabs>
            <w:rPr/>
          </w:pPr>
          <w:hyperlink w:anchor="__RefHeading___Toc3295_2083114603">
            <w:r>
              <w:rPr>
                <w:webHidden/>
                <w:rStyle w:val="IndexLink"/>
              </w:rPr>
              <w:t>2.1.1 Figure 1.1: The bench</w:t>
              <w:tab/>
              <w:t>10</w:t>
            </w:r>
          </w:hyperlink>
        </w:p>
        <w:p>
          <w:pPr>
            <w:pStyle w:val="TOC2"/>
            <w:tabs>
              <w:tab w:val="clear" w:pos="9077"/>
              <w:tab w:val="right" w:pos="9359" w:leader="dot"/>
            </w:tabs>
            <w:rPr/>
          </w:pPr>
          <w:hyperlink w:anchor="__RefHeading___Toc3297_2083114603">
            <w:r>
              <w:rPr>
                <w:webHidden/>
                <w:rStyle w:val="IndexLink"/>
              </w:rPr>
              <w:t>2.2 The board and the part</w:t>
              <w:tab/>
              <w:t>11</w:t>
            </w:r>
          </w:hyperlink>
        </w:p>
        <w:p>
          <w:pPr>
            <w:pStyle w:val="TOC2"/>
            <w:tabs>
              <w:tab w:val="clear" w:pos="9077"/>
              <w:tab w:val="right" w:pos="9359" w:leader="dot"/>
            </w:tabs>
            <w:rPr/>
          </w:pPr>
          <w:hyperlink w:anchor="__RefHeading___Toc3299_2083114603">
            <w:r>
              <w:rPr>
                <w:webHidden/>
                <w:rStyle w:val="IndexLink"/>
              </w:rPr>
              <w:t>2.3 The single USB connector</w:t>
              <w:tab/>
              <w:t>11</w:t>
            </w:r>
          </w:hyperlink>
        </w:p>
        <w:p>
          <w:pPr>
            <w:pStyle w:val="TOC2"/>
            <w:tabs>
              <w:tab w:val="clear" w:pos="9077"/>
              <w:tab w:val="right" w:pos="9359" w:leader="dot"/>
            </w:tabs>
            <w:rPr/>
          </w:pPr>
          <w:hyperlink w:anchor="__RefHeading___Toc3301_2083114603">
            <w:r>
              <w:rPr>
                <w:webHidden/>
                <w:rStyle w:val="IndexLink"/>
              </w:rPr>
              <w:t>2.4 The clock chain, and why it fixes every later number</w:t>
              <w:tab/>
              <w:t>12</w:t>
            </w:r>
          </w:hyperlink>
        </w:p>
        <w:p>
          <w:pPr>
            <w:pStyle w:val="TOC2"/>
            <w:tabs>
              <w:tab w:val="clear" w:pos="9077"/>
              <w:tab w:val="right" w:pos="9359" w:leader="dot"/>
            </w:tabs>
            <w:rPr/>
          </w:pPr>
          <w:hyperlink w:anchor="__RefHeading___Toc3303_2083114603">
            <w:r>
              <w:rPr>
                <w:webHidden/>
                <w:rStyle w:val="IndexLink"/>
              </w:rPr>
              <w:t>2.5 Where the DUT ends and the harness begins</w:t>
              <w:tab/>
              <w:t>12</w:t>
            </w:r>
          </w:hyperlink>
        </w:p>
        <w:p>
          <w:pPr>
            <w:pStyle w:val="TOC1"/>
            <w:tabs>
              <w:tab w:val="clear" w:pos="9360"/>
              <w:tab w:val="right" w:pos="9359" w:leader="dot"/>
            </w:tabs>
            <w:rPr/>
          </w:pPr>
          <w:hyperlink w:anchor="__RefHeading___Toc3305_2083114603">
            <w:r>
              <w:rPr>
                <w:webHidden/>
                <w:rStyle w:val="IndexLink"/>
              </w:rPr>
              <w:t>3 The Harness</w:t>
              <w:tab/>
              <w:t>13</w:t>
            </w:r>
          </w:hyperlink>
        </w:p>
        <w:p>
          <w:pPr>
            <w:pStyle w:val="TOC2"/>
            <w:tabs>
              <w:tab w:val="clear" w:pos="9077"/>
              <w:tab w:val="right" w:pos="9359" w:leader="dot"/>
            </w:tabs>
            <w:rPr/>
          </w:pPr>
          <w:hyperlink w:anchor="__RefHeading___Toc3307_2083114603">
            <w:r>
              <w:rPr>
                <w:webHidden/>
                <w:rStyle w:val="IndexLink"/>
              </w:rPr>
              <w:t>3.1 The shape of it</w:t>
              <w:tab/>
              <w:t>13</w:t>
            </w:r>
          </w:hyperlink>
        </w:p>
        <w:p>
          <w:pPr>
            <w:pStyle w:val="TOC3"/>
            <w:tabs>
              <w:tab w:val="clear" w:pos="8793"/>
              <w:tab w:val="right" w:pos="9359" w:leader="dot"/>
            </w:tabs>
            <w:rPr/>
          </w:pPr>
          <w:hyperlink w:anchor="__RefHeading___Toc3309_2083114603">
            <w:r>
              <w:rPr>
                <w:webHidden/>
                <w:rStyle w:val="IndexLink"/>
              </w:rPr>
              <w:t>3.1.1 Figure 2.1: The harness block map</w:t>
              <w:tab/>
              <w:t>13</w:t>
            </w:r>
          </w:hyperlink>
        </w:p>
        <w:p>
          <w:pPr>
            <w:pStyle w:val="TOC2"/>
            <w:tabs>
              <w:tab w:val="clear" w:pos="9077"/>
              <w:tab w:val="right" w:pos="9359" w:leader="dot"/>
            </w:tabs>
            <w:rPr/>
          </w:pPr>
          <w:hyperlink w:anchor="__RefHeading___Toc3311_2083114603">
            <w:r>
              <w:rPr>
                <w:webHidden/>
                <w:rStyle w:val="IndexLink"/>
              </w:rPr>
              <w:t>3.2 The host front-end</w:t>
              <w:tab/>
              <w:t>13</w:t>
            </w:r>
          </w:hyperlink>
        </w:p>
        <w:p>
          <w:pPr>
            <w:pStyle w:val="TOC2"/>
            <w:tabs>
              <w:tab w:val="clear" w:pos="9077"/>
              <w:tab w:val="right" w:pos="9359" w:leader="dot"/>
            </w:tabs>
            <w:rPr/>
          </w:pPr>
          <w:hyperlink w:anchor="__RefHeading___Toc3313_2083114603">
            <w:r>
              <w:rPr>
                <w:webHidden/>
                <w:rStyle w:val="IndexLink"/>
              </w:rPr>
              <w:t>3.3 harness_csr: the registers that define a run</w:t>
              <w:tab/>
              <w:t>14</w:t>
            </w:r>
          </w:hyperlink>
        </w:p>
        <w:p>
          <w:pPr>
            <w:pStyle w:val="TOC2"/>
            <w:tabs>
              <w:tab w:val="clear" w:pos="9077"/>
              <w:tab w:val="right" w:pos="9359" w:leader="dot"/>
            </w:tabs>
            <w:rPr/>
          </w:pPr>
          <w:hyperlink w:anchor="__RefHeading___Toc3315_2083114603">
            <w:r>
              <w:rPr>
                <w:webHidden/>
                <w:rStyle w:val="IndexLink"/>
              </w:rPr>
              <w:t>3.4 The engine spine, and why it is a separate block</w:t>
              <w:tab/>
              <w:t>16</w:t>
            </w:r>
          </w:hyperlink>
        </w:p>
        <w:p>
          <w:pPr>
            <w:pStyle w:val="TOC2"/>
            <w:tabs>
              <w:tab w:val="clear" w:pos="9077"/>
              <w:tab w:val="right" w:pos="9359" w:leader="dot"/>
            </w:tabs>
            <w:rPr/>
          </w:pPr>
          <w:hyperlink w:anchor="__RefHeading___Toc3317_2083114603">
            <w:r>
              <w:rPr>
                <w:webHidden/>
                <w:rStyle w:val="IndexLink"/>
              </w:rPr>
              <w:t>3.5 The DFI tail</w:t>
              <w:tab/>
              <w:t>17</w:t>
            </w:r>
          </w:hyperlink>
        </w:p>
        <w:p>
          <w:pPr>
            <w:pStyle w:val="TOC2"/>
            <w:tabs>
              <w:tab w:val="clear" w:pos="9077"/>
              <w:tab w:val="right" w:pos="9359" w:leader="dot"/>
            </w:tabs>
            <w:rPr/>
          </w:pPr>
          <w:hyperlink w:anchor="__RefHeading___Toc3319_2083114603">
            <w:r>
              <w:rPr>
                <w:webHidden/>
                <w:rStyle w:val="IndexLink"/>
              </w:rPr>
              <w:t>3.6 Observability, and one honest compromise</w:t>
              <w:tab/>
              <w:t>17</w:t>
            </w:r>
          </w:hyperlink>
        </w:p>
        <w:p>
          <w:pPr>
            <w:pStyle w:val="TOC2"/>
            <w:tabs>
              <w:tab w:val="clear" w:pos="9077"/>
              <w:tab w:val="right" w:pos="9359" w:leader="dot"/>
            </w:tabs>
            <w:rPr/>
          </w:pPr>
          <w:hyperlink w:anchor="__RefHeading___Toc3321_2083114603">
            <w:r>
              <w:rPr>
                <w:webHidden/>
                <w:rStyle w:val="IndexLink"/>
              </w:rPr>
              <w:t>3.7 Why the APB CDC is an async FIFO and not a handshake</w:t>
              <w:tab/>
              <w:t>18</w:t>
            </w:r>
          </w:hyperlink>
        </w:p>
        <w:p>
          <w:pPr>
            <w:pStyle w:val="TOC1"/>
            <w:tabs>
              <w:tab w:val="clear" w:pos="9360"/>
              <w:tab w:val="right" w:pos="9359" w:leader="dot"/>
            </w:tabs>
            <w:rPr/>
          </w:pPr>
          <w:hyperlink w:anchor="__RefHeading___Toc3323_2083114603">
            <w:r>
              <w:rPr>
                <w:webHidden/>
                <w:rStyle w:val="IndexLink"/>
              </w:rPr>
              <w:t>4 One Harness, Five Targets</w:t>
              <w:tab/>
              <w:t>18</w:t>
            </w:r>
          </w:hyperlink>
        </w:p>
        <w:p>
          <w:pPr>
            <w:pStyle w:val="TOC2"/>
            <w:tabs>
              <w:tab w:val="clear" w:pos="9077"/>
              <w:tab w:val="right" w:pos="9359" w:leader="dot"/>
            </w:tabs>
            <w:rPr/>
          </w:pPr>
          <w:hyperlink w:anchor="__RefHeading___Toc3325_2083114603">
            <w:r>
              <w:rPr>
                <w:webHidden/>
                <w:rStyle w:val="IndexLink"/>
              </w:rPr>
              <w:t>4.1 The short answer</w:t>
              <w:tab/>
              <w:t>18</w:t>
            </w:r>
          </w:hyperlink>
        </w:p>
        <w:p>
          <w:pPr>
            <w:pStyle w:val="TOC3"/>
            <w:tabs>
              <w:tab w:val="clear" w:pos="8793"/>
              <w:tab w:val="right" w:pos="9359" w:leader="dot"/>
            </w:tabs>
            <w:rPr/>
          </w:pPr>
          <w:hyperlink w:anchor="__RefHeading___Toc3327_2083114603">
            <w:r>
              <w:rPr>
                <w:webHidden/>
                <w:rStyle w:val="IndexLink"/>
              </w:rPr>
              <w:t>4.1.1 Figure 3.1: One harness source, five targets</w:t>
              <w:tab/>
              <w:t>19</w:t>
            </w:r>
          </w:hyperlink>
        </w:p>
        <w:p>
          <w:pPr>
            <w:pStyle w:val="TOC2"/>
            <w:tabs>
              <w:tab w:val="clear" w:pos="9077"/>
              <w:tab w:val="right" w:pos="9359" w:leader="dot"/>
            </w:tabs>
            <w:rPr/>
          </w:pPr>
          <w:hyperlink w:anchor="__RefHeading___Toc3329_2083114603">
            <w:r>
              <w:rPr>
                <w:webHidden/>
                <w:rStyle w:val="IndexLink"/>
              </w:rPr>
              <w:t>4.2 The five targets</w:t>
              <w:tab/>
              <w:t>19</w:t>
            </w:r>
          </w:hyperlink>
        </w:p>
        <w:p>
          <w:pPr>
            <w:pStyle w:val="TOC2"/>
            <w:tabs>
              <w:tab w:val="clear" w:pos="9077"/>
              <w:tab w:val="right" w:pos="9359" w:leader="dot"/>
            </w:tabs>
            <w:rPr/>
          </w:pPr>
          <w:hyperlink w:anchor="__RefHeading___Toc3331_2083114603">
            <w:r>
              <w:rPr>
                <w:webHidden/>
                <w:rStyle w:val="IndexLink"/>
              </w:rPr>
              <w:t>4.3 What the ILA builds change, and what they do not</w:t>
              <w:tab/>
              <w:t>20</w:t>
            </w:r>
          </w:hyperlink>
        </w:p>
        <w:p>
          <w:pPr>
            <w:pStyle w:val="TOC2"/>
            <w:tabs>
              <w:tab w:val="clear" w:pos="9077"/>
              <w:tab w:val="right" w:pos="9359" w:leader="dot"/>
            </w:tabs>
            <w:rPr/>
          </w:pPr>
          <w:hyperlink w:anchor="__RefHeading___Toc3333_2083114603">
            <w:r>
              <w:rPr>
                <w:webHidden/>
                <w:rStyle w:val="IndexLink"/>
              </w:rPr>
              <w:t>4.4 The LiteDRAM build is the point of the whole structure</w:t>
              <w:tab/>
              <w:t>20</w:t>
            </w:r>
          </w:hyperlink>
        </w:p>
        <w:p>
          <w:pPr>
            <w:pStyle w:val="TOC2"/>
            <w:tabs>
              <w:tab w:val="clear" w:pos="9077"/>
              <w:tab w:val="right" w:pos="9359" w:leader="dot"/>
            </w:tabs>
            <w:rPr/>
          </w:pPr>
          <w:hyperlink w:anchor="__RefHeading___Toc3335_2083114603">
            <w:r>
              <w:rPr>
                <w:webHidden/>
                <w:rStyle w:val="IndexLink"/>
              </w:rPr>
              <w:t>4.5 The simulation twin</w:t>
              <w:tab/>
              <w:t>21</w:t>
            </w:r>
          </w:hyperlink>
        </w:p>
        <w:p>
          <w:pPr>
            <w:pStyle w:val="TOC2"/>
            <w:tabs>
              <w:tab w:val="clear" w:pos="9077"/>
              <w:tab w:val="right" w:pos="9359" w:leader="dot"/>
            </w:tabs>
            <w:rPr/>
          </w:pPr>
          <w:hyperlink w:anchor="__RefHeading___Toc3337_2083114603">
            <w:r>
              <w:rPr>
                <w:webHidden/>
                <w:rStyle w:val="IndexLink"/>
              </w:rPr>
              <w:t>4.6 The frequency define is part of the build identity</w:t>
              <w:tab/>
              <w:t>21</w:t>
            </w:r>
          </w:hyperlink>
        </w:p>
        <w:p>
          <w:pPr>
            <w:pStyle w:val="TOC2"/>
            <w:tabs>
              <w:tab w:val="clear" w:pos="9077"/>
              <w:tab w:val="right" w:pos="9359" w:leader="dot"/>
            </w:tabs>
            <w:rPr/>
          </w:pPr>
          <w:hyperlink w:anchor="__RefHeading___Toc3339_2083114603">
            <w:r>
              <w:rPr>
                <w:webHidden/>
                <w:rStyle w:val="IndexLink"/>
              </w:rPr>
              <w:t>4.7 What is parameterized, and the one that bites</w:t>
              <w:tab/>
              <w:t>22</w:t>
            </w:r>
          </w:hyperlink>
        </w:p>
        <w:p>
          <w:pPr>
            <w:pStyle w:val="TOC1"/>
            <w:tabs>
              <w:tab w:val="clear" w:pos="9360"/>
              <w:tab w:val="right" w:pos="9359" w:leader="dot"/>
            </w:tabs>
            <w:rPr/>
          </w:pPr>
          <w:hyperlink w:anchor="__RefHeading___Toc3341_2083114603">
            <w:r>
              <w:rPr>
                <w:webHidden/>
                <w:rStyle w:val="IndexLink"/>
              </w:rPr>
              <w:t>5 Host Tools and Flow</w:t>
              <w:tab/>
              <w:t>22</w:t>
            </w:r>
          </w:hyperlink>
        </w:p>
        <w:p>
          <w:pPr>
            <w:pStyle w:val="TOC2"/>
            <w:tabs>
              <w:tab w:val="clear" w:pos="9077"/>
              <w:tab w:val="right" w:pos="9359" w:leader="dot"/>
            </w:tabs>
            <w:rPr/>
          </w:pPr>
          <w:hyperlink w:anchor="__RefHeading___Toc3343_2083114603">
            <w:r>
              <w:rPr>
                <w:webHidden/>
                <w:rStyle w:val="IndexLink"/>
              </w:rPr>
              <w:t>5.1 The shared transport</w:t>
              <w:tab/>
              <w:t>22</w:t>
            </w:r>
          </w:hyperlink>
        </w:p>
        <w:p>
          <w:pPr>
            <w:pStyle w:val="TOC2"/>
            <w:tabs>
              <w:tab w:val="clear" w:pos="9077"/>
              <w:tab w:val="right" w:pos="9359" w:leader="dot"/>
            </w:tabs>
            <w:rPr/>
          </w:pPr>
          <w:hyperlink w:anchor="__RefHeading___Toc3345_2083114603">
            <w:r>
              <w:rPr>
                <w:webHidden/>
                <w:rStyle w:val="IndexLink"/>
              </w:rPr>
              <w:t>5.2 From a command to a number</w:t>
              <w:tab/>
              <w:t>24</w:t>
            </w:r>
          </w:hyperlink>
        </w:p>
        <w:p>
          <w:pPr>
            <w:pStyle w:val="TOC3"/>
            <w:tabs>
              <w:tab w:val="clear" w:pos="8793"/>
              <w:tab w:val="right" w:pos="9359" w:leader="dot"/>
            </w:tabs>
            <w:rPr/>
          </w:pPr>
          <w:hyperlink w:anchor="__RefHeading___Toc3347_2083114603">
            <w:r>
              <w:rPr>
                <w:webHidden/>
                <w:rStyle w:val="IndexLink"/>
              </w:rPr>
              <w:t>5.2.1 Figure 4.1: From host command to a row of the CSV</w:t>
              <w:tab/>
              <w:t>24</w:t>
            </w:r>
          </w:hyperlink>
        </w:p>
        <w:p>
          <w:pPr>
            <w:pStyle w:val="TOC2"/>
            <w:tabs>
              <w:tab w:val="clear" w:pos="9077"/>
              <w:tab w:val="right" w:pos="9359" w:leader="dot"/>
            </w:tabs>
            <w:rPr/>
          </w:pPr>
          <w:hyperlink w:anchor="__RefHeading___Toc3349_2083114603">
            <w:r>
              <w:rPr>
                <w:webHidden/>
                <w:rStyle w:val="IndexLink"/>
              </w:rPr>
              <w:t>5.3 Step 1: bring-up, once per bitstream</w:t>
              <w:tab/>
              <w:t>24</w:t>
            </w:r>
          </w:hyperlink>
        </w:p>
        <w:p>
          <w:pPr>
            <w:pStyle w:val="TOC2"/>
            <w:tabs>
              <w:tab w:val="clear" w:pos="9077"/>
              <w:tab w:val="right" w:pos="9359" w:leader="dot"/>
            </w:tabs>
            <w:rPr/>
          </w:pPr>
          <w:hyperlink w:anchor="__RefHeading___Toc3351_2083114603">
            <w:r>
              <w:rPr>
                <w:webHidden/>
                <w:rStyle w:val="IndexLink"/>
              </w:rPr>
              <w:t>5.4 Steps 2 to 5: configure, run, measure, read back</w:t>
              <w:tab/>
              <w:t>25</w:t>
            </w:r>
          </w:hyperlink>
        </w:p>
        <w:p>
          <w:pPr>
            <w:pStyle w:val="TOC2"/>
            <w:tabs>
              <w:tab w:val="clear" w:pos="9077"/>
              <w:tab w:val="right" w:pos="9359" w:leader="dot"/>
            </w:tabs>
            <w:rPr/>
          </w:pPr>
          <w:hyperlink w:anchor="__RefHeading___Toc3353_2083114603">
            <w:r>
              <w:rPr>
                <w:webHidden/>
                <w:rStyle w:val="IndexLink"/>
              </w:rPr>
              <w:t>5.5 Step 6: recording, and the arithmetic that has already gone wrong once</w:t>
              <w:tab/>
              <w:t>25</w:t>
            </w:r>
          </w:hyperlink>
        </w:p>
        <w:p>
          <w:pPr>
            <w:pStyle w:val="TOC2"/>
            <w:tabs>
              <w:tab w:val="clear" w:pos="9077"/>
              <w:tab w:val="right" w:pos="9359" w:leader="dot"/>
            </w:tabs>
            <w:rPr/>
          </w:pPr>
          <w:hyperlink w:anchor="__RefHeading___Toc3355_2083114603">
            <w:r>
              <w:rPr>
                <w:webHidden/>
                <w:rStyle w:val="IndexLink"/>
              </w:rPr>
              <w:t>5.6 Integrity is what makes throughput mean anything</w:t>
              <w:tab/>
              <w:t>26</w:t>
            </w:r>
          </w:hyperlink>
        </w:p>
        <w:p>
          <w:pPr>
            <w:pStyle w:val="TOC2"/>
            <w:tabs>
              <w:tab w:val="clear" w:pos="9077"/>
              <w:tab w:val="right" w:pos="9359" w:leader="dot"/>
            </w:tabs>
            <w:rPr/>
          </w:pPr>
          <w:hyperlink w:anchor="__RefHeading___Toc3357_2083114603">
            <w:r>
              <w:rPr>
                <w:webHidden/>
                <w:rStyle w:val="IndexLink"/>
              </w:rPr>
              <w:t>5.7 One program, two targets</w:t>
              <w:tab/>
              <w:t>26</w:t>
            </w:r>
          </w:hyperlink>
        </w:p>
        <w:p>
          <w:pPr>
            <w:pStyle w:val="TOC2"/>
            <w:tabs>
              <w:tab w:val="clear" w:pos="9077"/>
              <w:tab w:val="right" w:pos="9359" w:leader="dot"/>
            </w:tabs>
            <w:rPr/>
          </w:pPr>
          <w:hyperlink w:anchor="__RefHeading___Toc3359_2083114603">
            <w:r>
              <w:rPr>
                <w:webHidden/>
                <w:rStyle w:val="IndexLink"/>
              </w:rPr>
              <w:t>5.8 The bench programs worth knowing</w:t>
              <w:tab/>
              <w:t>26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3_One_harness_source__">
        <w:r>
          <w:rPr>
            <w:rStyle w:val="ListLabel1"/>
            <w:color w:val="000000"/>
            <w:sz w:val="24"/>
          </w:rPr>
          <w:t>Figure 3.1: One harness source, five targets</w:t>
        </w:r>
        <w:r>
          <w:rPr>
            <w:rStyle w:val="ListLabel1"/>
          </w:rPr>
          <w:tab/>
        </w:r>
        <w:r>
          <w:rPr>
            <w:rStyle w:val="ListLabel1"/>
          </w:rPr>
          <w:fldChar w:fldCharType="begin"/>
        </w:r>
        <w:r>
          <w:rPr>
            <w:rStyle w:val="ListLabel1"/>
          </w:rPr>
          <w:instrText xml:space="preserve"> PAGEREF _Fig_3_One_harness_source__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From_host_command_to">
        <w:r>
          <w:rPr>
            <w:rStyle w:val="ListLabel1"/>
            <w:color w:val="000000"/>
            <w:sz w:val="24"/>
          </w:rPr>
          <w:t>Figure 4.1: From host command to a row of the CSV</w:t>
        </w:r>
        <w:r>
          <w:rPr>
            <w:rStyle w:val="ListLabel1"/>
          </w:rPr>
          <w:tab/>
        </w:r>
        <w:r>
          <w:rPr>
            <w:rStyle w:val="ListLabel1"/>
          </w:rPr>
          <w:fldChar w:fldCharType="begin"/>
        </w:r>
        <w:r>
          <w:rPr>
            <w:rStyle w:val="ListLabel1"/>
          </w:rPr>
          <w:instrText xml:space="preserve"> PAGEREF _Fig_4_From_host_command_to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oard_and">
        <w:r>
          <w:rPr>
            <w:rStyle w:val="ListLabel1"/>
            <w:color w:val="000000"/>
            <w:sz w:val="24"/>
          </w:rPr>
          <w:t>Table 4: Table 1.1: Board and memory device</w:t>
        </w:r>
        <w:r>
          <w:rPr>
            <w:rStyle w:val="ListLabel1"/>
          </w:rPr>
          <w:tab/>
        </w:r>
        <w:r>
          <w:rPr>
            <w:rStyle w:val="ListLabel1"/>
          </w:rPr>
          <w:fldChar w:fldCharType="begin"/>
        </w:r>
        <w:r>
          <w:rPr>
            <w:rStyle w:val="ListLabel1"/>
          </w:rPr>
          <w:instrText xml:space="preserve"> PAGEREF _Tab_4_Table_1_1__Board_and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5_Table_2_1__The_bridg">
        <w:r>
          <w:rPr>
            <w:rStyle w:val="ListLabel1"/>
            <w:color w:val="000000"/>
            <w:sz w:val="24"/>
          </w:rPr>
          <w:t>Table 5: Table 2.1: The bridge address map</w:t>
        </w:r>
        <w:r>
          <w:rPr>
            <w:rStyle w:val="ListLabel1"/>
          </w:rPr>
          <w:tab/>
        </w:r>
        <w:r>
          <w:rPr>
            <w:rStyle w:val="ListLabel1"/>
          </w:rPr>
          <w:fldChar w:fldCharType="begin"/>
        </w:r>
        <w:r>
          <w:rPr>
            <w:rStyle w:val="ListLabel1"/>
          </w:rPr>
          <w:instrText xml:space="preserve"> PAGEREF _Tab_5_Table_2_1__The_bridg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2_2__harness_c">
        <w:r>
          <w:rPr>
            <w:rStyle w:val="ListLabel1"/>
            <w:color w:val="000000"/>
            <w:sz w:val="24"/>
          </w:rPr>
          <w:t>Table 6: Table 2.2: harness_csr, the registers that define a run</w:t>
        </w:r>
        <w:r>
          <w:rPr>
            <w:rStyle w:val="ListLabel1"/>
          </w:rPr>
          <w:tab/>
        </w:r>
        <w:r>
          <w:rPr>
            <w:rStyle w:val="ListLabel1"/>
          </w:rPr>
          <w:fldChar w:fldCharType="begin"/>
        </w:r>
        <w:r>
          <w:rPr>
            <w:rStyle w:val="ListLabel1"/>
          </w:rPr>
          <w:instrText xml:space="preserve"> PAGEREF _Tab_6_Table_2_2__harness_c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Table_2_3__The_engin">
        <w:r>
          <w:rPr>
            <w:rStyle w:val="ListLabel1"/>
            <w:color w:val="000000"/>
            <w:sz w:val="24"/>
          </w:rPr>
          <w:t>Table 7: Table 2.3: The engine spine</w:t>
        </w:r>
        <w:r>
          <w:rPr>
            <w:rStyle w:val="ListLabel1"/>
          </w:rPr>
          <w:tab/>
        </w:r>
        <w:r>
          <w:rPr>
            <w:rStyle w:val="ListLabel1"/>
          </w:rPr>
          <w:fldChar w:fldCharType="begin"/>
        </w:r>
        <w:r>
          <w:rPr>
            <w:rStyle w:val="ListLabel1"/>
          </w:rPr>
          <w:instrText xml:space="preserve"> PAGEREF _Tab_7_Table_2_3__The_engin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8_Table_3_1__The_five_">
        <w:r>
          <w:rPr>
            <w:rStyle w:val="ListLabel1"/>
            <w:color w:val="000000"/>
            <w:sz w:val="24"/>
          </w:rPr>
          <w:t>Table 8: Table 3.1: The five targets built from one harness source</w:t>
        </w:r>
        <w:r>
          <w:rPr>
            <w:rStyle w:val="ListLabel1"/>
          </w:rPr>
          <w:tab/>
        </w:r>
        <w:r>
          <w:rPr>
            <w:rStyle w:val="ListLabel1"/>
          </w:rPr>
          <w:fldChar w:fldCharType="begin"/>
        </w:r>
        <w:r>
          <w:rPr>
            <w:rStyle w:val="ListLabel1"/>
          </w:rPr>
          <w:instrText xml:space="preserve"> PAGEREF _Tab_8_Table_3_1__The_five_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Table_3_2__Build_tim">
        <w:r>
          <w:rPr>
            <w:rStyle w:val="ListLabel1"/>
            <w:color w:val="000000"/>
            <w:sz w:val="24"/>
          </w:rPr>
          <w:t>Table 9: Table 3.2: Build-time and run-time parameters</w:t>
        </w:r>
        <w:r>
          <w:rPr>
            <w:rStyle w:val="ListLabel1"/>
          </w:rPr>
          <w:tab/>
        </w:r>
        <w:r>
          <w:rPr>
            <w:rStyle w:val="ListLabel1"/>
          </w:rPr>
          <w:fldChar w:fldCharType="begin"/>
        </w:r>
        <w:r>
          <w:rPr>
            <w:rStyle w:val="ListLabel1"/>
          </w:rPr>
          <w:instrText xml:space="preserve"> PAGEREF _Tab_9_Table_3_2__Build_tim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0_Table_4_1__The_share">
        <w:r>
          <w:rPr>
            <w:rStyle w:val="ListLabel1"/>
            <w:color w:val="000000"/>
            <w:sz w:val="24"/>
          </w:rPr>
          <w:t>Table 10: Table 4.1: The shared host transport</w:t>
        </w:r>
        <w:r>
          <w:rPr>
            <w:rStyle w:val="ListLabel1"/>
          </w:rPr>
          <w:tab/>
        </w:r>
        <w:r>
          <w:rPr>
            <w:rStyle w:val="ListLabel1"/>
          </w:rPr>
          <w:fldChar w:fldCharType="begin"/>
        </w:r>
        <w:r>
          <w:rPr>
            <w:rStyle w:val="ListLabel1"/>
          </w:rPr>
          <w:instrText xml:space="preserve"> PAGEREF _Tab_10_Table_4_1__The_share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1_Table_4_2__The_cache">
        <w:r>
          <w:rPr>
            <w:rStyle w:val="ListLabel1"/>
            <w:color w:val="000000"/>
            <w:sz w:val="24"/>
          </w:rPr>
          <w:t>Table 11: Table 4.2: The cached leveling result for this board</w:t>
        </w:r>
        <w:r>
          <w:rPr>
            <w:rStyle w:val="ListLabel1"/>
          </w:rPr>
          <w:tab/>
        </w:r>
        <w:r>
          <w:rPr>
            <w:rStyle w:val="ListLabel1"/>
          </w:rPr>
          <w:fldChar w:fldCharType="begin"/>
        </w:r>
        <w:r>
          <w:rPr>
            <w:rStyle w:val="ListLabel1"/>
          </w:rPr>
          <w:instrText xml:space="preserve"> PAGEREF _Tab_11_Table_4_2__The_cache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2_Table_4_3__The_host_">
        <w:r>
          <w:rPr>
            <w:rStyle w:val="ListLabel1"/>
            <w:color w:val="000000"/>
            <w:sz w:val="24"/>
          </w:rPr>
          <w:t>Table 12: Table 4.3: The host programs</w:t>
        </w:r>
        <w:r>
          <w:rPr>
            <w:rStyle w:val="ListLabel1"/>
          </w:rPr>
          <w:tab/>
        </w:r>
        <w:r>
          <w:rPr>
            <w:rStyle w:val="ListLabel1"/>
          </w:rPr>
          <w:fldChar w:fldCharType="begin"/>
        </w:r>
        <w:r>
          <w:rPr>
            <w:rStyle w:val="ListLabel1"/>
          </w:rPr>
          <w:instrText xml:space="preserve"> PAGEREF _Tab_12_Table_4_3__The_host_ \h </w:instrText>
        </w:r>
        <w:r>
          <w:rPr>
            <w:rStyle w:val="ListLabel1"/>
          </w:rPr>
          <w:fldChar w:fldCharType="separate"/>
        </w:r>
        <w:r>
          <w:rPr>
            <w:rStyle w:val="ListLabel1"/>
          </w:rPr>
          <w:t>26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shd w:val="clear" w:color="auto" w:fill="404040"/>
        <w:spacing w:before="360" w:after="120"/>
        <w:rPr/>
      </w:pPr>
      <w:bookmarkStart w:id="0" w:name="__RefHeading___Toc3281_2083114603"/>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DDR2 characterization system: board, the harness around the controller, the five things built from one harness source, and the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pumice controller itself (HAS/MAS under </w:t>
            </w:r>
            <w:r>
              <w:rPr>
                <w:rStyle w:val="VerbatimChar"/>
                <w:rFonts w:eastAsia="Cambria" w:cs=""/>
                <w:kern w:val="0"/>
                <w:szCs w:val="24"/>
                <w:lang w:val="en-US" w:eastAsia="en-US" w:bidi="ar-SA"/>
              </w:rPr>
              <w:t>projects/components/mem-ctrl-ip/pumice-ddr2-lpddr2/docs/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build-perf/results/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ddr2-characterization/char_results/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written against the tree after the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 xml:space="preserve"> family moves</w:t>
            </w:r>
          </w:p>
        </w:tc>
      </w:tr>
    </w:tbl>
    <w:p>
      <w:pPr>
        <w:pStyle w:val="Heading2"/>
        <w:pBdr>
          <w:bottom w:val="single" w:sz="12" w:space="0" w:color="228B22"/>
        </w:pBdr>
        <w:spacing w:before="280" w:after="80"/>
        <w:rPr/>
      </w:pPr>
      <w:bookmarkStart w:id="3" w:name="__RefHeading___Toc3283_2083114603"/>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 /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projects/components/mem-ctrl-ip/pumice-ddr2-lpddr2/docs/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own architecture; this book treats it as the DUT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address 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authoritative register decode, mirrored from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flow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ddr2-characterization/flows-litedram-uart/README.md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A/B reference build and its config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char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ddr2-characterization/docs/ddr2_char_guide/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operator guide (v0.90)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 RAPIDS system books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projects/fpga-systems/Genesys2/*/docs/*_fpga_system/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Genesys 2 boards</w:t>
            </w:r>
          </w:p>
        </w:tc>
      </w:tr>
    </w:tbl>
    <w:p>
      <w:pPr>
        <w:pStyle w:val="Heading2"/>
        <w:pBdr>
          <w:bottom w:val="single" w:sz="12" w:space="0" w:color="228B22"/>
        </w:pBdr>
        <w:spacing w:before="280" w:after="80"/>
        <w:rPr/>
      </w:pPr>
      <w:bookmarkStart w:id="5" w:name="__RefHeading___Toc3285_2083114603"/>
      <w:bookmarkEnd w:id="5"/>
      <w:r>
        <w:rPr>
          <w:rStyle w:val="SectionNumber"/>
          <w:b/>
          <w:color w:val="228B22"/>
          <w:sz w:val="28"/>
        </w:rPr>
        <w:t>1.2</w:t>
      </w:r>
      <w:r>
        <w:rPr>
          <w:b/>
          <w:color w:val="228B22"/>
          <w:sz w:val="28"/>
        </w:rPr>
        <w:tab/>
        <w:t>Terminology</w:t>
      </w:r>
    </w:p>
    <w:p>
      <w:pPr>
        <w:pStyle w:val="FirstParagraph"/>
        <w:rPr/>
      </w:pPr>
      <w:r>
        <w:rPr>
          <w:b/>
          <w:bCs/>
          <w:sz w:val="20"/>
        </w:rPr>
        <w:t>DFI</w:t>
      </w:r>
      <w:r>
        <w:rPr>
          <w:sz w:val="20"/>
        </w:rPr>
        <w:t xml:space="preserve"> DDR PHY Interface. The boundary between the controller and the PHY, and the same boundary the DV repo’s BFM drives in simulation.</w:t>
      </w:r>
    </w:p>
    <w:p>
      <w:pPr>
        <w:pStyle w:val="BodyText"/>
        <w:rPr/>
      </w:pPr>
      <w:r>
        <w:rPr>
          <w:b/>
          <w:bCs/>
          <w:sz w:val="20"/>
        </w:rPr>
        <w:t>a7ddrphy</w:t>
      </w:r>
      <w:r>
        <w:rPr>
          <w:sz w:val="20"/>
        </w:rPr>
        <w:t xml:space="preserve"> LiteDRAM’s Artix-7 DDR PHY, reused verbatim. It owns the IOB serdes, bitslip and IDELAY training that are FPGA-specific and deliberately out of the controller’s scope.</w:t>
      </w:r>
    </w:p>
    <w:p>
      <w:pPr>
        <w:pStyle w:val="BodyText"/>
        <w:rPr/>
      </w:pPr>
      <w:r>
        <w:rPr>
          <w:b/>
          <w:bCs/>
          <w:sz w:val="20"/>
        </w:rPr>
        <w:t>Harness</w:t>
      </w:r>
      <w:r>
        <w:rPr>
          <w:sz w:val="20"/>
        </w:rPr>
        <w:t xml:space="preserve"> Everything in the bitstream that is not the DUT: the UART bridge, the address bridge, the CSR block, the stimulus generators, the meters and the displays.</w:t>
      </w:r>
    </w:p>
    <w:p>
      <w:pPr>
        <w:pStyle w:val="BodyText"/>
        <w:rPr/>
      </w:pPr>
      <w:r>
        <w:rPr>
          <w:b/>
          <w:bCs/>
          <w:sz w:val="20"/>
        </w:rPr>
        <w:t>Engine spine</w:t>
      </w:r>
      <w:r>
        <w:rPr>
          <w:sz w:val="20"/>
        </w:rPr>
        <w:t xml:space="preserve"> </w:t>
      </w:r>
      <w:r>
        <w:rPr>
          <w:rStyle w:val="VerbatimChar"/>
          <w:sz w:val="20"/>
        </w:rPr>
        <w:t>char_engine_block.sv</w:t>
      </w:r>
      <w:r>
        <w:rPr>
          <w:sz w:val="20"/>
        </w:rPr>
        <w:t xml:space="preserve"> – the DUT-agnostic part of the harness: generator registers, generator array, AXI merge, bus meters and latency histograms.</w:t>
      </w:r>
    </w:p>
    <w:p>
      <w:pPr>
        <w:pStyle w:val="BodyText"/>
        <w:rPr/>
      </w:pPr>
      <w:r>
        <w:rPr>
          <w:b/>
          <w:bCs/>
          <w:sz w:val="20"/>
        </w:rPr>
        <w:t>Design point</w:t>
      </w:r>
      <w:r>
        <w:rPr>
          <w:sz w:val="20"/>
        </w:rPr>
        <w:t xml:space="preserve"> 75 MHz system clock (</w:t>
      </w:r>
      <w:r>
        <w:rPr>
          <w:rStyle w:val="VerbatimChar"/>
          <w:sz w:val="20"/>
        </w:rPr>
        <w:t>PUMICE_SYS_75</w:t>
      </w:r>
      <w:r>
        <w:rPr>
          <w:sz w:val="20"/>
        </w:rPr>
        <w:t>), 1:2 gear to a 150 MHz DDR2 clock, 300 MT/s, BL4 on a 16-bit bus: 600 MB/s theoretical peak.</w:t>
      </w:r>
    </w:p>
    <w:p>
      <w:pPr>
        <w:pStyle w:val="Heading2"/>
        <w:pBdr>
          <w:bottom w:val="single" w:sz="12" w:space="0" w:color="228B22"/>
        </w:pBdr>
        <w:spacing w:before="280" w:after="80"/>
        <w:rPr/>
      </w:pPr>
      <w:bookmarkStart w:id="6" w:name="__RefHeading___Toc3287_2083114603"/>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after the family-directory moves, so every path in it is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w:t>
            </w:r>
            <w:bookmarkStart w:id="8" w:name="revision-history"/>
            <w:bookmarkEnd w:id="8"/>
          </w:p>
        </w:tc>
      </w:tr>
    </w:tbl>
    <w:p>
      <w:pPr>
        <w:pStyle w:val="Heading2"/>
        <w:pBdr>
          <w:bottom w:val="single" w:sz="12" w:space="0" w:color="228B22"/>
        </w:pBdr>
        <w:spacing w:before="280" w:after="80"/>
        <w:rPr/>
      </w:pPr>
      <w:bookmarkStart w:id="9" w:name="__RefHeading___Toc3289_2083114603"/>
      <w:bookmarkEnd w:id="9"/>
      <w:r>
        <w:rPr>
          <w:rStyle w:val="SectionNumber"/>
          <w:b/>
          <w:color w:val="228B22"/>
          <w:sz w:val="28"/>
        </w:rPr>
        <w:t>1.4</w:t>
      </w:r>
      <w:r>
        <w:rPr>
          <w:b/>
          <w:color w:val="228B22"/>
          <w:sz w:val="28"/>
        </w:rPr>
        <w:tab/>
        <w:t>How to read this book</w:t>
      </w:r>
    </w:p>
    <w:p>
      <w:pPr>
        <w:pStyle w:val="FirstParagraph"/>
        <w:rPr/>
      </w:pPr>
      <w:r>
        <w:rPr>
          <w:sz w:val="20"/>
        </w:rPr>
        <w:t xml:space="preserve">Chapter 1 is the bench: one USB connector, one DRAM part, and the clock chain that fixes the peak every later number is measured against. Chapter 2 is the bitstream around the DUT, block by block, with the address map every host tool depends on – and, for each block, why it is shaped the way it is. Chapter 3 is the chapter that answers the question people actually ask: the harness RTL does </w:t>
      </w:r>
      <w:r>
        <w:rPr>
          <w:i/>
          <w:iCs/>
          <w:sz w:val="20"/>
        </w:rPr>
        <w:t>not</w:t>
      </w:r>
      <w:r>
        <w:rPr>
          <w:sz w:val="20"/>
        </w:rPr>
        <w:t xml:space="preserve"> change per build, and the chapter says what does. Chapter 4 is the measurement loop, including two traps that have each cost a wrong conclusion.</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 xml:space="preserve">. Edit the </w:t>
      </w:r>
      <w:r>
        <w:rPr>
          <w:rStyle w:val="VerbatimChar"/>
          <w:sz w:val="20"/>
        </w:rPr>
        <w:t>.dot</w:t>
      </w:r>
      <w:r>
        <w:rPr>
          <w:sz w:val="20"/>
        </w:rPr>
        <w:t>, re-run the script, never hand-edit a PNG.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1"/>
        <w:shd w:val="clear" w:color="auto" w:fill="404040"/>
        <w:spacing w:before="360" w:after="120"/>
        <w:rPr/>
      </w:pPr>
      <w:bookmarkStart w:id="11" w:name="__RefHeading___Toc3291_2083114603"/>
      <w:bookmarkStart w:id="12" w:name="the-system"/>
      <w:bookmarkEnd w:id="11"/>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13" w:name="__RefHeading___Toc3293_2083114603"/>
      <w:bookmarkStart w:id="14" w:name="what-is-on-the-bench"/>
      <w:bookmarkEnd w:id="13"/>
      <w:r>
        <w:rPr>
          <w:rStyle w:val="SectionNumber"/>
          <w:b/>
          <w:color w:val="228B22"/>
          <w:sz w:val="28"/>
        </w:rPr>
        <w:t>2.1</w:t>
      </w:r>
      <w:r>
        <w:rPr>
          <w:b/>
          <w:color w:val="228B22"/>
          <w:sz w:val="28"/>
        </w:rPr>
        <w:tab/>
        <w:t>What is on the bench</w:t>
      </w:r>
    </w:p>
    <w:p>
      <w:pPr>
        <w:pStyle w:val="FirstParagraph"/>
        <w:rPr/>
      </w:pPr>
      <w:r>
        <w:rPr>
          <w:sz w:val="20"/>
        </w:rPr>
        <w:t>One Nexys A7-100T, one USB cable, one DDR2 part soldered to the board, and a host program on a Linux workstation. The device under test is the pumice DDR2/LPDDR2 memory controller; everything else in the bitstream exists to put traffic through it and count what comes back.</w:t>
      </w:r>
    </w:p>
    <w:p>
      <w:pPr>
        <w:pStyle w:val="BodyText"/>
        <w:rPr/>
      </w:pPr>
      <w:r>
        <w:rPr>
          <w:sz w:val="20"/>
        </w:rPr>
        <w:t xml:space="preserve">The split matters and this book keeps to it. The controller’s architecture – its AXI front end, its scheduler, its CAMs, its DFI layer – is the subject of the pumice HAS and MAS. What follows is the </w:t>
      </w:r>
      <w:r>
        <w:rPr>
          <w:i/>
          <w:iCs/>
          <w:sz w:val="20"/>
        </w:rPr>
        <w:t>apparatus</w:t>
      </w:r>
      <w:r>
        <w:rPr>
          <w:sz w:val="20"/>
        </w:rPr>
        <w:t>: the part you would have to rebuild if you wanted to measure some other controller, which is exactly what the LiteDRAM comparison build does.</w:t>
      </w:r>
    </w:p>
    <w:p>
      <w:pPr>
        <w:pStyle w:val="Heading3"/>
        <w:spacing w:before="200" w:after="80"/>
        <w:rPr/>
      </w:pPr>
      <w:bookmarkStart w:id="15" w:name="__RefHeading___Toc3295_2083114603"/>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03520" cy="7402195"/>
            <wp:effectExtent l="0" t="0" r="0" b="0"/>
            <wp:docPr id="8" name="Picture" descr="The bench: host, one USB connector, the Artix-7 and the DDR2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one USB connector, the Artix-7 and the DDR2 part"/>
                    <pic:cNvPicPr>
                      <a:picLocks noChangeAspect="1" noChangeArrowheads="1"/>
                    </pic:cNvPicPr>
                  </pic:nvPicPr>
                  <pic:blipFill>
                    <a:blip r:embed="rId3"/>
                    <a:stretch>
                      <a:fillRect/>
                    </a:stretch>
                  </pic:blipFill>
                  <pic:spPr bwMode="auto">
                    <a:xfrm>
                      <a:off x="0" y="0"/>
                      <a:ext cx="5303520" cy="7402195"/>
                    </a:xfrm>
                    <a:prstGeom prst="rect">
                      <a:avLst/>
                    </a:prstGeom>
                  </pic:spPr>
                </pic:pic>
              </a:graphicData>
            </a:graphic>
          </wp:inline>
        </w:drawing>
      </w:r>
    </w:p>
    <w:p>
      <w:pPr>
        <w:pStyle w:val="ImageCaption"/>
        <w:rPr/>
      </w:pPr>
      <w:r>
        <w:rPr/>
        <w:t>The bench: host, one USB connector, the Artix-7 and the DDR2 part</w:t>
      </w:r>
    </w:p>
    <w:p>
      <w:pPr>
        <w:pStyle w:val="BodyText"/>
        <w:rPr/>
      </w:pPr>
      <w:r>
        <w:rPr>
          <w:b/>
          <w:bCs/>
          <w:sz w:val="20"/>
        </w:rPr>
        <w:t>Source:</w:t>
      </w:r>
      <w:r>
        <w:rPr>
          <w:sz w:val="20"/>
        </w:rPr>
        <w:t xml:space="preserve"> </w:t>
      </w:r>
      <w:hyperlink r:id="rId4">
        <w:r>
          <w:rPr>
            <w:rStyle w:val="Hyperlink"/>
          </w:rPr>
          <w:t>01_board_and_host.dot</w:t>
        </w:r>
      </w:hyperlink>
      <w:bookmarkEnd w:id="14"/>
      <w:bookmarkEnd w:id="16"/>
    </w:p>
    <w:p>
      <w:pPr>
        <w:pStyle w:val="Heading2"/>
        <w:pBdr>
          <w:bottom w:val="single" w:sz="12" w:space="0" w:color="228B22"/>
        </w:pBdr>
        <w:spacing w:before="280" w:after="80"/>
        <w:rPr/>
      </w:pPr>
      <w:bookmarkStart w:id="18" w:name="__RefHeading___Toc3297_2083114603"/>
      <w:bookmarkStart w:id="19" w:name="the-board-and-the-part"/>
      <w:bookmarkEnd w:id="18"/>
      <w:r>
        <w:rPr>
          <w:rStyle w:val="SectionNumber"/>
          <w:b/>
          <w:color w:val="228B22"/>
          <w:sz w:val="28"/>
        </w:rPr>
        <w:t>2.2</w:t>
      </w:r>
      <w:r>
        <w:rPr>
          <w:b/>
          <w:color w:val="228B22"/>
          <w:sz w:val="28"/>
        </w:rPr>
        <w:tab/>
        <w:t>The board and the part</w:t>
      </w:r>
    </w:p>
    <w:p>
      <w:pPr>
        <w:pStyle w:val="TableCaption"/>
        <w:rPr/>
      </w:pPr>
      <w:bookmarkStart w:id="20" w:name="_Tab_4_Table_1_1__Board_and"/>
      <w:r>
        <w:rPr/>
        <w:t>Table 1.1: Board and memory device</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Nexys A7-100T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projects/fpga-systems/boards/nexys_a7_100t/board_info.md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 XC7A100T-1CSG324C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Oscillator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 MT47H64M16HR-25E, DDR2, x16, single rank, 128 MiB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ddr2-characterization/README.md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34 at 3.3 V LVCMOS33, Bank 35 at 1.5 V SSTL15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board_info.md</w:t>
            </w:r>
          </w:p>
        </w:tc>
      </w:tr>
    </w:tbl>
    <w:p>
      <w:pPr>
        <w:pStyle w:val="BodyText"/>
        <w:rPr/>
      </w:pPr>
      <w:r>
        <w:rPr>
          <w:b/>
          <w:bCs/>
          <w:sz w:val="20"/>
        </w:rPr>
        <w:t>Note:</w:t>
      </w:r>
      <w:r>
        <w:rPr>
          <w:sz w:val="20"/>
        </w:rPr>
        <w:t xml:space="preserve"> </w:t>
      </w:r>
      <w:r>
        <w:rPr>
          <w:rStyle w:val="VerbatimChar"/>
          <w:sz w:val="20"/>
        </w:rPr>
        <w:t>board_info.md</w:t>
      </w:r>
      <w:r>
        <w:rPr>
          <w:sz w:val="20"/>
        </w:rPr>
        <w:t xml:space="preserve"> records the DRAM as “128 Mb”, which is the bit count of the wrong generation of part. </w:t>
      </w:r>
      <w:r>
        <w:rPr>
          <w:rStyle w:val="VerbatimChar"/>
          <w:sz w:val="20"/>
        </w:rPr>
        <w:t>MT47H64M16</w:t>
      </w:r>
      <w:r>
        <w:rPr>
          <w:sz w:val="20"/>
        </w:rPr>
        <w:t xml:space="preserve"> is 64 M addresses by 16 bits = 1 Gbit = 128 MiB, which is what the characterization README states and what the address map assumes. Where the two disagree, the part number wins.</w:t>
      </w:r>
      <w:bookmarkEnd w:id="19"/>
    </w:p>
    <w:p>
      <w:pPr>
        <w:pStyle w:val="Heading2"/>
        <w:pBdr>
          <w:bottom w:val="single" w:sz="12" w:space="0" w:color="228B22"/>
        </w:pBdr>
        <w:spacing w:before="280" w:after="80"/>
        <w:rPr/>
      </w:pPr>
      <w:bookmarkStart w:id="21" w:name="__RefHeading___Toc3299_2083114603"/>
      <w:bookmarkStart w:id="22" w:name="the-single-usb-connector"/>
      <w:bookmarkEnd w:id="21"/>
      <w:r>
        <w:rPr>
          <w:rStyle w:val="SectionNumber"/>
          <w:b/>
          <w:color w:val="228B22"/>
          <w:sz w:val="28"/>
        </w:rPr>
        <w:t>2.3</w:t>
      </w:r>
      <w:r>
        <w:rPr>
          <w:b/>
          <w:color w:val="228B22"/>
          <w:sz w:val="28"/>
        </w:rPr>
        <w:tab/>
        <w:t>The single USB connector</w:t>
      </w:r>
    </w:p>
    <w:p>
      <w:pPr>
        <w:pStyle w:val="FirstParagraph"/>
        <w:rPr/>
      </w:pPr>
      <w:r>
        <w:rPr>
          <w:sz w:val="20"/>
        </w:rPr>
        <w:t>One connector does both jobs: it carries the JTAG chain that programs the device and drives the ILA, and it carries the UART the host talks to. The practical consequences are what the tooling has to cope with:</w:t>
      </w:r>
    </w:p>
    <w:p>
      <w:pPr>
        <w:pStyle w:val="Compact"/>
        <w:numPr>
          <w:ilvl w:val="0"/>
          <w:numId w:val="1"/>
        </w:numPr>
        <w:rPr/>
      </w:pPr>
      <w:r>
        <w:rPr>
          <w:b/>
          <w:bCs/>
        </w:rPr>
        <w:t>JTAG is addressed by serial number</w:t>
      </w:r>
      <w:r>
        <w:rPr/>
        <w:t xml:space="preserve">, </w:t>
      </w:r>
      <w:r>
        <w:rPr>
          <w:rStyle w:val="VerbatimChar"/>
        </w:rPr>
        <w:t>210292BFA3EE</w:t>
      </w:r>
      <w:r>
        <w:rPr/>
        <w:t>, because both this board and the Genesys 2 sit on the same chain on this bench.</w:t>
      </w:r>
    </w:p>
    <w:p>
      <w:pPr>
        <w:pStyle w:val="Compact"/>
        <w:numPr>
          <w:ilvl w:val="0"/>
          <w:numId w:val="1"/>
        </w:numPr>
        <w:rPr/>
      </w:pPr>
      <w:r>
        <w:rPr>
          <w:b/>
          <w:bCs/>
        </w:rPr>
        <w:t>The UART is not addressed by a constant.</w:t>
      </w:r>
      <w:r>
        <w:rPr/>
        <w:t xml:space="preserve"> It appears as some </w:t>
      </w:r>
      <w:r>
        <w:rPr>
          <w:rStyle w:val="VerbatimChar"/>
        </w:rPr>
        <w:t>/dev/ttyUSB*</w:t>
      </w:r>
      <w:r>
        <w:rPr/>
        <w:t xml:space="preserve">, the numbering drifts between plug-ins, and a second board may be present. The host resolves the port rather than hardcoding it; the </w:t>
      </w:r>
      <w:r>
        <w:rPr>
          <w:rStyle w:val="VerbatimChar"/>
        </w:rPr>
        <w:t>cdc_demo</w:t>
      </w:r>
      <w:r>
        <w:rPr/>
        <w:t xml:space="preserve"> driver on the same board carries the same comment for the same reason.</w:t>
      </w:r>
    </w:p>
    <w:p>
      <w:pPr>
        <w:pStyle w:val="FirstParagraph"/>
        <w:rPr/>
      </w:pPr>
      <w:bookmarkStart w:id="23" w:name="the-single-usb-connector"/>
      <w:r>
        <w:rPr>
          <w:sz w:val="20"/>
        </w:rPr>
        <w:t>This is the one place where the Nexys A7 is simpler than its sibling. The Genesys 2 needs two chips – an FT2232 for JTAG and a separate FT232R for the UART, each enumerating independently – and its system book has a whole section on telling them apart.</w:t>
      </w:r>
      <w:bookmarkEnd w:id="23"/>
    </w:p>
    <w:p>
      <w:pPr>
        <w:pStyle w:val="Heading2"/>
        <w:pBdr>
          <w:bottom w:val="single" w:sz="12" w:space="0" w:color="228B22"/>
        </w:pBdr>
        <w:spacing w:before="280" w:after="80"/>
        <w:rPr/>
      </w:pPr>
      <w:bookmarkStart w:id="24" w:name="__RefHeading___Toc3301_2083114603"/>
      <w:bookmarkStart w:id="25" w:name="X4de8d33c9e79180850f4fe5ccac10b6499f0153"/>
      <w:bookmarkEnd w:id="24"/>
      <w:r>
        <w:rPr>
          <w:rStyle w:val="SectionNumber"/>
          <w:b/>
          <w:color w:val="228B22"/>
          <w:sz w:val="28"/>
        </w:rPr>
        <w:t>2.4</w:t>
      </w:r>
      <w:r>
        <w:rPr>
          <w:b/>
          <w:color w:val="228B22"/>
          <w:sz w:val="28"/>
        </w:rPr>
        <w:tab/>
        <w:t>The clock chain, and why it fixes every later number</w:t>
      </w:r>
    </w:p>
    <w:p>
      <w:pPr>
        <w:pStyle w:val="FirstParagraph"/>
        <w:rPr/>
      </w:pPr>
      <w:r>
        <w:rPr>
          <w:sz w:val="20"/>
        </w:rPr>
        <w:t>The board has one 100 MHz oscillator. From it the design derives a 75 MHz system clock and, through a 1:2 gear, a 150 MHz DDR2 clock giving 300 MT/s on the bus. With BL4 on a 16-bit bus that is:</w:t>
      </w:r>
    </w:p>
    <w:p>
      <w:pPr>
        <w:pStyle w:val="SourceCode"/>
        <w:rPr/>
      </w:pPr>
      <w:r>
        <w:rPr>
          <w:rStyle w:val="VerbatimChar"/>
        </w:rPr>
        <w:t>300 MT/s x 2 bytes = 600 MB/s theoretical peak</w:t>
      </w:r>
    </w:p>
    <w:p>
      <w:pPr>
        <w:pStyle w:val="FirstParagraph"/>
        <w:rPr/>
      </w:pPr>
      <w:r>
        <w:rPr>
          <w:sz w:val="20"/>
        </w:rPr>
        <w:t xml:space="preserve">That 600 MB/s is the denominator of every percentage in every findings page. It is not a target, it is arithmetic; quoting a throughput without it is how a number stops meaning anything, which is why the house rule is that a bandwidth table carries the measured figure </w:t>
      </w:r>
      <w:r>
        <w:rPr>
          <w:i/>
          <w:iCs/>
          <w:sz w:val="20"/>
        </w:rPr>
        <w:t>and</w:t>
      </w:r>
      <w:r>
        <w:rPr>
          <w:sz w:val="20"/>
        </w:rPr>
        <w:t xml:space="preserve"> the peak.</w:t>
      </w:r>
    </w:p>
    <w:p>
      <w:pPr>
        <w:pStyle w:val="BodyText"/>
        <w:rPr/>
      </w:pPr>
      <w:r>
        <w:rPr>
          <w:sz w:val="20"/>
        </w:rPr>
        <w:t xml:space="preserve">The 75 MHz profile is selected by the </w:t>
      </w:r>
      <w:r>
        <w:rPr>
          <w:rStyle w:val="VerbatimChar"/>
          <w:sz w:val="20"/>
        </w:rPr>
        <w:t>PUMICE_SYS_75</w:t>
      </w:r>
      <w:r>
        <w:rPr>
          <w:sz w:val="20"/>
        </w:rPr>
        <w:t xml:space="preserve"> define. It is the design point, and </w:t>
      </w:r>
      <w:r>
        <w:rPr>
          <w:rStyle w:val="VerbatimChar"/>
          <w:sz w:val="20"/>
        </w:rPr>
        <w:t>build-perf/fpga/tcl/create_project.tcl</w:t>
      </w:r>
      <w:r>
        <w:rPr>
          <w:sz w:val="20"/>
        </w:rPr>
        <w:t xml:space="preserve"> says so in as many words – it prints the frequency profile at build time and labels the alternative, </w:t>
      </w:r>
      <w:r>
        <w:rPr>
          <w:rStyle w:val="VerbatimChar"/>
          <w:sz w:val="20"/>
        </w:rPr>
        <w:t>PUMICE_SYS_75=0</w:t>
      </w:r>
      <w:r>
        <w:rPr>
          <w:sz w:val="20"/>
        </w:rPr>
        <w:t xml:space="preserve"> at 66.67 MHz, as </w:t>
      </w:r>
      <w:r>
        <w:rPr>
          <w:i/>
          <w:iCs/>
          <w:sz w:val="20"/>
        </w:rPr>
        <w:t>not</w:t>
      </w:r>
      <w:r>
        <w:rPr>
          <w:sz w:val="20"/>
        </w:rPr>
        <w:t xml:space="preserve"> the board design point. A bitstream built without the define will work and will report lower numbers, and a reader comparing those against the design-point results would draw a false conclusion.</w:t>
      </w:r>
    </w:p>
    <w:p>
      <w:pPr>
        <w:pStyle w:val="BodyText"/>
        <w:rPr/>
      </w:pPr>
      <w:r>
        <w:rPr>
          <w:b/>
          <w:bCs/>
          <w:sz w:val="20"/>
        </w:rPr>
        <w:t>Important:</w:t>
      </w:r>
      <w:r>
        <w:rPr>
          <w:sz w:val="20"/>
        </w:rPr>
        <w:t xml:space="preserve"> the timing margin at 75 MHz is deliberately thin. A positive worst-negative-slack of a few tens of picoseconds is the design point being met, not a near miss – the most recent measurement build closed at WNS +0.031 ns. Report the sign and the value; do not “fix” a thin positive margin.</w:t>
      </w:r>
      <w:bookmarkEnd w:id="25"/>
    </w:p>
    <w:p>
      <w:pPr>
        <w:pStyle w:val="Heading2"/>
        <w:pBdr>
          <w:bottom w:val="single" w:sz="12" w:space="0" w:color="228B22"/>
        </w:pBdr>
        <w:spacing w:before="280" w:after="80"/>
        <w:rPr/>
      </w:pPr>
      <w:bookmarkStart w:id="26" w:name="__RefHeading___Toc3303_2083114603"/>
      <w:bookmarkStart w:id="27" w:name="X66053a0475bc99a44e13efd367962547d0af910"/>
      <w:bookmarkEnd w:id="26"/>
      <w:r>
        <w:rPr>
          <w:rStyle w:val="SectionNumber"/>
          <w:b/>
          <w:color w:val="228B22"/>
          <w:sz w:val="28"/>
        </w:rPr>
        <w:t>2.5</w:t>
      </w:r>
      <w:r>
        <w:rPr>
          <w:b/>
          <w:color w:val="228B22"/>
          <w:sz w:val="28"/>
        </w:rPr>
        <w:tab/>
        <w:t>Where the DUT ends and the harness begins</w:t>
      </w:r>
    </w:p>
    <w:p>
      <w:pPr>
        <w:pStyle w:val="FirstParagraph"/>
        <w:rPr/>
      </w:pPr>
      <w:r>
        <w:rPr>
          <w:sz w:val="20"/>
        </w:rPr>
        <w:t xml:space="preserve">The boundary is DFI v2.1, and it was chosen so that the same boundary is exercised in three places: by the DV repo’s DFI BFM in simulation, by the </w:t>
      </w:r>
      <w:r>
        <w:rPr>
          <w:rStyle w:val="VerbatimChar"/>
          <w:sz w:val="20"/>
        </w:rPr>
        <w:t>a7ddrphy_stub</w:t>
      </w:r>
      <w:r>
        <w:rPr>
          <w:sz w:val="20"/>
        </w:rPr>
        <w:t xml:space="preserve"> in the harness’s own cosim, and by LiteDRAM’s real </w:t>
      </w:r>
      <w:r>
        <w:rPr>
          <w:rStyle w:val="VerbatimChar"/>
          <w:sz w:val="20"/>
        </w:rPr>
        <w:t>a7ddrphy</w:t>
      </w:r>
      <w:r>
        <w:rPr>
          <w:sz w:val="20"/>
        </w:rPr>
        <w:t xml:space="preserve"> on the board. Code that passes in cocotb against the BFM should pass on hardware against the PHY, modulo PHY-side training – and PHY training is precisely what Chapter 4’s bring-up sweeps exist to settle.</w:t>
      </w:r>
    </w:p>
    <w:p>
      <w:pPr>
        <w:pStyle w:val="BodyText"/>
        <w:rPr/>
      </w:pPr>
      <w:r>
        <w:rPr>
          <w:sz w:val="20"/>
        </w:rPr>
        <w:t xml:space="preserve">The PHY itself is out of scope for the controller family on purpose. IOB serdes, bitslip, IDELAY tap calibration: all FPGA-specific, none of it something a DDR2 controller should own. So the harness reuses LiteDRAM’s </w:t>
      </w:r>
      <w:r>
        <w:rPr>
          <w:rStyle w:val="VerbatimChar"/>
          <w:sz w:val="20"/>
        </w:rPr>
        <w:t>a7ddrphy</w:t>
      </w:r>
      <w:r>
        <w:rPr>
          <w:sz w:val="20"/>
        </w:rPr>
        <w:t xml:space="preserve"> verbatim rather than reimplementing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the-system"/>
      <w:bookmarkStart w:id="29" w:name="X66053a0475bc99a44e13efd367962547d0af91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1"/>
        <w:shd w:val="clear" w:color="auto" w:fill="404040"/>
        <w:spacing w:before="360" w:after="120"/>
        <w:rPr/>
      </w:pPr>
      <w:bookmarkStart w:id="30" w:name="__RefHeading___Toc3305_2083114603"/>
      <w:bookmarkStart w:id="31" w:name="the-harness"/>
      <w:bookmarkEnd w:id="30"/>
      <w:r>
        <w:rPr>
          <w:rStyle w:val="SectionNumber"/>
          <w:b/>
          <w:color w:val="FFFFFF"/>
          <w:sz w:val="32"/>
        </w:rPr>
        <w:t>3</w:t>
      </w:r>
      <w:r>
        <w:rPr>
          <w:b/>
          <w:color w:val="FFFFFF"/>
          <w:sz w:val="32"/>
        </w:rPr>
        <w:tab/>
        <w:t>The Harness</w:t>
      </w:r>
    </w:p>
    <w:p>
      <w:pPr>
        <w:pStyle w:val="Heading2"/>
        <w:pBdr>
          <w:bottom w:val="single" w:sz="12" w:space="0" w:color="228B22"/>
        </w:pBdr>
        <w:spacing w:before="280" w:after="80"/>
        <w:rPr/>
      </w:pPr>
      <w:bookmarkStart w:id="32" w:name="__RefHeading___Toc3307_2083114603"/>
      <w:bookmarkStart w:id="33" w:name="the-shape-of-it"/>
      <w:bookmarkEnd w:id="32"/>
      <w:r>
        <w:rPr>
          <w:rStyle w:val="SectionNumber"/>
          <w:b/>
          <w:color w:val="228B22"/>
          <w:sz w:val="28"/>
        </w:rPr>
        <w:t>3.1</w:t>
      </w:r>
      <w:r>
        <w:rPr>
          <w:b/>
          <w:color w:val="228B22"/>
          <w:sz w:val="28"/>
        </w:rPr>
        <w:tab/>
        <w:t>The shape of it</w:t>
      </w:r>
    </w:p>
    <w:p>
      <w:pPr>
        <w:pStyle w:val="FirstParagraph"/>
        <w:rPr/>
      </w:pPr>
      <w:r>
        <w:rPr>
          <w:sz w:val="20"/>
        </w:rPr>
        <w:t>The harness is a host front-end, a DUT-agnostic engine spine, the DUT, the DFI tail, and two kinds of observability. Read the figure left to right and the whole apparatus is one sentence: UART bytes become register writes, register writes start generators, generators put AXI traffic through the controller, meters count what the controller did with it, and the host reads the counters back.</w:t>
      </w:r>
    </w:p>
    <w:p>
      <w:pPr>
        <w:pStyle w:val="Heading3"/>
        <w:spacing w:before="200" w:after="80"/>
        <w:rPr/>
      </w:pPr>
      <w:bookmarkStart w:id="34" w:name="__RefHeading___Toc3309_2083114603"/>
      <w:bookmarkStart w:id="35" w:name="figure-2.1-the-harness-block-map"/>
      <w:bookmarkStart w:id="36" w:name="_Fig_2_The_harness_block_ma"/>
      <w:bookmarkEnd w:id="34"/>
      <w:r>
        <w:rPr>
          <w:rStyle w:val="SectionNumber"/>
          <w:b/>
          <w:color w:val="404040"/>
          <w:sz w:val="24"/>
        </w:rPr>
        <w:t>3.1.1</w:t>
      </w:r>
      <w:r>
        <w:rPr>
          <w:b/>
          <w:color w:val="404040"/>
          <w:sz w:val="24"/>
        </w:rPr>
        <w:tab/>
        <w:t>Figure 2.1: The harness block map</w:t>
      </w:r>
      <w:bookmarkEnd w:id="36"/>
    </w:p>
    <w:p>
      <w:pPr>
        <w:pStyle w:val="CaptionedFigure"/>
        <w:rPr/>
      </w:pPr>
      <w:r>
        <w:rPr/>
        <w:drawing>
          <wp:inline distT="0" distB="0" distL="0" distR="0">
            <wp:extent cx="5334000" cy="3634740"/>
            <wp:effectExtent l="0" t="0" r="0" b="0"/>
            <wp:docPr id="11" name="Image2" descr="ddr2_char_harness: the blocks around the DUT, and th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ddr2_char_harness: the blocks around the DUT, and the address map"/>
                    <pic:cNvPicPr>
                      <a:picLocks noChangeAspect="1" noChangeArrowheads="1"/>
                    </pic:cNvPicPr>
                  </pic:nvPicPr>
                  <pic:blipFill>
                    <a:blip r:embed="rId5"/>
                    <a:stretch>
                      <a:fillRect/>
                    </a:stretch>
                  </pic:blipFill>
                  <pic:spPr bwMode="auto">
                    <a:xfrm>
                      <a:off x="0" y="0"/>
                      <a:ext cx="5334000" cy="3634740"/>
                    </a:xfrm>
                    <a:prstGeom prst="rect">
                      <a:avLst/>
                    </a:prstGeom>
                  </pic:spPr>
                </pic:pic>
              </a:graphicData>
            </a:graphic>
          </wp:inline>
        </w:drawing>
      </w:r>
    </w:p>
    <w:p>
      <w:pPr>
        <w:pStyle w:val="ImageCaption"/>
        <w:rPr/>
      </w:pPr>
      <w:r>
        <w:rPr/>
        <w:t>ddr2_char_harness: the blocks around the DUT, and the address map</w:t>
      </w:r>
    </w:p>
    <w:p>
      <w:pPr>
        <w:pStyle w:val="BodyText"/>
        <w:rPr/>
      </w:pPr>
      <w:r>
        <w:rPr>
          <w:b/>
          <w:bCs/>
          <w:sz w:val="20"/>
        </w:rPr>
        <w:t>Source:</w:t>
      </w:r>
      <w:r>
        <w:rPr>
          <w:sz w:val="20"/>
        </w:rPr>
        <w:t xml:space="preserve"> </w:t>
      </w:r>
      <w:hyperlink r:id="rId6">
        <w:r>
          <w:rPr>
            <w:rStyle w:val="Hyperlink"/>
          </w:rPr>
          <w:t>02_harness_blocks.dot</w:t>
        </w:r>
      </w:hyperlink>
      <w:bookmarkEnd w:id="33"/>
      <w:bookmarkEnd w:id="35"/>
    </w:p>
    <w:p>
      <w:pPr>
        <w:pStyle w:val="Heading2"/>
        <w:pBdr>
          <w:bottom w:val="single" w:sz="12" w:space="0" w:color="228B22"/>
        </w:pBdr>
        <w:spacing w:before="280" w:after="80"/>
        <w:rPr/>
      </w:pPr>
      <w:bookmarkStart w:id="37" w:name="__RefHeading___Toc3311_2083114603"/>
      <w:bookmarkStart w:id="38" w:name="the-host-front-end"/>
      <w:bookmarkEnd w:id="37"/>
      <w:r>
        <w:rPr>
          <w:rStyle w:val="SectionNumber"/>
          <w:b/>
          <w:color w:val="228B22"/>
          <w:sz w:val="28"/>
        </w:rPr>
        <w:t>3.2</w:t>
      </w:r>
      <w:r>
        <w:rPr>
          <w:b/>
          <w:color w:val="228B22"/>
          <w:sz w:val="28"/>
        </w:rPr>
        <w:tab/>
        <w:t>The host front-end</w:t>
      </w:r>
    </w:p>
    <w:p>
      <w:pPr>
        <w:pStyle w:val="FirstParagraph"/>
        <w:rPr/>
      </w:pPr>
      <w:r>
        <w:rPr>
          <w:rStyle w:val="VerbatimChar"/>
          <w:sz w:val="20"/>
        </w:rPr>
        <w:t>uart_axil_bridge</w:t>
      </w:r>
      <w:r>
        <w:rPr>
          <w:sz w:val="20"/>
        </w:rPr>
        <w:t xml:space="preserve"> turns the UART byte stream into a 32-bit AXIL master. </w:t>
      </w:r>
      <w:r>
        <w:rPr>
          <w:rStyle w:val="VerbatimChar"/>
          <w:sz w:val="20"/>
        </w:rPr>
        <w:t>bridge_ddr2_char_axil</w:t>
      </w:r>
      <w:r>
        <w:rPr>
          <w:sz w:val="20"/>
        </w:rPr>
        <w:t xml:space="preserve"> – a </w:t>
      </w:r>
      <w:r>
        <w:rPr>
          <w:i/>
          <w:iCs/>
          <w:sz w:val="20"/>
        </w:rPr>
        <w:t>generated</w:t>
      </w:r>
      <w:r>
        <w:rPr>
          <w:sz w:val="20"/>
        </w:rPr>
        <w:t xml:space="preserve"> bridge, from </w:t>
      </w:r>
      <w:r>
        <w:rPr>
          <w:rStyle w:val="VerbatimChar"/>
          <w:sz w:val="20"/>
        </w:rPr>
        <w:t>ddr2_char_framework/rtl/bridges/configs/bridge_ddr2_char_axil.toml</w:t>
      </w:r>
      <w:r>
        <w:rPr>
          <w:sz w:val="20"/>
        </w:rPr>
        <w:t xml:space="preserve"> – fans that one master out to four slaves at fixed bases.</w:t>
      </w:r>
    </w:p>
    <w:p>
      <w:pPr>
        <w:pStyle w:val="TableCaption"/>
        <w:rPr/>
      </w:pPr>
      <w:bookmarkStart w:id="39" w:name="_Tab_5_Table_2_1__The_bridg"/>
      <w:r>
        <w:rPr/>
        <w:t>Table 2.1: The bridge address map</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controller CSR (PeakRDL-generated)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timer, engine cfg, perf readback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DFI trace ring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ring for DFI command observability</w:t>
            </w:r>
          </w:p>
        </w:tc>
      </w:tr>
    </w:tbl>
    <w:p>
      <w:pPr>
        <w:pStyle w:val="BodyText"/>
        <w:rPr/>
      </w:pPr>
      <w:r>
        <w:rPr>
          <w:sz w:val="20"/>
        </w:rPr>
        <w:t xml:space="preserve">Two details in that map are deliberate rather than accidental. The 256 KB </w:t>
      </w:r>
      <w:r>
        <w:rPr>
          <w:rStyle w:val="VerbatimChar"/>
          <w:sz w:val="20"/>
        </w:rPr>
        <w:t>debug_sram</w:t>
      </w:r>
      <w:r>
        <w:rPr>
          <w:sz w:val="20"/>
        </w:rPr>
        <w:t xml:space="preserve"> window spans </w:t>
      </w:r>
      <w:r>
        <w:rPr>
          <w:rStyle w:val="VerbatimChar"/>
          <w:sz w:val="20"/>
        </w:rPr>
        <w:t>0x4_0000..0x7_FFFF</w:t>
      </w:r>
      <w:r>
        <w:rPr>
          <w:sz w:val="20"/>
        </w:rPr>
        <w:t xml:space="preserve">, which is why </w:t>
      </w:r>
      <w:r>
        <w:rPr>
          <w:rStyle w:val="VerbatimChar"/>
          <w:sz w:val="20"/>
        </w:rPr>
        <w:t>dfi_mon_ram</w:t>
      </w:r>
      <w:r>
        <w:rPr>
          <w:sz w:val="20"/>
        </w:rPr>
        <w:t xml:space="preserve"> sits at </w:t>
      </w:r>
      <w:r>
        <w:rPr>
          <w:rStyle w:val="VerbatimChar"/>
          <w:sz w:val="20"/>
        </w:rPr>
        <w:t>0x8_0000</w:t>
      </w:r>
      <w:r>
        <w:rPr>
          <w:sz w:val="20"/>
        </w:rPr>
        <w:t xml:space="preserve"> and not at </w:t>
      </w:r>
      <w:r>
        <w:rPr>
          <w:rStyle w:val="VerbatimChar"/>
          <w:sz w:val="20"/>
        </w:rPr>
        <w:t>0x5_0000</w:t>
      </w:r>
      <w:r>
        <w:rPr>
          <w:sz w:val="20"/>
        </w:rPr>
        <w:t xml:space="preserve"> – placing it lower would have overlapped. And the slot at </w:t>
      </w:r>
      <w:r>
        <w:rPr>
          <w:rStyle w:val="VerbatimChar"/>
          <w:sz w:val="20"/>
        </w:rPr>
        <w:t>0x2_0000..0x3_FFFF</w:t>
      </w:r>
      <w:r>
        <w:rPr>
          <w:sz w:val="20"/>
        </w:rPr>
        <w:t xml:space="preserve"> is unallocated: it used to hold a </w:t>
      </w:r>
      <w:r>
        <w:rPr>
          <w:rStyle w:val="VerbatimChar"/>
          <w:sz w:val="20"/>
        </w:rPr>
        <w:t>desc_ram</w:t>
      </w:r>
      <w:r>
        <w:rPr>
          <w:sz w:val="20"/>
        </w:rPr>
        <w:t>, which became unnecessary once the pattern-generator engines covered the workload class the descriptor mode was reserved for.</w:t>
      </w:r>
    </w:p>
    <w:p>
      <w:pPr>
        <w:pStyle w:val="BodyText"/>
        <w:rPr/>
      </w:pPr>
      <w:r>
        <w:rPr>
          <w:b/>
          <w:bCs/>
          <w:sz w:val="20"/>
        </w:rPr>
        <w:t>Important:</w:t>
      </w:r>
      <w:r>
        <w:rPr>
          <w:sz w:val="20"/>
        </w:rPr>
        <w:t xml:space="preserve"> </w:t>
      </w:r>
      <w:r>
        <w:rPr>
          <w:rStyle w:val="VerbatimChar"/>
          <w:sz w:val="20"/>
        </w:rPr>
        <w:t>build-perf/host/ADDRESS_MAP.md</w:t>
      </w:r>
      <w:r>
        <w:rPr>
          <w:sz w:val="20"/>
        </w:rPr>
        <w:t xml:space="preserve"> mirrors this decode for convenience, and says outright that the RTL is authoritative. If the two disagree, the fix is to the document, not to the hardware.</w:t>
      </w:r>
      <w:bookmarkEnd w:id="38"/>
    </w:p>
    <w:p>
      <w:pPr>
        <w:pStyle w:val="Heading2"/>
        <w:pBdr>
          <w:bottom w:val="single" w:sz="12" w:space="0" w:color="228B22"/>
        </w:pBdr>
        <w:spacing w:before="280" w:after="80"/>
        <w:rPr/>
      </w:pPr>
      <w:bookmarkStart w:id="40" w:name="__RefHeading___Toc3313_2083114603"/>
      <w:bookmarkStart w:id="41" w:name="Xbfba6edd669a733018e1e0f0f870ae4f9cf6be3"/>
      <w:bookmarkEnd w:id="40"/>
      <w:r>
        <w:rPr>
          <w:rStyle w:val="SectionNumber"/>
          <w:b/>
          <w:color w:val="228B22"/>
          <w:sz w:val="28"/>
        </w:rPr>
        <w:t>3.3</w:t>
      </w:r>
      <w:r>
        <w:rPr>
          <w:b/>
          <w:color w:val="228B22"/>
          <w:sz w:val="28"/>
        </w:rPr>
        <w:tab/>
        <w:t>harness_csr: the registers that define a run</w:t>
      </w:r>
    </w:p>
    <w:p>
      <w:pPr>
        <w:pStyle w:val="TableCaption"/>
        <w:rPr/>
      </w:pPr>
      <w:bookmarkStart w:id="42" w:name="_Tab_6_Table_2_2__harness_c"/>
      <w:r>
        <w:rPr/>
        <w:t>Table 2.2: harness_csr, the registers that define a run</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per-direction done/error,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init_fail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w:t>
            </w:r>
            <w:r>
              <w:rPr>
                <w:rStyle w:val="VerbatimChar"/>
                <w:rFonts w:eastAsia="Cambria" w:cs=""/>
                <w:kern w:val="0"/>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 read-engine actual CRC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exp==act</w:t>
            </w:r>
            <w:r>
              <w:rPr>
                <w:rFonts w:eastAsia="Cambria" w:cs=""/>
                <w:kern w:val="0"/>
                <w:sz w:val="24"/>
                <w:szCs w:val="24"/>
                <w:lang w:val="en-US" w:eastAsia="en-US" w:bidi="ar-SA"/>
              </w:rPr>
              <w:t xml:space="preserve">, both valid bits, and </w:t>
            </w:r>
            <w:r>
              <w:rPr>
                <w:rStyle w:val="VerbatimChar"/>
                <w:rFonts w:eastAsia="Cambria" w:cs=""/>
                <w:kern w:val="0"/>
                <w:szCs w:val="24"/>
                <w:lang w:val="en-US" w:eastAsia="en-US" w:bidi="ar-SA"/>
              </w:rPr>
              <w:t>beats_mism !=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mismatched beat count from the read engine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0x44445232</w:t>
            </w:r>
            <w:r>
              <w:rPr>
                <w:rFonts w:eastAsia="Cambria" w:cs=""/>
                <w:kern w:val="0"/>
                <w:sz w:val="24"/>
                <w:szCs w:val="24"/>
                <w:lang w:val="en-US" w:eastAsia="en-US" w:bidi="ar-SA"/>
              </w:rPr>
              <w:t xml:space="preserve">, the ASCII </w:t>
            </w:r>
            <w:r>
              <w:rPr>
                <w:rStyle w:val="VerbatimChar"/>
                <w:rFonts w:eastAsia="Cambria" w:cs=""/>
                <w:kern w:val="0"/>
                <w:szCs w:val="24"/>
                <w:lang w:val="en-US" w:eastAsia="en-US" w:bidi="ar-SA"/>
              </w:rPr>
              <w:t>DDR2</w:t>
            </w:r>
            <w:r>
              <w:rPr>
                <w:rFonts w:eastAsia="Cambria" w:cs=""/>
                <w:kern w:val="0"/>
                <w:sz w:val="24"/>
                <w:szCs w:val="24"/>
                <w:lang w:val="en-US" w:eastAsia="en-US" w:bidi="ar-SA"/>
              </w:rPr>
              <w:t xml:space="preserve"> – proves you are talking to this build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counter, beat-count stop trigger, and first/last R and W beat stamps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(DDR2/LPDDR2),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rd_in_order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lookahead and synth-mask caps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CSR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indirect access to the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leveling knobs</w:t>
            </w:r>
          </w:p>
        </w:tc>
      </w:tr>
    </w:tbl>
    <w:p>
      <w:pPr>
        <w:pStyle w:val="BodyText"/>
        <w:rPr/>
      </w:pPr>
      <w:r>
        <w:rPr>
          <w:sz w:val="20"/>
        </w:rPr>
        <w:t>The first/last beat stamps are what make a throughput number defensible: they bound the window the bytes actually moved in, so the host divides by a measured interval rather than by “however long the host thought the run took”.</w:t>
      </w:r>
    </w:p>
    <w:p>
      <w:pPr>
        <w:pStyle w:val="BodyText"/>
        <w:rPr/>
      </w:pPr>
      <w:r>
        <w:rPr>
          <w:rStyle w:val="VerbatimChar"/>
          <w:sz w:val="20"/>
        </w:rPr>
        <w:t>BUILD_ID</w:t>
      </w:r>
      <w:r>
        <w:rPr>
          <w:sz w:val="20"/>
        </w:rPr>
        <w:t xml:space="preserve"> exists because the cheapest way to waste an afternoon is to measure a stale bitstream. A host that cannot read </w:t>
      </w:r>
      <w:r>
        <w:rPr>
          <w:rStyle w:val="VerbatimChar"/>
          <w:sz w:val="20"/>
        </w:rPr>
        <w:t>DDR2</w:t>
      </w:r>
      <w:r>
        <w:rPr>
          <w:sz w:val="20"/>
        </w:rPr>
        <w:t xml:space="preserve"> back is talking to something else.</w:t>
      </w:r>
    </w:p>
    <w:p>
      <w:pPr>
        <w:pStyle w:val="BodyText"/>
        <w:rPr/>
      </w:pPr>
      <w:r>
        <w:rPr>
          <w:b/>
          <w:bCs/>
          <w:sz w:val="20"/>
        </w:rPr>
        <w:t>Note:</w:t>
      </w:r>
      <w:r>
        <w:rPr>
          <w:sz w:val="20"/>
        </w:rPr>
        <w:t xml:space="preserve"> </w:t>
      </w:r>
      <w:r>
        <w:rPr>
          <w:rStyle w:val="VerbatimChar"/>
          <w:sz w:val="20"/>
        </w:rPr>
        <w:t>RESP_DELAY</w:t>
      </w:r>
      <w:r>
        <w:rPr>
          <w:sz w:val="20"/>
        </w:rPr>
        <w:t xml:space="preserve"> at </w:t>
      </w:r>
      <w:r>
        <w:rPr>
          <w:rStyle w:val="VerbatimChar"/>
          <w:sz w:val="20"/>
        </w:rPr>
        <w:t>0x3C</w:t>
      </w:r>
      <w:r>
        <w:rPr>
          <w:sz w:val="20"/>
        </w:rPr>
        <w:t xml:space="preserve"> is present and documented as unwired. </w:t>
      </w:r>
      <w:r>
        <w:rPr>
          <w:rStyle w:val="VerbatimChar"/>
          <w:sz w:val="20"/>
        </w:rPr>
        <w:t>axi_response_delay.sv</w:t>
      </w:r>
      <w:r>
        <w:rPr>
          <w:sz w:val="20"/>
        </w:rPr>
        <w:t xml:space="preserve"> is committed under </w:t>
      </w:r>
      <w:r>
        <w:rPr>
          <w:rStyle w:val="VerbatimChar"/>
          <w:sz w:val="20"/>
        </w:rPr>
        <w:t>ddr2_char_framework/rtl/</w:t>
      </w:r>
      <w:r>
        <w:rPr>
          <w:sz w:val="20"/>
        </w:rPr>
        <w:t xml:space="preserve"> and carried in the filelist but not instantiated, so that adding programmable memory latency later is a one-line swap-in rather than a new dependency. A register that reads back what you wrote and changes nothing is a trap unless it is labelled, which is why it is labelled here and in the address map.</w:t>
      </w:r>
      <w:bookmarkEnd w:id="41"/>
    </w:p>
    <w:p>
      <w:pPr>
        <w:pStyle w:val="Heading2"/>
        <w:pBdr>
          <w:bottom w:val="single" w:sz="12" w:space="0" w:color="228B22"/>
        </w:pBdr>
        <w:spacing w:before="280" w:after="80"/>
        <w:rPr/>
      </w:pPr>
      <w:bookmarkStart w:id="43" w:name="__RefHeading___Toc3315_2083114603"/>
      <w:bookmarkStart w:id="44" w:name="X2f348cdae3cb7c6781b680e09a3383c453e85ad"/>
      <w:bookmarkEnd w:id="43"/>
      <w:r>
        <w:rPr>
          <w:rStyle w:val="SectionNumber"/>
          <w:b/>
          <w:color w:val="228B22"/>
          <w:sz w:val="28"/>
        </w:rPr>
        <w:t>3.4</w:t>
      </w:r>
      <w:r>
        <w:rPr>
          <w:b/>
          <w:color w:val="228B22"/>
          <w:sz w:val="28"/>
        </w:rPr>
        <w:tab/>
        <w:t>The engine spine, and why it is a separate block</w:t>
      </w:r>
    </w:p>
    <w:p>
      <w:pPr>
        <w:pStyle w:val="FirstParagraph"/>
        <w:rPr/>
      </w:pPr>
      <w:r>
        <w:rPr>
          <w:rStyle w:val="VerbatimChar"/>
          <w:sz w:val="20"/>
        </w:rPr>
        <w:t>char_engine_block.sv</w:t>
      </w:r>
      <w:r>
        <w:rPr>
          <w:sz w:val="20"/>
        </w:rPr>
        <w:t xml:space="preserve"> is the part of the harness that does not know what the DUT is. It holds the generator registers, the generator array, the AXI merge, and the instruments:</w:t>
      </w:r>
    </w:p>
    <w:p>
      <w:pPr>
        <w:pStyle w:val="TableCaption"/>
        <w:rPr/>
      </w:pPr>
      <w:bookmarkStart w:id="45" w:name="_Tab_7_Table_2_3__The_engin"/>
      <w:r>
        <w:rPr/>
        <w:t>Table 2.3: The engine spine</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shaped this 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per-generator address window, stride, burst length, bank span, transaction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stimulus is </w:t>
            </w:r>
            <w:r>
              <w:rPr>
                <w:rFonts w:eastAsia="Cambria" w:cs=""/>
                <w:i/>
                <w:iCs/>
                <w:kern w:val="0"/>
                <w:sz w:val="24"/>
                <w:szCs w:val="24"/>
                <w:lang w:val="en-US" w:eastAsia="en-US" w:bidi="ar-SA"/>
              </w:rPr>
              <w:t>described</w:t>
            </w:r>
            <w:r>
              <w:rPr>
                <w:rFonts w:eastAsia="Cambria" w:cs=""/>
                <w:kern w:val="0"/>
                <w:sz w:val="24"/>
                <w:szCs w:val="24"/>
                <w:lang w:val="en-US" w:eastAsia="en-US" w:bidi="ar-SA"/>
              </w:rPr>
              <w:t>, not compiled in, so a sweep is a host loop and not a rebuild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 and two read generator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spans </w:t>
            </w:r>
            <w:r>
              <w:rPr>
                <w:rStyle w:val="VerbatimChar"/>
                <w:rFonts w:eastAsia="Cambria" w:cs=""/>
                <w:kern w:val="0"/>
                <w:szCs w:val="24"/>
                <w:lang w:val="en-US" w:eastAsia="en-US" w:bidi="ar-SA"/>
              </w:rPr>
              <w:t>NUM_BANKS / NUM_GEN</w:t>
            </w:r>
            <w:r>
              <w:rPr>
                <w:rFonts w:eastAsia="Cambria" w:cs=""/>
                <w:kern w:val="0"/>
                <w:sz w:val="24"/>
                <w:szCs w:val="24"/>
                <w:lang w:val="en-US" w:eastAsia="en-US" w:bidi="ar-SA"/>
              </w:rPr>
              <w:t xml:space="preserve"> banks, so </w:t>
            </w:r>
            <w:r>
              <w:rPr>
                <w:rFonts w:eastAsia="Cambria" w:cs=""/>
                <w:b/>
                <w:bCs/>
                <w:kern w:val="0"/>
                <w:sz w:val="24"/>
                <w:szCs w:val="24"/>
                <w:lang w:val="en-US" w:eastAsia="en-US" w:bidi="ar-SA"/>
              </w:rPr>
              <w:t>bank concurrency is a property of the stimulus</w:t>
            </w:r>
            <w:r>
              <w:rPr>
                <w:rFonts w:eastAsia="Cambria" w:cs=""/>
                <w:kern w:val="0"/>
                <w:sz w:val="24"/>
                <w:szCs w:val="24"/>
                <w:lang w:val="en-US" w:eastAsia="en-US" w:bidi="ar-SA"/>
              </w:rPr>
              <w:t>, not of the controller – that is what makes the bank/gap knee measurable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N:1 merge onto the DUT’s single </w:t>
            </w:r>
            <w:r>
              <w:rPr>
                <w:rStyle w:val="VerbatimChar"/>
                <w:rFonts w:eastAsia="Cambria" w:cs=""/>
                <w:kern w:val="0"/>
                <w:szCs w:val="24"/>
                <w:lang w:val="en-US" w:eastAsia="en-US" w:bidi="ar-SA"/>
              </w:rPr>
              <w:t>s_axi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cycle: productive, backpressure, starvation, idle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states that account for every cycle; this is where “the arbiter is idle 33% of the time” came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axi_perf_latency_hist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response-time histograms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mean hides a bimodal distribution, which is exactly what a page-policy change produces</w:t>
            </w:r>
          </w:p>
        </w:tc>
      </w:tr>
    </w:tbl>
    <w:p>
      <w:pPr>
        <w:pStyle w:val="BodyText"/>
        <w:rPr/>
      </w:pPr>
      <w:r>
        <w:rPr>
          <w:sz w:val="20"/>
        </w:rPr>
        <w:t xml:space="preserve">The merge deserves its own paragraph because it replaced something. It used to be two </w:t>
      </w:r>
      <w:r>
        <w:rPr>
          <w:i/>
          <w:iCs/>
          <w:sz w:val="20"/>
        </w:rPr>
        <w:t>generated</w:t>
      </w:r>
      <w:r>
        <w:rPr>
          <w:sz w:val="20"/>
        </w:rPr>
        <w:t xml:space="preserve"> 2x1 bridges. They were not removed because their routing was wrong – at 2x1 that routing is a combinational grant-lock round robin and the replacement works the same way. They were removed because of the four generated adapters wrapped around them, which imposed a </w:t>
      </w:r>
      <w:r>
        <w:rPr>
          <w:rStyle w:val="VerbatimChar"/>
          <w:sz w:val="20"/>
        </w:rPr>
        <w:t>bridge_cam</w:t>
      </w:r>
      <w:r>
        <w:rPr>
          <w:sz w:val="20"/>
        </w:rPr>
        <w:t xml:space="preserve"> </w:t>
      </w:r>
      <w:r>
        <w:rPr>
          <w:rStyle w:val="VerbatimChar"/>
          <w:sz w:val="20"/>
        </w:rPr>
        <w:t>DEPTH(16)</w:t>
      </w:r>
      <w:r>
        <w:rPr>
          <w:sz w:val="20"/>
        </w:rPr>
        <w:t xml:space="preserve"> cap on outstanding transactions and two skid stages per direction. On a harness whose measurement </w:t>
      </w:r>
      <w:r>
        <w:rPr>
          <w:i/>
          <w:iCs/>
          <w:sz w:val="20"/>
        </w:rPr>
        <w:t>is</w:t>
      </w:r>
      <w:r>
        <w:rPr>
          <w:sz w:val="20"/>
        </w:rPr>
        <w:t xml:space="preserve"> latency, the apparatus was setting the answer. The generated configurations are still in the tree so both paths can be built and compared; nothing in this build reads them.</w:t>
      </w:r>
      <w:bookmarkEnd w:id="44"/>
    </w:p>
    <w:p>
      <w:pPr>
        <w:pStyle w:val="Heading2"/>
        <w:pBdr>
          <w:bottom w:val="single" w:sz="12" w:space="0" w:color="228B22"/>
        </w:pBdr>
        <w:spacing w:before="280" w:after="80"/>
        <w:rPr/>
      </w:pPr>
      <w:bookmarkStart w:id="46" w:name="__RefHeading___Toc3317_2083114603"/>
      <w:bookmarkStart w:id="47" w:name="the-dfi-tail"/>
      <w:bookmarkEnd w:id="46"/>
      <w:r>
        <w:rPr>
          <w:rStyle w:val="SectionNumber"/>
          <w:b/>
          <w:color w:val="228B22"/>
          <w:sz w:val="28"/>
        </w:rPr>
        <w:t>3.5</w:t>
      </w:r>
      <w:r>
        <w:rPr>
          <w:b/>
          <w:color w:val="228B22"/>
          <w:sz w:val="28"/>
        </w:rPr>
        <w:tab/>
        <w:t>The DFI tail</w:t>
      </w:r>
    </w:p>
    <w:p>
      <w:pPr>
        <w:pStyle w:val="FirstParagraph"/>
        <w:rPr/>
      </w:pPr>
      <w:r>
        <w:rPr>
          <w:sz w:val="20"/>
        </w:rPr>
        <w:t>Between the controller and the pads sit three things, and all three are harness, not DUT:</w:t>
      </w:r>
    </w:p>
    <w:p>
      <w:pPr>
        <w:pStyle w:val="Compact"/>
        <w:numPr>
          <w:ilvl w:val="0"/>
          <w:numId w:val="6"/>
        </w:numPr>
        <w:rPr/>
      </w:pPr>
      <w:r>
        <w:rPr>
          <w:rStyle w:val="VerbatimChar"/>
        </w:rPr>
        <w:t>dfi_cmd_delay</w:t>
      </w:r>
      <w:r>
        <w:rPr/>
        <w:t xml:space="preserve"> and </w:t>
      </w:r>
      <w:r>
        <w:rPr>
          <w:rStyle w:val="VerbatimChar"/>
        </w:rPr>
        <w:t>dfi_rddata_delay</w:t>
      </w:r>
      <w:r>
        <w:rPr/>
        <w:t xml:space="preserve"> – programmable command and read-data alignment. These are the knobs the bring-up sweeps turn, and the reason a working board configuration is a </w:t>
      </w:r>
      <w:r>
        <w:rPr>
          <w:i/>
          <w:iCs/>
        </w:rPr>
        <w:t>tuple</w:t>
      </w:r>
      <w:r>
        <w:rPr/>
        <w:t xml:space="preserve"> rather than a single number.</w:t>
      </w:r>
    </w:p>
    <w:p>
      <w:pPr>
        <w:pStyle w:val="Compact"/>
        <w:numPr>
          <w:ilvl w:val="0"/>
          <w:numId w:val="7"/>
        </w:numPr>
        <w:rPr/>
      </w:pPr>
      <w:r>
        <w:rPr>
          <w:rStyle w:val="VerbatimChar"/>
        </w:rPr>
        <w:t>dfi_v21_flat_to_a7ddrphy</w:t>
      </w:r>
      <w:r>
        <w:rPr/>
        <w:t xml:space="preserve"> – flat DFI to the PHY’s per-phase ports.</w:t>
      </w:r>
    </w:p>
    <w:p>
      <w:pPr>
        <w:pStyle w:val="Compact"/>
        <w:numPr>
          <w:ilvl w:val="0"/>
          <w:numId w:val="8"/>
        </w:numPr>
        <w:rPr/>
      </w:pPr>
      <w:r>
        <w:rPr/>
        <w:t xml:space="preserve">the PHY itself: </w:t>
      </w:r>
      <w:r>
        <w:rPr>
          <w:rStyle w:val="VerbatimChar"/>
        </w:rPr>
        <w:t>a7ddrphy_stub.sv</w:t>
      </w:r>
      <w:r>
        <w:rPr/>
        <w:t xml:space="preserve"> for verilator and cocotb, and LiteDRAM’s generated </w:t>
      </w:r>
      <w:r>
        <w:rPr>
          <w:rStyle w:val="VerbatimChar"/>
        </w:rPr>
        <w:t>a7ddrphy</w:t>
      </w:r>
      <w:r>
        <w:rPr/>
        <w:t xml:space="preserve"> on hardware. Vivado excludes the stub and substitutes the real PHY at build time. The generated PHY is never hand-edited – when the PHY DQ tristate had to be observed, the ILA was marked on the </w:t>
      </w:r>
      <w:r>
        <w:rPr>
          <w:i/>
          <w:iCs/>
        </w:rPr>
        <w:t>synthesized netlist</w:t>
      </w:r>
      <w:r>
        <w:rPr/>
        <w:t xml:space="preserve"> instead, which is what the </w:t>
      </w:r>
      <w:r>
        <w:rPr>
          <w:rStyle w:val="VerbatimChar"/>
        </w:rPr>
        <w:t>ila_phy</w:t>
      </w:r>
      <w:r>
        <w:rPr/>
        <w:t xml:space="preserve"> build is.</w:t>
      </w:r>
    </w:p>
    <w:p>
      <w:pPr>
        <w:pStyle w:val="FirstParagraph"/>
        <w:rPr/>
      </w:pPr>
      <w:r>
        <w:rPr>
          <w:sz w:val="20"/>
        </w:rPr>
        <w:t xml:space="preserve">The PHY leveling knobs are driven by </w:t>
      </w:r>
      <w:r>
        <w:rPr>
          <w:i/>
          <w:iCs/>
          <w:sz w:val="20"/>
        </w:rPr>
        <w:t>firmware</w:t>
      </w:r>
      <w:r>
        <w:rPr>
          <w:sz w:val="20"/>
        </w:rPr>
        <w:t xml:space="preserve">, not by a hardware state machine: there are 13 of them, reached indirectly through the four </w:t>
      </w:r>
      <w:r>
        <w:rPr>
          <w:rStyle w:val="VerbatimChar"/>
          <w:sz w:val="20"/>
        </w:rPr>
        <w:t>PHY_CSR_*</w:t>
      </w:r>
      <w:r>
        <w:rPr>
          <w:sz w:val="20"/>
        </w:rPr>
        <w:t xml:space="preserve"> registers, with the knob map in </w:t>
      </w:r>
      <w:r>
        <w:rPr>
          <w:rStyle w:val="VerbatimChar"/>
          <w:sz w:val="20"/>
        </w:rPr>
        <w:t>rtl-vivado/a7ddrphy/a7ddrphy_csr_map.txt</w:t>
      </w:r>
      <w:r>
        <w:rPr>
          <w:sz w:val="20"/>
        </w:rPr>
        <w:t>. Only meaningful on hardware; the sim stub ignores the writes.</w:t>
      </w:r>
      <w:bookmarkEnd w:id="47"/>
    </w:p>
    <w:p>
      <w:pPr>
        <w:pStyle w:val="Heading2"/>
        <w:pBdr>
          <w:bottom w:val="single" w:sz="12" w:space="0" w:color="228B22"/>
        </w:pBdr>
        <w:spacing w:before="280" w:after="80"/>
        <w:rPr/>
      </w:pPr>
      <w:bookmarkStart w:id="48" w:name="__RefHeading___Toc3319_2083114603"/>
      <w:bookmarkStart w:id="49" w:name="observability-and-one-honest-compromise"/>
      <w:bookmarkEnd w:id="48"/>
      <w:r>
        <w:rPr>
          <w:rStyle w:val="SectionNumber"/>
          <w:b/>
          <w:color w:val="228B22"/>
          <w:sz w:val="28"/>
        </w:rPr>
        <w:t>3.6</w:t>
      </w:r>
      <w:r>
        <w:rPr>
          <w:b/>
          <w:color w:val="228B22"/>
          <w:sz w:val="28"/>
        </w:rPr>
        <w:tab/>
        <w:t>Observability, and one honest compromise</w:t>
      </w:r>
    </w:p>
    <w:p>
      <w:pPr>
        <w:pStyle w:val="FirstParagraph"/>
        <w:rPr/>
      </w:pPr>
      <w:r>
        <w:rPr>
          <w:rStyle w:val="VerbatimChar"/>
          <w:sz w:val="20"/>
        </w:rPr>
        <w:t>dfi_mon_ram</w:t>
      </w:r>
      <w:r>
        <w:rPr>
          <w:sz w:val="20"/>
        </w:rPr>
        <w:t xml:space="preserve"> is a small AXIL ring for DFI command observability, and </w:t>
      </w:r>
      <w:r>
        <w:rPr>
          <w:rStyle w:val="VerbatimChar"/>
          <w:sz w:val="20"/>
        </w:rPr>
        <w:t>seven_seg_4digit</w:t>
      </w:r>
      <w:r>
        <w:rPr>
          <w:sz w:val="20"/>
        </w:rPr>
        <w:t xml:space="preserve"> plus </w:t>
      </w:r>
      <w:r>
        <w:rPr>
          <w:rStyle w:val="VerbatimChar"/>
          <w:sz w:val="20"/>
        </w:rPr>
        <w:t>led_status_driver</w:t>
      </w:r>
      <w:r>
        <w:rPr>
          <w:sz w:val="20"/>
        </w:rPr>
        <w:t xml:space="preserve"> give state at the bench with no host attached – a heartbeat and a pass/fail byte are enough to tell “hung” from “running” across the room.</w:t>
      </w:r>
    </w:p>
    <w:p>
      <w:pPr>
        <w:pStyle w:val="BodyText"/>
        <w:rPr/>
      </w:pPr>
      <w:r>
        <w:rPr>
          <w:rStyle w:val="VerbatimChar"/>
          <w:sz w:val="20"/>
        </w:rPr>
        <w:t>debug_sram</w:t>
      </w:r>
      <w:r>
        <w:rPr>
          <w:sz w:val="20"/>
        </w:rPr>
        <w:t xml:space="preserve"> is the compromise. The full-size 256 KB trace ring would have needed roughly 44 K LUT-as-distributed-RAM cells against the 100T’s 19 K sites – 2.4x over the device – and it blocked </w:t>
      </w:r>
      <w:r>
        <w:rPr>
          <w:rStyle w:val="VerbatimChar"/>
          <w:sz w:val="20"/>
        </w:rPr>
        <w:t>place_design</w:t>
      </w:r>
      <w:r>
        <w:rPr>
          <w:sz w:val="20"/>
        </w:rPr>
        <w:t xml:space="preserve"> outright. The backing store is therefore shrunk to </w:t>
      </w:r>
      <w:r>
        <w:rPr>
          <w:rStyle w:val="VerbatimChar"/>
          <w:sz w:val="20"/>
        </w:rPr>
        <w:t>DEBUG_SRAM_WORDS=512</w:t>
      </w:r>
      <w:r>
        <w:rPr>
          <w:sz w:val="20"/>
        </w:rPr>
        <w:t xml:space="preserve"> (256 x 64-bit = 2 KB) and the trace ring is not used on this build. The 256 KB </w:t>
      </w:r>
      <w:r>
        <w:rPr>
          <w:i/>
          <w:iCs/>
          <w:sz w:val="20"/>
        </w:rPr>
        <w:t>address window</w:t>
      </w:r>
      <w:r>
        <w:rPr>
          <w:sz w:val="20"/>
        </w:rPr>
        <w:t xml:space="preserve"> is unchanged, so accesses above 2 KB alias back into the ring rather than erroring.</w:t>
      </w:r>
    </w:p>
    <w:p>
      <w:pPr>
        <w:pStyle w:val="BodyText"/>
        <w:rPr/>
      </w:pPr>
      <w:r>
        <w:rPr>
          <w:b/>
          <w:bCs/>
          <w:sz w:val="20"/>
        </w:rPr>
        <w:t>Important:</w:t>
      </w:r>
      <w:r>
        <w:rPr>
          <w:sz w:val="20"/>
        </w:rPr>
        <w:t xml:space="preserve"> that aliasing is the dangerous part. A reader who downloads the window and finds plausible-looking repeated data has not found a trace; they have found the same 2 KB four hundred times over. Raise </w:t>
      </w:r>
      <w:r>
        <w:rPr>
          <w:rStyle w:val="VerbatimChar"/>
          <w:sz w:val="20"/>
        </w:rPr>
        <w:t>DEBUG_SRAM_WORDS</w:t>
      </w:r>
      <w:r>
        <w:rPr>
          <w:sz w:val="20"/>
        </w:rPr>
        <w:t xml:space="preserve"> in </w:t>
      </w:r>
      <w:r>
        <w:rPr>
          <w:rStyle w:val="VerbatimChar"/>
          <w:sz w:val="20"/>
        </w:rPr>
        <w:t>ddr2_char_harness.sv</w:t>
      </w:r>
      <w:r>
        <w:rPr>
          <w:sz w:val="20"/>
        </w:rPr>
        <w:t xml:space="preserve"> on a device with headroom before trusting a trace from this window.</w:t>
      </w:r>
      <w:bookmarkEnd w:id="49"/>
    </w:p>
    <w:p>
      <w:pPr>
        <w:pStyle w:val="Heading2"/>
        <w:pBdr>
          <w:bottom w:val="single" w:sz="12" w:space="0" w:color="228B22"/>
        </w:pBdr>
        <w:spacing w:before="280" w:after="80"/>
        <w:rPr/>
      </w:pPr>
      <w:bookmarkStart w:id="50" w:name="__RefHeading___Toc3321_2083114603"/>
      <w:bookmarkStart w:id="51" w:name="X5c1997e1f147bdbffb1893dedfff2b2c91c2962"/>
      <w:bookmarkEnd w:id="50"/>
      <w:r>
        <w:rPr>
          <w:rStyle w:val="SectionNumber"/>
          <w:b/>
          <w:color w:val="228B22"/>
          <w:sz w:val="28"/>
        </w:rPr>
        <w:t>3.7</w:t>
      </w:r>
      <w:r>
        <w:rPr>
          <w:b/>
          <w:color w:val="228B22"/>
          <w:sz w:val="28"/>
        </w:rPr>
        <w:tab/>
        <w:t>Why the APB CDC is an async FIFO and not a handshake</w:t>
      </w:r>
    </w:p>
    <w:p>
      <w:pPr>
        <w:pStyle w:val="FirstParagraph"/>
        <w:rPr/>
      </w:pPr>
      <w:r>
        <w:rPr>
          <w:sz w:val="20"/>
        </w:rPr>
        <w:t xml:space="preserve">The controller’s CSR window reaches it through </w:t>
      </w:r>
      <w:r>
        <w:rPr>
          <w:rStyle w:val="VerbatimChar"/>
          <w:sz w:val="20"/>
        </w:rPr>
        <w:t>apb4_slave_cdc</w:t>
      </w:r>
      <w:r>
        <w:rPr>
          <w:sz w:val="20"/>
        </w:rPr>
        <w:t xml:space="preserve"> and </w:t>
      </w:r>
      <w:r>
        <w:rPr>
          <w:rStyle w:val="VerbatimChar"/>
          <w:sz w:val="20"/>
        </w:rPr>
        <w:t>peakrdl_to_cmdrsp</w:t>
      </w:r>
      <w:r>
        <w:rPr>
          <w:sz w:val="20"/>
        </w:rPr>
        <w:t xml:space="preserve">. The CDC inside </w:t>
      </w:r>
      <w:r>
        <w:rPr>
          <w:rStyle w:val="VerbatimChar"/>
          <w:sz w:val="20"/>
        </w:rPr>
        <w:t>apb4_slave_cdc</w:t>
      </w:r>
      <w:r>
        <w:rPr>
          <w:sz w:val="20"/>
        </w:rPr>
        <w:t xml:space="preserve"> is a gray-pointer async FIFO (</w:t>
      </w:r>
      <w:r>
        <w:rPr>
          <w:rStyle w:val="VerbatimChar"/>
          <w:sz w:val="20"/>
        </w:rPr>
        <w:t>gaxi_fifo_async</w:t>
      </w:r>
      <w:r>
        <w:rPr>
          <w:sz w:val="20"/>
        </w:rPr>
        <w:t xml:space="preserve">), deliberately not a toggle handshake, and the reason is a reset asymmetry specific to this harness: the APB side runs on </w:t>
      </w:r>
      <w:r>
        <w:rPr>
          <w:rStyle w:val="VerbatimChar"/>
          <w:sz w:val="20"/>
        </w:rPr>
        <w:t>presetn</w:t>
      </w:r>
      <w:r>
        <w:rPr>
          <w:sz w:val="20"/>
        </w:rPr>
        <w:t xml:space="preserve"> and the core side on </w:t>
      </w:r>
      <w:r>
        <w:rPr>
          <w:rStyle w:val="VerbatimChar"/>
          <w:sz w:val="20"/>
        </w:rPr>
        <w:t>aresetn</w:t>
      </w:r>
      <w:r>
        <w:rPr>
          <w:sz w:val="20"/>
        </w:rPr>
        <w:t xml:space="preserve">, and </w:t>
      </w:r>
      <w:r>
        <w:rPr>
          <w:rStyle w:val="VerbatimChar"/>
          <w:sz w:val="20"/>
        </w:rPr>
        <w:t>CTRL.soft_reset</w:t>
      </w:r>
      <w:r>
        <w:rPr>
          <w:sz w:val="20"/>
        </w:rPr>
        <w:t xml:space="preserve"> pulses </w:t>
      </w:r>
      <w:r>
        <w:rPr>
          <w:b/>
          <w:bCs/>
          <w:sz w:val="20"/>
        </w:rPr>
        <w:t>only the core side</w:t>
      </w:r>
      <w:r>
        <w:rPr>
          <w:sz w:val="20"/>
        </w:rPr>
        <w:t>. A toggle-parity handshake desynchronizes across that asymmetric reset and leaves the response stream permanently offset by one transaction – every readback returns the answer to the previous question. An async FIFO with gray pointers re-synchronizes instead of latching a parity error.</w:t>
      </w:r>
    </w:p>
    <w:p>
      <w:pPr>
        <w:pStyle w:val="BodyText"/>
        <w:rPr/>
      </w:pPr>
      <w:r>
        <w:rPr>
          <w:sz w:val="20"/>
        </w:rPr>
        <w:t>This is recorded in the filelist that pulls the CDC in, next to the dependency it justifies, which is the right place for it: the next person to “simplify” that CDC reads the reason before they do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he-harness"/>
      <w:bookmarkStart w:id="53" w:name="X5c1997e1f147bdbffb1893dedfff2b2c91c2962"/>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1"/>
        <w:shd w:val="clear" w:color="auto" w:fill="404040"/>
        <w:spacing w:before="360" w:after="120"/>
        <w:rPr/>
      </w:pPr>
      <w:bookmarkStart w:id="54" w:name="__RefHeading___Toc3323_2083114603"/>
      <w:bookmarkStart w:id="55" w:name="one-harness-five-targets"/>
      <w:bookmarkEnd w:id="54"/>
      <w:r>
        <w:rPr>
          <w:rStyle w:val="SectionNumber"/>
          <w:b/>
          <w:color w:val="FFFFFF"/>
          <w:sz w:val="32"/>
        </w:rPr>
        <w:t>4</w:t>
      </w:r>
      <w:r>
        <w:rPr>
          <w:b/>
          <w:color w:val="FFFFFF"/>
          <w:sz w:val="32"/>
        </w:rPr>
        <w:tab/>
        <w:t>One Harness, Five Targets</w:t>
      </w:r>
    </w:p>
    <w:p>
      <w:pPr>
        <w:pStyle w:val="Heading2"/>
        <w:pBdr>
          <w:bottom w:val="single" w:sz="12" w:space="0" w:color="228B22"/>
        </w:pBdr>
        <w:spacing w:before="280" w:after="80"/>
        <w:rPr/>
      </w:pPr>
      <w:bookmarkStart w:id="56" w:name="__RefHeading___Toc3325_2083114603"/>
      <w:bookmarkStart w:id="57" w:name="the-short-answer"/>
      <w:bookmarkEnd w:id="56"/>
      <w:r>
        <w:rPr>
          <w:rStyle w:val="SectionNumber"/>
          <w:b/>
          <w:color w:val="228B22"/>
          <w:sz w:val="28"/>
        </w:rPr>
        <w:t>4.1</w:t>
      </w:r>
      <w:r>
        <w:rPr>
          <w:b/>
          <w:color w:val="228B22"/>
          <w:sz w:val="28"/>
        </w:rPr>
        <w:tab/>
        <w:t>The short answer</w:t>
      </w:r>
    </w:p>
    <w:p>
      <w:pPr>
        <w:pStyle w:val="FirstParagraph"/>
        <w:rPr/>
      </w:pPr>
      <w:r>
        <w:rPr>
          <w:b/>
          <w:bCs/>
          <w:sz w:val="20"/>
        </w:rPr>
        <w:t>The harness RTL does not change per build.</w:t>
      </w:r>
      <w:r>
        <w:rPr>
          <w:sz w:val="20"/>
        </w:rPr>
        <w:t xml:space="preserve"> There is one copy of the engine spine, the CSR block, the DFI delays and the displays, in </w:t>
      </w:r>
      <w:r>
        <w:rPr>
          <w:rStyle w:val="VerbatimChar"/>
          <w:sz w:val="20"/>
        </w:rPr>
        <w:t>ddr2_char_framework/rtl/</w:t>
      </w:r>
      <w:r>
        <w:rPr>
          <w:sz w:val="20"/>
        </w:rPr>
        <w:t xml:space="preserve">, and every target compiles that same source. There are no per-build copies and no </w:t>
      </w:r>
      <w:r>
        <w:rPr>
          <w:rStyle w:val="VerbatimChar"/>
          <w:sz w:val="20"/>
        </w:rPr>
        <w:t>ifdef</w:t>
      </w:r>
      <w:r>
        <w:rPr>
          <w:sz w:val="20"/>
        </w:rPr>
        <w:t xml:space="preserve"> forks of the engine.</w:t>
      </w:r>
    </w:p>
    <w:p>
      <w:pPr>
        <w:pStyle w:val="BodyText"/>
        <w:rPr/>
      </w:pPr>
      <w:r>
        <w:rPr>
          <w:sz w:val="20"/>
        </w:rPr>
        <w:t>What changes between targets is one of exactly three things: the debug cores added after synthesis, the DUT behind the AXI port, or the PHY model. Each is worth a section, because each answers a different question.</w:t>
      </w:r>
    </w:p>
    <w:p>
      <w:pPr>
        <w:pStyle w:val="Heading3"/>
        <w:spacing w:before="200" w:after="80"/>
        <w:rPr/>
      </w:pPr>
      <w:bookmarkStart w:id="58" w:name="__RefHeading___Toc3327_2083114603"/>
      <w:bookmarkStart w:id="59" w:name="Xa501462bbadb0244342c2629e1a1a706d9d1337"/>
      <w:bookmarkStart w:id="60" w:name="_Fig_3_One_harness_source__"/>
      <w:bookmarkEnd w:id="58"/>
      <w:r>
        <w:rPr>
          <w:rStyle w:val="SectionNumber"/>
          <w:b/>
          <w:color w:val="404040"/>
          <w:sz w:val="24"/>
        </w:rPr>
        <w:t>4.1.1</w:t>
      </w:r>
      <w:r>
        <w:rPr>
          <w:b/>
          <w:color w:val="404040"/>
          <w:sz w:val="24"/>
        </w:rPr>
        <w:tab/>
        <w:t>Figure 3.1: One harness source, five targets</w:t>
      </w:r>
      <w:bookmarkEnd w:id="60"/>
    </w:p>
    <w:p>
      <w:pPr>
        <w:pStyle w:val="CaptionedFigure"/>
        <w:rPr/>
      </w:pPr>
      <w:r>
        <w:rPr/>
        <w:drawing>
          <wp:inline distT="0" distB="0" distL="0" distR="0">
            <wp:extent cx="5334000" cy="2201545"/>
            <wp:effectExtent l="0" t="0" r="0" b="0"/>
            <wp:docPr id="14" name="Image3" descr="One harness source, five targets. The harness RTL is the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harness source, five targets. The harness RTL is the constant."/>
                    <pic:cNvPicPr>
                      <a:picLocks noChangeAspect="1" noChangeArrowheads="1"/>
                    </pic:cNvPicPr>
                  </pic:nvPicPr>
                  <pic:blipFill>
                    <a:blip r:embed="rId7"/>
                    <a:stretch>
                      <a:fillRect/>
                    </a:stretch>
                  </pic:blipFill>
                  <pic:spPr bwMode="auto">
                    <a:xfrm>
                      <a:off x="0" y="0"/>
                      <a:ext cx="5334000" cy="2201545"/>
                    </a:xfrm>
                    <a:prstGeom prst="rect">
                      <a:avLst/>
                    </a:prstGeom>
                  </pic:spPr>
                </pic:pic>
              </a:graphicData>
            </a:graphic>
          </wp:inline>
        </w:drawing>
      </w:r>
    </w:p>
    <w:p>
      <w:pPr>
        <w:pStyle w:val="ImageCaption"/>
        <w:rPr/>
      </w:pPr>
      <w:r>
        <w:rPr/>
        <w:t>One harness source, five targets. The harness RTL is the constant.</w:t>
      </w:r>
    </w:p>
    <w:p>
      <w:pPr>
        <w:pStyle w:val="BodyText"/>
        <w:rPr/>
      </w:pPr>
      <w:r>
        <w:rPr>
          <w:b/>
          <w:bCs/>
          <w:sz w:val="20"/>
        </w:rPr>
        <w:t>Source:</w:t>
      </w:r>
      <w:r>
        <w:rPr>
          <w:sz w:val="20"/>
        </w:rPr>
        <w:t xml:space="preserve"> </w:t>
      </w:r>
      <w:hyperlink r:id="rId8">
        <w:r>
          <w:rPr>
            <w:rStyle w:val="Hyperlink"/>
          </w:rPr>
          <w:t>03_build_variants.dot</w:t>
        </w:r>
      </w:hyperlink>
      <w:bookmarkEnd w:id="57"/>
      <w:bookmarkEnd w:id="59"/>
    </w:p>
    <w:p>
      <w:pPr>
        <w:pStyle w:val="Heading2"/>
        <w:pBdr>
          <w:bottom w:val="single" w:sz="12" w:space="0" w:color="228B22"/>
        </w:pBdr>
        <w:spacing w:before="280" w:after="80"/>
        <w:rPr/>
      </w:pPr>
      <w:bookmarkStart w:id="61" w:name="__RefHeading___Toc3329_2083114603"/>
      <w:bookmarkStart w:id="62" w:name="the-five-targets"/>
      <w:bookmarkEnd w:id="61"/>
      <w:r>
        <w:rPr>
          <w:rStyle w:val="SectionNumber"/>
          <w:b/>
          <w:color w:val="228B22"/>
          <w:sz w:val="28"/>
        </w:rPr>
        <w:t>4.2</w:t>
      </w:r>
      <w:r>
        <w:rPr>
          <w:b/>
          <w:color w:val="228B22"/>
          <w:sz w:val="28"/>
        </w:rPr>
        <w:tab/>
        <w:t>The five targets</w:t>
      </w:r>
    </w:p>
    <w:p>
      <w:pPr>
        <w:pStyle w:val="TableCaption"/>
        <w:rPr/>
      </w:pPr>
      <w:bookmarkStart w:id="63" w:name="_Tab_8_Table_3_1__The_five_"/>
      <w:r>
        <w:rPr/>
        <w:t>Table 3.1: The five targets built from one harness source</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differs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 this is the reference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measurement build; every published number comes from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 cores added by tcl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controller-side signals when a number is surprising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PHY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ddr2_char_ila_phy.bit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ILA marked on the </w:t>
            </w:r>
            <w:r>
              <w:rPr>
                <w:rFonts w:eastAsia="Cambria" w:cs=""/>
                <w:i/>
                <w:iCs/>
                <w:kern w:val="0"/>
                <w:sz w:val="24"/>
                <w:szCs w:val="24"/>
                <w:lang w:val="en-US" w:eastAsia="en-US" w:bidi="ar-SA"/>
              </w:rPr>
              <w:t>synthesized netlist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the PHY’s DQ tristate, which has no RTL you may edit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litedram_char.bit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DUT, and the PHY comes with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our controller good, compared to what?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twin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(verilator/cocotb)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is a stub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a host program before it touches hardware</w:t>
            </w:r>
          </w:p>
        </w:tc>
      </w:tr>
    </w:tbl>
    <w:p>
      <w:pPr>
        <w:pStyle w:val="BodyText"/>
        <w:rPr/>
      </w:pPr>
      <w:r>
        <w:rPr>
          <w:rStyle w:val="VerbatimChar"/>
          <w:sz w:val="20"/>
        </w:rPr>
        <w:t>ddr2-characterization/flows-ours-uart/</w:t>
      </w:r>
      <w:r>
        <w:rPr>
          <w:sz w:val="20"/>
        </w:rPr>
        <w:t xml:space="preserve"> looks like a sixth and is not. It has zero tracked files – only stray </w:t>
      </w:r>
      <w:r>
        <w:rPr>
          <w:rStyle w:val="VerbatimChar"/>
          <w:sz w:val="20"/>
        </w:rPr>
        <w:t>__pycache__</w:t>
      </w:r>
      <w:r>
        <w:rPr>
          <w:sz w:val="20"/>
        </w:rPr>
        <w:t xml:space="preserve"> directories – and its sibling </w:t>
      </w:r>
      <w:r>
        <w:rPr>
          <w:rStyle w:val="VerbatimChar"/>
          <w:sz w:val="20"/>
        </w:rPr>
        <w:t>ddr2-characterization/README.md</w:t>
      </w:r>
      <w:r>
        <w:rPr>
          <w:sz w:val="20"/>
        </w:rPr>
        <w:t xml:space="preserve"> still opens with “Status: Skeleton – directories scaffolded, harness RTL not yet written”. That statement is stale by the entire contents of </w:t>
      </w:r>
      <w:r>
        <w:rPr>
          <w:rStyle w:val="VerbatimChar"/>
          <w:sz w:val="20"/>
        </w:rPr>
        <w:t>build-perf</w:t>
      </w:r>
      <w:r>
        <w:rPr>
          <w:sz w:val="20"/>
        </w:rPr>
        <w:t>, which has 114 tracked files and three bitstreams. Treat that README as a historical document and this book as the current one.</w:t>
      </w:r>
      <w:bookmarkEnd w:id="62"/>
    </w:p>
    <w:p>
      <w:pPr>
        <w:pStyle w:val="Heading2"/>
        <w:pBdr>
          <w:bottom w:val="single" w:sz="12" w:space="0" w:color="228B22"/>
        </w:pBdr>
        <w:spacing w:before="280" w:after="80"/>
        <w:rPr/>
      </w:pPr>
      <w:bookmarkStart w:id="64" w:name="__RefHeading___Toc3331_2083114603"/>
      <w:bookmarkStart w:id="65" w:name="X0e4a50a07f5c663f87181f079e32e6f22d52144"/>
      <w:bookmarkEnd w:id="64"/>
      <w:r>
        <w:rPr>
          <w:rStyle w:val="SectionNumber"/>
          <w:b/>
          <w:color w:val="228B22"/>
          <w:sz w:val="28"/>
        </w:rPr>
        <w:t>4.3</w:t>
      </w:r>
      <w:r>
        <w:rPr>
          <w:b/>
          <w:color w:val="228B22"/>
          <w:sz w:val="28"/>
        </w:rPr>
        <w:tab/>
        <w:t>What the ILA builds change, and what they do not</w:t>
      </w:r>
    </w:p>
    <w:p>
      <w:pPr>
        <w:pStyle w:val="FirstParagraph"/>
        <w:rPr/>
      </w:pPr>
      <w:r>
        <w:rPr>
          <w:sz w:val="20"/>
        </w:rPr>
        <w:t xml:space="preserve">Neither ILA build edits the harness. </w:t>
      </w:r>
      <w:r>
        <w:rPr>
          <w:rStyle w:val="VerbatimChar"/>
          <w:sz w:val="20"/>
        </w:rPr>
        <w:t>ddr2_char_ila.bit</w:t>
      </w:r>
      <w:r>
        <w:rPr>
          <w:sz w:val="20"/>
        </w:rPr>
        <w:t xml:space="preserve"> adds debug cores to controller-side signals through tcl at build time.</w:t>
      </w:r>
    </w:p>
    <w:p>
      <w:pPr>
        <w:pStyle w:val="BodyText"/>
        <w:rPr/>
      </w:pPr>
      <w:r>
        <w:rPr>
          <w:rStyle w:val="VerbatimChar"/>
          <w:sz w:val="20"/>
        </w:rPr>
        <w:t>ddr2_char_ila_phy.bit</w:t>
      </w:r>
      <w:r>
        <w:rPr>
          <w:sz w:val="20"/>
        </w:rPr>
        <w:t xml:space="preserve"> is the more interesting one, and the reason it exists is a constraint rather than a preference. The signal worth watching for read/write turnaround is the PHY’s DQ output enable – whether the FPGA is driving the DQ wires while the DRAM is returning data. That signal lives inside LiteDRAM’s generated </w:t>
      </w:r>
      <w:r>
        <w:rPr>
          <w:rStyle w:val="VerbatimChar"/>
          <w:sz w:val="20"/>
        </w:rPr>
        <w:t>a7ddrphy_generated.v</w:t>
      </w:r>
      <w:r>
        <w:rPr>
          <w:sz w:val="20"/>
        </w:rPr>
        <w:t xml:space="preserve">, which must not be hand-edited: it is generated output, and editing it plants a change that the next regeneration silently reverts. So the ILA is marked on the </w:t>
      </w:r>
      <w:r>
        <w:rPr>
          <w:b/>
          <w:bCs/>
          <w:sz w:val="20"/>
        </w:rPr>
        <w:t>synthesized netlist</w:t>
      </w:r>
      <w:r>
        <w:rPr>
          <w:sz w:val="20"/>
        </w:rPr>
        <w:t xml:space="preserve"> instead, matching </w:t>
      </w:r>
      <w:r>
        <w:rPr>
          <w:rStyle w:val="VerbatimChar"/>
          <w:sz w:val="20"/>
        </w:rPr>
        <w:t>*a7ddrphy_dq_oe_delay*</w:t>
      </w:r>
      <w:r>
        <w:rPr>
          <w:sz w:val="20"/>
        </w:rPr>
        <w:t xml:space="preserve"> and </w:t>
      </w:r>
      <w:r>
        <w:rPr>
          <w:rStyle w:val="VerbatimChar"/>
          <w:sz w:val="20"/>
        </w:rPr>
        <w:t>*a7ddrphy_dqs_oe_delay*</w:t>
      </w:r>
      <w:r>
        <w:rPr>
          <w:sz w:val="20"/>
        </w:rPr>
        <w:t xml:space="preserve"> after synthesis rather than instrumenting the source.</w:t>
      </w:r>
    </w:p>
    <w:p>
      <w:pPr>
        <w:pStyle w:val="BodyText"/>
        <w:rPr/>
      </w:pPr>
      <w:r>
        <w:rPr>
          <w:b/>
          <w:bCs/>
          <w:sz w:val="20"/>
        </w:rPr>
        <w:t>Note:</w:t>
      </w:r>
      <w:r>
        <w:rPr>
          <w:sz w:val="20"/>
        </w:rPr>
        <w:t xml:space="preserve"> the DFI-boundary signal </w:t>
      </w:r>
      <w:r>
        <w:rPr>
          <w:rStyle w:val="VerbatimChar"/>
          <w:sz w:val="20"/>
        </w:rPr>
        <w:t>w_dfi_rddata_valid</w:t>
      </w:r>
      <w:r>
        <w:rPr>
          <w:sz w:val="20"/>
        </w:rPr>
        <w:t xml:space="preserve"> is </w:t>
      </w:r>
      <w:r>
        <w:rPr>
          <w:i/>
          <w:iCs/>
          <w:sz w:val="20"/>
        </w:rPr>
        <w:t>not</w:t>
      </w:r>
      <w:r>
        <w:rPr>
          <w:sz w:val="20"/>
        </w:rPr>
        <w:t xml:space="preserve"> the same thing. It is a post-capture signal: it tells you a read has been captured, not that the wires were contended. Arming a trigger on it and finding nothing proves nothing about the tristate. The distinction cost a whole ILA campaign before it was understood.</w:t>
      </w:r>
    </w:p>
    <w:p>
      <w:pPr>
        <w:pStyle w:val="BodyText"/>
        <w:rPr/>
      </w:pPr>
      <w:r>
        <w:rPr>
          <w:b/>
          <w:bCs/>
          <w:sz w:val="20"/>
        </w:rPr>
        <w:t>Important:</w:t>
      </w:r>
      <w:r>
        <w:rPr>
          <w:sz w:val="20"/>
        </w:rPr>
        <w:t xml:space="preserve"> a trigger that never fires is not evidence. When the PHY contention build was brought up, the first three captures came back empty because the trigger armed during the prefill’s write phase. The discipline that came out of it: arm each half of the condition separately first and confirm </w:t>
      </w:r>
      <w:r>
        <w:rPr>
          <w:i/>
          <w:iCs/>
          <w:sz w:val="20"/>
        </w:rPr>
        <w:t>those</w:t>
      </w:r>
      <w:r>
        <w:rPr>
          <w:sz w:val="20"/>
        </w:rPr>
        <w:t xml:space="preserve"> fire, and only then believe a silent combined trigger.</w:t>
      </w:r>
      <w:bookmarkEnd w:id="65"/>
    </w:p>
    <w:p>
      <w:pPr>
        <w:pStyle w:val="Heading2"/>
        <w:pBdr>
          <w:bottom w:val="single" w:sz="12" w:space="0" w:color="228B22"/>
        </w:pBdr>
        <w:spacing w:before="280" w:after="80"/>
        <w:rPr/>
      </w:pPr>
      <w:bookmarkStart w:id="66" w:name="__RefHeading___Toc3333_2083114603"/>
      <w:bookmarkStart w:id="67" w:name="X74c64a4fe1f8b34d28ccd538c21bf5df738d457"/>
      <w:bookmarkEnd w:id="66"/>
      <w:r>
        <w:rPr>
          <w:rStyle w:val="SectionNumber"/>
          <w:b/>
          <w:color w:val="228B22"/>
          <w:sz w:val="28"/>
        </w:rPr>
        <w:t>4.4</w:t>
      </w:r>
      <w:r>
        <w:rPr>
          <w:b/>
          <w:color w:val="228B22"/>
          <w:sz w:val="28"/>
        </w:rPr>
        <w:tab/>
        <w:t>The LiteDRAM build is the point of the whole structure</w:t>
      </w:r>
    </w:p>
    <w:p>
      <w:pPr>
        <w:pStyle w:val="FirstParagraph"/>
        <w:rPr/>
      </w:pPr>
      <w:r>
        <w:rPr>
          <w:sz w:val="20"/>
        </w:rPr>
        <w:t xml:space="preserve">The reason the engine spine is a separate, DUT-agnostic module is this build. </w:t>
      </w:r>
      <w:r>
        <w:rPr>
          <w:rStyle w:val="VerbatimChar"/>
          <w:sz w:val="20"/>
        </w:rPr>
        <w:t>flows-litedram-uart</w:t>
      </w:r>
      <w:r>
        <w:rPr>
          <w:sz w:val="20"/>
        </w:rPr>
        <w:t xml:space="preserve"> puts LiteDRAM’s DDR2 controller behind the same AXI port that pumice normally sits on. Its harness, </w:t>
      </w:r>
      <w:r>
        <w:rPr>
          <w:rStyle w:val="VerbatimChar"/>
          <w:sz w:val="20"/>
        </w:rPr>
        <w:t>char_engine_harness.sv</w:t>
      </w:r>
      <w:r>
        <w:rPr>
          <w:sz w:val="20"/>
        </w:rPr>
        <w:t xml:space="preserve">, is described in its own README as build-perf’s harness </w:t>
      </w:r>
      <w:r>
        <w:rPr>
          <w:i/>
          <w:iCs/>
          <w:sz w:val="20"/>
        </w:rPr>
        <w:t>minus pumice</w:t>
      </w:r>
      <w:r>
        <w:rPr>
          <w:sz w:val="20"/>
        </w:rPr>
        <w:t xml:space="preserve"> – and everything else is the same file:</w:t>
      </w:r>
    </w:p>
    <w:p>
      <w:pPr>
        <w:pStyle w:val="Compact"/>
        <w:numPr>
          <w:ilvl w:val="0"/>
          <w:numId w:val="9"/>
        </w:numPr>
        <w:rPr/>
      </w:pPr>
      <w:r>
        <w:rPr/>
        <w:t xml:space="preserve">the same </w:t>
      </w:r>
      <w:r>
        <w:rPr>
          <w:rStyle w:val="VerbatimChar"/>
        </w:rPr>
        <w:t>uart_axil_bridge</w:t>
      </w:r>
    </w:p>
    <w:p>
      <w:pPr>
        <w:pStyle w:val="Compact"/>
        <w:numPr>
          <w:ilvl w:val="0"/>
          <w:numId w:val="10"/>
        </w:numPr>
        <w:rPr/>
      </w:pPr>
      <w:r>
        <w:rPr/>
        <w:t>the same generated address bridge</w:t>
      </w:r>
    </w:p>
    <w:p>
      <w:pPr>
        <w:pStyle w:val="Compact"/>
        <w:numPr>
          <w:ilvl w:val="0"/>
          <w:numId w:val="11"/>
        </w:numPr>
        <w:rPr/>
      </w:pPr>
      <w:r>
        <w:rPr/>
        <w:t xml:space="preserve">the same </w:t>
      </w:r>
      <w:r>
        <w:rPr>
          <w:rStyle w:val="VerbatimChar"/>
        </w:rPr>
        <w:t>harness_csr</w:t>
      </w:r>
    </w:p>
    <w:p>
      <w:pPr>
        <w:pStyle w:val="Compact"/>
        <w:numPr>
          <w:ilvl w:val="0"/>
          <w:numId w:val="12"/>
        </w:numPr>
        <w:rPr/>
      </w:pPr>
      <w:r>
        <w:rPr/>
        <w:t xml:space="preserve">the same </w:t>
      </w:r>
      <w:r>
        <w:rPr>
          <w:rStyle w:val="VerbatimChar"/>
        </w:rPr>
        <w:t>char_engine_block</w:t>
      </w:r>
      <w:r>
        <w:rPr/>
        <w:t xml:space="preserve"> (generator registers, generator array, meters, histograms)</w:t>
      </w:r>
    </w:p>
    <w:p>
      <w:pPr>
        <w:pStyle w:val="Compact"/>
        <w:numPr>
          <w:ilvl w:val="0"/>
          <w:numId w:val="13"/>
        </w:numPr>
        <w:rPr/>
      </w:pPr>
      <w:r>
        <w:rPr/>
        <w:t>the same host program and the same CSV schema</w:t>
      </w:r>
    </w:p>
    <w:p>
      <w:pPr>
        <w:pStyle w:val="FirstParagraph"/>
        <w:rPr/>
      </w:pPr>
      <w:r>
        <w:rPr>
          <w:sz w:val="20"/>
        </w:rPr>
        <w:t xml:space="preserve">Only the controller differs. That is what makes a number from this build and a number from </w:t>
      </w:r>
      <w:r>
        <w:rPr>
          <w:rStyle w:val="VerbatimChar"/>
          <w:sz w:val="20"/>
        </w:rPr>
        <w:t>build-perf</w:t>
      </w:r>
      <w:r>
        <w:rPr>
          <w:sz w:val="20"/>
        </w:rPr>
        <w:t xml:space="preserve"> directly comparable, and it is why the comparison is worth anything at all. An A/B where the apparatus also changed measures the apparatus.</w:t>
      </w:r>
    </w:p>
    <w:p>
      <w:pPr>
        <w:pStyle w:val="BodyText"/>
        <w:rPr/>
      </w:pPr>
      <w:r>
        <w:rPr>
          <w:sz w:val="20"/>
        </w:rPr>
        <w:t xml:space="preserve">The LiteDRAM core is configured to match the pumice design point deliberately: </w:t>
      </w:r>
      <w:r>
        <w:rPr>
          <w:rStyle w:val="VerbatimChar"/>
          <w:sz w:val="20"/>
        </w:rPr>
        <w:t>MT47H64M16</w:t>
      </w:r>
      <w:r>
        <w:rPr>
          <w:sz w:val="20"/>
        </w:rPr>
        <w:t xml:space="preserve"> x16, the Xilinx A7DDRPHY, 75 MHz system with 1:2 gearing to DDR2-300 – the same profile </w:t>
      </w:r>
      <w:r>
        <w:rPr>
          <w:rStyle w:val="VerbatimChar"/>
          <w:sz w:val="20"/>
        </w:rPr>
        <w:t>PUMICE_SYS_75</w:t>
      </w:r>
      <w:r>
        <w:rPr>
          <w:sz w:val="20"/>
        </w:rPr>
        <w:t xml:space="preserve"> selects – </w:t>
      </w:r>
      <w:r>
        <w:rPr>
          <w:rStyle w:val="VerbatimChar"/>
          <w:sz w:val="20"/>
        </w:rPr>
        <w:t>cmd_buffer_depth</w:t>
      </w:r>
      <w:r>
        <w:rPr>
          <w:sz w:val="20"/>
        </w:rPr>
        <w:t xml:space="preserve"> 16, and one 64-bit AXI user port. Matching the configuration is part of matching the experiment.</w:t>
      </w:r>
    </w:p>
    <w:p>
      <w:pPr>
        <w:pStyle w:val="BodyText"/>
        <w:rPr/>
      </w:pPr>
      <w:r>
        <w:rPr>
          <w:sz w:val="20"/>
        </w:rPr>
        <w:t>LiteDRAM brings its own PLL, its own PHY and its own initialization, which is why this build’s top (</w:t>
      </w:r>
      <w:r>
        <w:rPr>
          <w:rStyle w:val="VerbatimChar"/>
          <w:sz w:val="20"/>
        </w:rPr>
        <w:t>litedram_char_top.sv</w:t>
      </w:r>
      <w:r>
        <w:rPr>
          <w:sz w:val="20"/>
        </w:rPr>
        <w:t xml:space="preserve">) puts the harness on LiteDRAM’s </w:t>
      </w:r>
      <w:r>
        <w:rPr>
          <w:rStyle w:val="VerbatimChar"/>
          <w:sz w:val="20"/>
        </w:rPr>
        <w:t>user_clk</w:t>
      </w:r>
      <w:r>
        <w:rPr>
          <w:sz w:val="20"/>
        </w:rPr>
        <w:t xml:space="preserve"> and wires </w:t>
      </w:r>
      <w:r>
        <w:rPr>
          <w:rStyle w:val="VerbatimChar"/>
          <w:sz w:val="20"/>
        </w:rPr>
        <w:t>m_axi</w:t>
      </w:r>
      <w:r>
        <w:rPr>
          <w:sz w:val="20"/>
        </w:rPr>
        <w:t xml:space="preserve"> to </w:t>
      </w:r>
      <w:r>
        <w:rPr>
          <w:rStyle w:val="VerbatimChar"/>
          <w:sz w:val="20"/>
        </w:rPr>
        <w:t>user_port_axi_0</w:t>
      </w:r>
      <w:r>
        <w:rPr>
          <w:sz w:val="20"/>
        </w:rPr>
        <w:t xml:space="preserve">. It also vendors a </w:t>
      </w:r>
      <w:r>
        <w:rPr>
          <w:rStyle w:val="VerbatimChar"/>
          <w:sz w:val="20"/>
        </w:rPr>
        <w:t>VexRiscv.v</w:t>
      </w:r>
      <w:r>
        <w:rPr>
          <w:sz w:val="20"/>
        </w:rPr>
        <w:t xml:space="preserve"> alongside the core, because LiteDRAM’s self-initialization BIOS runs on a soft CPU.</w:t>
      </w:r>
    </w:p>
    <w:p>
      <w:pPr>
        <w:pStyle w:val="BodyText"/>
        <w:rPr/>
      </w:pPr>
      <w:r>
        <w:rPr>
          <w:b/>
          <w:bCs/>
          <w:sz w:val="20"/>
        </w:rPr>
        <w:t>Note:</w:t>
      </w:r>
      <w:r>
        <w:rPr>
          <w:sz w:val="20"/>
        </w:rPr>
        <w:t xml:space="preserve"> this build also proves the board itself. When pumice could not bring DDR2 up, a LiteDRAM memtest passing on the same board and the same part is what separated “our controller is wrong” from “the pins, the PHY or the DRAM are wrong”. A reference build that works is a diagnostic instrument, not just a competitor.</w:t>
      </w:r>
      <w:bookmarkEnd w:id="67"/>
    </w:p>
    <w:p>
      <w:pPr>
        <w:pStyle w:val="Heading2"/>
        <w:pBdr>
          <w:bottom w:val="single" w:sz="12" w:space="0" w:color="228B22"/>
        </w:pBdr>
        <w:spacing w:before="280" w:after="80"/>
        <w:rPr/>
      </w:pPr>
      <w:bookmarkStart w:id="68" w:name="__RefHeading___Toc3335_2083114603"/>
      <w:bookmarkStart w:id="69" w:name="the-simulation-twin"/>
      <w:bookmarkEnd w:id="68"/>
      <w:r>
        <w:rPr>
          <w:rStyle w:val="SectionNumber"/>
          <w:b/>
          <w:color w:val="228B22"/>
          <w:sz w:val="28"/>
        </w:rPr>
        <w:t>4.5</w:t>
      </w:r>
      <w:r>
        <w:rPr>
          <w:b/>
          <w:color w:val="228B22"/>
          <w:sz w:val="28"/>
        </w:rPr>
        <w:tab/>
        <w:t>The simulation twin</w:t>
      </w:r>
    </w:p>
    <w:p>
      <w:pPr>
        <w:pStyle w:val="FirstParagraph"/>
        <w:rPr/>
      </w:pPr>
      <w:r>
        <w:rPr>
          <w:rStyle w:val="VerbatimChar"/>
          <w:sz w:val="20"/>
        </w:rPr>
        <w:t>ddr2_char_framework</w:t>
      </w:r>
      <w:r>
        <w:rPr>
          <w:sz w:val="20"/>
        </w:rPr>
        <w:t xml:space="preserve"> builds no bitstream. It compiles the same harness with </w:t>
      </w:r>
      <w:r>
        <w:rPr>
          <w:rStyle w:val="VerbatimChar"/>
          <w:sz w:val="20"/>
        </w:rPr>
        <w:t>a7ddrphy_stub.sv</w:t>
      </w:r>
      <w:r>
        <w:rPr>
          <w:sz w:val="20"/>
        </w:rPr>
        <w:t xml:space="preserve"> in place of the PHY and </w:t>
      </w:r>
      <w:r>
        <w:rPr>
          <w:rStyle w:val="VerbatimChar"/>
          <w:sz w:val="20"/>
        </w:rPr>
        <w:t>verilator_xilinx_stubs</w:t>
      </w:r>
      <w:r>
        <w:rPr>
          <w:sz w:val="20"/>
        </w:rPr>
        <w:t xml:space="preserve"> supplying primitives like </w:t>
      </w:r>
      <w:r>
        <w:rPr>
          <w:rStyle w:val="VerbatimChar"/>
          <w:sz w:val="20"/>
        </w:rPr>
        <w:t>BUFG</w:t>
      </w:r>
      <w:r>
        <w:rPr>
          <w:sz w:val="20"/>
        </w:rPr>
        <w:t>, and drives it from cocotb.</w:t>
      </w:r>
    </w:p>
    <w:p>
      <w:pPr>
        <w:pStyle w:val="BodyText"/>
        <w:rPr/>
      </w:pPr>
      <w:r>
        <w:rPr>
          <w:sz w:val="20"/>
        </w:rPr>
        <w:t xml:space="preserve">Its value is that it speaks </w:t>
      </w:r>
      <w:r>
        <w:rPr>
          <w:b/>
          <w:bCs/>
          <w:sz w:val="20"/>
        </w:rPr>
        <w:t>the same UART byte stream as the board</w:t>
      </w:r>
      <w:r>
        <w:rPr>
          <w:sz w:val="20"/>
        </w:rPr>
        <w:t>. The host program is not rewritten for simulation; it is pointed at the simulator. A program that works in cosim and fails on hardware has isolated the difference to the PHY or the DRAM, which is a small search space. That equivalence is the reason the framework exists and the reason it is the gate that runs before any controller RTL change is committed.</w:t>
      </w:r>
      <w:bookmarkEnd w:id="69"/>
    </w:p>
    <w:p>
      <w:pPr>
        <w:pStyle w:val="Heading2"/>
        <w:pBdr>
          <w:bottom w:val="single" w:sz="12" w:space="0" w:color="228B22"/>
        </w:pBdr>
        <w:spacing w:before="280" w:after="80"/>
        <w:rPr/>
      </w:pPr>
      <w:bookmarkStart w:id="70" w:name="__RefHeading___Toc3337_2083114603"/>
      <w:bookmarkStart w:id="71" w:name="X0b145c7a26c0f39d415f241d02ad825503a0a12"/>
      <w:bookmarkEnd w:id="70"/>
      <w:r>
        <w:rPr>
          <w:rStyle w:val="SectionNumber"/>
          <w:b/>
          <w:color w:val="228B22"/>
          <w:sz w:val="28"/>
        </w:rPr>
        <w:t>4.6</w:t>
      </w:r>
      <w:r>
        <w:rPr>
          <w:b/>
          <w:color w:val="228B22"/>
          <w:sz w:val="28"/>
        </w:rPr>
        <w:tab/>
        <w:t>The frequency define is part of the build identity</w:t>
      </w:r>
    </w:p>
    <w:p>
      <w:pPr>
        <w:pStyle w:val="FirstParagraph"/>
        <w:rPr/>
      </w:pPr>
      <w:r>
        <w:rPr>
          <w:rStyle w:val="VerbatimChar"/>
          <w:sz w:val="20"/>
        </w:rPr>
        <w:t>PUMICE_SYS_75</w:t>
      </w:r>
      <w:r>
        <w:rPr>
          <w:sz w:val="20"/>
        </w:rPr>
        <w:t xml:space="preserve"> is not a tuning knob to be left at whatever it happened to be. </w:t>
      </w:r>
      <w:r>
        <w:rPr>
          <w:rStyle w:val="VerbatimChar"/>
          <w:sz w:val="20"/>
        </w:rPr>
        <w:t>create_project.tcl</w:t>
      </w:r>
      <w:r>
        <w:rPr>
          <w:sz w:val="20"/>
        </w:rPr>
        <w:t xml:space="preserve"> prints the frequency profile at build time and labels the alternative explicitly as not the design point. Two bitstreams that differ only in that define produce two sets of numbers that must never be compared, and the only defence is that the build says which one it is.</w:t>
      </w:r>
      <w:bookmarkEnd w:id="71"/>
    </w:p>
    <w:p>
      <w:pPr>
        <w:pStyle w:val="Heading2"/>
        <w:pBdr>
          <w:bottom w:val="single" w:sz="12" w:space="0" w:color="228B22"/>
        </w:pBdr>
        <w:spacing w:before="280" w:after="80"/>
        <w:rPr/>
      </w:pPr>
      <w:bookmarkStart w:id="72" w:name="__RefHeading___Toc3339_2083114603"/>
      <w:bookmarkStart w:id="73" w:name="X45fcae6a0c7e99e2a7b3304f65c736455825309"/>
      <w:bookmarkEnd w:id="72"/>
      <w:r>
        <w:rPr>
          <w:rStyle w:val="SectionNumber"/>
          <w:b/>
          <w:color w:val="228B22"/>
          <w:sz w:val="28"/>
        </w:rPr>
        <w:t>4.7</w:t>
      </w:r>
      <w:r>
        <w:rPr>
          <w:b/>
          <w:color w:val="228B22"/>
          <w:sz w:val="28"/>
        </w:rPr>
        <w:tab/>
        <w:t>What is parameterized, and the one that bites</w:t>
      </w:r>
    </w:p>
    <w:p>
      <w:pPr>
        <w:pStyle w:val="TableCaption"/>
        <w:rPr/>
      </w:pPr>
      <w:bookmarkStart w:id="74" w:name="_Tab_9_Table_3_2__Build_tim"/>
      <w:r>
        <w:rPr/>
        <w:t>Table 3.2: Build-time and run-time parameters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not a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PUMICE_SYS_75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design point vs the 66.67 MHz alternative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shrunk to 512 to fit the 100T; raise it on a bigger device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bank span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concurrency is stimulus, so it must be a host-settable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window, stride, burst,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sweep should be a host loop, never a rebuild</w:t>
            </w:r>
          </w:p>
        </w:tc>
      </w:tr>
    </w:tbl>
    <w:p>
      <w:pPr>
        <w:pStyle w:val="BodyText"/>
        <w:rPr/>
      </w:pPr>
      <w:r>
        <w:rPr>
          <w:sz w:val="20"/>
        </w:rPr>
        <w:t xml:space="preserve">The last two rows are the design decision that makes the system usable: almost everything a characterization run wants to vary is a </w:t>
      </w:r>
      <w:r>
        <w:rPr>
          <w:i/>
          <w:iCs/>
          <w:sz w:val="20"/>
        </w:rPr>
        <w:t>runtime</w:t>
      </w:r>
      <w:r>
        <w:rPr>
          <w:sz w:val="20"/>
        </w:rPr>
        <w:t xml:space="preserve"> register, so a full sweep is one bitstream and a host loop. Only the things that cannot be runtime – the clock profile and the size of a memory – are build-time.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one-harness-five-targets"/>
      <w:bookmarkStart w:id="76" w:name="X45fcae6a0c7e99e2a7b3304f65c736455825309"/>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shd w:val="clear" w:color="auto" w:fill="404040"/>
        <w:spacing w:before="360" w:after="120"/>
        <w:rPr/>
      </w:pPr>
      <w:bookmarkStart w:id="77" w:name="__RefHeading___Toc3341_2083114603"/>
      <w:bookmarkStart w:id="78" w:name="host-tools-and-flow"/>
      <w:bookmarkEnd w:id="77"/>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9" w:name="__RefHeading___Toc3343_2083114603"/>
      <w:bookmarkStart w:id="80" w:name="the-shared-transport"/>
      <w:bookmarkEnd w:id="79"/>
      <w:r>
        <w:rPr>
          <w:rStyle w:val="SectionNumber"/>
          <w:b/>
          <w:color w:val="228B22"/>
          <w:sz w:val="28"/>
        </w:rPr>
        <w:t>5.1</w:t>
      </w:r>
      <w:r>
        <w:rPr>
          <w:b/>
          <w:color w:val="228B22"/>
          <w:sz w:val="28"/>
        </w:rPr>
        <w:tab/>
        <w:t>The shared transport</w:t>
      </w:r>
    </w:p>
    <w:p>
      <w:pPr>
        <w:pStyle w:val="FirstParagraph"/>
        <w:rPr/>
      </w:pPr>
      <w:r>
        <w:rPr>
          <w:sz w:val="20"/>
        </w:rPr>
        <w:t xml:space="preserve">Nothing about the byte-level transport is specific to this project. It lives in </w:t>
      </w:r>
      <w:r>
        <w:rPr>
          <w:rStyle w:val="VerbatimChar"/>
          <w:sz w:val="20"/>
        </w:rPr>
        <w:t>projects/fpga-systems/bin/</w:t>
      </w:r>
      <w:r>
        <w:rPr>
          <w:sz w:val="20"/>
        </w:rPr>
        <w:t xml:space="preserve"> and every board on this bench uses it:</w:t>
      </w:r>
    </w:p>
    <w:p>
      <w:pPr>
        <w:pStyle w:val="TableCaption"/>
        <w:rPr/>
      </w:pPr>
      <w:bookmarkStart w:id="81" w:name="_Tab_10_Table_4_1__The_share"/>
      <w:r>
        <w:rPr/>
        <w:t>Table 4.1: The shared host transport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and checksum the serial link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uart_axi_bridge.py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host end of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reads and writes become AXIL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fpga_board.py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discovery, programming, board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scripted register sequences, replayable</w:t>
            </w:r>
          </w:p>
        </w:tc>
      </w:tr>
    </w:tbl>
    <w:p>
      <w:pPr>
        <w:pStyle w:val="BodyText"/>
        <w:rPr/>
      </w:pPr>
      <w:r>
        <w:rPr>
          <w:sz w:val="20"/>
        </w:rPr>
        <w:t xml:space="preserve">One transport shared across boards is the reason a new project starts at the register map rather than at the serial protocol. It is also why the same </w:t>
      </w:r>
      <w:r>
        <w:rPr>
          <w:rStyle w:val="VerbatimChar"/>
          <w:sz w:val="20"/>
        </w:rPr>
        <w:t>--port auto</w:t>
      </w:r>
      <w:r>
        <w:rPr>
          <w:sz w:val="20"/>
        </w:rPr>
        <w:t xml:space="preserve"> discovery logic protects both this project and the CDC demo from the drifting </w:t>
      </w:r>
      <w:r>
        <w:rPr>
          <w:rStyle w:val="VerbatimChar"/>
          <w:sz w:val="20"/>
        </w:rPr>
        <w:t>ttyUSB</w:t>
      </w:r>
      <w:r>
        <w:rPr>
          <w:sz w:val="20"/>
        </w:rPr>
        <w:t xml:space="preserve"> numbering described in Chapter 1.</w:t>
      </w:r>
    </w:p>
    <w:p>
      <w:pPr>
        <w:pStyle w:val="BodyText"/>
        <w:rPr/>
      </w:pPr>
      <w:r>
        <w:rPr>
          <w:sz w:val="20"/>
        </w:rPr>
        <w:t xml:space="preserve">On top of it sit the project-specific layers: </w:t>
      </w:r>
      <w:r>
        <w:rPr>
          <w:rStyle w:val="VerbatimChar"/>
          <w:sz w:val="20"/>
        </w:rPr>
        <w:t>pumice_device.py</w:t>
      </w:r>
      <w:r>
        <w:rPr>
          <w:sz w:val="20"/>
        </w:rPr>
        <w:t xml:space="preserve"> and </w:t>
      </w:r>
      <w:r>
        <w:rPr>
          <w:rStyle w:val="VerbatimChar"/>
          <w:sz w:val="20"/>
        </w:rPr>
        <w:t>pumice_master.py</w:t>
      </w:r>
      <w:r>
        <w:rPr>
          <w:sz w:val="20"/>
        </w:rPr>
        <w:t xml:space="preserve"> present the controller, and </w:t>
      </w:r>
      <w:r>
        <w:rPr>
          <w:rStyle w:val="VerbatimChar"/>
          <w:sz w:val="20"/>
        </w:rPr>
        <w:t>ddr2_char.py</w:t>
      </w:r>
      <w:r>
        <w:rPr>
          <w:sz w:val="20"/>
        </w:rPr>
        <w:t xml:space="preserve"> presents the harness.</w:t>
      </w:r>
    </w:p>
    <w:p>
      <w:pPr>
        <w:pStyle w:val="BodyText"/>
        <w:rPr/>
      </w:pPr>
      <w:r>
        <w:rPr>
          <w:b/>
          <w:bCs/>
          <w:sz w:val="20"/>
        </w:rPr>
        <w:t>Important:</w:t>
      </w:r>
      <w:r>
        <w:rPr>
          <w:sz w:val="20"/>
        </w:rPr>
        <w:t xml:space="preserve"> these access registers </w:t>
      </w:r>
      <w:r>
        <w:rPr>
          <w:b/>
          <w:bCs/>
          <w:sz w:val="20"/>
        </w:rPr>
        <w:t>by name</w:t>
      </w:r>
      <w:r>
        <w:rPr>
          <w:sz w:val="20"/>
        </w:rPr>
        <w:t xml:space="preserve">, resolved through the PeakRDL-generated regmap, never by a hardcoded offset. Offsets churn every time the RDL changes, and a host that hardcodes them fails silently by reading a neighbouring register that happens to decode. </w:t>
      </w:r>
      <w:r>
        <w:rPr>
          <w:rStyle w:val="VerbatimChar"/>
          <w:sz w:val="20"/>
        </w:rPr>
        <w:t>test_harness_regmap_consistency.py</w:t>
      </w:r>
      <w:r>
        <w:rPr>
          <w:sz w:val="20"/>
        </w:rPr>
        <w:t xml:space="preserve"> exists to keep the host’s view and the generated map from drifting apart.</w:t>
      </w:r>
      <w:bookmarkEnd w:id="80"/>
    </w:p>
    <w:p>
      <w:pPr>
        <w:pStyle w:val="Heading2"/>
        <w:pBdr>
          <w:bottom w:val="single" w:sz="12" w:space="0" w:color="228B22"/>
        </w:pBdr>
        <w:spacing w:before="280" w:after="80"/>
        <w:rPr/>
      </w:pPr>
      <w:bookmarkStart w:id="82" w:name="__RefHeading___Toc3345_2083114603"/>
      <w:bookmarkStart w:id="83" w:name="from-a-command-to-a-number"/>
      <w:bookmarkEnd w:id="82"/>
      <w:r>
        <w:rPr>
          <w:rStyle w:val="SectionNumber"/>
          <w:b/>
          <w:color w:val="228B22"/>
          <w:sz w:val="28"/>
        </w:rPr>
        <w:t>5.2</w:t>
      </w:r>
      <w:r>
        <w:rPr>
          <w:b/>
          <w:color w:val="228B22"/>
          <w:sz w:val="28"/>
        </w:rPr>
        <w:tab/>
        <w:t>From a command to a number</w:t>
      </w:r>
    </w:p>
    <w:p>
      <w:pPr>
        <w:pStyle w:val="Heading3"/>
        <w:spacing w:before="200" w:after="80"/>
        <w:rPr/>
      </w:pPr>
      <w:bookmarkStart w:id="84" w:name="__RefHeading___Toc3347_2083114603"/>
      <w:bookmarkStart w:id="85" w:name="X71475cd112b82a14285547438a9004a5b92106f"/>
      <w:bookmarkStart w:id="86" w:name="_Fig_4_From_host_command_to"/>
      <w:bookmarkEnd w:id="84"/>
      <w:r>
        <w:rPr>
          <w:rStyle w:val="SectionNumber"/>
          <w:b/>
          <w:color w:val="404040"/>
          <w:sz w:val="24"/>
        </w:rPr>
        <w:t>5.2.1</w:t>
      </w:r>
      <w:r>
        <w:rPr>
          <w:b/>
          <w:color w:val="404040"/>
          <w:sz w:val="24"/>
        </w:rPr>
        <w:tab/>
        <w:t>Figure 4.1: From host command to a row of the CSV</w:t>
      </w:r>
      <w:bookmarkEnd w:id="86"/>
    </w:p>
    <w:p>
      <w:pPr>
        <w:pStyle w:val="CaptionedFigure"/>
        <w:rPr/>
      </w:pPr>
      <w:r>
        <w:rPr/>
        <w:drawing>
          <wp:inline distT="0" distB="0" distL="0" distR="0">
            <wp:extent cx="5334000" cy="4991735"/>
            <wp:effectExtent l="0" t="0" r="0" b="0"/>
            <wp:docPr id="17" name="Image4" descr="From host command to a row of the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From host command to a row of the CSV"/>
                    <pic:cNvPicPr>
                      <a:picLocks noChangeAspect="1" noChangeArrowheads="1"/>
                    </pic:cNvPicPr>
                  </pic:nvPicPr>
                  <pic:blipFill>
                    <a:blip r:embed="rId9"/>
                    <a:stretch>
                      <a:fillRect/>
                    </a:stretch>
                  </pic:blipFill>
                  <pic:spPr bwMode="auto">
                    <a:xfrm>
                      <a:off x="0" y="0"/>
                      <a:ext cx="5334000" cy="4991735"/>
                    </a:xfrm>
                    <a:prstGeom prst="rect">
                      <a:avLst/>
                    </a:prstGeom>
                  </pic:spPr>
                </pic:pic>
              </a:graphicData>
            </a:graphic>
          </wp:inline>
        </w:drawing>
      </w:r>
    </w:p>
    <w:p>
      <w:pPr>
        <w:pStyle w:val="ImageCaption"/>
        <w:rPr/>
      </w:pPr>
      <w:r>
        <w:rPr/>
        <w:t>From host command to a row of the CSV</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bookmarkStart w:id="87" w:name="from-a-command-to-a-number"/>
      <w:bookmarkStart w:id="88" w:name="X71475cd112b82a14285547438a9004a5b92106f"/>
      <w:r>
        <w:rPr>
          <w:sz w:val="20"/>
        </w:rPr>
        <w:t>The loop is six steps, and the interesting parts are the first and the last.</w:t>
      </w:r>
      <w:bookmarkEnd w:id="87"/>
      <w:bookmarkEnd w:id="88"/>
    </w:p>
    <w:p>
      <w:pPr>
        <w:pStyle w:val="Heading2"/>
        <w:pBdr>
          <w:bottom w:val="single" w:sz="12" w:space="0" w:color="228B22"/>
        </w:pBdr>
        <w:spacing w:before="280" w:after="80"/>
        <w:rPr/>
      </w:pPr>
      <w:bookmarkStart w:id="89" w:name="__RefHeading___Toc3349_2083114603"/>
      <w:bookmarkStart w:id="90" w:name="step-1-bring-up-once-per-bitstream"/>
      <w:bookmarkEnd w:id="89"/>
      <w:r>
        <w:rPr>
          <w:rStyle w:val="SectionNumber"/>
          <w:b/>
          <w:color w:val="228B22"/>
          <w:sz w:val="28"/>
        </w:rPr>
        <w:t>5.3</w:t>
      </w:r>
      <w:r>
        <w:rPr>
          <w:b/>
          <w:color w:val="228B22"/>
          <w:sz w:val="28"/>
        </w:rPr>
        <w:tab/>
        <w:t>Step 1: bring-up, once per bitstream</w:t>
      </w:r>
    </w:p>
    <w:p>
      <w:pPr>
        <w:pStyle w:val="FirstParagraph"/>
        <w:rPr/>
      </w:pPr>
      <w:r>
        <w:rPr>
          <w:sz w:val="20"/>
        </w:rPr>
        <w:t xml:space="preserve">Before any measurement, the PHY has to be levelled. This is firmware-driven – there is no hardware leveling FSM – so it is a host job, done through the </w:t>
      </w:r>
      <w:r>
        <w:rPr>
          <w:rStyle w:val="VerbatimChar"/>
          <w:sz w:val="20"/>
        </w:rPr>
        <w:t>PHY_CSR_*</w:t>
      </w:r>
      <w:r>
        <w:rPr>
          <w:sz w:val="20"/>
        </w:rPr>
        <w:t xml:space="preserve"> passthrough, by </w:t>
      </w:r>
      <w:r>
        <w:rPr>
          <w:rStyle w:val="VerbatimChar"/>
          <w:sz w:val="20"/>
        </w:rPr>
        <w:t>host_bringup_75.py</w:t>
      </w:r>
      <w:r>
        <w:rPr>
          <w:sz w:val="20"/>
        </w:rPr>
        <w:t xml:space="preserve"> and the sweep scripts beside it (</w:t>
      </w:r>
      <w:r>
        <w:rPr>
          <w:rStyle w:val="VerbatimChar"/>
          <w:sz w:val="20"/>
        </w:rPr>
        <w:t>host_sweep_rddata_delay.py</w:t>
      </w:r>
      <w:r>
        <w:rPr>
          <w:sz w:val="20"/>
        </w:rPr>
        <w:t xml:space="preserve">, </w:t>
      </w:r>
      <w:r>
        <w:rPr>
          <w:rStyle w:val="VerbatimChar"/>
          <w:sz w:val="20"/>
        </w:rPr>
        <w:t>host_bringup_cmd_delay_sweep.py</w:t>
      </w:r>
      <w:r>
        <w:rPr>
          <w:sz w:val="20"/>
        </w:rPr>
        <w:t xml:space="preserve">, </w:t>
      </w:r>
      <w:r>
        <w:rPr>
          <w:rStyle w:val="VerbatimChar"/>
          <w:sz w:val="20"/>
        </w:rPr>
        <w:t>host_train_per_lane.py</w:t>
      </w:r>
      <w:r>
        <w:rPr>
          <w:sz w:val="20"/>
        </w:rPr>
        <w:t xml:space="preserve">, </w:t>
      </w:r>
      <w:r>
        <w:rPr>
          <w:rStyle w:val="VerbatimChar"/>
          <w:sz w:val="20"/>
        </w:rPr>
        <w:t>host_eye_margin_ab.py</w:t>
      </w:r>
      <w:r>
        <w:rPr>
          <w:sz w:val="20"/>
        </w:rPr>
        <w:t>).</w:t>
      </w:r>
    </w:p>
    <w:p>
      <w:pPr>
        <w:pStyle w:val="BodyText"/>
        <w:rPr/>
      </w:pPr>
      <w:r>
        <w:rPr>
          <w:sz w:val="20"/>
        </w:rPr>
        <w:t xml:space="preserve">The settled result is cached in </w:t>
      </w:r>
      <w:r>
        <w:rPr>
          <w:rStyle w:val="VerbatimChar"/>
          <w:sz w:val="20"/>
        </w:rPr>
        <w:t>level_cache.json</w:t>
      </w:r>
      <w:r>
        <w:rPr>
          <w:sz w:val="20"/>
        </w:rPr>
        <w:t>, and the current board records:</w:t>
      </w:r>
    </w:p>
    <w:p>
      <w:pPr>
        <w:pStyle w:val="TableCaption"/>
        <w:rPr/>
      </w:pPr>
      <w:bookmarkStart w:id="91" w:name="_Tab_11_Table_4_2__The_cache"/>
      <w:r>
        <w:rPr/>
        <w:t>Table 4.2: The cached leveling result for this board</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bitslip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rd_tap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rd_window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16</w:t>
            </w:r>
          </w:p>
        </w:tc>
      </w:tr>
    </w:tbl>
    <w:p>
      <w:pPr>
        <w:pStyle w:val="BodyText"/>
        <w:rPr/>
      </w:pPr>
      <w:r>
        <w:rPr>
          <w:sz w:val="20"/>
        </w:rPr>
        <w:t xml:space="preserve">A working configuration is a </w:t>
      </w:r>
      <w:r>
        <w:rPr>
          <w:i/>
          <w:iCs/>
          <w:sz w:val="20"/>
        </w:rPr>
        <w:t>tuple</w:t>
      </w:r>
      <w:r>
        <w:rPr>
          <w:sz w:val="20"/>
        </w:rPr>
        <w:t xml:space="preserve">, not a single number: bitslip, IDELAY tap, read-data delay and the command/read-enable timings all have to agree. The </w:t>
      </w:r>
      <w:r>
        <w:rPr>
          <w:rStyle w:val="VerbatimChar"/>
          <w:sz w:val="20"/>
        </w:rPr>
        <w:t>rd_window</w:t>
      </w:r>
      <w:r>
        <w:rPr>
          <w:sz w:val="20"/>
        </w:rPr>
        <w:t xml:space="preserve"> is the part worth reading – a window of 0 to 16 with the tap at 8 means the chosen tap sits in the middle of a wide passing region, which is what a healthy leveling result looks like. A tap that only works at the edge of a narrow window is a result that will not survive a temperature change.</w:t>
      </w:r>
      <w:bookmarkEnd w:id="90"/>
    </w:p>
    <w:p>
      <w:pPr>
        <w:pStyle w:val="Heading2"/>
        <w:pBdr>
          <w:bottom w:val="single" w:sz="12" w:space="0" w:color="228B22"/>
        </w:pBdr>
        <w:spacing w:before="280" w:after="80"/>
        <w:rPr/>
      </w:pPr>
      <w:bookmarkStart w:id="92" w:name="__RefHeading___Toc3351_2083114603"/>
      <w:bookmarkStart w:id="93" w:name="Xb9d29f6da6727400ba76c2fbe39518f11ffd3d8"/>
      <w:bookmarkEnd w:id="92"/>
      <w:r>
        <w:rPr>
          <w:rStyle w:val="SectionNumber"/>
          <w:b/>
          <w:color w:val="228B22"/>
          <w:sz w:val="28"/>
        </w:rPr>
        <w:t>5.4</w:t>
      </w:r>
      <w:r>
        <w:rPr>
          <w:b/>
          <w:color w:val="228B22"/>
          <w:sz w:val="28"/>
        </w:rPr>
        <w:tab/>
        <w:t>Steps 2 to 5: configure, run, measure, read back</w:t>
      </w:r>
    </w:p>
    <w:p>
      <w:pPr>
        <w:pStyle w:val="FirstParagraph"/>
        <w:rPr/>
      </w:pPr>
      <w:r>
        <w:rPr>
          <w:rStyle w:val="VerbatimChar"/>
          <w:sz w:val="20"/>
        </w:rPr>
        <w:t>pumice_char.Config.apply()</w:t>
      </w:r>
      <w:r>
        <w:rPr>
          <w:sz w:val="20"/>
        </w:rPr>
        <w:t xml:space="preserve"> writes every CSR that defines a measurement point: JEDEC timings, page policy, bank span, burst length, address mapping. Then </w:t>
      </w:r>
      <w:r>
        <w:rPr>
          <w:rStyle w:val="VerbatimChar"/>
          <w:sz w:val="20"/>
        </w:rPr>
        <w:t>harness_csr.CTRL</w:t>
      </w:r>
      <w:r>
        <w:rPr>
          <w:sz w:val="20"/>
        </w:rPr>
        <w:t xml:space="preserve"> releases the generators, they run until their transaction budgets are spent, and the instruments count in hardware while they do.</w:t>
      </w:r>
    </w:p>
    <w:p>
      <w:pPr>
        <w:pStyle w:val="BodyText"/>
        <w:rPr/>
      </w:pPr>
      <w:r>
        <w:rPr>
          <w:b/>
          <w:bCs/>
          <w:sz w:val="20"/>
        </w:rPr>
        <w:t>Important:</w:t>
      </w:r>
      <w:r>
        <w:rPr>
          <w:sz w:val="20"/>
        </w:rPr>
        <w:t xml:space="preserve"> </w:t>
      </w:r>
      <w:r>
        <w:rPr>
          <w:rStyle w:val="VerbatimChar"/>
          <w:sz w:val="20"/>
        </w:rPr>
        <w:t>apply()</w:t>
      </w:r>
      <w:r>
        <w:rPr>
          <w:sz w:val="20"/>
        </w:rPr>
        <w:t xml:space="preserve"> re-programs </w:t>
      </w:r>
      <w:r>
        <w:rPr>
          <w:b/>
          <w:bCs/>
          <w:sz w:val="20"/>
        </w:rPr>
        <w:t>every</w:t>
      </w:r>
      <w:r>
        <w:rPr>
          <w:sz w:val="20"/>
        </w:rPr>
        <w:t xml:space="preserve"> CSR on </w:t>
      </w:r>
      <w:r>
        <w:rPr>
          <w:b/>
          <w:bCs/>
          <w:sz w:val="20"/>
        </w:rPr>
        <w:t>every</w:t>
      </w:r>
      <w:r>
        <w:rPr>
          <w:sz w:val="20"/>
        </w:rPr>
        <w:t xml:space="preserve"> measurement point. A register written by hand between points is therefore silently clobbered on the next one. This is not hypothetical: a tRTW override appeared to take effect and did not, and the only reason it was caught was that the printed configuration line still showed the old value. When overriding something for an experiment, override it where </w:t>
      </w:r>
      <w:r>
        <w:rPr>
          <w:rStyle w:val="VerbatimChar"/>
          <w:sz w:val="20"/>
        </w:rPr>
        <w:t>apply()</w:t>
      </w:r>
      <w:r>
        <w:rPr>
          <w:sz w:val="20"/>
        </w:rPr>
        <w:t xml:space="preserve"> will carry it, not after.</w:t>
      </w:r>
      <w:bookmarkEnd w:id="93"/>
    </w:p>
    <w:p>
      <w:pPr>
        <w:pStyle w:val="Heading2"/>
        <w:pBdr>
          <w:bottom w:val="single" w:sz="12" w:space="0" w:color="228B22"/>
        </w:pBdr>
        <w:spacing w:before="280" w:after="80"/>
        <w:rPr/>
      </w:pPr>
      <w:bookmarkStart w:id="94" w:name="__RefHeading___Toc3353_2083114603"/>
      <w:bookmarkStart w:id="95" w:name="Xa13900eeadb24c1a45dcf911dfa48955fe21a24"/>
      <w:bookmarkEnd w:id="94"/>
      <w:r>
        <w:rPr>
          <w:rStyle w:val="SectionNumber"/>
          <w:b/>
          <w:color w:val="228B22"/>
          <w:sz w:val="28"/>
        </w:rPr>
        <w:t>5.5</w:t>
      </w:r>
      <w:r>
        <w:rPr>
          <w:b/>
          <w:color w:val="228B22"/>
          <w:sz w:val="28"/>
        </w:rPr>
        <w:tab/>
        <w:t>Step 6: recording, and the arithmetic that has already gone wrong once</w:t>
      </w:r>
    </w:p>
    <w:p>
      <w:pPr>
        <w:pStyle w:val="FirstParagraph"/>
        <w:rPr/>
      </w:pPr>
      <w:r>
        <w:rPr>
          <w:sz w:val="20"/>
        </w:rPr>
        <w:t xml:space="preserve">Results become a CSV row and a findings page under </w:t>
      </w:r>
      <w:r>
        <w:rPr>
          <w:rStyle w:val="VerbatimChar"/>
          <w:sz w:val="20"/>
        </w:rPr>
        <w:t>ddr2-characterization/char_results/</w:t>
      </w:r>
      <w:r>
        <w:rPr>
          <w:sz w:val="20"/>
        </w:rPr>
        <w:t xml:space="preserve"> or </w:t>
      </w:r>
      <w:r>
        <w:rPr>
          <w:rStyle w:val="VerbatimChar"/>
          <w:sz w:val="20"/>
        </w:rPr>
        <w:t>build-perf/results/</w:t>
      </w:r>
      <w:r>
        <w:rPr>
          <w:sz w:val="20"/>
        </w:rPr>
        <w:t>.</w:t>
      </w:r>
    </w:p>
    <w:p>
      <w:pPr>
        <w:pStyle w:val="BodyText"/>
        <w:rPr/>
      </w:pPr>
      <w:r>
        <w:rPr>
          <w:b/>
          <w:bCs/>
          <w:sz w:val="20"/>
        </w:rPr>
        <w:t>Important:</w:t>
      </w:r>
      <w:r>
        <w:rPr>
          <w:sz w:val="20"/>
        </w:rPr>
        <w:t xml:space="preserve"> </w:t>
      </w:r>
      <w:r>
        <w:rPr>
          <w:rStyle w:val="VerbatimChar"/>
          <w:sz w:val="20"/>
        </w:rPr>
        <w:t>CharRecord.bytes_moved</w:t>
      </w:r>
      <w:r>
        <w:rPr>
          <w:sz w:val="20"/>
        </w:rPr>
        <w:t xml:space="preserve"> is </w:t>
      </w:r>
      <w:r>
        <w:rPr>
          <w:b/>
          <w:bCs/>
          <w:sz w:val="20"/>
        </w:rPr>
        <w:t>per phase</w:t>
      </w:r>
      <w:r>
        <w:rPr>
          <w:sz w:val="20"/>
        </w:rPr>
        <w:t xml:space="preserve"> – the read side only. Dividing it by the full 600 MB/s peak understates the result by a factor of two. This is not a theoretical hazard: a whole conclusion (“concurrent read plus write is bounded at about 47% of peak by the controller”) was published and then retracted, because the real figure was 95% and 95% is the design point rather than a defect. Every percentage in this system is a chance to make that mistake again, which is why the house rule is that a bandwidth table shows the measured MB/s </w:t>
      </w:r>
      <w:r>
        <w:rPr>
          <w:i/>
          <w:iCs/>
          <w:sz w:val="20"/>
        </w:rPr>
        <w:t>and</w:t>
      </w:r>
      <w:r>
        <w:rPr>
          <w:sz w:val="20"/>
        </w:rPr>
        <w:t xml:space="preserve"> the theoretical peak, so the division is visible and checkable.</w:t>
      </w:r>
      <w:bookmarkEnd w:id="95"/>
    </w:p>
    <w:p>
      <w:pPr>
        <w:pStyle w:val="Heading2"/>
        <w:pBdr>
          <w:bottom w:val="single" w:sz="12" w:space="0" w:color="228B22"/>
        </w:pBdr>
        <w:spacing w:before="280" w:after="80"/>
        <w:rPr/>
      </w:pPr>
      <w:bookmarkStart w:id="96" w:name="__RefHeading___Toc3355_2083114603"/>
      <w:bookmarkStart w:id="97" w:name="Xf975b625000259b5321307699f03e7734967f9d"/>
      <w:bookmarkEnd w:id="96"/>
      <w:r>
        <w:rPr>
          <w:rStyle w:val="SectionNumber"/>
          <w:b/>
          <w:color w:val="228B22"/>
          <w:sz w:val="28"/>
        </w:rPr>
        <w:t>5.6</w:t>
      </w:r>
      <w:r>
        <w:rPr>
          <w:b/>
          <w:color w:val="228B22"/>
          <w:sz w:val="28"/>
        </w:rPr>
        <w:tab/>
        <w:t>Integrity is what makes throughput mean anything</w:t>
      </w:r>
    </w:p>
    <w:p>
      <w:pPr>
        <w:pStyle w:val="FirstParagraph"/>
        <w:rPr/>
      </w:pPr>
      <w:r>
        <w:rPr>
          <w:sz w:val="20"/>
        </w:rPr>
        <w:t xml:space="preserve">The write engine computes an expected CRC and the read engine computes an actual one; </w:t>
      </w:r>
      <w:r>
        <w:rPr>
          <w:rStyle w:val="VerbatimChar"/>
          <w:sz w:val="20"/>
        </w:rPr>
        <w:t>CRC_MATCH</w:t>
      </w:r>
      <w:r>
        <w:rPr>
          <w:sz w:val="20"/>
        </w:rPr>
        <w:t xml:space="preserve"> and </w:t>
      </w:r>
      <w:r>
        <w:rPr>
          <w:rStyle w:val="VerbatimChar"/>
          <w:sz w:val="20"/>
        </w:rPr>
        <w:t>BEATS_MISM</w:t>
      </w:r>
      <w:r>
        <w:rPr>
          <w:sz w:val="20"/>
        </w:rPr>
        <w:t xml:space="preserve"> are read back with the performance counters. A throughput number from a run that corrupted data is not a throughput number.</w:t>
      </w:r>
    </w:p>
    <w:p>
      <w:pPr>
        <w:pStyle w:val="BodyText"/>
        <w:rPr/>
      </w:pPr>
      <w:r>
        <w:rPr>
          <w:b/>
          <w:bCs/>
          <w:sz w:val="20"/>
        </w:rPr>
        <w:t>Important:</w:t>
      </w:r>
      <w:r>
        <w:rPr>
          <w:sz w:val="20"/>
        </w:rPr>
        <w:t xml:space="preserve"> a detector that has never fired is not evidence that data is clean. This one had never fired, and proving it worked took deliberately corrupting the analog eye – forcing the read window off its centre – at which point it reported every beat mismatched. Two earlier attempts to inject a fault failed for uninteresting reasons and looked like the detector working. If you add a checker to this harness, make it fail on purpose before you trust it passing.</w:t>
      </w:r>
      <w:bookmarkEnd w:id="97"/>
    </w:p>
    <w:p>
      <w:pPr>
        <w:pStyle w:val="Heading2"/>
        <w:pBdr>
          <w:bottom w:val="single" w:sz="12" w:space="0" w:color="228B22"/>
        </w:pBdr>
        <w:spacing w:before="280" w:after="80"/>
        <w:rPr/>
      </w:pPr>
      <w:bookmarkStart w:id="98" w:name="__RefHeading___Toc3357_2083114603"/>
      <w:bookmarkStart w:id="99" w:name="one-program-two-targets"/>
      <w:bookmarkEnd w:id="98"/>
      <w:r>
        <w:rPr>
          <w:rStyle w:val="SectionNumber"/>
          <w:b/>
          <w:color w:val="228B22"/>
          <w:sz w:val="28"/>
        </w:rPr>
        <w:t>5.7</w:t>
      </w:r>
      <w:r>
        <w:rPr>
          <w:b/>
          <w:color w:val="228B22"/>
          <w:sz w:val="28"/>
        </w:rPr>
        <w:tab/>
        <w:t>One program, two targets</w:t>
      </w:r>
    </w:p>
    <w:p>
      <w:pPr>
        <w:pStyle w:val="FirstParagraph"/>
        <w:rPr/>
      </w:pPr>
      <w:r>
        <w:rPr>
          <w:sz w:val="20"/>
        </w:rPr>
        <w:t>The same host program drives the simulation twin and the board, because the framework speaks the same UART byte stream in both. That equivalence is the system’s main defence against wasted board time:</w:t>
      </w:r>
    </w:p>
    <w:p>
      <w:pPr>
        <w:pStyle w:val="Compact"/>
        <w:numPr>
          <w:ilvl w:val="0"/>
          <w:numId w:val="14"/>
        </w:numPr>
        <w:rPr/>
      </w:pPr>
      <w:r>
        <w:rPr/>
        <w:t>a host program is debugged in cosim, where a failure is inspectable;</w:t>
      </w:r>
    </w:p>
    <w:p>
      <w:pPr>
        <w:pStyle w:val="Compact"/>
        <w:numPr>
          <w:ilvl w:val="0"/>
          <w:numId w:val="15"/>
        </w:numPr>
        <w:rPr/>
      </w:pPr>
      <w:r>
        <w:rPr/>
        <w:t>a difference between cosim and board isolates to the PHY or the DRAM, because everything above DFI is the same source;</w:t>
      </w:r>
    </w:p>
    <w:p>
      <w:pPr>
        <w:pStyle w:val="Compact"/>
        <w:numPr>
          <w:ilvl w:val="0"/>
          <w:numId w:val="16"/>
        </w:numPr>
        <w:rPr/>
      </w:pPr>
      <w:r>
        <w:rPr/>
        <w:t>the cosim run is the gate that must pass before controller RTL is committed.</w:t>
      </w:r>
    </w:p>
    <w:p>
      <w:pPr>
        <w:pStyle w:val="FirstParagraph"/>
        <w:rPr/>
      </w:pPr>
      <w:r>
        <w:rPr>
          <w:sz w:val="20"/>
        </w:rPr>
        <w:t xml:space="preserve">The reverse of that discipline also holds, and it is recorded here because it has bitten: a test run against a stale build directory reports green for the old design. A sub-second “1 passed” is fiction. </w:t>
      </w:r>
      <w:r>
        <w:rPr>
          <w:rStyle w:val="VerbatimChar"/>
          <w:sz w:val="20"/>
        </w:rPr>
        <w:t>make clean-all</w:t>
      </w:r>
      <w:r>
        <w:rPr>
          <w:sz w:val="20"/>
        </w:rPr>
        <w:t xml:space="preserve"> before any run that you intend to believe.</w:t>
      </w:r>
      <w:bookmarkEnd w:id="99"/>
    </w:p>
    <w:p>
      <w:pPr>
        <w:pStyle w:val="Heading2"/>
        <w:pBdr>
          <w:bottom w:val="single" w:sz="12" w:space="0" w:color="228B22"/>
        </w:pBdr>
        <w:spacing w:before="280" w:after="80"/>
        <w:rPr/>
      </w:pPr>
      <w:bookmarkStart w:id="100" w:name="__RefHeading___Toc3359_2083114603"/>
      <w:bookmarkStart w:id="101" w:name="the-bench-programs-worth-knowing"/>
      <w:bookmarkEnd w:id="100"/>
      <w:r>
        <w:rPr>
          <w:rStyle w:val="SectionNumber"/>
          <w:b/>
          <w:color w:val="228B22"/>
          <w:sz w:val="28"/>
        </w:rPr>
        <w:t>5.8</w:t>
      </w:r>
      <w:r>
        <w:rPr>
          <w:b/>
          <w:color w:val="228B22"/>
          <w:sz w:val="28"/>
        </w:rPr>
        <w:tab/>
        <w:t>The bench programs worth knowing</w:t>
      </w:r>
    </w:p>
    <w:p>
      <w:pPr>
        <w:pStyle w:val="TableCaption"/>
        <w:rPr/>
      </w:pPr>
      <w:bookmarkStart w:id="102" w:name="_Tab_12_Table_4_3__The_host_"/>
      <w:r>
        <w:rPr/>
        <w:t>Table 4.3: The host programs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characterization sweeps; produces the CSVs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harness driver: CSRs, engines, timer, trace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host_ddr2_smoke.py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board alive and is this the right bitstream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host_bringup_*.py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leveling and the timing sweeps behind </w:t>
            </w:r>
            <w:r>
              <w:rPr>
                <w:rStyle w:val="VerbatimChar"/>
                <w:rFonts w:eastAsia="Cambria" w:cs=""/>
                <w:kern w:val="0"/>
                <w:szCs w:val="24"/>
                <w:lang w:val="en-US" w:eastAsia="en-US" w:bidi="ar-SA"/>
              </w:rPr>
              <w:t>level_cache.json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host_capture_read.py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host_wide_rd_sweep.py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read-path diagnosis when a number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test_pumice_page_stats.py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checks the page-hit/miss statistics the host derives</w:t>
            </w:r>
          </w:p>
        </w:tc>
      </w:tr>
    </w:tbl>
    <w:p>
      <w:pPr>
        <w:pStyle w:val="BodyText"/>
        <w:spacing w:before="180" w:after="180"/>
        <w:rPr/>
      </w:pPr>
      <w:r>
        <w:rPr>
          <w:rStyle w:val="VerbatimChar"/>
          <w:sz w:val="20"/>
        </w:rPr>
        <w:t>host_ddr2_smoke.py</w:t>
      </w:r>
      <w:r>
        <w:rPr>
          <w:sz w:val="20"/>
        </w:rPr>
        <w:t xml:space="preserve"> first, always. It reads </w:t>
      </w:r>
      <w:r>
        <w:rPr>
          <w:rStyle w:val="VerbatimChar"/>
          <w:sz w:val="20"/>
        </w:rPr>
        <w:t>BUILD_ID</w:t>
      </w:r>
      <w:r>
        <w:rPr>
          <w:sz w:val="20"/>
        </w:rPr>
        <w:t xml:space="preserve"> and proves the link before anything expensive depends on it.</w:t>
      </w:r>
      <w:bookmarkEnd w:id="78"/>
      <w:bookmarkEnd w:id="101"/>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2026-09-30T00:18:40Z</dcterms:created>
  <dc:creator/>
  <dc:description/>
  <dc:language>en-US</dc:language>
  <cp:lastModifiedBy/>
  <dcterms:modified xsi:type="dcterms:W3CDTF">2026-09-29T17:18:44Z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