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Performance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15,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29_3996621457">
            <w:r>
              <w:rPr>
                <w:webHidden/>
                <w:rStyle w:val="IndexLink"/>
              </w:rPr>
              <w:t>Readme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31_3996621457">
            <w:r>
              <w:rPr>
                <w:webHidden/>
                <w:rStyle w:val="IndexLink"/>
              </w:rPr>
              <w:t>RAPIDS Beats DMA — Performance Characterization (Genesys 2, 8 channels)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33_3996621457">
            <w:r>
              <w:rPr>
                <w:webHidden/>
                <w:rStyle w:val="IndexLink"/>
              </w:rPr>
              <w:t>Characterization knobs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35_3996621457">
            <w:r>
              <w:rPr>
                <w:webHidden/>
                <w:rStyle w:val="IndexLink"/>
              </w:rPr>
              <w:t>1. Headline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37_3996621457">
            <w:r>
              <w:rPr>
                <w:webHidden/>
                <w:rStyle w:val="IndexLink"/>
              </w:rPr>
              <w:t>2. How it is measured (the observation hooks)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39_3996621457">
            <w:r>
              <w:rPr>
                <w:webHidden/>
                <w:rStyle w:val="IndexLink"/>
              </w:rPr>
              <w:t>3. Single-axis sweep — transfer size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41_3996621457">
            <w:r>
              <w:rPr>
                <w:webHidden/>
                <w:rStyle w:val="IndexLink"/>
              </w:rPr>
              <w:t>3.1 Channel count — per-channel independence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43_3996621457">
            <w:r>
              <w:rPr>
                <w:webHidden/>
                <w:rStyle w:val="IndexLink"/>
              </w:rPr>
              <w:t>4. What we learned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45_3996621457">
            <w:r>
              <w:rPr>
                <w:webHidden/>
                <w:rStyle w:val="IndexLink"/>
              </w:rPr>
              <w:t>5. Between-run state reset (root-cause found &amp; fixed)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47_3996621457">
            <w:r>
              <w:rPr>
                <w:webHidden/>
                <w:rStyle w:val="IndexLink"/>
              </w:rPr>
              <w:t>6. Other limitations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49_3996621457">
            <w:r>
              <w:rPr>
                <w:webHidden/>
                <w:rStyle w:val="IndexLink"/>
              </w:rPr>
              <w:t>Appendix: data files &amp; reproduce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Characterization_kno">
        <w:r>
          <w:rPr>
            <w:rStyle w:val="ListLabel1"/>
            <w:color w:val="000000"/>
            <w:sz w:val="24"/>
          </w:rPr>
          <w:t>Table 1: Characterization knobs — the sweep axes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_Tab_1_Characterization_kno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Headline___8_channel">
        <w:r>
          <w:rPr>
            <w:rStyle w:val="ListLabel1"/>
            <w:color w:val="000000"/>
            <w:sz w:val="24"/>
          </w:rPr>
          <w:t>Table 2: Headline — 8-channel line-rate at 256 KB/channel (Genesys 2)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_Tab_2_Headline___8_channel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__engaged_util">
        <w:r>
          <w:rPr>
            <w:rStyle w:val="ListLabel1"/>
            <w:color w:val="000000"/>
            <w:sz w:val="24"/>
          </w:rPr>
          <w:t>Table 3: Table — engaged utilization (%) and effective bandwidth (GB/s) vs transfer size (8 ch)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_Tab_3_Table___engaged_util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Figure___engaged_uti">
        <w:r>
          <w:rPr>
            <w:rStyle w:val="ListLabel1"/>
            <w:color w:val="000000"/>
            <w:sz w:val="24"/>
          </w:rPr>
          <w:t>Table 4: Figure — engaged utilization vs active channel count (256 KB/ch).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_Tab_4_Figure___engaged_uti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__the_wedge_is">
        <w:r>
          <w:rPr>
            <w:rStyle w:val="ListLabel1"/>
            <w:color w:val="000000"/>
            <w:sz w:val="24"/>
          </w:rPr>
          <w:t>Table 5: Table — the wedge is stale scheduler state, not an in-flight fabric cycle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_Tab_5_Table___the_wedge_is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529_3996621457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2026-07-16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1531_3996621457"/>
      <w:bookmarkStart w:id="4" w:name="Xcede72afd45c8dc64954627bb358e5ae9ed470f"/>
      <w:bookmarkEnd w:id="3"/>
      <w:r>
        <w:rPr>
          <w:b/>
          <w:color w:val="FFFFFF"/>
          <w:sz w:val="32"/>
        </w:rPr>
        <w:t>RAPIDS Beats DMA — Performance Characterization (Genesys 2, 8 channels)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RAPIDS beats split SOURCE + SINK DMA, 8 concurrent channels, on the Digilent </w:t>
      </w:r>
      <w:r>
        <w:rPr>
          <w:b/>
          <w:bCs/>
          <w:sz w:val="20"/>
        </w:rPr>
        <w:t>Genesys 2 (Kintex-7 XC7K325T-2)</w:t>
      </w:r>
      <w:r>
        <w:rPr>
          <w:sz w:val="20"/>
        </w:rPr>
        <w:t xml:space="preserve"> at 100 MHz. The AXI4 and AXIS4 datapaths are </w:t>
      </w:r>
      <w:r>
        <w:rPr>
          <w:b/>
          <w:bCs/>
          <w:sz w:val="20"/>
        </w:rPr>
        <w:t>512 bits wide (64 B/beat)</w:t>
      </w:r>
      <w:r>
        <w:rPr>
          <w:sz w:val="20"/>
        </w:rPr>
        <w:t xml:space="preserve">, so the one-direction line rate is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64 B × 100 MHz</w:t>
      </w:r>
      <w:r>
        <w:rPr>
          <w:sz w:val="20"/>
        </w:rPr>
        <w:t xml:space="preserve">). The characterization harness wraps the DUT with synthetic pattern generators/checkers and four hardware </w:t>
      </w:r>
      <w:r>
        <w:rPr>
          <w:b/>
          <w:bCs/>
          <w:sz w:val="20"/>
        </w:rPr>
        <w:t>bus meters</w:t>
      </w:r>
      <w:r>
        <w:rPr>
          <w:sz w:val="20"/>
        </w:rPr>
        <w:t xml:space="preserve"> (one per interface) that classify every cycle of a windowed transfer into </w:t>
      </w:r>
      <w:r>
        <w:rPr>
          <w:i/>
          <w:iCs/>
          <w:sz w:val="20"/>
        </w:rPr>
        <w:t>productive / backpressure / starvation / idle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Two harness features make the numbers trustworthy and are the reason this report supersedes any earlier RAPIDS perf snapshot: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Atomic launch (stage-all-then-GO).</w:t>
      </w:r>
      <w:r>
        <w:rPr/>
        <w:t xml:space="preserve"> Every CSR, descriptor, and per-channel descriptor </w:t>
      </w:r>
      <w:r>
        <w:rPr>
          <w:i/>
          <w:iCs/>
        </w:rPr>
        <w:t>kick</w:t>
      </w:r>
      <w:r>
        <w:rPr/>
        <w:t xml:space="preserve"> is staged over the UART first; a single </w:t>
      </w:r>
      <w:r>
        <w:rPr>
          <w:rStyle w:val="VerbatimChar"/>
        </w:rPr>
        <w:t>GO</w:t>
      </w:r>
      <w:r>
        <w:rPr/>
        <w:t xml:space="preserve"> write then arms the meter window, starts the AXIS generator, and fires all kicks on-chip within a few </w:t>
      </w:r>
      <w:r>
        <w:rPr>
          <w:rStyle w:val="VerbatimChar"/>
        </w:rPr>
        <w:t>aclk</w:t>
      </w:r>
      <w:r>
        <w:rPr/>
        <w:t xml:space="preserve"> cycles. No UART latency contaminates the measured window.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window close.</w:t>
      </w:r>
      <w:r>
        <w:rPr/>
        <w:t xml:space="preserve"> The meter freezes the cycle after the completion interface reaches a staged productive-beat target, so the window brackets exactly the transfer — independent of the DUT’s internal idle signaling. Earlier builds keyed the close on </w:t>
      </w:r>
      <w:r>
        <w:rPr>
          <w:rStyle w:val="VerbatimChar"/>
        </w:rPr>
        <w:t>system_idle</w:t>
      </w:r>
      <w:r>
        <w:rPr/>
        <w:t xml:space="preserve"> and could leave the window open until the host read it, diluting utilization toward 0 %.</w:t>
      </w:r>
    </w:p>
    <w:p>
      <w:pPr>
        <w:pStyle w:val="FirstParagraph"/>
        <w:rPr/>
      </w:pPr>
      <w:r>
        <w:rPr>
          <w:sz w:val="20"/>
        </w:rPr>
        <w:t xml:space="preserve">Every configuration below passes an independent golden-CRC check on the moved data.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on-chip bus meters, read over CSR.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The headline efficiency is </w:t>
      </w:r>
      <w:r>
        <w:rPr>
          <w:b/>
          <w:bCs/>
        </w:rPr>
        <w:t>engaged utilization</w:t>
      </w:r>
      <w:r>
        <w:rPr/>
        <w:t xml:space="preserve"> — </w:t>
      </w:r>
      <w:r>
        <w:rPr>
          <w:rStyle w:val="VerbatimChar"/>
        </w:rPr>
        <w:t>productive / (productive + backpressure + starvation)</w:t>
      </w:r>
      <w:r>
        <w:rPr/>
        <w:t xml:space="preserve">, i.e. bus efficiency </w:t>
      </w:r>
      <w:r>
        <w:rPr>
          <w:i/>
          <w:iCs/>
        </w:rPr>
        <w:t>while the engine is moving data</w:t>
      </w:r>
      <w:r>
        <w:rPr/>
        <w:t xml:space="preserve"> (the trailing idle after the last beat is excluded). Effective bandwidth is </w:t>
      </w:r>
      <w:r>
        <w:rPr>
          <w:rStyle w:val="VerbatimChar"/>
        </w:rPr>
        <w:t>engaged_util × 6.40 GB/s</w:t>
      </w:r>
      <w:r>
        <w:rPr/>
        <w:t xml:space="preserve">. On the two AXIS interfaces an independent </w:t>
      </w:r>
      <w:r>
        <w:rPr>
          <w:b/>
          <w:bCs/>
        </w:rPr>
        <w:t>byte-derived</w:t>
      </w:r>
      <w:r>
        <w:rPr/>
        <w:t xml:space="preserve"> throughput (exact </w:t>
      </w:r>
      <w:r>
        <w:rPr>
          <w:rStyle w:val="VerbatimChar"/>
        </w:rPr>
        <w:t>tstrb</w:t>
      </w:r>
      <w:r>
        <w:rPr/>
        <w:t xml:space="preserve"> bytes over the frozen window) cross-checks the cycle figure and agrees to within rounding.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1533_3996621457"/>
      <w:bookmarkStart w:id="6" w:name="characterization-knobs"/>
      <w:bookmarkEnd w:id="5"/>
      <w:r>
        <w:rPr>
          <w:b/>
          <w:color w:val="228B22"/>
          <w:sz w:val="28"/>
        </w:rPr>
        <w:t>Characterization knobs</w:t>
      </w:r>
    </w:p>
    <w:p>
      <w:pPr>
        <w:pStyle w:val="FirstParagraph"/>
        <w:rPr/>
      </w:pPr>
      <w:r>
        <w:rPr>
          <w:sz w:val="20"/>
        </w:rPr>
        <w:t xml:space="preserve">The RAPIDS beats harness exposes a smaller sweep space than STREAM (the synthetic slaves are zero-latency, so there is no memory-latency axis, and per-channel-count runs require per-width bitstreams — see </w:t>
      </w:r>
      <w:r>
        <w:rPr>
          <w:i/>
          <w:iCs/>
          <w:sz w:val="20"/>
        </w:rPr>
        <w:t>Limitations</w:t>
      </w:r>
      <w:r>
        <w:rPr>
          <w:sz w:val="20"/>
        </w:rPr>
        <w:t>). The axes exercised here:</w:t>
      </w:r>
    </w:p>
    <w:p>
      <w:pPr>
        <w:pStyle w:val="TableCaption"/>
        <w:rPr/>
      </w:pPr>
      <w:bookmarkStart w:id="7" w:name="_Tab_1_Characterization_kno"/>
      <w:r>
        <w:rPr/>
        <w:t>Characterization knobs — the sweep axes</w:t>
      </w:r>
      <w:bookmarkEnd w:id="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"/>
        <w:gridCol w:w="1079"/>
        <w:gridCol w:w="2160"/>
        <w:gridCol w:w="1440"/>
        <w:gridCol w:w="4142"/>
      </w:tblGrid>
      <w:tr>
        <w:trPr>
          <w:tblHeader w:val="true"/>
        </w:trPr>
        <w:tc>
          <w:tcPr>
            <w:tcW w:w="5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#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 by</w:t>
            </w:r>
          </w:p>
        </w:tc>
        <w:tc>
          <w:tcPr>
            <w:tcW w:w="41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 in this report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(beats/channel)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moved per channel per descriptor — the amortization axis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descriptor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256 B (4 beats) … 256 KB (4096 beats)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(mem-read → AXIS-out) vs SINK (AXIS-in → mem-write)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 is kicked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both, every config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four monitored buses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AXIS-in, AXI4-wr, AXI4-rd, AXIS-out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DMA channels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generic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width)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interfaces map onto the two paths as: </w:t>
      </w:r>
      <w:r>
        <w:rPr>
          <w:b/>
          <w:bCs/>
          <w:sz w:val="20"/>
        </w:rPr>
        <w:t>SINK</w:t>
      </w:r>
      <w:r>
        <w:rPr>
          <w:sz w:val="20"/>
        </w:rPr>
        <w:t xml:space="preserve"> = AXIS-in (ingress) → AXI4-wr (egress to memory); </w:t>
      </w:r>
      <w:r>
        <w:rPr>
          <w:b/>
          <w:bCs/>
          <w:sz w:val="20"/>
        </w:rPr>
        <w:t>SOURCE</w:t>
      </w:r>
      <w:r>
        <w:rPr>
          <w:sz w:val="20"/>
        </w:rPr>
        <w:t xml:space="preserve"> = AXI4-rd (ingress from memory) → AXIS-out (egress). A path’s sustained throughput is set by its </w:t>
      </w:r>
      <w:r>
        <w:rPr>
          <w:b/>
          <w:bCs/>
          <w:sz w:val="20"/>
        </w:rPr>
        <w:t>slower (bottleneck)</w:t>
      </w:r>
      <w:r>
        <w:rPr>
          <w:sz w:val="20"/>
        </w:rPr>
        <w:t xml:space="preserve"> interface.</w:t>
      </w:r>
    </w:p>
    <w:p>
      <w:pPr>
        <w:pStyle w:val="Normal"/>
        <w:rPr/>
      </w:pPr>
      <w:bookmarkStart w:id="8" w:name="characterization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535_3996621457"/>
      <w:bookmarkStart w:id="10" w:name="headline"/>
      <w:bookmarkEnd w:id="9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At a 256 KB/channel transfer across all 8 channels, every interface runs at </w:t>
      </w:r>
      <w:r>
        <w:rPr>
          <w:b/>
          <w:bCs/>
          <w:sz w:val="20"/>
        </w:rPr>
        <w:t>99.8–100 % of line rate</w:t>
      </w:r>
      <w:r>
        <w:rPr>
          <w:sz w:val="20"/>
        </w:rPr>
        <w:t xml:space="preserve"> — the engine is gapless on both the memory bus and the network bus, in both directions, simultaneously.</w:t>
      </w:r>
    </w:p>
    <w:p>
      <w:pPr>
        <w:pStyle w:val="TableCaption"/>
        <w:rPr/>
      </w:pPr>
      <w:bookmarkStart w:id="11" w:name="_Tab_2_Headline___8_channel"/>
      <w:r>
        <w:rPr/>
        <w:t>Headline — 8-channel line-rate at 256 KB/channel (Genesys 2)</w:t>
      </w:r>
      <w:bookmarkEnd w:id="1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1514"/>
        <w:gridCol w:w="1928"/>
        <w:gridCol w:w="1926"/>
        <w:gridCol w:w="3167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Engaged util</w:t>
            </w:r>
          </w:p>
        </w:tc>
        <w:tc>
          <w:tcPr>
            <w:tcW w:w="19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BW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Window (prod / starv)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32737 / 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AXI4-wr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13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AXI4-rd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AXIS-out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prod = 32768 = 8 channels × 4096 beats</w:t>
      </w:r>
      <w:r>
        <w:rPr>
          <w:sz w:val="20"/>
        </w:rPr>
        <w:t xml:space="preserve"> on the AXI4 side: every expected beat is accounted for, and the non-productive residue is a handful of cycles of one-time fill latency.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272155"/>
            <wp:effectExtent l="0" t="0" r="0" b="0"/>
            <wp:docPr id="6" name="Picture" descr="8-channel line-rate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8-channel line-rate ba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all four interfaces at the largest transfer sit on the 100 % line.</w:t>
      </w:r>
    </w:p>
    <w:p>
      <w:pPr>
        <w:pStyle w:val="Normal"/>
        <w:rPr/>
      </w:pPr>
      <w:bookmarkStart w:id="12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537_3996621457"/>
      <w:bookmarkStart w:id="14" w:name="how-it-is-measured-the-observation-hooks"/>
      <w:bookmarkEnd w:id="13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>Each interface has a dedicated meter instantiated in the harness: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axi_bus_meter</w:t>
      </w:r>
      <w:r>
        <w:rPr/>
        <w:t xml:space="preserve"> on AXI4-rd and AXI4-wr — classifies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into the four buckets per cycle of the frozen window.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axis_bus_meter</w:t>
      </w:r>
      <w:r>
        <w:rPr/>
        <w:t xml:space="preserve"> on AXIS-in and AXIS-out — same four buckets, plus exact byte (</w:t>
      </w:r>
      <w:r>
        <w:rPr>
          <w:rStyle w:val="VerbatimChar"/>
        </w:rPr>
        <w:t>tstrb</w:t>
      </w:r>
      <w:r>
        <w:rPr/>
        <w:t xml:space="preserve"> popcount) and packet (</w:t>
      </w:r>
      <w:r>
        <w:rPr>
          <w:rStyle w:val="VerbatimChar"/>
        </w:rPr>
        <w:t>tlast</w:t>
      </w:r>
      <w:r>
        <w:rPr/>
        <w:t>) counters for the byte-derived cross-check.</w:t>
      </w:r>
    </w:p>
    <w:p>
      <w:pPr>
        <w:pStyle w:val="FirstParagraph"/>
        <w:rPr/>
      </w:pPr>
      <w:r>
        <w:rPr>
          <w:sz w:val="20"/>
        </w:rPr>
        <w:t xml:space="preserve">The window is armed by </w:t>
      </w:r>
      <w:r>
        <w:rPr>
          <w:rStyle w:val="VerbatimChar"/>
          <w:sz w:val="20"/>
        </w:rPr>
        <w:t>GO</w:t>
      </w:r>
      <w:r>
        <w:rPr>
          <w:sz w:val="20"/>
        </w:rPr>
        <w:t xml:space="preserve">, opens when the active path goes busy, and </w:t>
      </w:r>
      <w:r>
        <w:rPr>
          <w:b/>
          <w:bCs/>
          <w:sz w:val="20"/>
        </w:rPr>
        <w:t>freezes deterministically</w:t>
      </w:r>
      <w:r>
        <w:rPr>
          <w:sz w:val="20"/>
        </w:rPr>
        <w:t xml:space="preserve"> when the completion interface’s productive-beat count reaches the staged target (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). Because the freeze does not depend on </w:t>
      </w:r>
      <w:r>
        <w:rPr>
          <w:rStyle w:val="VerbatimChar"/>
          <w:sz w:val="20"/>
        </w:rPr>
        <w:t>system_idle</w:t>
      </w:r>
      <w:r>
        <w:rPr>
          <w:sz w:val="20"/>
        </w:rPr>
        <w:t>, the window is tight (tens of cycles of residue, not the multi-second windows the earlier build produced).</w:t>
      </w:r>
    </w:p>
    <w:p>
      <w:pPr>
        <w:pStyle w:val="Normal"/>
        <w:rPr/>
      </w:pPr>
      <w:bookmarkStart w:id="15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539_3996621457"/>
      <w:bookmarkStart w:id="17" w:name="single-axis-sweep-transfer-size"/>
      <w:bookmarkEnd w:id="16"/>
      <w:r>
        <w:rPr>
          <w:b/>
          <w:color w:val="228B22"/>
          <w:sz w:val="28"/>
        </w:rPr>
        <w:t>3. Single-axis sweep — transfer size</w:t>
      </w:r>
    </w:p>
    <w:p>
      <w:pPr>
        <w:pStyle w:val="FirstParagraph"/>
        <w:rPr/>
      </w:pPr>
      <w:r>
        <w:rPr>
          <w:sz w:val="20"/>
        </w:rPr>
        <w:t xml:space="preserve">Sweeping beats/channel from 4 (256 B) to 4096 (256 KB) at fixed 8-channel width shows the classic amortization curve: a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 is a large fraction of a tiny transfer and a vanishing fraction of a large one.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16935"/>
            <wp:effectExtent l="0" t="0" r="0" b="0"/>
            <wp:docPr id="11" name="Image2" descr="utilization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utilization vs transfer siz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engaged utilization vs transfer size, all four interfaces.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12" name="Image3" descr="bandwidth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bandwidth vs transfer 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effective per-direction bandwidth vs transfer size (line rate 6.40 GB/s).</w:t>
      </w:r>
    </w:p>
    <w:p>
      <w:pPr>
        <w:pStyle w:val="TableCaption"/>
        <w:rPr/>
      </w:pPr>
      <w:bookmarkStart w:id="18" w:name="_Tab_3_Table___engaged_util"/>
      <w:r>
        <w:rPr/>
        <w:t>Table — engaged utilization (%) and effective bandwidth (GB/s) vs transfer size (8 ch)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4"/>
        <w:gridCol w:w="1239"/>
        <w:gridCol w:w="1239"/>
        <w:gridCol w:w="1239"/>
        <w:gridCol w:w="1376"/>
        <w:gridCol w:w="963"/>
        <w:gridCol w:w="1239"/>
      </w:tblGrid>
      <w:tr>
        <w:trPr>
          <w:tblHeader w:val="true"/>
        </w:trPr>
        <w:tc>
          <w:tcPr>
            <w:tcW w:w="2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/ ch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BW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sout BW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 (4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1.22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4.65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5.93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By 4 KB/channel every interface is already above 91 %, and by 64 KB the whole engine is within 0.6 % of line rate. All four curves are the same monotonic amortization of a single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fill); there is no steady-state bubble.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13" name="Image4" descr="where the cycles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where the cycles 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productive vs startup/bubble cycles of the AXI4-wr window; the bubble fraction collapses as the transfer grows.</w:t>
      </w:r>
    </w:p>
    <w:p>
      <w:pPr>
        <w:pStyle w:val="Heading3"/>
        <w:spacing w:before="200" w:after="80"/>
        <w:rPr/>
      </w:pPr>
      <w:bookmarkStart w:id="19" w:name="__RefHeading___Toc1541_3996621457"/>
      <w:bookmarkStart w:id="20" w:name="channel-count-per-channel-independence"/>
      <w:bookmarkEnd w:id="19"/>
      <w:r>
        <w:rPr>
          <w:b/>
          <w:color w:val="404040"/>
          <w:sz w:val="24"/>
        </w:rPr>
        <w:t>3.1 Channel count — per-channel independence</w:t>
      </w:r>
    </w:p>
    <w:p>
      <w:pPr>
        <w:pStyle w:val="FirstParagraph"/>
        <w:rPr/>
      </w:pPr>
      <w:r>
        <w:rPr>
          <w:sz w:val="20"/>
        </w:rPr>
        <w:t>Sweeping active channels from 1 to 8 at a fixed 256 KB/channel transfer, every channel count holds line rate: the shared scheduler and SRAM fabric add no per-channel penalty as the engine scales out.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41065"/>
            <wp:effectExtent l="0" t="0" r="0" b="0"/>
            <wp:docPr id="14" name="Image5" descr="utilization vs channel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utilization vs channel cou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utilization vs channel count</w:t>
      </w:r>
    </w:p>
    <w:p>
      <w:pPr>
        <w:pStyle w:val="TableCaption"/>
        <w:rPr/>
      </w:pPr>
      <w:bookmarkStart w:id="21" w:name="_Tab_4_Figure___engaged_uti"/>
      <w:r>
        <w:rPr/>
        <w:t>Figure — engaged utilization vs active channel count (256 KB/ch).</w:t>
      </w:r>
      <w:bookmarkEnd w:id="2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96.6 %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</w:tbl>
    <w:p>
      <w:pPr>
        <w:pStyle w:val="BodyText"/>
        <w:rPr/>
      </w:pPr>
      <w:r>
        <w:rPr>
          <w:sz w:val="20"/>
        </w:rPr>
        <w:t>: Table — utilization vs channel count (256 KB/ch)</w:t>
      </w:r>
    </w:p>
    <w:p>
      <w:pPr>
        <w:pStyle w:val="Normal"/>
        <w:rPr/>
      </w:pPr>
      <w:bookmarkStart w:id="22" w:name="single-axis-sweep-transfer-size"/>
      <w:bookmarkStart w:id="23" w:name="channel-count-per-channel-indepen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1543_3996621457"/>
      <w:bookmarkStart w:id="25" w:name="what-we-learned"/>
      <w:bookmarkEnd w:id="24"/>
      <w:r>
        <w:rPr>
          <w:b/>
          <w:color w:val="228B22"/>
          <w:sz w:val="28"/>
        </w:rPr>
        <w:t>4. What we learned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The datapath is gapless.</w:t>
      </w:r>
      <w:r>
        <w:rPr/>
        <w:t xml:space="preserve"> At realistic transfer sizes (≥ 64 KB/ch) all four interfaces sit at 99.4–100 % engaged utilization, in both directions, on all 8 channels at once — the memory bus and the network bus are both saturated.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The only non-ideality is one-time startup</w:t>
      </w:r>
      <w:r>
        <w:rPr/>
        <w:t>, and it amortizes away: 19 % at 256 B → 100 % at 256 KB. There is no steady-state bubble, no per-beat gap, and no back-pressure or starvation once data is flowing.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Per-channel independence.</w:t>
      </w:r>
      <w:r>
        <w:rPr/>
        <w:t xml:space="preserve"> 1 → 8 concurrent channels all hold line rate at realistic sizes — the shared scheduler/SRAM fabric adds no scaling penalty.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Invariance is the result.</w:t>
      </w:r>
      <w:r>
        <w:rPr/>
        <w:t xml:space="preserve"> Across a 1000× range of transfer sizes and both independent paths, the large-transfer numbers are indistinguishable from line rate. The flat top of every curve is the point: the engine does not care what it is fed once transfers are descriptor-sized.</w:t>
      </w:r>
    </w:p>
    <w:p>
      <w:pPr>
        <w:pStyle w:val="Normal"/>
        <w:rPr/>
      </w:pPr>
      <w:bookmarkStart w:id="26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1545_3996621457"/>
      <w:bookmarkStart w:id="28" w:name="X37633b17003e19a0ddaaf3675d6b5218737805f"/>
      <w:bookmarkEnd w:id="27"/>
      <w:r>
        <w:rPr>
          <w:b/>
          <w:color w:val="228B22"/>
          <w:sz w:val="28"/>
        </w:rPr>
        <w:t>5. Between-run state reset (root-cause found &amp; fixed)</w:t>
      </w:r>
    </w:p>
    <w:p>
      <w:pPr>
        <w:pStyle w:val="FirstParagraph"/>
        <w:rPr/>
      </w:pPr>
      <w:r>
        <w:rPr>
          <w:sz w:val="20"/>
        </w:rPr>
        <w:t xml:space="preserve">Earlier revisions of this harness could only measure one configuration per FPGA programming: a second back-to-back run — and </w:t>
      </w:r>
      <w:r>
        <w:rPr>
          <w:i/>
          <w:iCs/>
          <w:sz w:val="20"/>
        </w:rPr>
        <w:t>any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active &lt; build_width</w:t>
      </w:r>
      <w:r>
        <w:rPr>
          <w:sz w:val="20"/>
        </w:rPr>
        <w:t xml:space="preserve"> config — wedged the sink (wrote 0 beats), and the whole matrix above had to be gathered by reprogramming before each point. That is now </w:t>
      </w:r>
      <w:r>
        <w:rPr>
          <w:b/>
          <w:bCs/>
          <w:sz w:val="20"/>
        </w:rPr>
        <w:t>fixed in the host</w:t>
      </w:r>
      <w:r>
        <w:rPr>
          <w:sz w:val="20"/>
        </w:rPr>
        <w:t>, and the fix pinned the root cause.</w:t>
      </w:r>
    </w:p>
    <w:p>
      <w:pPr>
        <w:pStyle w:val="BodyText"/>
        <w:rPr/>
      </w:pPr>
      <w:r>
        <w:rPr>
          <w:sz w:val="20"/>
        </w:rPr>
        <w:t xml:space="preserve">The sink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return to a fully clean state after a transfer (</w:t>
      </w:r>
      <w:r>
        <w:rPr>
          <w:rStyle w:val="VerbatimChar"/>
          <w:sz w:val="20"/>
        </w:rPr>
        <w:t>snk_system_idle</w:t>
      </w:r>
      <w:r>
        <w:rPr>
          <w:sz w:val="20"/>
        </w:rPr>
        <w:t xml:space="preserve"> never re-asserts): stale scheduler / descriptor-engine state persists and the next run inherits it. A discriminating board experiment isolated the mechanism:</w:t>
      </w:r>
    </w:p>
    <w:p>
      <w:pPr>
        <w:pStyle w:val="TableCaption"/>
        <w:rPr/>
      </w:pPr>
      <w:bookmarkStart w:id="29" w:name="_Tab_5_Table___the_wedge_is"/>
      <w:r>
        <w:rPr/>
        <w:t>Table — the wedge is stale scheduler state, not an in-flight fabric cycle</w:t>
      </w:r>
      <w:bookmarkEnd w:id="2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565"/>
        <w:gridCol w:w="4794"/>
      </w:tblGrid>
      <w:tr>
        <w:trPr>
          <w:tblHeader w:val="true"/>
        </w:trPr>
        <w:tc>
          <w:tcPr>
            <w:tcW w:w="45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Between-run action</w:t>
            </w:r>
          </w:p>
        </w:tc>
        <w:tc>
          <w:tcPr>
            <w:tcW w:w="47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Back-to-back result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(baseline)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4 — wedges on run 2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+0.3 s settle delay (let any in-flight AXI W/B retire)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/ 5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still wedges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/ 5 — clean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0.3 s settle (30 M cycles ≫ any outstanding-B retirement) </w:t>
      </w:r>
      <w:r>
        <w:rPr>
          <w:i/>
          <w:iCs/>
          <w:sz w:val="20"/>
        </w:rPr>
        <w:t>not</w:t>
      </w:r>
      <w:r>
        <w:rPr>
          <w:sz w:val="20"/>
        </w:rPr>
        <w:t xml:space="preserve"> helping rules out a stuck datapath/fabric cycle; the existing </w:t>
      </w:r>
      <w:r>
        <w:rPr>
          <w:rStyle w:val="VerbatimChar"/>
          <w:sz w:val="20"/>
        </w:rPr>
        <w:t>CHANNEL_RESET.CH_RST[7:0]</w:t>
      </w:r>
      <w:r>
        <w:rPr>
          <w:sz w:val="20"/>
        </w:rPr>
        <w:t xml:space="preserve"> CSR — which forces every channel FSM to </w:t>
      </w:r>
      <w:r>
        <w:rPr>
          <w:rStyle w:val="VerbatimChar"/>
          <w:sz w:val="20"/>
        </w:rPr>
        <w:t>CH_IDLE</w:t>
      </w:r>
      <w:r>
        <w:rPr>
          <w:sz w:val="20"/>
        </w:rPr>
        <w:t xml:space="preserve"> and flushes the descriptor FIFOs — clears it completely. The host now pulses </w:t>
      </w:r>
      <w:r>
        <w:rPr>
          <w:rStyle w:val="VerbatimChar"/>
          <w:sz w:val="20"/>
        </w:rPr>
        <w:t>CHANNEL_RESET</w:t>
      </w:r>
      <w:r>
        <w:rPr>
          <w:sz w:val="20"/>
        </w:rPr>
        <w:t xml:space="preserve"> on both halves before every run, which fixed </w:t>
      </w:r>
      <w:r>
        <w:rPr>
          <w:b/>
          <w:bCs/>
          <w:sz w:val="20"/>
        </w:rPr>
        <w:t>both</w:t>
      </w:r>
      <w:r>
        <w:rPr>
          <w:sz w:val="20"/>
        </w:rPr>
        <w:t xml:space="preserve"> the back-to-back wedge </w:t>
      </w:r>
      <w:r>
        <w:rPr>
          <w:b/>
          <w:bCs/>
          <w:sz w:val="20"/>
        </w:rPr>
        <w:t>and</w:t>
      </w:r>
      <w:r>
        <w:rPr>
          <w:sz w:val="20"/>
        </w:rPr>
        <w:t xml:space="preserve"> the partial-channel (</w:t>
      </w:r>
      <w:r>
        <w:rPr>
          <w:rStyle w:val="VerbatimChar"/>
          <w:sz w:val="20"/>
        </w:rPr>
        <w:t>active &lt; 8</w:t>
      </w:r>
      <w:r>
        <w:rPr>
          <w:sz w:val="20"/>
        </w:rPr>
        <w:t xml:space="preserve">) case — the entire 24-config matrix above runs in a </w:t>
      </w:r>
      <w:r>
        <w:rPr>
          <w:b/>
          <w:bCs/>
          <w:sz w:val="20"/>
        </w:rPr>
        <w:t>single programming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active = 1/2/4/8</w:t>
      </w:r>
      <w:r>
        <w:rPr>
          <w:sz w:val="20"/>
        </w:rPr>
        <w:t xml:space="preserve"> all pass.</w:t>
      </w:r>
    </w:p>
    <w:p>
      <w:pPr>
        <w:pStyle w:val="BodyText"/>
        <w:rPr/>
      </w:pPr>
      <w:r>
        <w:rPr>
          <w:i/>
          <w:iCs/>
          <w:sz w:val="20"/>
        </w:rPr>
        <w:t>Follow-up (RTL, out of scope here):</w:t>
      </w:r>
      <w:r>
        <w:rPr>
          <w:sz w:val="20"/>
        </w:rPr>
        <w:t xml:space="preserve"> the sink’s descriptor/scheduler should return to idle on its own at end-of-descriptor so no host reset is needed — the </w:t>
      </w:r>
      <w:r>
        <w:rPr>
          <w:rStyle w:val="VerbatimChar"/>
          <w:sz w:val="20"/>
        </w:rPr>
        <w:t>snk_system_idle</w:t>
      </w:r>
      <w:r>
        <w:rPr>
          <w:sz w:val="20"/>
        </w:rPr>
        <w:t>-never-asserts behavior is the underlying defect to fix.</w:t>
      </w:r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1547_3996621457"/>
      <w:bookmarkStart w:id="31" w:name="other-limitations"/>
      <w:bookmarkEnd w:id="30"/>
      <w:r>
        <w:rPr>
          <w:b/>
          <w:color w:val="228B22"/>
          <w:sz w:val="28"/>
        </w:rPr>
        <w:t>6. Other limitations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No memory-latency axis.</w:t>
      </w:r>
      <w:r>
        <w:rPr/>
        <w:t xml:space="preserve"> The synthetic slaves are zero-latency, so — unlike STREAM — there is no </w:t>
      </w:r>
      <w:r>
        <w:rPr>
          <w:rStyle w:val="VerbatimChar"/>
        </w:rPr>
        <w:t>response-delay</w:t>
      </w:r>
      <w:r>
        <w:rPr/>
        <w:t xml:space="preserve"> knob to show the in-flight-window limit. Adding a </w:t>
      </w:r>
      <w:r>
        <w:rPr>
          <w:rStyle w:val="VerbatimChar"/>
        </w:rPr>
        <w:t>RESP_DELAY</w:t>
      </w:r>
      <w:r>
        <w:rPr/>
        <w:t xml:space="preserve"> CSR to the pattern slaves is the natural v1.1 extension.</w:t>
      </w:r>
    </w:p>
    <w:p>
      <w:pPr>
        <w:pStyle w:val="Normal"/>
        <w:rPr/>
      </w:pPr>
      <w:bookmarkStart w:id="32" w:name="other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1549_3996621457"/>
      <w:bookmarkStart w:id="34" w:name="appendix-data-files-reproduce"/>
      <w:bookmarkEnd w:id="33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perf/json/genesys_full_matrix.json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× size matrix (this report)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perf/json/genesys_8ch_*.json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back-to-back runs (show the pre-fix wedge)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perf/plots/*.png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SourceCode"/>
        <w:rPr/>
      </w:pPr>
      <w:r>
        <w:rPr>
          <w:rStyle w:val="CommentTok"/>
        </w:rPr>
        <w:t># full channel x size matrix in ONE programming (CHANNEL_RESET per run):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projects/NexysA7/rapids_characterization/flows-rapids-beats/host/run_characterization.py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4,16,64,256,1024,4096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--results</w:t>
      </w:r>
      <w:r>
        <w:rPr>
          <w:rStyle w:val="NormalTok"/>
        </w:rPr>
        <w:t xml:space="preserve"> projects/NexysA7/rapids_characterization/reports/perf/json/genesys_full_matrix.json</w:t>
      </w:r>
      <w:r>
        <w:rPr/>
        <w:br/>
        <w:br/>
      </w:r>
      <w:r>
        <w:rPr>
          <w:rStyle w:val="CommentTok"/>
        </w:rPr>
        <w:t># figures: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projects/NexysA7/rapids_characterization/flows-rapids-beats/host/plot_char_reports.py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  projects/NexysA7/rapids_characterization/reports/perf/json/genesys_full_matrix.json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projects/NexysA7/rapids_characterization/reports/perf/plots</w:t>
      </w:r>
      <w:r>
        <w:rPr/>
        <w:br/>
        <w:br/>
      </w:r>
      <w:r>
        <w:rPr>
          <w:rStyle w:val="CommentTok"/>
        </w:rPr>
        <w:t># this report (DOCX + PDF, house style):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projects/NexysA7/rapids_characterization/reports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1.0</w:t>
      </w:r>
    </w:p>
    <w:p>
      <w:pPr>
        <w:pStyle w:val="FirstParagraph"/>
        <w:spacing w:before="180" w:after="180"/>
        <w:rPr/>
      </w:pPr>
      <w:r>
        <w:rPr>
          <w:sz w:val="20"/>
        </w:rPr>
        <w:t>Genesys 2 host link: JTAG on the FT2232 (</w:t>
      </w:r>
      <w:r>
        <w:rPr>
          <w:rStyle w:val="VerbatimChar"/>
          <w:sz w:val="20"/>
        </w:rPr>
        <w:t>200300B818A0</w:t>
      </w:r>
      <w:r>
        <w:rPr>
          <w:sz w:val="20"/>
        </w:rPr>
        <w:t>), UART on the separate FT232R (</w:t>
      </w:r>
      <w:r>
        <w:rPr>
          <w:rStyle w:val="VerbatimChar"/>
          <w:sz w:val="20"/>
        </w:rPr>
        <w:t>AU05X8RM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/dev/ttyUSB1</w:t>
      </w:r>
      <w:r>
        <w:rPr>
          <w:sz w:val="20"/>
        </w:rPr>
        <w:t>); both must be connected at once, and the board must not be power-cycled between program and run.</w:t>
      </w:r>
      <w:bookmarkEnd w:id="4"/>
      <w:bookmarkEnd w:id="34"/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2026-07-16T07:44:44Z</dcterms:created>
  <dc:creator/>
  <dc:description/>
  <dc:language>en-US</dc:language>
  <cp:lastModifiedBy/>
  <dcterms:modified xsi:type="dcterms:W3CDTF">2026-07-16T00:44:47Z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